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E227F" w14:textId="017E336A" w:rsidR="006933C3" w:rsidRPr="00077BF5" w:rsidRDefault="0523D516" w:rsidP="00C6523E">
      <w:pPr>
        <w:pBdr>
          <w:top w:val="none" w:sz="4" w:space="0" w:color="000000"/>
          <w:left w:val="none" w:sz="4" w:space="0" w:color="000000"/>
          <w:bottom w:val="none" w:sz="4" w:space="0" w:color="000000"/>
          <w:right w:val="none" w:sz="4" w:space="0" w:color="000000"/>
        </w:pBdr>
        <w:tabs>
          <w:tab w:val="left" w:pos="884"/>
          <w:tab w:val="left" w:pos="1196"/>
        </w:tabs>
        <w:ind w:firstLine="0"/>
        <w:jc w:val="center"/>
        <w:rPr>
          <w:sz w:val="22"/>
          <w:szCs w:val="22"/>
        </w:rPr>
      </w:pPr>
      <w:r w:rsidRPr="00077BF5">
        <w:rPr>
          <w:b/>
          <w:bCs/>
          <w:sz w:val="22"/>
          <w:szCs w:val="22"/>
        </w:rPr>
        <w:t>SINTEZA</w:t>
      </w:r>
      <w:r w:rsidR="4AD2EB9D" w:rsidRPr="00077BF5">
        <w:rPr>
          <w:b/>
          <w:bCs/>
          <w:sz w:val="22"/>
          <w:szCs w:val="22"/>
        </w:rPr>
        <w:t xml:space="preserve"> </w:t>
      </w:r>
    </w:p>
    <w:p w14:paraId="20567C2E" w14:textId="5A80DB04" w:rsidR="006933C3" w:rsidRPr="00077BF5" w:rsidRDefault="4AD2EB9D" w:rsidP="00077BF5">
      <w:pPr>
        <w:pBdr>
          <w:top w:val="none" w:sz="4" w:space="0" w:color="000000"/>
          <w:left w:val="none" w:sz="4" w:space="0" w:color="000000"/>
          <w:bottom w:val="none" w:sz="4" w:space="0" w:color="000000"/>
          <w:right w:val="none" w:sz="4" w:space="0" w:color="000000"/>
        </w:pBdr>
        <w:tabs>
          <w:tab w:val="left" w:pos="884"/>
          <w:tab w:val="left" w:pos="1196"/>
        </w:tabs>
        <w:ind w:firstLine="0"/>
        <w:jc w:val="center"/>
        <w:rPr>
          <w:b/>
          <w:bCs/>
          <w:sz w:val="22"/>
          <w:szCs w:val="22"/>
        </w:rPr>
      </w:pPr>
      <w:r w:rsidRPr="00077BF5">
        <w:rPr>
          <w:b/>
          <w:bCs/>
          <w:sz w:val="22"/>
          <w:szCs w:val="22"/>
        </w:rPr>
        <w:t xml:space="preserve">avizelor </w:t>
      </w:r>
      <w:r w:rsidR="0523D516" w:rsidRPr="00077BF5">
        <w:rPr>
          <w:b/>
          <w:bCs/>
          <w:sz w:val="22"/>
          <w:szCs w:val="22"/>
        </w:rPr>
        <w:t>la</w:t>
      </w:r>
      <w:r w:rsidR="6B86BCE4" w:rsidRPr="00077BF5">
        <w:rPr>
          <w:b/>
          <w:bCs/>
          <w:sz w:val="22"/>
          <w:szCs w:val="22"/>
        </w:rPr>
        <w:t xml:space="preserve"> </w:t>
      </w:r>
      <w:r w:rsidR="0523D516" w:rsidRPr="00077BF5">
        <w:rPr>
          <w:b/>
          <w:bCs/>
          <w:sz w:val="22"/>
          <w:szCs w:val="22"/>
        </w:rPr>
        <w:t>proiectul</w:t>
      </w:r>
      <w:r w:rsidR="544C41CB" w:rsidRPr="00077BF5">
        <w:rPr>
          <w:b/>
          <w:bCs/>
          <w:sz w:val="22"/>
          <w:szCs w:val="22"/>
        </w:rPr>
        <w:t xml:space="preserve"> </w:t>
      </w:r>
      <w:r w:rsidR="004143A4" w:rsidRPr="00077BF5">
        <w:rPr>
          <w:b/>
          <w:bCs/>
          <w:sz w:val="22"/>
          <w:szCs w:val="22"/>
        </w:rPr>
        <w:t>Regulamentului privind mecanismul de realizare a activităților de cooperare internațională pentru dezvoltare și asistență umanitară</w:t>
      </w:r>
      <w:r w:rsidR="00077BF5">
        <w:rPr>
          <w:b/>
          <w:bCs/>
          <w:sz w:val="22"/>
          <w:szCs w:val="22"/>
        </w:rPr>
        <w:t xml:space="preserve"> </w:t>
      </w:r>
      <w:r w:rsidR="004143A4" w:rsidRPr="00077BF5">
        <w:rPr>
          <w:b/>
          <w:bCs/>
          <w:i/>
          <w:iCs/>
          <w:sz w:val="22"/>
          <w:szCs w:val="22"/>
        </w:rPr>
        <w:t>(număr unic 895/MAE/2025)</w:t>
      </w:r>
    </w:p>
    <w:p w14:paraId="2265058B" w14:textId="7FDE63ED" w:rsidR="008B4BE6" w:rsidRPr="001271CE" w:rsidRDefault="00032B46" w:rsidP="00C6523E">
      <w:pPr>
        <w:pBdr>
          <w:top w:val="none" w:sz="4" w:space="0" w:color="000000"/>
          <w:left w:val="none" w:sz="4" w:space="0" w:color="000000"/>
          <w:bottom w:val="none" w:sz="4" w:space="0" w:color="000000"/>
          <w:right w:val="none" w:sz="4" w:space="0" w:color="000000"/>
        </w:pBdr>
        <w:tabs>
          <w:tab w:val="left" w:pos="884"/>
          <w:tab w:val="left" w:pos="1196"/>
        </w:tabs>
      </w:pPr>
      <w:r w:rsidRPr="001271CE">
        <w:rPr>
          <w:b/>
          <w:bCs/>
        </w:rPr>
        <w:t xml:space="preserve"> </w:t>
      </w:r>
    </w:p>
    <w:tbl>
      <w:tblPr>
        <w:tblStyle w:val="GrilTabel2"/>
        <w:tblW w:w="14688" w:type="dxa"/>
        <w:tblInd w:w="-113" w:type="dxa"/>
        <w:tblLook w:val="04A0" w:firstRow="1" w:lastRow="0" w:firstColumn="1" w:lastColumn="0" w:noHBand="0" w:noVBand="1"/>
      </w:tblPr>
      <w:tblGrid>
        <w:gridCol w:w="2166"/>
        <w:gridCol w:w="516"/>
        <w:gridCol w:w="5706"/>
        <w:gridCol w:w="6300"/>
      </w:tblGrid>
      <w:tr w:rsidR="00574881" w:rsidRPr="001271CE" w14:paraId="165C98F0" w14:textId="77777777" w:rsidTr="003411E9">
        <w:tc>
          <w:tcPr>
            <w:tcW w:w="2166" w:type="dxa"/>
            <w:tcMar>
              <w:top w:w="0" w:type="dxa"/>
              <w:left w:w="108" w:type="dxa"/>
              <w:bottom w:w="0" w:type="dxa"/>
              <w:right w:w="108" w:type="dxa"/>
            </w:tcMar>
          </w:tcPr>
          <w:p w14:paraId="189260EB" w14:textId="24B02C4F" w:rsidR="008B4BE6" w:rsidRPr="001271CE" w:rsidRDefault="006933C3" w:rsidP="00C6523E">
            <w:pPr>
              <w:pBdr>
                <w:top w:val="none" w:sz="4" w:space="0" w:color="000000"/>
                <w:left w:val="none" w:sz="4" w:space="0" w:color="000000"/>
                <w:bottom w:val="none" w:sz="4" w:space="0" w:color="000000"/>
                <w:right w:val="none" w:sz="4" w:space="0" w:color="000000"/>
              </w:pBdr>
              <w:ind w:firstLine="0"/>
              <w:jc w:val="center"/>
            </w:pPr>
            <w:r w:rsidRPr="001271CE">
              <w:rPr>
                <w:b/>
                <w:bCs/>
              </w:rPr>
              <w:t>Participantul</w:t>
            </w:r>
            <w:r w:rsidR="00032B46" w:rsidRPr="001271CE">
              <w:rPr>
                <w:b/>
                <w:bCs/>
              </w:rPr>
              <w:t xml:space="preserve"> </w:t>
            </w:r>
            <w:r w:rsidRPr="001271CE">
              <w:rPr>
                <w:b/>
                <w:bCs/>
              </w:rPr>
              <w:t>la</w:t>
            </w:r>
            <w:r w:rsidR="00032B46" w:rsidRPr="001271CE">
              <w:rPr>
                <w:b/>
                <w:bCs/>
              </w:rPr>
              <w:t xml:space="preserve"> </w:t>
            </w:r>
            <w:r w:rsidRPr="001271CE">
              <w:rPr>
                <w:b/>
                <w:bCs/>
              </w:rPr>
              <w:t>avizare</w:t>
            </w:r>
          </w:p>
        </w:tc>
        <w:tc>
          <w:tcPr>
            <w:tcW w:w="516" w:type="dxa"/>
            <w:tcMar>
              <w:top w:w="0" w:type="dxa"/>
              <w:left w:w="108" w:type="dxa"/>
              <w:bottom w:w="0" w:type="dxa"/>
              <w:right w:w="108" w:type="dxa"/>
            </w:tcMar>
          </w:tcPr>
          <w:p w14:paraId="429CCC6C" w14:textId="0ADC1BF2" w:rsidR="008B4BE6" w:rsidRPr="001271CE" w:rsidRDefault="006933C3" w:rsidP="00C6523E">
            <w:pPr>
              <w:pBdr>
                <w:top w:val="none" w:sz="4" w:space="0" w:color="000000"/>
                <w:left w:val="none" w:sz="4" w:space="0" w:color="000000"/>
                <w:bottom w:val="none" w:sz="4" w:space="0" w:color="000000"/>
                <w:right w:val="none" w:sz="4" w:space="0" w:color="000000"/>
              </w:pBdr>
              <w:ind w:right="5" w:firstLine="0"/>
              <w:jc w:val="left"/>
            </w:pPr>
            <w:r w:rsidRPr="001271CE">
              <w:rPr>
                <w:b/>
                <w:bCs/>
              </w:rPr>
              <w:t>Nr.</w:t>
            </w:r>
            <w:r w:rsidR="00032B46" w:rsidRPr="001271CE">
              <w:rPr>
                <w:b/>
                <w:bCs/>
              </w:rPr>
              <w:t xml:space="preserve"> </w:t>
            </w:r>
            <w:r w:rsidR="00BA5B5B" w:rsidRPr="001271CE">
              <w:rPr>
                <w:b/>
                <w:bCs/>
              </w:rPr>
              <w:t>crt.</w:t>
            </w:r>
          </w:p>
        </w:tc>
        <w:tc>
          <w:tcPr>
            <w:tcW w:w="5706" w:type="dxa"/>
            <w:tcMar>
              <w:top w:w="0" w:type="dxa"/>
              <w:left w:w="108" w:type="dxa"/>
              <w:bottom w:w="0" w:type="dxa"/>
              <w:right w:w="108" w:type="dxa"/>
            </w:tcMar>
          </w:tcPr>
          <w:p w14:paraId="145B15CB" w14:textId="13B5FB53" w:rsidR="008B4BE6" w:rsidRPr="001271CE" w:rsidRDefault="006933C3" w:rsidP="00C6523E">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1271CE">
              <w:rPr>
                <w:b/>
                <w:bCs/>
              </w:rPr>
              <w:t>Con</w:t>
            </w:r>
            <w:r w:rsidR="009E4AFA" w:rsidRPr="001271CE">
              <w:rPr>
                <w:b/>
                <w:bCs/>
              </w:rPr>
              <w:t>ț</w:t>
            </w:r>
            <w:r w:rsidRPr="001271CE">
              <w:rPr>
                <w:b/>
                <w:bCs/>
              </w:rPr>
              <w:t>inutul</w:t>
            </w:r>
            <w:r w:rsidR="00032B46" w:rsidRPr="001271CE">
              <w:rPr>
                <w:b/>
                <w:bCs/>
              </w:rPr>
              <w:t xml:space="preserve"> </w:t>
            </w:r>
            <w:r w:rsidRPr="001271CE">
              <w:rPr>
                <w:b/>
                <w:bCs/>
              </w:rPr>
              <w:t>obiec</w:t>
            </w:r>
            <w:r w:rsidR="009E4AFA" w:rsidRPr="001271CE">
              <w:rPr>
                <w:b/>
                <w:bCs/>
              </w:rPr>
              <w:t>ț</w:t>
            </w:r>
            <w:r w:rsidRPr="001271CE">
              <w:rPr>
                <w:b/>
                <w:bCs/>
              </w:rPr>
              <w:t>iei,</w:t>
            </w:r>
          </w:p>
          <w:p w14:paraId="055FB5F6" w14:textId="2AA99A7F" w:rsidR="008B4BE6" w:rsidRPr="001271CE" w:rsidRDefault="006933C3" w:rsidP="00C6523E">
            <w:pPr>
              <w:pBdr>
                <w:top w:val="none" w:sz="4" w:space="0" w:color="000000"/>
                <w:left w:val="none" w:sz="4" w:space="0" w:color="000000"/>
                <w:bottom w:val="none" w:sz="4" w:space="0" w:color="000000"/>
                <w:right w:val="none" w:sz="4" w:space="0" w:color="000000"/>
              </w:pBdr>
              <w:ind w:firstLine="0"/>
              <w:jc w:val="center"/>
            </w:pPr>
            <w:r w:rsidRPr="001271CE">
              <w:rPr>
                <w:b/>
                <w:bCs/>
              </w:rPr>
              <w:t>propunerii,</w:t>
            </w:r>
            <w:r w:rsidR="00032B46" w:rsidRPr="001271CE">
              <w:rPr>
                <w:b/>
                <w:bCs/>
              </w:rPr>
              <w:t xml:space="preserve"> </w:t>
            </w:r>
            <w:r w:rsidRPr="001271CE">
              <w:rPr>
                <w:b/>
                <w:bCs/>
              </w:rPr>
              <w:t>recomandării,</w:t>
            </w:r>
            <w:r w:rsidR="00032B46" w:rsidRPr="001271CE">
              <w:rPr>
                <w:b/>
                <w:bCs/>
              </w:rPr>
              <w:t xml:space="preserve"> </w:t>
            </w:r>
            <w:r w:rsidRPr="001271CE">
              <w:rPr>
                <w:b/>
                <w:bCs/>
              </w:rPr>
              <w:t>concluzi</w:t>
            </w:r>
            <w:r w:rsidR="00887788" w:rsidRPr="001271CE">
              <w:rPr>
                <w:b/>
                <w:bCs/>
              </w:rPr>
              <w:t>i</w:t>
            </w:r>
          </w:p>
        </w:tc>
        <w:tc>
          <w:tcPr>
            <w:tcW w:w="6300" w:type="dxa"/>
            <w:tcMar>
              <w:top w:w="0" w:type="dxa"/>
              <w:left w:w="108" w:type="dxa"/>
              <w:bottom w:w="0" w:type="dxa"/>
              <w:right w:w="108" w:type="dxa"/>
            </w:tcMar>
          </w:tcPr>
          <w:p w14:paraId="43D44E19" w14:textId="04D0A080" w:rsidR="008B4BE6" w:rsidRPr="001271CE" w:rsidRDefault="006933C3" w:rsidP="00C6523E">
            <w:pPr>
              <w:pBdr>
                <w:top w:val="none" w:sz="4" w:space="0" w:color="000000"/>
                <w:left w:val="none" w:sz="4" w:space="0" w:color="000000"/>
                <w:bottom w:val="none" w:sz="4" w:space="0" w:color="000000"/>
                <w:right w:val="none" w:sz="4" w:space="0" w:color="000000"/>
              </w:pBdr>
              <w:tabs>
                <w:tab w:val="left" w:pos="884"/>
                <w:tab w:val="left" w:pos="1196"/>
              </w:tabs>
              <w:ind w:firstLine="0"/>
              <w:jc w:val="center"/>
            </w:pPr>
            <w:r w:rsidRPr="001271CE">
              <w:rPr>
                <w:b/>
                <w:bCs/>
              </w:rPr>
              <w:t>Argumentarea</w:t>
            </w:r>
          </w:p>
          <w:p w14:paraId="42C4E39B" w14:textId="729BF662" w:rsidR="008B4BE6" w:rsidRPr="001271CE" w:rsidRDefault="006933C3" w:rsidP="00C6523E">
            <w:pPr>
              <w:pBdr>
                <w:top w:val="none" w:sz="4" w:space="0" w:color="000000"/>
                <w:left w:val="none" w:sz="4" w:space="0" w:color="000000"/>
                <w:bottom w:val="none" w:sz="4" w:space="0" w:color="000000"/>
                <w:right w:val="none" w:sz="4" w:space="0" w:color="000000"/>
              </w:pBdr>
              <w:ind w:firstLine="0"/>
              <w:jc w:val="center"/>
            </w:pPr>
            <w:r w:rsidRPr="001271CE">
              <w:rPr>
                <w:b/>
                <w:bCs/>
              </w:rPr>
              <w:t>autorului</w:t>
            </w:r>
            <w:r w:rsidR="00032B46" w:rsidRPr="001271CE">
              <w:rPr>
                <w:b/>
                <w:bCs/>
              </w:rPr>
              <w:t xml:space="preserve"> </w:t>
            </w:r>
            <w:r w:rsidRPr="001271CE">
              <w:rPr>
                <w:b/>
                <w:bCs/>
              </w:rPr>
              <w:t>proiectului</w:t>
            </w:r>
          </w:p>
        </w:tc>
      </w:tr>
      <w:tr w:rsidR="00574881" w:rsidRPr="001271CE" w14:paraId="092EF798" w14:textId="77777777" w:rsidTr="003411E9">
        <w:tc>
          <w:tcPr>
            <w:tcW w:w="14688" w:type="dxa"/>
            <w:gridSpan w:val="4"/>
            <w:tcMar>
              <w:top w:w="0" w:type="dxa"/>
              <w:left w:w="108" w:type="dxa"/>
              <w:bottom w:w="0" w:type="dxa"/>
              <w:right w:w="108" w:type="dxa"/>
            </w:tcMar>
          </w:tcPr>
          <w:p w14:paraId="7963EAAD" w14:textId="4DD196FC" w:rsidR="008B4BE6" w:rsidRPr="001271CE" w:rsidRDefault="006933C3" w:rsidP="00C6523E">
            <w:pPr>
              <w:pBdr>
                <w:top w:val="none" w:sz="4" w:space="0" w:color="000000"/>
                <w:left w:val="none" w:sz="4" w:space="0" w:color="000000"/>
                <w:bottom w:val="none" w:sz="4" w:space="0" w:color="000000"/>
                <w:right w:val="none" w:sz="4" w:space="0" w:color="000000"/>
              </w:pBdr>
              <w:ind w:right="5" w:firstLine="0"/>
              <w:jc w:val="center"/>
              <w:rPr>
                <w:b/>
                <w:bCs/>
              </w:rPr>
            </w:pPr>
            <w:r w:rsidRPr="001271CE">
              <w:rPr>
                <w:b/>
                <w:bCs/>
              </w:rPr>
              <w:t>Avizare</w:t>
            </w:r>
            <w:r w:rsidR="00032B46" w:rsidRPr="001271CE">
              <w:rPr>
                <w:b/>
                <w:bCs/>
              </w:rPr>
              <w:t xml:space="preserve"> </w:t>
            </w:r>
            <w:r w:rsidR="009E4AFA" w:rsidRPr="001271CE">
              <w:rPr>
                <w:b/>
                <w:bCs/>
              </w:rPr>
              <w:t>ș</w:t>
            </w:r>
            <w:r w:rsidRPr="001271CE">
              <w:rPr>
                <w:b/>
                <w:bCs/>
              </w:rPr>
              <w:t>i</w:t>
            </w:r>
            <w:r w:rsidR="00032B46" w:rsidRPr="001271CE">
              <w:rPr>
                <w:b/>
                <w:bCs/>
              </w:rPr>
              <w:t xml:space="preserve"> </w:t>
            </w:r>
            <w:r w:rsidR="009318CB" w:rsidRPr="001271CE">
              <w:rPr>
                <w:b/>
                <w:bCs/>
              </w:rPr>
              <w:t>Consultare publică</w:t>
            </w:r>
            <w:r w:rsidR="009318CB" w:rsidRPr="001271CE">
              <w:rPr>
                <w:rStyle w:val="FootnoteReference"/>
                <w:b/>
                <w:bCs/>
              </w:rPr>
              <w:footnoteReference w:id="2"/>
            </w:r>
          </w:p>
        </w:tc>
      </w:tr>
      <w:tr w:rsidR="000D22B4" w:rsidRPr="001271CE" w14:paraId="55ABDE81" w14:textId="77777777" w:rsidTr="003411E9">
        <w:trPr>
          <w:trHeight w:val="300"/>
        </w:trPr>
        <w:tc>
          <w:tcPr>
            <w:tcW w:w="2166" w:type="dxa"/>
            <w:vMerge w:val="restart"/>
            <w:tcMar>
              <w:top w:w="0" w:type="dxa"/>
              <w:left w:w="108" w:type="dxa"/>
              <w:bottom w:w="0" w:type="dxa"/>
              <w:right w:w="108" w:type="dxa"/>
            </w:tcMar>
          </w:tcPr>
          <w:p w14:paraId="1512577F" w14:textId="77777777" w:rsidR="000D22B4" w:rsidRPr="001271CE" w:rsidRDefault="000D22B4" w:rsidP="00C6523E">
            <w:pPr>
              <w:ind w:firstLine="0"/>
              <w:jc w:val="left"/>
            </w:pPr>
            <w:r w:rsidRPr="001271CE">
              <w:t>Cancelaria de Stat</w:t>
            </w:r>
          </w:p>
          <w:p w14:paraId="1D6CC8E4" w14:textId="1882B677" w:rsidR="000D22B4" w:rsidRPr="001271CE" w:rsidRDefault="000D22B4" w:rsidP="00C6523E">
            <w:pPr>
              <w:ind w:firstLine="0"/>
              <w:jc w:val="left"/>
              <w:rPr>
                <w:i/>
                <w:iCs/>
              </w:rPr>
            </w:pPr>
            <w:r w:rsidRPr="001271CE">
              <w:rPr>
                <w:i/>
                <w:iCs/>
              </w:rPr>
              <w:t>Nr. 26-78-220 din 28 noiembrie 2025</w:t>
            </w:r>
          </w:p>
        </w:tc>
        <w:tc>
          <w:tcPr>
            <w:tcW w:w="516" w:type="dxa"/>
            <w:tcMar>
              <w:top w:w="0" w:type="dxa"/>
              <w:left w:w="108" w:type="dxa"/>
              <w:bottom w:w="0" w:type="dxa"/>
              <w:right w:w="108" w:type="dxa"/>
            </w:tcMar>
          </w:tcPr>
          <w:p w14:paraId="71638302" w14:textId="0EABD59B"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11A5CCB4" w14:textId="5FEE533F" w:rsidR="000D22B4" w:rsidRPr="001271CE" w:rsidRDefault="000D22B4" w:rsidP="00C6523E">
            <w:pPr>
              <w:ind w:firstLine="0"/>
            </w:pPr>
            <w:r w:rsidRPr="001271CE">
              <w:t>În partea ce ține de noțiunile incluse în proiect, pentru a elimina orice ambiguitate în interpretarea noțiunii și a asigura precizia interpretării, propunem ca la pct. 2.8. după cuvintele ”administrarea generală” de inclus cuvintele ”a proiectului”</w:t>
            </w:r>
            <w:r w:rsidR="00660417" w:rsidRPr="001271CE">
              <w:t>....</w:t>
            </w:r>
            <w:r w:rsidRPr="001271CE">
              <w:t xml:space="preserve"> </w:t>
            </w:r>
          </w:p>
        </w:tc>
        <w:tc>
          <w:tcPr>
            <w:tcW w:w="6300" w:type="dxa"/>
            <w:tcMar>
              <w:top w:w="0" w:type="dxa"/>
              <w:left w:w="108" w:type="dxa"/>
              <w:bottom w:w="0" w:type="dxa"/>
              <w:right w:w="108" w:type="dxa"/>
            </w:tcMar>
          </w:tcPr>
          <w:p w14:paraId="20AADB4D" w14:textId="39E4EBCC" w:rsidR="000D22B4" w:rsidRPr="001271CE" w:rsidRDefault="00A018A1" w:rsidP="00C6523E">
            <w:pPr>
              <w:ind w:firstLine="0"/>
            </w:pPr>
            <w:r w:rsidRPr="001271CE">
              <w:t>Se acceptă.</w:t>
            </w:r>
          </w:p>
        </w:tc>
      </w:tr>
      <w:tr w:rsidR="00660417" w:rsidRPr="001271CE" w14:paraId="76181225" w14:textId="77777777" w:rsidTr="003411E9">
        <w:trPr>
          <w:trHeight w:val="300"/>
        </w:trPr>
        <w:tc>
          <w:tcPr>
            <w:tcW w:w="2166" w:type="dxa"/>
            <w:vMerge/>
            <w:tcMar>
              <w:top w:w="0" w:type="dxa"/>
              <w:left w:w="108" w:type="dxa"/>
              <w:bottom w:w="0" w:type="dxa"/>
              <w:right w:w="108" w:type="dxa"/>
            </w:tcMar>
          </w:tcPr>
          <w:p w14:paraId="5AEE8D46" w14:textId="77777777" w:rsidR="00660417" w:rsidRPr="001271CE" w:rsidRDefault="00660417" w:rsidP="00C6523E">
            <w:pPr>
              <w:ind w:firstLine="0"/>
              <w:jc w:val="left"/>
            </w:pPr>
          </w:p>
        </w:tc>
        <w:tc>
          <w:tcPr>
            <w:tcW w:w="516" w:type="dxa"/>
            <w:tcMar>
              <w:top w:w="0" w:type="dxa"/>
              <w:left w:w="108" w:type="dxa"/>
              <w:bottom w:w="0" w:type="dxa"/>
              <w:right w:w="108" w:type="dxa"/>
            </w:tcMar>
          </w:tcPr>
          <w:p w14:paraId="0CAE9B10" w14:textId="77777777" w:rsidR="00660417" w:rsidRPr="001271CE" w:rsidRDefault="00660417" w:rsidP="00C6523E">
            <w:pPr>
              <w:pStyle w:val="ListParagraph"/>
              <w:numPr>
                <w:ilvl w:val="0"/>
                <w:numId w:val="1"/>
              </w:numPr>
              <w:ind w:right="76"/>
              <w:jc w:val="left"/>
            </w:pPr>
          </w:p>
        </w:tc>
        <w:tc>
          <w:tcPr>
            <w:tcW w:w="5706" w:type="dxa"/>
            <w:tcMar>
              <w:top w:w="0" w:type="dxa"/>
              <w:left w:w="108" w:type="dxa"/>
              <w:bottom w:w="0" w:type="dxa"/>
              <w:right w:w="108" w:type="dxa"/>
            </w:tcMar>
          </w:tcPr>
          <w:p w14:paraId="217F661E" w14:textId="005C095E" w:rsidR="00660417" w:rsidRPr="001271CE" w:rsidRDefault="00660417" w:rsidP="00C6523E">
            <w:pPr>
              <w:ind w:firstLine="0"/>
            </w:pPr>
            <w:r w:rsidRPr="001271CE">
              <w:t>... și la pct. 2.13. după cuvintele ”acestora cu activitățile” de inclus cuvintele ”planificate/implementate”.</w:t>
            </w:r>
          </w:p>
        </w:tc>
        <w:tc>
          <w:tcPr>
            <w:tcW w:w="6300" w:type="dxa"/>
            <w:tcMar>
              <w:top w:w="0" w:type="dxa"/>
              <w:left w:w="108" w:type="dxa"/>
              <w:bottom w:w="0" w:type="dxa"/>
              <w:right w:w="108" w:type="dxa"/>
            </w:tcMar>
          </w:tcPr>
          <w:p w14:paraId="64348D29" w14:textId="77777777" w:rsidR="00660417" w:rsidRPr="001271CE" w:rsidRDefault="00F85FFE" w:rsidP="00C6523E">
            <w:pPr>
              <w:ind w:firstLine="0"/>
            </w:pPr>
            <w:r w:rsidRPr="001271CE">
              <w:t>Nu se acceptă.</w:t>
            </w:r>
          </w:p>
          <w:p w14:paraId="2F7D544E" w14:textId="1B87670D" w:rsidR="00FA1E7C" w:rsidRPr="001271CE" w:rsidRDefault="00FA1E7C" w:rsidP="00C6523E">
            <w:pPr>
              <w:ind w:firstLine="0"/>
            </w:pPr>
            <w:r w:rsidRPr="001271CE">
              <w:t>Textul actual nu necesită precizările menționate.</w:t>
            </w:r>
          </w:p>
        </w:tc>
      </w:tr>
      <w:tr w:rsidR="00660417" w:rsidRPr="001271CE" w14:paraId="7DEB1C84" w14:textId="77777777" w:rsidTr="003411E9">
        <w:trPr>
          <w:trHeight w:val="300"/>
        </w:trPr>
        <w:tc>
          <w:tcPr>
            <w:tcW w:w="2166" w:type="dxa"/>
            <w:vMerge/>
            <w:tcMar>
              <w:top w:w="0" w:type="dxa"/>
              <w:left w:w="108" w:type="dxa"/>
              <w:bottom w:w="0" w:type="dxa"/>
              <w:right w:w="108" w:type="dxa"/>
            </w:tcMar>
          </w:tcPr>
          <w:p w14:paraId="415F982B" w14:textId="77777777" w:rsidR="00660417" w:rsidRPr="001271CE" w:rsidRDefault="00660417" w:rsidP="00C6523E">
            <w:pPr>
              <w:ind w:firstLine="0"/>
              <w:jc w:val="left"/>
            </w:pPr>
          </w:p>
        </w:tc>
        <w:tc>
          <w:tcPr>
            <w:tcW w:w="516" w:type="dxa"/>
            <w:tcMar>
              <w:top w:w="0" w:type="dxa"/>
              <w:left w:w="108" w:type="dxa"/>
              <w:bottom w:w="0" w:type="dxa"/>
              <w:right w:w="108" w:type="dxa"/>
            </w:tcMar>
          </w:tcPr>
          <w:p w14:paraId="0B5D893C" w14:textId="77777777" w:rsidR="00660417" w:rsidRPr="001271CE" w:rsidRDefault="00660417" w:rsidP="00C6523E">
            <w:pPr>
              <w:pStyle w:val="ListParagraph"/>
              <w:numPr>
                <w:ilvl w:val="0"/>
                <w:numId w:val="1"/>
              </w:numPr>
              <w:ind w:right="76"/>
              <w:jc w:val="left"/>
            </w:pPr>
          </w:p>
        </w:tc>
        <w:tc>
          <w:tcPr>
            <w:tcW w:w="5706" w:type="dxa"/>
            <w:tcMar>
              <w:top w:w="0" w:type="dxa"/>
              <w:left w:w="108" w:type="dxa"/>
              <w:bottom w:w="0" w:type="dxa"/>
              <w:right w:w="108" w:type="dxa"/>
            </w:tcMar>
          </w:tcPr>
          <w:p w14:paraId="1E666D95" w14:textId="54FC879B" w:rsidR="00660417" w:rsidRPr="001271CE" w:rsidRDefault="00D971D4" w:rsidP="00C6523E">
            <w:pPr>
              <w:ind w:firstLine="0"/>
            </w:pPr>
            <w:r w:rsidRPr="001271CE">
              <w:t>Totodată, pentru a asigura claritatea și delimitarea corectă a instrumentelor de finanțare utilizate în realizarea activităților prevăzute de proiect considerăm judicios includerea în proiect a noțiunii de „contribuții voluntare”, conform cerințelor art. 8 și art. 20 alin. (1) din Legea nr. 100/2017 privind actele normative, care impun utilizarea unui limbaj juridic precis și introducerea definițiilor obligatorii pentru conceptele esențiale, în vederea garantării previzibilității și aplicării uniforme a normei. Menționăm că, noțiunea dată nu se regăsește nici în Legea nr.149/2025.</w:t>
            </w:r>
          </w:p>
        </w:tc>
        <w:tc>
          <w:tcPr>
            <w:tcW w:w="6300" w:type="dxa"/>
            <w:tcMar>
              <w:top w:w="0" w:type="dxa"/>
              <w:left w:w="108" w:type="dxa"/>
              <w:bottom w:w="0" w:type="dxa"/>
              <w:right w:w="108" w:type="dxa"/>
            </w:tcMar>
          </w:tcPr>
          <w:p w14:paraId="5A86BC1A" w14:textId="310F706E" w:rsidR="00660417" w:rsidRPr="001271CE" w:rsidRDefault="00CA0D67" w:rsidP="00C6523E">
            <w:pPr>
              <w:ind w:firstLine="0"/>
            </w:pPr>
            <w:r w:rsidRPr="001271CE">
              <w:t>Se acceptă.</w:t>
            </w:r>
          </w:p>
        </w:tc>
      </w:tr>
      <w:tr w:rsidR="000D22B4" w:rsidRPr="001271CE" w14:paraId="4B70912B" w14:textId="77777777" w:rsidTr="003411E9">
        <w:trPr>
          <w:trHeight w:val="300"/>
        </w:trPr>
        <w:tc>
          <w:tcPr>
            <w:tcW w:w="2166" w:type="dxa"/>
            <w:vMerge/>
            <w:tcMar>
              <w:top w:w="0" w:type="dxa"/>
              <w:left w:w="108" w:type="dxa"/>
              <w:bottom w:w="0" w:type="dxa"/>
              <w:right w:w="108" w:type="dxa"/>
            </w:tcMar>
          </w:tcPr>
          <w:p w14:paraId="13D1E8B0" w14:textId="77777777" w:rsidR="000D22B4" w:rsidRPr="001271CE" w:rsidRDefault="000D22B4" w:rsidP="00C6523E">
            <w:pPr>
              <w:ind w:firstLine="0"/>
              <w:jc w:val="left"/>
            </w:pPr>
          </w:p>
        </w:tc>
        <w:tc>
          <w:tcPr>
            <w:tcW w:w="516" w:type="dxa"/>
            <w:tcMar>
              <w:top w:w="0" w:type="dxa"/>
              <w:left w:w="108" w:type="dxa"/>
              <w:bottom w:w="0" w:type="dxa"/>
              <w:right w:w="108" w:type="dxa"/>
            </w:tcMar>
          </w:tcPr>
          <w:p w14:paraId="76D85A36"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6509C53F" w14:textId="0F271238" w:rsidR="000D22B4" w:rsidRPr="001271CE" w:rsidRDefault="000D22B4" w:rsidP="00C6523E">
            <w:pPr>
              <w:ind w:firstLine="0"/>
            </w:pPr>
            <w:r w:rsidRPr="001271CE">
              <w:t xml:space="preserve">Prin intermediul Capitolului II, proiectul de act normativ își propune să reglementeze cadrul instituțional și programatic. În acest context, se constată că, textul enumeră doar parțial competențele Ministerului Afacerilor Externe, omițând însă o reglementare explicită privind atribuțiile specifice și mecanismele de cooperare ale celorlalți actori instituționali definiți de Legea nr. 149/2025, cum ar fi: Comitetul consultativ, Comisia de selecție și structurile de secretariat. În mod particular, prevederea punctului 4, care atribuie în mod exclusiv Ministerului Afacerilor Externe stabilirea priorităților de finanțare, a modalităților de implementare și a formelor de utilizare a mijloacelor financiare, elemente ce constituie componente esențiale ale Programului multianual strategic, intră în contradicție directă cu art. 8 din Legea nr. 149/2025. Conform acestui articol, atribuirea respectivelor competențe se realizează în mod corelat, implicând avizul obligatoriu al Comitetului consultativ și aprobarea ulterioară de către Guvern. Prin urmare, se impune corectarea dispozițiilor </w:t>
            </w:r>
            <w:r w:rsidRPr="001271CE">
              <w:lastRenderedPageBreak/>
              <w:t xml:space="preserve">pentru a asigura o repartizare clară și legală a rolurilor, în conformitate cu ierarhia și procedurile de cooperare interinstituțională stabilite de lege. </w:t>
            </w:r>
          </w:p>
        </w:tc>
        <w:tc>
          <w:tcPr>
            <w:tcW w:w="6300" w:type="dxa"/>
            <w:tcMar>
              <w:top w:w="0" w:type="dxa"/>
              <w:left w:w="108" w:type="dxa"/>
              <w:bottom w:w="0" w:type="dxa"/>
              <w:right w:w="108" w:type="dxa"/>
            </w:tcMar>
          </w:tcPr>
          <w:p w14:paraId="1B5143EC" w14:textId="77777777" w:rsidR="000D22B4" w:rsidRPr="001271CE" w:rsidRDefault="00D409A4" w:rsidP="00C6523E">
            <w:pPr>
              <w:ind w:firstLine="0"/>
            </w:pPr>
            <w:r w:rsidRPr="001271CE">
              <w:lastRenderedPageBreak/>
              <w:t>Se acceptă parțial.</w:t>
            </w:r>
          </w:p>
          <w:p w14:paraId="75CD712C" w14:textId="69635A2F" w:rsidR="00D409A4" w:rsidRPr="001271CE" w:rsidRDefault="00003D48" w:rsidP="00C6523E">
            <w:pPr>
              <w:ind w:firstLine="0"/>
            </w:pPr>
            <w:r w:rsidRPr="001271CE">
              <w:t>Noțiunea „stabilește” a fost înlocuită cu sintagma „</w:t>
            </w:r>
            <w:r w:rsidR="00BA3196" w:rsidRPr="001271CE">
              <w:t>elaborează și propune</w:t>
            </w:r>
            <w:r w:rsidRPr="001271CE">
              <w:t>”</w:t>
            </w:r>
            <w:r w:rsidR="00BA3196" w:rsidRPr="001271CE">
              <w:t>. Totodată,</w:t>
            </w:r>
            <w:r w:rsidRPr="001271CE">
              <w:t xml:space="preserve"> </w:t>
            </w:r>
            <w:r w:rsidR="00BA3196" w:rsidRPr="001271CE">
              <w:t xml:space="preserve">proiectul </w:t>
            </w:r>
            <w:r w:rsidR="00D409A4" w:rsidRPr="001271CE">
              <w:t>nu substituie Regulamentul</w:t>
            </w:r>
            <w:r w:rsidR="00BA3196" w:rsidRPr="001271CE">
              <w:t xml:space="preserve"> de organizare și activitate a</w:t>
            </w:r>
            <w:r w:rsidR="00D409A4" w:rsidRPr="001271CE">
              <w:t xml:space="preserve"> Comitetului</w:t>
            </w:r>
            <w:r w:rsidR="00BA3196" w:rsidRPr="001271CE">
              <w:t xml:space="preserve"> consul</w:t>
            </w:r>
            <w:r w:rsidR="00EE6C2E" w:rsidRPr="001271CE">
              <w:t>tativ</w:t>
            </w:r>
            <w:r w:rsidR="000D2BBB" w:rsidRPr="001271CE">
              <w:t>, care a fost remis ulterior spre avizare</w:t>
            </w:r>
            <w:r w:rsidR="14865C18" w:rsidRPr="001271CE">
              <w:t xml:space="preserve">. </w:t>
            </w:r>
          </w:p>
          <w:p w14:paraId="42E0F700" w14:textId="79215081" w:rsidR="00D409A4" w:rsidRPr="001271CE" w:rsidRDefault="00D409A4" w:rsidP="00C6523E">
            <w:pPr>
              <w:ind w:firstLine="0"/>
            </w:pPr>
          </w:p>
        </w:tc>
      </w:tr>
      <w:tr w:rsidR="00034A00" w:rsidRPr="001271CE" w14:paraId="0D42ADBE" w14:textId="77777777" w:rsidTr="003411E9">
        <w:trPr>
          <w:trHeight w:val="300"/>
        </w:trPr>
        <w:tc>
          <w:tcPr>
            <w:tcW w:w="2166" w:type="dxa"/>
            <w:vMerge/>
            <w:tcMar>
              <w:top w:w="0" w:type="dxa"/>
              <w:left w:w="108" w:type="dxa"/>
              <w:bottom w:w="0" w:type="dxa"/>
              <w:right w:w="108" w:type="dxa"/>
            </w:tcMar>
          </w:tcPr>
          <w:p w14:paraId="48A616D5" w14:textId="77777777" w:rsidR="00034A00" w:rsidRPr="001271CE" w:rsidRDefault="00034A00" w:rsidP="00C6523E">
            <w:pPr>
              <w:ind w:firstLine="0"/>
              <w:jc w:val="left"/>
            </w:pPr>
          </w:p>
        </w:tc>
        <w:tc>
          <w:tcPr>
            <w:tcW w:w="516" w:type="dxa"/>
            <w:tcMar>
              <w:top w:w="0" w:type="dxa"/>
              <w:left w:w="108" w:type="dxa"/>
              <w:bottom w:w="0" w:type="dxa"/>
              <w:right w:w="108" w:type="dxa"/>
            </w:tcMar>
          </w:tcPr>
          <w:p w14:paraId="26C6C9E3" w14:textId="77777777" w:rsidR="00034A00" w:rsidRPr="001271CE" w:rsidRDefault="00034A00" w:rsidP="00C6523E">
            <w:pPr>
              <w:pStyle w:val="ListParagraph"/>
              <w:numPr>
                <w:ilvl w:val="0"/>
                <w:numId w:val="1"/>
              </w:numPr>
              <w:ind w:right="76"/>
              <w:jc w:val="left"/>
            </w:pPr>
          </w:p>
        </w:tc>
        <w:tc>
          <w:tcPr>
            <w:tcW w:w="5706" w:type="dxa"/>
            <w:tcMar>
              <w:top w:w="0" w:type="dxa"/>
              <w:left w:w="108" w:type="dxa"/>
              <w:bottom w:w="0" w:type="dxa"/>
              <w:right w:w="108" w:type="dxa"/>
            </w:tcMar>
          </w:tcPr>
          <w:p w14:paraId="333BE182" w14:textId="4AFC2469" w:rsidR="00034A00" w:rsidRPr="001271CE" w:rsidRDefault="00034A00" w:rsidP="00C6523E">
            <w:pPr>
              <w:ind w:firstLine="0"/>
            </w:pPr>
            <w:r w:rsidRPr="001271CE">
              <w:t xml:space="preserve">De asemenea, propunerile autorului incluse la pct. 5 privind elaborarea strategiilor de țară în conformitate cu prioritățile geografice stabilite prin Program creează inconsecvență în ierarhia documentelor de planificare strategică stabilite de cadrul normativ de referință, potrivit căruia Strategia pe țară este documentul de bază pentru elaborarea Programelor sectoriale. </w:t>
            </w:r>
          </w:p>
        </w:tc>
        <w:tc>
          <w:tcPr>
            <w:tcW w:w="6300" w:type="dxa"/>
            <w:tcMar>
              <w:top w:w="0" w:type="dxa"/>
              <w:left w:w="108" w:type="dxa"/>
              <w:bottom w:w="0" w:type="dxa"/>
              <w:right w:w="108" w:type="dxa"/>
            </w:tcMar>
          </w:tcPr>
          <w:p w14:paraId="10A200BD" w14:textId="709059AD" w:rsidR="00034A00" w:rsidRPr="001271CE" w:rsidRDefault="1837F98E" w:rsidP="00C6523E">
            <w:pPr>
              <w:ind w:firstLine="0"/>
            </w:pPr>
            <w:r w:rsidRPr="001271CE">
              <w:t>Nu se acceptă.</w:t>
            </w:r>
          </w:p>
          <w:p w14:paraId="1B46FC1D" w14:textId="40A58841" w:rsidR="00034A00" w:rsidRPr="001271CE" w:rsidRDefault="00337280" w:rsidP="00C6523E">
            <w:pPr>
              <w:ind w:firstLine="0"/>
            </w:pPr>
            <w:r w:rsidRPr="001271CE">
              <w:t>Strategiile de țară prevăzute de proiect nu reprezintă documente de planificare strategică în sensul cadrului național privind politicile publice și nu se încadrează în ierarhia documentelor strategice guvernamentale. Acestea constituie instrumente operaționale sectoriale, specifice domeniului cooperării internaționale pentru dezvoltare și asistență umanitară, având rolul de a asigura coerența și alinierea finanțărilor cu prioritățile geografice stabilite prin Programul multianual strategic. Instituirea acestui mecanism este determinată inclusiv de lipsa unui cadru de bugetare multianuală și urmărește maximizarea impactului fondurilor alocate anual, fără a afecta arhitectura națională de planificare strategică.</w:t>
            </w:r>
          </w:p>
        </w:tc>
      </w:tr>
      <w:tr w:rsidR="00034A00" w:rsidRPr="001271CE" w14:paraId="2338BECB" w14:textId="77777777" w:rsidTr="003411E9">
        <w:trPr>
          <w:trHeight w:val="300"/>
        </w:trPr>
        <w:tc>
          <w:tcPr>
            <w:tcW w:w="2166" w:type="dxa"/>
            <w:vMerge/>
            <w:tcMar>
              <w:top w:w="0" w:type="dxa"/>
              <w:left w:w="108" w:type="dxa"/>
              <w:bottom w:w="0" w:type="dxa"/>
              <w:right w:w="108" w:type="dxa"/>
            </w:tcMar>
          </w:tcPr>
          <w:p w14:paraId="42C6AF6C" w14:textId="77777777" w:rsidR="00034A00" w:rsidRPr="001271CE" w:rsidRDefault="00034A00" w:rsidP="00C6523E">
            <w:pPr>
              <w:ind w:firstLine="0"/>
              <w:jc w:val="left"/>
            </w:pPr>
          </w:p>
        </w:tc>
        <w:tc>
          <w:tcPr>
            <w:tcW w:w="516" w:type="dxa"/>
            <w:tcMar>
              <w:top w:w="0" w:type="dxa"/>
              <w:left w:w="108" w:type="dxa"/>
              <w:bottom w:w="0" w:type="dxa"/>
              <w:right w:w="108" w:type="dxa"/>
            </w:tcMar>
          </w:tcPr>
          <w:p w14:paraId="5B448FC9" w14:textId="77777777" w:rsidR="00034A00" w:rsidRPr="001271CE" w:rsidRDefault="00034A00" w:rsidP="00C6523E">
            <w:pPr>
              <w:pStyle w:val="ListParagraph"/>
              <w:numPr>
                <w:ilvl w:val="0"/>
                <w:numId w:val="1"/>
              </w:numPr>
              <w:ind w:right="76"/>
              <w:jc w:val="left"/>
            </w:pPr>
          </w:p>
        </w:tc>
        <w:tc>
          <w:tcPr>
            <w:tcW w:w="5706" w:type="dxa"/>
            <w:tcMar>
              <w:top w:w="0" w:type="dxa"/>
              <w:left w:w="108" w:type="dxa"/>
              <w:bottom w:w="0" w:type="dxa"/>
              <w:right w:w="108" w:type="dxa"/>
            </w:tcMar>
          </w:tcPr>
          <w:p w14:paraId="704CEBC8" w14:textId="460DAC75" w:rsidR="00034A00" w:rsidRPr="001271CE" w:rsidRDefault="00034A00" w:rsidP="00C6523E">
            <w:pPr>
              <w:ind w:firstLine="0"/>
            </w:pPr>
            <w:r w:rsidRPr="001271CE">
              <w:t>Obiecție valabilă și pentru pct. 8 din proiect.</w:t>
            </w:r>
          </w:p>
        </w:tc>
        <w:tc>
          <w:tcPr>
            <w:tcW w:w="6300" w:type="dxa"/>
            <w:tcMar>
              <w:top w:w="0" w:type="dxa"/>
              <w:left w:w="108" w:type="dxa"/>
              <w:bottom w:w="0" w:type="dxa"/>
              <w:right w:w="108" w:type="dxa"/>
            </w:tcMar>
          </w:tcPr>
          <w:p w14:paraId="5F7936F1" w14:textId="09463223" w:rsidR="00034A00" w:rsidRPr="001271CE" w:rsidRDefault="58434BC8" w:rsidP="00C6523E">
            <w:pPr>
              <w:ind w:firstLine="0"/>
            </w:pPr>
            <w:r w:rsidRPr="001271CE">
              <w:t>Nu se acceptă.</w:t>
            </w:r>
          </w:p>
          <w:p w14:paraId="51FE48B9" w14:textId="18092EB9" w:rsidR="00034A00" w:rsidRPr="001271CE" w:rsidRDefault="58434BC8" w:rsidP="00C6523E">
            <w:pPr>
              <w:ind w:firstLine="0"/>
            </w:pPr>
            <w:r w:rsidRPr="001271CE">
              <w:t>A se vedea p. 14.</w:t>
            </w:r>
          </w:p>
        </w:tc>
      </w:tr>
      <w:tr w:rsidR="000D22B4" w:rsidRPr="001271CE" w14:paraId="5DBC45E0" w14:textId="77777777" w:rsidTr="003411E9">
        <w:trPr>
          <w:trHeight w:val="300"/>
        </w:trPr>
        <w:tc>
          <w:tcPr>
            <w:tcW w:w="2166" w:type="dxa"/>
            <w:vMerge/>
            <w:tcMar>
              <w:top w:w="0" w:type="dxa"/>
              <w:left w:w="108" w:type="dxa"/>
              <w:bottom w:w="0" w:type="dxa"/>
              <w:right w:w="108" w:type="dxa"/>
            </w:tcMar>
          </w:tcPr>
          <w:p w14:paraId="037F5FC2" w14:textId="77777777" w:rsidR="000D22B4" w:rsidRPr="001271CE" w:rsidRDefault="000D22B4" w:rsidP="00C6523E">
            <w:pPr>
              <w:ind w:firstLine="0"/>
              <w:jc w:val="left"/>
            </w:pPr>
          </w:p>
        </w:tc>
        <w:tc>
          <w:tcPr>
            <w:tcW w:w="516" w:type="dxa"/>
            <w:tcMar>
              <w:top w:w="0" w:type="dxa"/>
              <w:left w:w="108" w:type="dxa"/>
              <w:bottom w:w="0" w:type="dxa"/>
              <w:right w:w="108" w:type="dxa"/>
            </w:tcMar>
          </w:tcPr>
          <w:p w14:paraId="4889364C"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52F4CA84" w14:textId="33D5982E" w:rsidR="000D22B4" w:rsidRPr="001271CE" w:rsidRDefault="000D22B4" w:rsidP="00C6523E">
            <w:pPr>
              <w:ind w:firstLine="0"/>
            </w:pPr>
            <w:r w:rsidRPr="001271CE">
              <w:t>La pct. 9: pentru a asigura precizia și lipsa de ambiguitate a dispozițiilor normative, propunem excluderea cuvântului „respectiv ”și înlocuirea lui cu „sau”, sau „fie..., fie...”, întrucât legea stabilește că cele două modalități de implementare sunt căi alternative și aplicabile în funcție de context.</w:t>
            </w:r>
          </w:p>
        </w:tc>
        <w:tc>
          <w:tcPr>
            <w:tcW w:w="6300" w:type="dxa"/>
            <w:tcMar>
              <w:top w:w="0" w:type="dxa"/>
              <w:left w:w="108" w:type="dxa"/>
              <w:bottom w:w="0" w:type="dxa"/>
              <w:right w:w="108" w:type="dxa"/>
            </w:tcMar>
          </w:tcPr>
          <w:p w14:paraId="25B8A9D9" w14:textId="77777777" w:rsidR="000D22B4" w:rsidRPr="001271CE" w:rsidRDefault="00CC1DE7" w:rsidP="00C6523E">
            <w:pPr>
              <w:ind w:firstLine="0"/>
            </w:pPr>
            <w:r w:rsidRPr="001271CE">
              <w:t>Nu se acceptă.</w:t>
            </w:r>
          </w:p>
          <w:p w14:paraId="1409F9AE" w14:textId="017AE11B" w:rsidR="00CC1DE7" w:rsidRPr="001271CE" w:rsidRDefault="00CC1DE7" w:rsidP="00C6523E">
            <w:pPr>
              <w:ind w:firstLine="0"/>
            </w:pPr>
            <w:r w:rsidRPr="001271CE">
              <w:t xml:space="preserve">Redacția actuală </w:t>
            </w:r>
            <w:r w:rsidR="000A2AA8" w:rsidRPr="001271CE">
              <w:t>urmărește redacția Legii 149/2025.</w:t>
            </w:r>
          </w:p>
        </w:tc>
      </w:tr>
      <w:tr w:rsidR="000D22B4" w:rsidRPr="001271CE" w14:paraId="13DA03C3" w14:textId="77777777" w:rsidTr="003411E9">
        <w:trPr>
          <w:trHeight w:val="300"/>
        </w:trPr>
        <w:tc>
          <w:tcPr>
            <w:tcW w:w="2166" w:type="dxa"/>
            <w:vMerge/>
            <w:tcMar>
              <w:top w:w="0" w:type="dxa"/>
              <w:left w:w="108" w:type="dxa"/>
              <w:bottom w:w="0" w:type="dxa"/>
              <w:right w:w="108" w:type="dxa"/>
            </w:tcMar>
          </w:tcPr>
          <w:p w14:paraId="3E087696" w14:textId="77777777" w:rsidR="000D22B4" w:rsidRPr="001271CE" w:rsidRDefault="000D22B4" w:rsidP="00C6523E">
            <w:pPr>
              <w:ind w:firstLine="0"/>
              <w:jc w:val="left"/>
            </w:pPr>
          </w:p>
        </w:tc>
        <w:tc>
          <w:tcPr>
            <w:tcW w:w="516" w:type="dxa"/>
            <w:tcMar>
              <w:top w:w="0" w:type="dxa"/>
              <w:left w:w="108" w:type="dxa"/>
              <w:bottom w:w="0" w:type="dxa"/>
              <w:right w:w="108" w:type="dxa"/>
            </w:tcMar>
          </w:tcPr>
          <w:p w14:paraId="65BA3FD1"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352F2146" w14:textId="76C95068" w:rsidR="000D22B4" w:rsidRPr="001271CE" w:rsidRDefault="000D22B4" w:rsidP="00C6523E">
            <w:pPr>
              <w:ind w:firstLine="0"/>
            </w:pPr>
            <w:r w:rsidRPr="001271CE">
              <w:t>La Secțiunea I, Capitolul III: autorul utilizează noțiune de ”instituții publice” în diverse contexte (vezi pct. 12, 14.1, 14.2, 15). Având în vedere caracterul neuniform al statutului juridic al instituțiilor publice în diferite sisteme administrative, inclusiv lipsa personalității juridice a acestora în unele țări potențiale beneficiare, nu este clară rațiunea pentru care autorul proiectului limitează posibilitatea participării la implementarea directă a activităților finanțate în domeniul cooperării internaționale pentru dezvoltare și asistență umanitară exclusiv la această formă organizatorico-juridică, fără a include și alte entități cu capital public majoritar (SA, IS, SRL) sau alte persoane juridice de drept public.</w:t>
            </w:r>
          </w:p>
        </w:tc>
        <w:tc>
          <w:tcPr>
            <w:tcW w:w="6300" w:type="dxa"/>
            <w:tcMar>
              <w:top w:w="0" w:type="dxa"/>
              <w:left w:w="108" w:type="dxa"/>
              <w:bottom w:w="0" w:type="dxa"/>
              <w:right w:w="108" w:type="dxa"/>
            </w:tcMar>
          </w:tcPr>
          <w:p w14:paraId="169CD495" w14:textId="77777777" w:rsidR="000D22B4" w:rsidRPr="001271CE" w:rsidRDefault="00A2598F" w:rsidP="00C6523E">
            <w:pPr>
              <w:ind w:firstLine="0"/>
            </w:pPr>
            <w:r w:rsidRPr="001271CE">
              <w:t>Se acceptă.</w:t>
            </w:r>
          </w:p>
          <w:p w14:paraId="6C1C46EE" w14:textId="1A34FF12" w:rsidR="00A2598F" w:rsidRPr="001271CE" w:rsidRDefault="00A2598F" w:rsidP="00C6523E">
            <w:pPr>
              <w:ind w:firstLine="0"/>
            </w:pPr>
            <w:r w:rsidRPr="001271CE">
              <w:t>În proiect a fost inclusă noțiunea de „instituție publică”.</w:t>
            </w:r>
          </w:p>
        </w:tc>
      </w:tr>
      <w:tr w:rsidR="00781D69" w:rsidRPr="001271CE" w14:paraId="65D5CACB" w14:textId="77777777" w:rsidTr="003411E9">
        <w:trPr>
          <w:trHeight w:val="300"/>
        </w:trPr>
        <w:tc>
          <w:tcPr>
            <w:tcW w:w="2166" w:type="dxa"/>
            <w:vMerge/>
            <w:tcMar>
              <w:top w:w="0" w:type="dxa"/>
              <w:left w:w="108" w:type="dxa"/>
              <w:bottom w:w="0" w:type="dxa"/>
              <w:right w:w="108" w:type="dxa"/>
            </w:tcMar>
          </w:tcPr>
          <w:p w14:paraId="007FFD88" w14:textId="77777777" w:rsidR="00781D69" w:rsidRPr="001271CE" w:rsidRDefault="00781D69" w:rsidP="00C6523E">
            <w:pPr>
              <w:ind w:firstLine="0"/>
              <w:jc w:val="left"/>
            </w:pPr>
          </w:p>
        </w:tc>
        <w:tc>
          <w:tcPr>
            <w:tcW w:w="516" w:type="dxa"/>
            <w:tcMar>
              <w:top w:w="0" w:type="dxa"/>
              <w:left w:w="108" w:type="dxa"/>
              <w:bottom w:w="0" w:type="dxa"/>
              <w:right w:w="108" w:type="dxa"/>
            </w:tcMar>
          </w:tcPr>
          <w:p w14:paraId="492DFCFC" w14:textId="77777777" w:rsidR="00781D69" w:rsidRPr="001271CE" w:rsidRDefault="00781D69" w:rsidP="00C6523E">
            <w:pPr>
              <w:pStyle w:val="ListParagraph"/>
              <w:numPr>
                <w:ilvl w:val="0"/>
                <w:numId w:val="1"/>
              </w:numPr>
              <w:ind w:right="76"/>
              <w:jc w:val="left"/>
            </w:pPr>
          </w:p>
        </w:tc>
        <w:tc>
          <w:tcPr>
            <w:tcW w:w="5706" w:type="dxa"/>
            <w:tcMar>
              <w:top w:w="0" w:type="dxa"/>
              <w:left w:w="108" w:type="dxa"/>
              <w:bottom w:w="0" w:type="dxa"/>
              <w:right w:w="108" w:type="dxa"/>
            </w:tcMar>
          </w:tcPr>
          <w:p w14:paraId="044F1A55" w14:textId="59721390" w:rsidR="00781D69" w:rsidRPr="001271CE" w:rsidRDefault="00781D69" w:rsidP="00C6523E">
            <w:pPr>
              <w:ind w:firstLine="0"/>
            </w:pPr>
            <w:r w:rsidRPr="001271CE">
              <w:t>La pct. 41: în vederea asigurării respectării principiilor transparenței și predictibilității procesului decizional, se consideră oportun completarea normei cu prevederi exhaustive referitoare la natura clarificărilor suplimentare și la procedura de modificare a unui apel competitiv, inclusiv prin stabilirea unei marje maximale admise de ajustare a cerințelor inițiale.</w:t>
            </w:r>
          </w:p>
        </w:tc>
        <w:tc>
          <w:tcPr>
            <w:tcW w:w="6300" w:type="dxa"/>
            <w:tcMar>
              <w:top w:w="0" w:type="dxa"/>
              <w:left w:w="108" w:type="dxa"/>
              <w:bottom w:w="0" w:type="dxa"/>
              <w:right w:w="108" w:type="dxa"/>
            </w:tcMar>
          </w:tcPr>
          <w:p w14:paraId="2BD172C7" w14:textId="77777777" w:rsidR="00781D69" w:rsidRPr="001271CE" w:rsidRDefault="009C4D95" w:rsidP="00C6523E">
            <w:pPr>
              <w:ind w:firstLine="0"/>
            </w:pPr>
            <w:r w:rsidRPr="001271CE">
              <w:t>Se acceptă parțial.</w:t>
            </w:r>
          </w:p>
          <w:p w14:paraId="69B1D218" w14:textId="3FFE60F0" w:rsidR="009C4D95" w:rsidRPr="001271CE" w:rsidRDefault="009C4D95" w:rsidP="00C6523E">
            <w:pPr>
              <w:ind w:firstLine="0"/>
            </w:pPr>
            <w:r w:rsidRPr="001271CE">
              <w:t>Norma a fost reformulată pentru a limita posibilitatea de modificare a apelului competitiv la situații ce vizează exclusiv clarificarea sau precizarea condițiilor acestuia și pentru a introduce obligația publicării modificărilor în aceleași condiții ca apelul inițial, asigurând astfel un nivel adecvat de transparență fără a supra-reglementa procedura la nivel de regulament.</w:t>
            </w:r>
          </w:p>
        </w:tc>
      </w:tr>
      <w:tr w:rsidR="000D22B4" w:rsidRPr="001271CE" w14:paraId="6545108C" w14:textId="77777777" w:rsidTr="003411E9">
        <w:trPr>
          <w:trHeight w:val="300"/>
        </w:trPr>
        <w:tc>
          <w:tcPr>
            <w:tcW w:w="2166" w:type="dxa"/>
            <w:vMerge/>
            <w:tcMar>
              <w:top w:w="0" w:type="dxa"/>
              <w:left w:w="108" w:type="dxa"/>
              <w:bottom w:w="0" w:type="dxa"/>
              <w:right w:w="108" w:type="dxa"/>
            </w:tcMar>
          </w:tcPr>
          <w:p w14:paraId="31B04983" w14:textId="77777777" w:rsidR="000D22B4" w:rsidRPr="001271CE" w:rsidRDefault="000D22B4" w:rsidP="00C6523E">
            <w:pPr>
              <w:ind w:firstLine="0"/>
              <w:jc w:val="left"/>
            </w:pPr>
          </w:p>
        </w:tc>
        <w:tc>
          <w:tcPr>
            <w:tcW w:w="516" w:type="dxa"/>
            <w:tcMar>
              <w:top w:w="0" w:type="dxa"/>
              <w:left w:w="108" w:type="dxa"/>
              <w:bottom w:w="0" w:type="dxa"/>
              <w:right w:w="108" w:type="dxa"/>
            </w:tcMar>
          </w:tcPr>
          <w:p w14:paraId="5300F5A3"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66DC6041" w14:textId="669C4070" w:rsidR="000D22B4" w:rsidRPr="001271CE" w:rsidRDefault="00781D69" w:rsidP="00C6523E">
            <w:pPr>
              <w:ind w:firstLine="0"/>
            </w:pPr>
            <w:r w:rsidRPr="001271CE">
              <w:t xml:space="preserve">Pe întreg parcursul proiectului, în situațiile în care se face referință la metodologia și grila de evaluare, termenii de referință, regulamentele comisiei de selecție și ale comisiei de contestare, precum și manualul </w:t>
            </w:r>
            <w:r w:rsidRPr="001271CE">
              <w:lastRenderedPageBreak/>
              <w:t>de proceduri al mecanismului de realizare a activităților în domeniul cooperării internaționale pentru dezvoltare și al asistenței umanitare, ș.a. (pct. 17, 30, 38,45, 61, 66, 103, ș.a</w:t>
            </w:r>
            <w:r w:rsidR="00A6262B" w:rsidRPr="001271CE">
              <w:t>.</w:t>
            </w:r>
            <w:r w:rsidRPr="001271CE">
              <w:t>), documente ce urmează a fi aprobate prin ordin al Ministerului Afacerilor Externe, se apreciază ca fiind justificată menținerea competenței de aprobare la nivelul Guvernului. Această obiecție este formulată în vederea respectării principiului predictibilității și al statului de drept, precum și pentru a preveni adoptarea unor decizii cu caracter arbitrar și a evita riscul ca cadrul normativ al cooperării internaționale să devină instabil sau imprevizibil.</w:t>
            </w:r>
          </w:p>
        </w:tc>
        <w:tc>
          <w:tcPr>
            <w:tcW w:w="6300" w:type="dxa"/>
            <w:tcMar>
              <w:top w:w="0" w:type="dxa"/>
              <w:left w:w="108" w:type="dxa"/>
              <w:bottom w:w="0" w:type="dxa"/>
              <w:right w:w="108" w:type="dxa"/>
            </w:tcMar>
          </w:tcPr>
          <w:p w14:paraId="31BFDBBB" w14:textId="59DDD3D6" w:rsidR="00BF6754" w:rsidRPr="001271CE" w:rsidRDefault="00BF6754" w:rsidP="00C6523E">
            <w:pPr>
              <w:ind w:firstLine="0"/>
            </w:pPr>
            <w:r w:rsidRPr="001271CE">
              <w:lastRenderedPageBreak/>
              <w:t>Nu se acceptă</w:t>
            </w:r>
            <w:r w:rsidR="002A3C98" w:rsidRPr="001271CE">
              <w:t>.</w:t>
            </w:r>
          </w:p>
          <w:p w14:paraId="2F6588FD" w14:textId="2E14A0BE" w:rsidR="000D22B4" w:rsidRPr="001271CE" w:rsidRDefault="002A3C98" w:rsidP="00C6523E">
            <w:pPr>
              <w:ind w:firstLine="0"/>
            </w:pPr>
            <w:r w:rsidRPr="001271CE">
              <w:t>D</w:t>
            </w:r>
            <w:r w:rsidR="00BF6754" w:rsidRPr="001271CE">
              <w:t xml:space="preserve">ocumentele vizate (metodologia și grila de evaluare, termenii de referință, regulamentele comisiilor, manualul de proceduri etc.) au un caracter </w:t>
            </w:r>
            <w:r w:rsidR="00BF6754" w:rsidRPr="001271CE">
              <w:lastRenderedPageBreak/>
              <w:t>eminamente tehnic și operațional și nu constituie norme de drept material sau proceduri administrative cu aplicabilitate generală. Stabilirea acestora prin ordin al ministrului permite flexibilitate și adaptare la specificul fiecărui instrument, evitând rigidizarea excesivă a cadrului normativ. Aprobarea acestora prin hotărâre de Guvern ar conduce la supra</w:t>
            </w:r>
            <w:r w:rsidRPr="001271CE">
              <w:t>-</w:t>
            </w:r>
            <w:r w:rsidR="00BF6754" w:rsidRPr="001271CE">
              <w:t>reglementare și ar genera dificultăți practice, întrucât orice ajustare tehnică minoră ar impune modificarea actului normativ de rang superior, afectând eficiența și funcționalitatea mecanismului.</w:t>
            </w:r>
          </w:p>
        </w:tc>
      </w:tr>
      <w:tr w:rsidR="000D22B4" w:rsidRPr="001271CE" w14:paraId="562614DF" w14:textId="77777777" w:rsidTr="003411E9">
        <w:trPr>
          <w:trHeight w:val="300"/>
        </w:trPr>
        <w:tc>
          <w:tcPr>
            <w:tcW w:w="2166" w:type="dxa"/>
            <w:vMerge/>
            <w:tcMar>
              <w:top w:w="0" w:type="dxa"/>
              <w:left w:w="108" w:type="dxa"/>
              <w:bottom w:w="0" w:type="dxa"/>
              <w:right w:w="108" w:type="dxa"/>
            </w:tcMar>
          </w:tcPr>
          <w:p w14:paraId="67142C31" w14:textId="77777777" w:rsidR="000D22B4" w:rsidRPr="001271CE" w:rsidRDefault="000D22B4" w:rsidP="00C6523E">
            <w:pPr>
              <w:ind w:firstLine="0"/>
              <w:jc w:val="left"/>
            </w:pPr>
          </w:p>
        </w:tc>
        <w:tc>
          <w:tcPr>
            <w:tcW w:w="516" w:type="dxa"/>
            <w:tcMar>
              <w:top w:w="0" w:type="dxa"/>
              <w:left w:w="108" w:type="dxa"/>
              <w:bottom w:w="0" w:type="dxa"/>
              <w:right w:w="108" w:type="dxa"/>
            </w:tcMar>
          </w:tcPr>
          <w:p w14:paraId="0BF02F84"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185B9B05" w14:textId="4B2508C4" w:rsidR="000D22B4" w:rsidRPr="001271CE" w:rsidRDefault="00781D69" w:rsidP="00C6523E">
            <w:pPr>
              <w:ind w:firstLine="0"/>
            </w:pPr>
            <w:r w:rsidRPr="001271CE">
              <w:t>De asemenea, aceste prevederi nu respectă prevederile art. 4 alin. (1) lit. b) din Legea nr. 98/2012 privind administrația publică centrală de specialitate, care stipulează că, ”administrația publică centrală de specialitate își desfășoară activitatea respectând principiul de delimitare a funcțiilor de elaborare şi de promovare a politicilor de funcțiile de implementare a acestora”, în coraport cu prevederile Legii nr.149/2025 care prevede că ministerul are rolul de elaborare, coordonare, promovare a politicilor în domeniul de referința, iar proiectul regulamentului supus avizări stabilește că acțiunile de implementare a politicii menționate se atribuie subdiviziunii interne responsabilă de cooperarea internațională pentru dezvoltare și asistență umanitară din cadrul aceluiași minister.</w:t>
            </w:r>
          </w:p>
        </w:tc>
        <w:tc>
          <w:tcPr>
            <w:tcW w:w="6300" w:type="dxa"/>
            <w:tcMar>
              <w:top w:w="0" w:type="dxa"/>
              <w:left w:w="108" w:type="dxa"/>
              <w:bottom w:w="0" w:type="dxa"/>
              <w:right w:w="108" w:type="dxa"/>
            </w:tcMar>
          </w:tcPr>
          <w:p w14:paraId="7FB69F3E" w14:textId="77777777" w:rsidR="000D22B4" w:rsidRPr="001271CE" w:rsidRDefault="00C2676F" w:rsidP="00C6523E">
            <w:pPr>
              <w:ind w:firstLine="0"/>
            </w:pPr>
            <w:r w:rsidRPr="001271CE">
              <w:t>Nu se acceptă.</w:t>
            </w:r>
          </w:p>
          <w:p w14:paraId="0D56CDE9" w14:textId="4E9B3A3B" w:rsidR="00C2676F" w:rsidRPr="001271CE" w:rsidRDefault="00C2676F" w:rsidP="00C6523E">
            <w:pPr>
              <w:ind w:firstLine="0"/>
            </w:pPr>
            <w:r w:rsidRPr="001271CE">
              <w:t>Prevederile proiectului nu contravin art. 4 alin. (1) lit. b) din Legea nr. 98/2012, întrucât delimitarea dintre funcția de elaborare a politicii și cea de implementare este realizată la nivel funcțional, prin atribuirea implementării unei subdiviziuni specializate distincte în cadrul Ministerului. Legea nu impune separarea instituțională a acestor funcții, iar soluția propusă corespunde practicii administrative curente și modelelor europene în domeniul cooperării pentru dezvoltare.</w:t>
            </w:r>
          </w:p>
        </w:tc>
      </w:tr>
      <w:tr w:rsidR="000D22B4" w:rsidRPr="001271CE" w14:paraId="5E3D556A" w14:textId="77777777" w:rsidTr="003411E9">
        <w:trPr>
          <w:trHeight w:val="300"/>
        </w:trPr>
        <w:tc>
          <w:tcPr>
            <w:tcW w:w="2166" w:type="dxa"/>
            <w:vMerge w:val="restart"/>
            <w:tcBorders>
              <w:top w:val="nil"/>
            </w:tcBorders>
            <w:tcMar>
              <w:top w:w="0" w:type="dxa"/>
              <w:left w:w="108" w:type="dxa"/>
              <w:bottom w:w="0" w:type="dxa"/>
              <w:right w:w="108" w:type="dxa"/>
            </w:tcMar>
          </w:tcPr>
          <w:p w14:paraId="2E792854" w14:textId="77777777" w:rsidR="000D22B4" w:rsidRPr="001271CE" w:rsidRDefault="000D22B4" w:rsidP="00C6523E">
            <w:pPr>
              <w:ind w:firstLine="0"/>
              <w:jc w:val="left"/>
            </w:pPr>
            <w:r w:rsidRPr="001271CE">
              <w:t>Centrul de Armonizare a Legislației</w:t>
            </w:r>
          </w:p>
          <w:p w14:paraId="3C6A1A19" w14:textId="15F37BAD" w:rsidR="000D22B4" w:rsidRPr="001271CE" w:rsidRDefault="000D22B4" w:rsidP="00C6523E">
            <w:pPr>
              <w:ind w:firstLine="0"/>
              <w:jc w:val="left"/>
              <w:rPr>
                <w:i/>
                <w:iCs/>
              </w:rPr>
            </w:pPr>
            <w:r w:rsidRPr="001271CE">
              <w:rPr>
                <w:i/>
                <w:iCs/>
              </w:rPr>
              <w:t>Nr. 31/02-69-12168 din 1 decembrie 2025</w:t>
            </w:r>
          </w:p>
        </w:tc>
        <w:tc>
          <w:tcPr>
            <w:tcW w:w="516" w:type="dxa"/>
            <w:tcMar>
              <w:top w:w="0" w:type="dxa"/>
              <w:left w:w="108" w:type="dxa"/>
              <w:bottom w:w="0" w:type="dxa"/>
              <w:right w:w="108" w:type="dxa"/>
            </w:tcMar>
          </w:tcPr>
          <w:p w14:paraId="4D780048"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16BD94DC" w14:textId="77777777" w:rsidR="00580E99" w:rsidRPr="001271CE" w:rsidRDefault="000D22B4" w:rsidP="00C6523E">
            <w:pPr>
              <w:ind w:firstLine="0"/>
            </w:pPr>
            <w:r w:rsidRPr="001271CE">
              <w:t xml:space="preserve">Din punct de vedere al dreptului UE, prin prisma obiectului de reglementare, prezentul demers normativ se circumscrie reglementărilor statuate la nivelul UE, subsumate Capitolului 30 „Relații externe”. </w:t>
            </w:r>
          </w:p>
          <w:p w14:paraId="007A1EFD" w14:textId="77777777" w:rsidR="00580E99" w:rsidRPr="001271CE" w:rsidRDefault="000D22B4" w:rsidP="00C6523E">
            <w:pPr>
              <w:ind w:firstLine="0"/>
            </w:pPr>
            <w:r w:rsidRPr="001271CE">
              <w:t>Proiectul de hotărâre este elaborat în temeiul art. 20 din Legea nr. 149/2025 cu privire la cooperarea internațională pentru dezvoltare și asistență umanitară și are ca scop principal crearea cadrului de reglementare necesar pentru implementarea politicii naționale de cooperare internațională pentru dezvoltare și asistență umanitară în concordanță cu bunele practici și standardele Uniunii Europene și ale Organizației pentru Cooperare și Dezvoltare Economică (OCDE).</w:t>
            </w:r>
          </w:p>
          <w:p w14:paraId="359771DD" w14:textId="77777777" w:rsidR="00580E99" w:rsidRPr="001271CE" w:rsidRDefault="000D22B4" w:rsidP="00C6523E">
            <w:pPr>
              <w:ind w:firstLine="0"/>
            </w:pPr>
            <w:r w:rsidRPr="001271CE">
              <w:t xml:space="preserve">Acest proiect este conceput în vederea realizării acțiunii nr. 2, Capitolul 30 „Relații externe”, Clusterul 6 din Programul Național de Aderare a Republicii Moldova la Uniunea Europeană pentru anii 2025–2029, aprobat prin HG nr. 306/2025. </w:t>
            </w:r>
          </w:p>
          <w:p w14:paraId="7F8D46EC" w14:textId="14312908" w:rsidR="00580E99" w:rsidRPr="001271CE" w:rsidRDefault="000D22B4" w:rsidP="00C6523E">
            <w:pPr>
              <w:ind w:firstLine="0"/>
            </w:pPr>
            <w:r w:rsidRPr="001271CE">
              <w:t xml:space="preserve">Regulamentul este elaborat în conformitate cu recomandările formulate în Rapoartele de extindere ale Comisiei Europene pentru Republica Moldova privind Capitolul 30 „Relații externe”, care subliniază că, deși în anul 2025 a fost aprobată Legea nr. 149/2025 </w:t>
            </w:r>
            <w:r w:rsidRPr="001271CE">
              <w:lastRenderedPageBreak/>
              <w:t xml:space="preserve">cu privire la cooperarea internațională pentru dezvoltare și asistență umanitară, Republica Moldova trebuie să continue procesul de consolidare a capacității unui nou departament pentru cooperarea în domeniul dezvoltării în cadrul Ministerului Afacerilor Externe și să avanseze în elaborarea unui cadru juridic coerent privind cooperarea internațională, dezvoltarea și ajutorul umanitar acordat țărilor non-UE în conformitate cu politicile și principiile Uniunii Europene. </w:t>
            </w:r>
          </w:p>
          <w:p w14:paraId="7905F832" w14:textId="77777777" w:rsidR="00F44A07" w:rsidRPr="001271CE" w:rsidRDefault="000D22B4" w:rsidP="00C6523E">
            <w:pPr>
              <w:ind w:firstLine="0"/>
            </w:pPr>
            <w:r w:rsidRPr="001271CE">
              <w:t xml:space="preserve">Ca urmare a evaluării proiectului prin prisma actelor internaționale și europene în domeniul cooperării pentru dezvoltare și ajutor umanitar, constatăm că, cadrul normativ național reflectă atât acquis-ul UE în materie de ajutor umanitar (Regulamentul (CE) nr. 1257/96 al Consiliului din 20 iunie 1996 privind ajutorul umanitar), cât și politicile europene de dezvoltare, pregătind astfel integrarea Republicii Moldova la mecanismele financiare și instituționale ale Uniunii. </w:t>
            </w:r>
          </w:p>
          <w:p w14:paraId="2525490F" w14:textId="77777777" w:rsidR="00CB2679" w:rsidRPr="001271CE" w:rsidRDefault="000D22B4" w:rsidP="00C6523E">
            <w:pPr>
              <w:ind w:firstLine="0"/>
            </w:pPr>
            <w:r w:rsidRPr="001271CE">
              <w:t>Menționăm că, Regulamentul (CE) nr. 1257/96 este un act UE, care stabilește principalele obiective, principii și proceduri de implementare a operațiunilor UE de ajutor umanitar. În context, menționăm că, deși, statele membre, aplică direct prevederile acestuia, acestea completează implementarea prevederilor actului UE menționat prin legi, regulamente și acte administrative naționale.</w:t>
            </w:r>
          </w:p>
          <w:p w14:paraId="12E0B130" w14:textId="22707CB9" w:rsidR="000D22B4" w:rsidRPr="001271CE" w:rsidRDefault="000D22B4" w:rsidP="00C6523E">
            <w:pPr>
              <w:ind w:firstLine="0"/>
            </w:pPr>
            <w:r w:rsidRPr="001271CE">
              <w:t xml:space="preserve">Evidențiem că, Moldova a preluat modelul României în materie de cooperare internațională pentru dezvoltare și asistență umanitară, un cadru legislativ care integrează atât dimensiunea dezvoltării, cât și cea umanitară într-o singură lege. Acest model este apropiat de soluțiile adoptate de alte state membre precum, Italia, Spania, Franța și Germania. </w:t>
            </w:r>
          </w:p>
          <w:p w14:paraId="0FAFA3C6" w14:textId="7FECA01C" w:rsidR="000D22B4" w:rsidRPr="001271CE" w:rsidRDefault="000D22B4" w:rsidP="00C6523E">
            <w:pPr>
              <w:ind w:firstLine="0"/>
            </w:pPr>
            <w:r w:rsidRPr="001271CE">
              <w:t xml:space="preserve">Astfel, ca urmare a examinării proiectului național prin prisma Regulamentului (CE) nr. 1257/96 și a cadrului normativ european în materie de cooperare pentru dezvoltare și ajutor umanitar, constatăm că măsurile normative propuse prin proiectul de hotărâre sunt pe deplin justificate prin: necesitatea alinierii cadrului normativ național la principiile și standardele Uniunii Europene în materie de cooperare pentru dezvoltare și ajutor umanitar; crearea unui mecanism instituțional compatibil cu cel european; armonizarea procedurilor de finanțare (granturi, contribuții voluntare, sprijin bugetar) cu mecanismele prevăzute de practicile internaționale și europene; integrarea obiectivelor de dezvoltare durabilă și a principiilor de transparență, sustenabilitate și evaluare; pregătirea Republicii Moldova pentru interoperabilitatea cu mecanismele financiare și </w:t>
            </w:r>
            <w:r w:rsidRPr="001271CE">
              <w:lastRenderedPageBreak/>
              <w:t>instituționale ale Uniunii Europene, în contextul statutului de stat candidat la aderare.</w:t>
            </w:r>
          </w:p>
        </w:tc>
        <w:tc>
          <w:tcPr>
            <w:tcW w:w="6300" w:type="dxa"/>
            <w:tcMar>
              <w:top w:w="0" w:type="dxa"/>
              <w:left w:w="108" w:type="dxa"/>
              <w:bottom w:w="0" w:type="dxa"/>
              <w:right w:w="108" w:type="dxa"/>
            </w:tcMar>
          </w:tcPr>
          <w:p w14:paraId="602A9FB2" w14:textId="3759EE6A" w:rsidR="000D22B4" w:rsidRPr="001271CE" w:rsidRDefault="00FA1E7C" w:rsidP="00C6523E">
            <w:pPr>
              <w:ind w:firstLine="0"/>
            </w:pPr>
            <w:r w:rsidRPr="001271CE">
              <w:lastRenderedPageBreak/>
              <w:t>Se acceptă.</w:t>
            </w:r>
          </w:p>
        </w:tc>
      </w:tr>
      <w:tr w:rsidR="000D22B4" w:rsidRPr="001271CE" w14:paraId="460CEF58" w14:textId="77777777" w:rsidTr="003411E9">
        <w:trPr>
          <w:trHeight w:val="300"/>
        </w:trPr>
        <w:tc>
          <w:tcPr>
            <w:tcW w:w="2166" w:type="dxa"/>
            <w:vMerge/>
            <w:tcMar>
              <w:top w:w="0" w:type="dxa"/>
              <w:left w:w="108" w:type="dxa"/>
              <w:bottom w:w="0" w:type="dxa"/>
              <w:right w:w="108" w:type="dxa"/>
            </w:tcMar>
          </w:tcPr>
          <w:p w14:paraId="0227C000" w14:textId="77777777" w:rsidR="000D22B4" w:rsidRPr="001271CE" w:rsidRDefault="000D22B4" w:rsidP="00C6523E">
            <w:pPr>
              <w:ind w:firstLine="0"/>
              <w:jc w:val="left"/>
            </w:pPr>
          </w:p>
        </w:tc>
        <w:tc>
          <w:tcPr>
            <w:tcW w:w="516" w:type="dxa"/>
            <w:tcMar>
              <w:top w:w="0" w:type="dxa"/>
              <w:left w:w="108" w:type="dxa"/>
              <w:bottom w:w="0" w:type="dxa"/>
              <w:right w:w="108" w:type="dxa"/>
            </w:tcMar>
          </w:tcPr>
          <w:p w14:paraId="49FD5F8B" w14:textId="77777777" w:rsidR="000D22B4" w:rsidRPr="001271CE" w:rsidRDefault="000D22B4" w:rsidP="00C6523E">
            <w:pPr>
              <w:pStyle w:val="ListParagraph"/>
              <w:numPr>
                <w:ilvl w:val="0"/>
                <w:numId w:val="1"/>
              </w:numPr>
              <w:ind w:right="76"/>
              <w:jc w:val="left"/>
            </w:pPr>
          </w:p>
        </w:tc>
        <w:tc>
          <w:tcPr>
            <w:tcW w:w="5706" w:type="dxa"/>
            <w:tcMar>
              <w:top w:w="0" w:type="dxa"/>
              <w:left w:w="108" w:type="dxa"/>
              <w:bottom w:w="0" w:type="dxa"/>
              <w:right w:w="108" w:type="dxa"/>
            </w:tcMar>
          </w:tcPr>
          <w:p w14:paraId="44CADD0A" w14:textId="77777777" w:rsidR="0070665A" w:rsidRPr="001271CE" w:rsidRDefault="000D22B4" w:rsidP="00C6523E">
            <w:pPr>
              <w:ind w:firstLine="0"/>
            </w:pPr>
            <w:r w:rsidRPr="001271CE">
              <w:t>În contextul celor expuse, Nota de fundamentare a proiectului va fi completată la pct. 5.2 cu lista actelor juridice ale UE pentru care se creează cadrul juridic intern necesar în vederea implementării și se vor prezenta argumente pentru justificarea necesității aprobării măsurilor incluse în proiect în vederea implementării legislației UE</w:t>
            </w:r>
            <w:r w:rsidR="0070665A" w:rsidRPr="001271CE">
              <w:t>.</w:t>
            </w:r>
          </w:p>
          <w:p w14:paraId="55B2F045" w14:textId="77777777" w:rsidR="000D22B4" w:rsidRPr="001271CE" w:rsidRDefault="000D22B4" w:rsidP="00C6523E">
            <w:pPr>
              <w:ind w:firstLine="0"/>
            </w:pPr>
            <w:r w:rsidRPr="001271CE">
              <w:t>În final, constatăm că proiectul propus spre examinare nu are ca scop transpunerea directă a legislației UE în domeniu, dar constituie o măsură normativă națională de implementare a prevederilor actului UE și a angajamentelor asumate de RM prin AA sau alte acorduri internaționale.</w:t>
            </w:r>
          </w:p>
          <w:p w14:paraId="18474366" w14:textId="3BC741D1" w:rsidR="007352F0" w:rsidRPr="001271CE" w:rsidRDefault="007352F0" w:rsidP="00C6523E">
            <w:pPr>
              <w:ind w:firstLine="0"/>
              <w:rPr>
                <w:i/>
                <w:iCs/>
              </w:rPr>
            </w:pPr>
            <w:r w:rsidRPr="001271CE">
              <w:rPr>
                <w:i/>
                <w:iCs/>
              </w:rPr>
              <w:t>Facem mențiunea că analiza Centrului de armonizare a legislației nu are în vedere elementele de oportunitate ale soluțiilor juridice incluse în proiectul de act normativ, ci se referă strict la conformitatea acestora cu Dreptul UE aplicabil și obligațiile juridice asumate în lumina Acordului de Asociere RM-UE și Cadrului de negociere cu Uniunea Europeană.</w:t>
            </w:r>
          </w:p>
        </w:tc>
        <w:tc>
          <w:tcPr>
            <w:tcW w:w="6300" w:type="dxa"/>
            <w:tcMar>
              <w:top w:w="0" w:type="dxa"/>
              <w:left w:w="108" w:type="dxa"/>
              <w:bottom w:w="0" w:type="dxa"/>
              <w:right w:w="108" w:type="dxa"/>
            </w:tcMar>
          </w:tcPr>
          <w:p w14:paraId="7DD6B6FE" w14:textId="77777777" w:rsidR="000D22B4" w:rsidRPr="001271CE" w:rsidRDefault="00FA1E7C" w:rsidP="00C6523E">
            <w:pPr>
              <w:ind w:firstLine="0"/>
            </w:pPr>
            <w:r w:rsidRPr="001271CE">
              <w:t>Se acceptă.</w:t>
            </w:r>
          </w:p>
          <w:p w14:paraId="00F159C1" w14:textId="5181C6F0" w:rsidR="00FA1E7C" w:rsidRPr="001271CE" w:rsidRDefault="00FA1E7C" w:rsidP="00C6523E">
            <w:pPr>
              <w:ind w:firstLine="0"/>
            </w:pPr>
            <w:r w:rsidRPr="001271CE">
              <w:t>Nota de fundamentare a fost completată.</w:t>
            </w:r>
          </w:p>
        </w:tc>
      </w:tr>
      <w:tr w:rsidR="00E06437" w:rsidRPr="001271CE" w14:paraId="258F52CE" w14:textId="77777777" w:rsidTr="003411E9">
        <w:trPr>
          <w:trHeight w:val="1610"/>
        </w:trPr>
        <w:tc>
          <w:tcPr>
            <w:tcW w:w="2166" w:type="dxa"/>
            <w:vMerge w:val="restart"/>
            <w:tcMar>
              <w:top w:w="0" w:type="dxa"/>
              <w:left w:w="108" w:type="dxa"/>
              <w:bottom w:w="0" w:type="dxa"/>
              <w:right w:w="108" w:type="dxa"/>
            </w:tcMar>
          </w:tcPr>
          <w:p w14:paraId="2472EE70" w14:textId="77777777" w:rsidR="002B11E8" w:rsidRPr="001271CE" w:rsidRDefault="00E06437" w:rsidP="00C6523E">
            <w:pPr>
              <w:ind w:firstLine="0"/>
              <w:jc w:val="left"/>
            </w:pPr>
            <w:r w:rsidRPr="001271CE">
              <w:t>Ministerul Finanțelor</w:t>
            </w:r>
          </w:p>
          <w:p w14:paraId="418390FE" w14:textId="77777777" w:rsidR="00E06437" w:rsidRPr="001271CE" w:rsidRDefault="00E06437" w:rsidP="00C6523E">
            <w:pPr>
              <w:ind w:firstLine="0"/>
              <w:jc w:val="left"/>
            </w:pPr>
            <w:r w:rsidRPr="001271CE">
              <w:rPr>
                <w:i/>
                <w:iCs/>
              </w:rPr>
              <w:t>Nr. 07/3-03-216/1782 din 16 decembrie 2025</w:t>
            </w:r>
          </w:p>
          <w:p w14:paraId="0D723601" w14:textId="77777777" w:rsidR="00FA1E7C" w:rsidRPr="001271CE" w:rsidRDefault="00FA1E7C" w:rsidP="00C6523E">
            <w:pPr>
              <w:ind w:firstLine="0"/>
              <w:jc w:val="left"/>
            </w:pPr>
          </w:p>
          <w:p w14:paraId="260B0BC4" w14:textId="0618BF57" w:rsidR="00FA1E7C" w:rsidRPr="001271CE" w:rsidRDefault="00FA1E7C" w:rsidP="00C6523E">
            <w:pPr>
              <w:ind w:firstLine="0"/>
              <w:jc w:val="left"/>
            </w:pPr>
            <w:r w:rsidRPr="001271CE">
              <w:t xml:space="preserve">Pozițiile MAE și MF au fost </w:t>
            </w:r>
            <w:r w:rsidR="00A424E0" w:rsidRPr="001271CE">
              <w:t>coordonate</w:t>
            </w:r>
            <w:r w:rsidRPr="001271CE">
              <w:t xml:space="preserve"> în cadrul ședinței de lucru din data de 20.01.2026 </w:t>
            </w:r>
            <w:r w:rsidRPr="001271CE">
              <w:rPr>
                <w:i/>
                <w:iCs/>
              </w:rPr>
              <w:t>(conform Procesului verbal nr. 1, care se anexează)</w:t>
            </w:r>
          </w:p>
        </w:tc>
        <w:tc>
          <w:tcPr>
            <w:tcW w:w="516" w:type="dxa"/>
            <w:tcBorders>
              <w:bottom w:val="single" w:sz="4" w:space="0" w:color="auto"/>
            </w:tcBorders>
            <w:tcMar>
              <w:top w:w="0" w:type="dxa"/>
              <w:left w:w="108" w:type="dxa"/>
              <w:bottom w:w="0" w:type="dxa"/>
              <w:right w:w="108" w:type="dxa"/>
            </w:tcMar>
          </w:tcPr>
          <w:p w14:paraId="10CF28D6" w14:textId="77777777" w:rsidR="00E06437" w:rsidRPr="001271CE" w:rsidRDefault="00E06437" w:rsidP="00C6523E">
            <w:pPr>
              <w:pStyle w:val="ListParagraph"/>
              <w:numPr>
                <w:ilvl w:val="0"/>
                <w:numId w:val="1"/>
              </w:numPr>
              <w:ind w:right="76"/>
              <w:jc w:val="left"/>
            </w:pPr>
          </w:p>
        </w:tc>
        <w:tc>
          <w:tcPr>
            <w:tcW w:w="5706" w:type="dxa"/>
            <w:tcBorders>
              <w:bottom w:val="single" w:sz="4" w:space="0" w:color="auto"/>
            </w:tcBorders>
            <w:tcMar>
              <w:top w:w="0" w:type="dxa"/>
              <w:left w:w="108" w:type="dxa"/>
              <w:bottom w:w="0" w:type="dxa"/>
              <w:right w:w="108" w:type="dxa"/>
            </w:tcMar>
          </w:tcPr>
          <w:p w14:paraId="0AB15138" w14:textId="77777777" w:rsidR="00E06437" w:rsidRPr="001271CE" w:rsidRDefault="00E06437" w:rsidP="00C6523E">
            <w:pPr>
              <w:ind w:firstLine="0"/>
              <w:rPr>
                <w:i/>
                <w:iCs/>
              </w:rPr>
            </w:pPr>
            <w:r w:rsidRPr="001271CE">
              <w:rPr>
                <w:i/>
                <w:iCs/>
              </w:rPr>
              <w:t xml:space="preserve">La proiectul hotărârii de Guvern. </w:t>
            </w:r>
          </w:p>
          <w:p w14:paraId="765E49EB" w14:textId="5D9FC70D" w:rsidR="00E06437" w:rsidRPr="001271CE" w:rsidRDefault="00E06437" w:rsidP="00C6523E">
            <w:pPr>
              <w:ind w:firstLine="0"/>
            </w:pPr>
            <w:r w:rsidRPr="001271CE">
              <w:t xml:space="preserve">Se propune completarea proiectului hotărârii de Guvern cu un punct nou cu următorul conținut: </w:t>
            </w:r>
            <w:r w:rsidRPr="001271CE">
              <w:rPr>
                <w:i/>
                <w:iCs/>
              </w:rPr>
              <w:t>,,Finanțarea activităților de cooperare internațională pentru dezvoltare și asistență umanitară se va realiza în limita alocațiilor aprobate în Cadrul bugetar pe termen mediu (CBTM) și în Legea bugetului de stat, în corelare cu Programul anual strategic și Planul anual de acțiuni.”</w:t>
            </w:r>
            <w:r w:rsidRPr="001271CE">
              <w:t>.</w:t>
            </w:r>
          </w:p>
        </w:tc>
        <w:tc>
          <w:tcPr>
            <w:tcW w:w="6300" w:type="dxa"/>
            <w:tcBorders>
              <w:bottom w:val="single" w:sz="4" w:space="0" w:color="auto"/>
            </w:tcBorders>
            <w:tcMar>
              <w:top w:w="0" w:type="dxa"/>
              <w:left w:w="108" w:type="dxa"/>
              <w:bottom w:w="0" w:type="dxa"/>
              <w:right w:w="108" w:type="dxa"/>
            </w:tcMar>
          </w:tcPr>
          <w:p w14:paraId="10E8DC56" w14:textId="77777777" w:rsidR="00E06437" w:rsidRPr="001271CE" w:rsidRDefault="00C6523E" w:rsidP="00C6523E">
            <w:pPr>
              <w:ind w:firstLine="0"/>
            </w:pPr>
            <w:r w:rsidRPr="001271CE">
              <w:t>Se acceptă parțial.</w:t>
            </w:r>
          </w:p>
          <w:p w14:paraId="480E9D9C" w14:textId="497D71E4" w:rsidR="00933E2F" w:rsidRPr="001271CE" w:rsidRDefault="00933E2F" w:rsidP="00C6523E">
            <w:pPr>
              <w:ind w:firstLine="0"/>
            </w:pPr>
            <w:r w:rsidRPr="001271CE">
              <w:t>Observația a fost valorificată prin completarea p</w:t>
            </w:r>
            <w:r w:rsidR="008D7B3B" w:rsidRPr="001271CE">
              <w:t>ct</w:t>
            </w:r>
            <w:r w:rsidRPr="001271CE">
              <w:t>. 3 din Regulament, întrucât norma vizează mecanismul de implementare și are caracter general, fiind mai adecvată ca reglementare la nivelul acestuia.</w:t>
            </w:r>
          </w:p>
          <w:p w14:paraId="1A46B4B5" w14:textId="06A46246" w:rsidR="00C6523E" w:rsidRPr="001271CE" w:rsidRDefault="00C6523E" w:rsidP="00C6523E">
            <w:pPr>
              <w:ind w:firstLine="0"/>
            </w:pPr>
          </w:p>
        </w:tc>
      </w:tr>
      <w:tr w:rsidR="00E06437" w:rsidRPr="001271CE" w14:paraId="7A319C9D" w14:textId="77777777" w:rsidTr="003411E9">
        <w:trPr>
          <w:trHeight w:val="795"/>
        </w:trPr>
        <w:tc>
          <w:tcPr>
            <w:tcW w:w="2166" w:type="dxa"/>
            <w:vMerge/>
            <w:tcMar>
              <w:top w:w="0" w:type="dxa"/>
              <w:left w:w="108" w:type="dxa"/>
              <w:bottom w:w="0" w:type="dxa"/>
              <w:right w:w="108" w:type="dxa"/>
            </w:tcMar>
          </w:tcPr>
          <w:p w14:paraId="507399F3" w14:textId="77777777" w:rsidR="00E06437" w:rsidRPr="001271CE" w:rsidRDefault="00E06437"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7DE5E63A" w14:textId="77777777" w:rsidR="00E06437" w:rsidRPr="001271CE" w:rsidRDefault="00E06437"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77BE2EEF" w14:textId="269202E7" w:rsidR="00E06437" w:rsidRPr="001271CE" w:rsidRDefault="00E06437" w:rsidP="00C6523E">
            <w:pPr>
              <w:ind w:firstLine="0"/>
              <w:rPr>
                <w:i/>
                <w:iCs/>
              </w:rPr>
            </w:pPr>
            <w:r w:rsidRPr="001271CE">
              <w:t xml:space="preserve">În același sens urmează a fi ajustat și pct.3 al proiectului Regulamentului privind mecanismul de realizare a activităților de cooperare internațională pentru dezvoltare și asistență umanitară. </w:t>
            </w:r>
          </w:p>
        </w:tc>
        <w:tc>
          <w:tcPr>
            <w:tcW w:w="6300" w:type="dxa"/>
            <w:tcBorders>
              <w:top w:val="single" w:sz="4" w:space="0" w:color="auto"/>
              <w:bottom w:val="single" w:sz="4" w:space="0" w:color="auto"/>
            </w:tcBorders>
            <w:tcMar>
              <w:top w:w="0" w:type="dxa"/>
              <w:left w:w="108" w:type="dxa"/>
              <w:bottom w:w="0" w:type="dxa"/>
              <w:right w:w="108" w:type="dxa"/>
            </w:tcMar>
          </w:tcPr>
          <w:p w14:paraId="418D4FB0" w14:textId="77777777" w:rsidR="00E06437" w:rsidRPr="001271CE" w:rsidRDefault="00286C49" w:rsidP="00C6523E">
            <w:pPr>
              <w:ind w:firstLine="0"/>
            </w:pPr>
            <w:r w:rsidRPr="001271CE">
              <w:t>Se acceptă.</w:t>
            </w:r>
          </w:p>
          <w:p w14:paraId="561B8E5E" w14:textId="174A2170" w:rsidR="00933E2F" w:rsidRPr="001271CE" w:rsidRDefault="00933E2F" w:rsidP="00C6523E">
            <w:pPr>
              <w:ind w:firstLine="0"/>
            </w:pPr>
            <w:r w:rsidRPr="001271CE">
              <w:t>P</w:t>
            </w:r>
            <w:r w:rsidR="008D7B3B" w:rsidRPr="001271CE">
              <w:t>ct</w:t>
            </w:r>
            <w:r w:rsidRPr="001271CE">
              <w:t>. 3 din proiectul a fost reformulat pentru a preciza expres că finanțarea activităților se realizează din bugetul de stat în limita alocațiilor aprobate prin legea bugetului de stat și prevăzute în cadrul bugetar pe termen mediu, menținând totodată corelarea cu Programul multianual strategic și Planul anual, în conformitate cu art. 10 din Legea nr. 149/2025.</w:t>
            </w:r>
          </w:p>
        </w:tc>
      </w:tr>
      <w:tr w:rsidR="00E06437" w:rsidRPr="001271CE" w14:paraId="4C8DED18" w14:textId="77777777" w:rsidTr="003411E9">
        <w:trPr>
          <w:trHeight w:val="786"/>
        </w:trPr>
        <w:tc>
          <w:tcPr>
            <w:tcW w:w="2166" w:type="dxa"/>
            <w:vMerge/>
            <w:tcMar>
              <w:top w:w="0" w:type="dxa"/>
              <w:left w:w="108" w:type="dxa"/>
              <w:bottom w:w="0" w:type="dxa"/>
              <w:right w:w="108" w:type="dxa"/>
            </w:tcMar>
          </w:tcPr>
          <w:p w14:paraId="124E1D14" w14:textId="77777777" w:rsidR="00E06437" w:rsidRPr="001271CE" w:rsidRDefault="00E06437"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59BE4422" w14:textId="77777777" w:rsidR="00E06437" w:rsidRPr="001271CE" w:rsidRDefault="00E06437"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7348AB35" w14:textId="26C72183" w:rsidR="00E06437" w:rsidRPr="001271CE" w:rsidRDefault="00E06437" w:rsidP="00C6523E">
            <w:pPr>
              <w:ind w:firstLine="0"/>
            </w:pPr>
            <w:r w:rsidRPr="001271CE">
              <w:t xml:space="preserve">Cu referire la pct.2, </w:t>
            </w:r>
            <w:r w:rsidRPr="001271CE">
              <w:rPr>
                <w:b/>
                <w:bCs/>
                <w:i/>
                <w:iCs/>
              </w:rPr>
              <w:t>se propune examinarea amânării termenului de intrare în vigoare a proiectului</w:t>
            </w:r>
            <w:r w:rsidRPr="001271CE">
              <w:rPr>
                <w:i/>
                <w:iCs/>
              </w:rPr>
              <w:t>, de ex. la momentul aderării Republicii Moldova la Uniunea Europeană.</w:t>
            </w:r>
          </w:p>
        </w:tc>
        <w:tc>
          <w:tcPr>
            <w:tcW w:w="6300" w:type="dxa"/>
            <w:tcBorders>
              <w:top w:val="single" w:sz="4" w:space="0" w:color="auto"/>
              <w:bottom w:val="single" w:sz="4" w:space="0" w:color="auto"/>
            </w:tcBorders>
            <w:tcMar>
              <w:top w:w="0" w:type="dxa"/>
              <w:left w:w="108" w:type="dxa"/>
              <w:bottom w:w="0" w:type="dxa"/>
              <w:right w:w="108" w:type="dxa"/>
            </w:tcMar>
          </w:tcPr>
          <w:p w14:paraId="304B87C8" w14:textId="77777777" w:rsidR="00E06437" w:rsidRPr="001271CE" w:rsidRDefault="00F90DCE" w:rsidP="00C6523E">
            <w:pPr>
              <w:ind w:firstLine="0"/>
            </w:pPr>
            <w:r w:rsidRPr="001271CE">
              <w:t>Nu se acceptă.</w:t>
            </w:r>
          </w:p>
          <w:p w14:paraId="45DD0ECF" w14:textId="590167EE" w:rsidR="00F90DCE" w:rsidRPr="001271CE" w:rsidRDefault="00F90DCE" w:rsidP="00C6523E">
            <w:pPr>
              <w:ind w:firstLine="0"/>
            </w:pPr>
            <w:r w:rsidRPr="001271CE">
              <w:t xml:space="preserve">Legea nr. 149/2025 a intrat în vigoare la 1 ianuarie 2026 și stabilește obligația Guvernului de a adopta cadrul normativ secundar în termen de 6 luni. Amânarea intrării în vigoare a hotărârii până la momentul aderării Republicii Moldova la Uniunea Europeană </w:t>
            </w:r>
            <w:r w:rsidR="00677F42" w:rsidRPr="001271CE">
              <w:t xml:space="preserve">(eveniment incert ca dată) </w:t>
            </w:r>
            <w:r w:rsidRPr="001271CE">
              <w:t>ar lipsi de efecte aplicarea Legii și ar genera un vid normativ incompatibil cu cerințele acesteia</w:t>
            </w:r>
            <w:r w:rsidR="00677F42" w:rsidRPr="001271CE">
              <w:t xml:space="preserve"> și cu prevederile Legii 100/2017</w:t>
            </w:r>
            <w:r w:rsidRPr="001271CE">
              <w:t>.</w:t>
            </w:r>
          </w:p>
        </w:tc>
      </w:tr>
      <w:tr w:rsidR="00E06437" w:rsidRPr="001271CE" w14:paraId="10963FE9" w14:textId="77777777" w:rsidTr="003411E9">
        <w:trPr>
          <w:trHeight w:val="1185"/>
        </w:trPr>
        <w:tc>
          <w:tcPr>
            <w:tcW w:w="2166" w:type="dxa"/>
            <w:vMerge/>
            <w:tcMar>
              <w:top w:w="0" w:type="dxa"/>
              <w:left w:w="108" w:type="dxa"/>
              <w:bottom w:w="0" w:type="dxa"/>
              <w:right w:w="108" w:type="dxa"/>
            </w:tcMar>
          </w:tcPr>
          <w:p w14:paraId="42F12E97" w14:textId="77777777" w:rsidR="00E06437" w:rsidRPr="001271CE" w:rsidRDefault="00E06437"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399536EA" w14:textId="77777777" w:rsidR="00E06437" w:rsidRPr="001271CE" w:rsidRDefault="00E06437"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00607308" w14:textId="77777777" w:rsidR="00E06437" w:rsidRPr="001271CE" w:rsidRDefault="00E06437" w:rsidP="00C6523E">
            <w:pPr>
              <w:ind w:firstLine="0"/>
              <w:rPr>
                <w:i/>
                <w:iCs/>
              </w:rPr>
            </w:pPr>
            <w:r w:rsidRPr="001271CE">
              <w:rPr>
                <w:i/>
                <w:iCs/>
              </w:rPr>
              <w:t xml:space="preserve">La proiectul Regulamentului. </w:t>
            </w:r>
          </w:p>
          <w:p w14:paraId="36452E4C" w14:textId="77777777" w:rsidR="00F102A1" w:rsidRPr="001271CE" w:rsidRDefault="00E06437" w:rsidP="00C6523E">
            <w:pPr>
              <w:ind w:firstLine="0"/>
            </w:pPr>
            <w:r w:rsidRPr="001271CE">
              <w:t xml:space="preserve">Nota de subsol nu constituie un element de structură al actului normativ și, prin urmare, trebuie eliminată. Conținutul acesteia se recomandă a fi integrat la pct. 2, sub forma unei noțiuni distincte. </w:t>
            </w:r>
          </w:p>
          <w:p w14:paraId="2C68839A" w14:textId="1BE508A7" w:rsidR="00E06437" w:rsidRPr="001271CE" w:rsidRDefault="00E06437" w:rsidP="00C6523E">
            <w:pPr>
              <w:ind w:firstLine="0"/>
            </w:pPr>
          </w:p>
        </w:tc>
        <w:tc>
          <w:tcPr>
            <w:tcW w:w="6300" w:type="dxa"/>
            <w:tcBorders>
              <w:top w:val="single" w:sz="4" w:space="0" w:color="auto"/>
              <w:bottom w:val="single" w:sz="4" w:space="0" w:color="auto"/>
            </w:tcBorders>
            <w:tcMar>
              <w:top w:w="0" w:type="dxa"/>
              <w:left w:w="108" w:type="dxa"/>
              <w:bottom w:w="0" w:type="dxa"/>
              <w:right w:w="108" w:type="dxa"/>
            </w:tcMar>
          </w:tcPr>
          <w:p w14:paraId="408D878F" w14:textId="7AF53D81" w:rsidR="00E06437" w:rsidRPr="001271CE" w:rsidRDefault="008A45AB" w:rsidP="00C6523E">
            <w:pPr>
              <w:ind w:firstLine="0"/>
            </w:pPr>
            <w:r w:rsidRPr="001271CE">
              <w:t>Se acceptă</w:t>
            </w:r>
            <w:r w:rsidR="00121670" w:rsidRPr="001271CE">
              <w:t>.</w:t>
            </w:r>
          </w:p>
        </w:tc>
      </w:tr>
      <w:tr w:rsidR="000D0A19" w:rsidRPr="001271CE" w14:paraId="1CB05650" w14:textId="77777777" w:rsidTr="003411E9">
        <w:trPr>
          <w:trHeight w:val="870"/>
        </w:trPr>
        <w:tc>
          <w:tcPr>
            <w:tcW w:w="2166" w:type="dxa"/>
            <w:vMerge/>
            <w:tcMar>
              <w:top w:w="0" w:type="dxa"/>
              <w:left w:w="108" w:type="dxa"/>
              <w:bottom w:w="0" w:type="dxa"/>
              <w:right w:w="108" w:type="dxa"/>
            </w:tcMar>
          </w:tcPr>
          <w:p w14:paraId="588A35AA" w14:textId="77777777" w:rsidR="000D0A19" w:rsidRPr="001271CE" w:rsidRDefault="000D0A19"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49398D1B" w14:textId="77777777" w:rsidR="000D0A19" w:rsidRPr="001271CE" w:rsidRDefault="000D0A19"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3FE71030" w14:textId="77777777" w:rsidR="000D0A19" w:rsidRPr="001271CE" w:rsidRDefault="000D0A19" w:rsidP="000D0A19">
            <w:pPr>
              <w:ind w:firstLine="0"/>
              <w:rPr>
                <w:i/>
                <w:iCs/>
              </w:rPr>
            </w:pPr>
            <w:r w:rsidRPr="001271CE">
              <w:t>De asemenea, pentru a facilita interpretarea și utilizarea actului, se consideră oportună ordonarea noțiunilor în ordine alfabetică.</w:t>
            </w:r>
          </w:p>
        </w:tc>
        <w:tc>
          <w:tcPr>
            <w:tcW w:w="6300" w:type="dxa"/>
            <w:tcBorders>
              <w:top w:val="single" w:sz="4" w:space="0" w:color="auto"/>
              <w:bottom w:val="single" w:sz="4" w:space="0" w:color="auto"/>
            </w:tcBorders>
            <w:tcMar>
              <w:top w:w="0" w:type="dxa"/>
              <w:left w:w="108" w:type="dxa"/>
              <w:bottom w:w="0" w:type="dxa"/>
              <w:right w:w="108" w:type="dxa"/>
            </w:tcMar>
          </w:tcPr>
          <w:p w14:paraId="661FBFB1" w14:textId="77777777" w:rsidR="000D0A19" w:rsidRPr="001271CE" w:rsidRDefault="00CD4099" w:rsidP="00C6523E">
            <w:pPr>
              <w:ind w:firstLine="0"/>
            </w:pPr>
            <w:r w:rsidRPr="001271CE">
              <w:t>Nu se acceptă.</w:t>
            </w:r>
          </w:p>
          <w:p w14:paraId="1E64D0F0" w14:textId="76472D82" w:rsidR="00CD4099" w:rsidRPr="001271CE" w:rsidRDefault="00CD4099" w:rsidP="00C6523E">
            <w:pPr>
              <w:ind w:firstLine="0"/>
            </w:pPr>
            <w:r w:rsidRPr="001271CE">
              <w:t>Noțiunile sunt structurate în proiect în ordinea logică a mecanismului reglementat, pentru a facilita coerența și înțelegerea actului. Ordonarea alfabetică nu reprezintă o cerință obligatorie de tehnică legislativă și nu afectează claritatea sau aplicabilitatea normei.</w:t>
            </w:r>
          </w:p>
        </w:tc>
      </w:tr>
      <w:tr w:rsidR="00165441" w:rsidRPr="001271CE" w14:paraId="12716C20" w14:textId="77777777" w:rsidTr="003411E9">
        <w:trPr>
          <w:trHeight w:val="254"/>
        </w:trPr>
        <w:tc>
          <w:tcPr>
            <w:tcW w:w="2166" w:type="dxa"/>
            <w:vMerge/>
            <w:tcMar>
              <w:top w:w="0" w:type="dxa"/>
              <w:left w:w="108" w:type="dxa"/>
              <w:bottom w:w="0" w:type="dxa"/>
              <w:right w:w="108" w:type="dxa"/>
            </w:tcMar>
          </w:tcPr>
          <w:p w14:paraId="090179E1" w14:textId="77777777" w:rsidR="00165441" w:rsidRPr="001271CE" w:rsidRDefault="00165441"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18AD513B" w14:textId="77777777" w:rsidR="00165441" w:rsidRPr="001271CE" w:rsidRDefault="00165441"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4C120984" w14:textId="3C89BEDD" w:rsidR="00165441" w:rsidRPr="001271CE" w:rsidRDefault="00607AD6" w:rsidP="00C6523E">
            <w:pPr>
              <w:ind w:firstLine="0"/>
              <w:rPr>
                <w:i/>
                <w:iCs/>
              </w:rPr>
            </w:pPr>
            <w:r w:rsidRPr="001271CE">
              <w:t>Se propune ca pct. 5 să fie revizuit</w:t>
            </w:r>
            <w:r w:rsidR="00730C1B" w:rsidRPr="001271CE">
              <w:t>...</w:t>
            </w:r>
          </w:p>
        </w:tc>
        <w:tc>
          <w:tcPr>
            <w:tcW w:w="6300" w:type="dxa"/>
            <w:tcBorders>
              <w:top w:val="single" w:sz="4" w:space="0" w:color="auto"/>
              <w:bottom w:val="single" w:sz="4" w:space="0" w:color="auto"/>
            </w:tcBorders>
            <w:tcMar>
              <w:top w:w="0" w:type="dxa"/>
              <w:left w:w="108" w:type="dxa"/>
              <w:bottom w:w="0" w:type="dxa"/>
              <w:right w:w="108" w:type="dxa"/>
            </w:tcMar>
          </w:tcPr>
          <w:p w14:paraId="45B19990" w14:textId="77777777" w:rsidR="00165441" w:rsidRPr="001271CE" w:rsidRDefault="00E0451D" w:rsidP="00FA6F4C">
            <w:pPr>
              <w:ind w:firstLine="0"/>
            </w:pPr>
            <w:r w:rsidRPr="001271CE">
              <w:t>Se acceptă.</w:t>
            </w:r>
          </w:p>
          <w:p w14:paraId="6B03F8EC" w14:textId="117FC900" w:rsidR="00E0451D" w:rsidRPr="001271CE" w:rsidRDefault="00E0451D" w:rsidP="00FA6F4C">
            <w:pPr>
              <w:ind w:firstLine="0"/>
            </w:pPr>
            <w:r w:rsidRPr="001271CE">
              <w:t>Pct.</w:t>
            </w:r>
            <w:r w:rsidR="00963000" w:rsidRPr="001271CE">
              <w:t xml:space="preserve"> 5</w:t>
            </w:r>
            <w:r w:rsidRPr="001271CE">
              <w:t xml:space="preserve"> a fost revizuit.</w:t>
            </w:r>
          </w:p>
        </w:tc>
      </w:tr>
      <w:tr w:rsidR="00730C1B" w:rsidRPr="001271CE" w14:paraId="0499A914" w14:textId="77777777" w:rsidTr="003411E9">
        <w:trPr>
          <w:trHeight w:val="274"/>
        </w:trPr>
        <w:tc>
          <w:tcPr>
            <w:tcW w:w="2166" w:type="dxa"/>
            <w:vMerge/>
            <w:tcMar>
              <w:top w:w="0" w:type="dxa"/>
              <w:left w:w="108" w:type="dxa"/>
              <w:bottom w:w="0" w:type="dxa"/>
              <w:right w:w="108" w:type="dxa"/>
            </w:tcMar>
          </w:tcPr>
          <w:p w14:paraId="4ED03768" w14:textId="77777777" w:rsidR="00730C1B" w:rsidRPr="001271CE" w:rsidRDefault="00730C1B"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24EA5EEF" w14:textId="77777777" w:rsidR="00730C1B" w:rsidRPr="001271CE" w:rsidRDefault="00730C1B"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4E48BB9C" w14:textId="4E5034DF" w:rsidR="00730C1B" w:rsidRPr="001271CE" w:rsidRDefault="00730C1B" w:rsidP="00C6523E">
            <w:pPr>
              <w:ind w:firstLine="0"/>
            </w:pPr>
            <w:r w:rsidRPr="001271CE">
              <w:t xml:space="preserve">... iar pct. 8 se va exclude. </w:t>
            </w:r>
          </w:p>
        </w:tc>
        <w:tc>
          <w:tcPr>
            <w:tcW w:w="6300" w:type="dxa"/>
            <w:tcBorders>
              <w:top w:val="single" w:sz="4" w:space="0" w:color="auto"/>
              <w:bottom w:val="single" w:sz="4" w:space="0" w:color="auto"/>
            </w:tcBorders>
            <w:tcMar>
              <w:top w:w="0" w:type="dxa"/>
              <w:left w:w="108" w:type="dxa"/>
              <w:bottom w:w="0" w:type="dxa"/>
              <w:right w:w="108" w:type="dxa"/>
            </w:tcMar>
          </w:tcPr>
          <w:p w14:paraId="558E4307" w14:textId="77777777" w:rsidR="00730C1B" w:rsidRPr="001271CE" w:rsidRDefault="00963000" w:rsidP="00C6523E">
            <w:pPr>
              <w:ind w:firstLine="0"/>
            </w:pPr>
            <w:r w:rsidRPr="001271CE">
              <w:t>Se acceptă parțial.</w:t>
            </w:r>
          </w:p>
          <w:p w14:paraId="57521FC5" w14:textId="5D263646" w:rsidR="00963000" w:rsidRPr="001271CE" w:rsidRDefault="006F0003" w:rsidP="00C6523E">
            <w:pPr>
              <w:ind w:firstLine="0"/>
            </w:pPr>
            <w:r w:rsidRPr="001271CE">
              <w:t>Pct. 8 a fost modificat.</w:t>
            </w:r>
          </w:p>
        </w:tc>
      </w:tr>
      <w:tr w:rsidR="00730C1B" w:rsidRPr="001271CE" w14:paraId="22351D45" w14:textId="77777777" w:rsidTr="003411E9">
        <w:trPr>
          <w:trHeight w:val="1476"/>
        </w:trPr>
        <w:tc>
          <w:tcPr>
            <w:tcW w:w="2166" w:type="dxa"/>
            <w:vMerge/>
            <w:tcMar>
              <w:top w:w="0" w:type="dxa"/>
              <w:left w:w="108" w:type="dxa"/>
              <w:bottom w:w="0" w:type="dxa"/>
              <w:right w:w="108" w:type="dxa"/>
            </w:tcMar>
          </w:tcPr>
          <w:p w14:paraId="48628729" w14:textId="77777777" w:rsidR="00730C1B" w:rsidRPr="001271CE" w:rsidRDefault="00730C1B" w:rsidP="00C6523E">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06E80431" w14:textId="77777777" w:rsidR="00730C1B" w:rsidRPr="001271CE" w:rsidRDefault="00730C1B" w:rsidP="00C6523E">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0DF58C8B" w14:textId="7734A885" w:rsidR="00730C1B" w:rsidRPr="001271CE" w:rsidRDefault="00730C1B" w:rsidP="00C6523E">
            <w:pPr>
              <w:ind w:firstLine="0"/>
            </w:pPr>
            <w:r w:rsidRPr="001271CE">
              <w:t>Menționăm că, potrivit pct.16 din Hotărârea Guvernului nr. 386/2020 privind planificarea strategică, Programul este un document elaborat pentru implementarea strategiilor, și nu invers. Tot acest punct stabilește structura Strategiei, care nu include elemente privind estimarea financiară, în consecință, sub-pct. 6.2 se propune de exclus.</w:t>
            </w:r>
          </w:p>
        </w:tc>
        <w:tc>
          <w:tcPr>
            <w:tcW w:w="6300" w:type="dxa"/>
            <w:tcBorders>
              <w:top w:val="single" w:sz="4" w:space="0" w:color="auto"/>
              <w:bottom w:val="single" w:sz="4" w:space="0" w:color="auto"/>
            </w:tcBorders>
            <w:tcMar>
              <w:top w:w="0" w:type="dxa"/>
              <w:left w:w="108" w:type="dxa"/>
              <w:bottom w:w="0" w:type="dxa"/>
              <w:right w:w="108" w:type="dxa"/>
            </w:tcMar>
          </w:tcPr>
          <w:p w14:paraId="286FDBF4" w14:textId="77777777" w:rsidR="00730C1B" w:rsidRPr="001271CE" w:rsidRDefault="00FA6589" w:rsidP="00C6523E">
            <w:pPr>
              <w:ind w:firstLine="0"/>
            </w:pPr>
            <w:r w:rsidRPr="001271CE">
              <w:t>Nu se</w:t>
            </w:r>
            <w:r w:rsidR="009741E8" w:rsidRPr="001271CE">
              <w:t xml:space="preserve"> acceptă.</w:t>
            </w:r>
          </w:p>
          <w:p w14:paraId="201D6194" w14:textId="65EF9CAC" w:rsidR="00FA6589" w:rsidRPr="001271CE" w:rsidRDefault="00FA6589" w:rsidP="00C6523E">
            <w:pPr>
              <w:ind w:firstLine="0"/>
            </w:pPr>
            <w:r w:rsidRPr="001271CE">
              <w:t>Strategiile de țară prevăzute de proiect nu reprezintă documente de planificare strategică în sensul Hotărârii Guvernului nr. 386/2020, ci instrumente specifice domeniului cooperării internaționale pentru dezvoltare și asistență umanitară. Pentru a elimina orice ambiguitate, proiectul a fost completat cu o definiție expresă a noțiunii de „strategie de țară”, care clarifică natura, rolul și efectele juridice ale acestui instrument.</w:t>
            </w:r>
          </w:p>
        </w:tc>
      </w:tr>
      <w:tr w:rsidR="009741E8" w:rsidRPr="001271CE" w14:paraId="03CD02D3" w14:textId="77777777" w:rsidTr="003411E9">
        <w:trPr>
          <w:trHeight w:val="1230"/>
        </w:trPr>
        <w:tc>
          <w:tcPr>
            <w:tcW w:w="2166" w:type="dxa"/>
            <w:vMerge/>
            <w:tcMar>
              <w:top w:w="0" w:type="dxa"/>
              <w:left w:w="108" w:type="dxa"/>
              <w:bottom w:w="0" w:type="dxa"/>
              <w:right w:w="108" w:type="dxa"/>
            </w:tcMar>
          </w:tcPr>
          <w:p w14:paraId="679BEA9A"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63840D74"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5C05107A" w14:textId="2A1D446A" w:rsidR="009741E8" w:rsidRPr="001271CE" w:rsidRDefault="009741E8" w:rsidP="009741E8">
            <w:pPr>
              <w:ind w:firstLine="0"/>
              <w:rPr>
                <w:i/>
                <w:iCs/>
              </w:rPr>
            </w:pPr>
            <w:r w:rsidRPr="001271CE">
              <w:t xml:space="preserve">În ceea ce privește Programul, se atenționează că, în conformitate cu art. 10 alin. (2) din Legea 149/2025 cu privire la cooperarea internațională pentru dezvoltare și asistență umanitară, acesta se implementează în limita cheltuielilor prevăzute în acest scop în cadrul bugetar pe termen mediu. </w:t>
            </w:r>
          </w:p>
        </w:tc>
        <w:tc>
          <w:tcPr>
            <w:tcW w:w="6300" w:type="dxa"/>
            <w:tcBorders>
              <w:top w:val="single" w:sz="4" w:space="0" w:color="auto"/>
              <w:bottom w:val="single" w:sz="4" w:space="0" w:color="auto"/>
            </w:tcBorders>
            <w:tcMar>
              <w:top w:w="0" w:type="dxa"/>
              <w:left w:w="108" w:type="dxa"/>
              <w:bottom w:w="0" w:type="dxa"/>
              <w:right w:w="108" w:type="dxa"/>
            </w:tcMar>
          </w:tcPr>
          <w:p w14:paraId="49560365" w14:textId="06FE1640" w:rsidR="009741E8" w:rsidRPr="001271CE" w:rsidRDefault="009741E8" w:rsidP="009741E8">
            <w:pPr>
              <w:ind w:firstLine="0"/>
            </w:pPr>
            <w:r w:rsidRPr="001271CE">
              <w:t>Se acceptă.</w:t>
            </w:r>
          </w:p>
        </w:tc>
      </w:tr>
      <w:tr w:rsidR="009741E8" w:rsidRPr="001271CE" w14:paraId="511FFB68" w14:textId="77777777" w:rsidTr="003411E9">
        <w:trPr>
          <w:trHeight w:val="760"/>
        </w:trPr>
        <w:tc>
          <w:tcPr>
            <w:tcW w:w="2166" w:type="dxa"/>
            <w:vMerge/>
            <w:tcMar>
              <w:top w:w="0" w:type="dxa"/>
              <w:left w:w="108" w:type="dxa"/>
              <w:bottom w:w="0" w:type="dxa"/>
              <w:right w:w="108" w:type="dxa"/>
            </w:tcMar>
          </w:tcPr>
          <w:p w14:paraId="58B77D07"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12446231"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6477B3D0" w14:textId="347E5196" w:rsidR="009741E8" w:rsidRPr="001271CE" w:rsidRDefault="009741E8" w:rsidP="009741E8">
            <w:pPr>
              <w:ind w:firstLine="0"/>
            </w:pPr>
            <w:r w:rsidRPr="001271CE">
              <w:t>La pct. 10 și 23, textul ,,Potrivit prevederilor Legii”, se va exclude, ca fiind inutil.</w:t>
            </w:r>
          </w:p>
        </w:tc>
        <w:tc>
          <w:tcPr>
            <w:tcW w:w="6300" w:type="dxa"/>
            <w:tcBorders>
              <w:top w:val="single" w:sz="4" w:space="0" w:color="auto"/>
              <w:bottom w:val="single" w:sz="4" w:space="0" w:color="auto"/>
            </w:tcBorders>
            <w:tcMar>
              <w:top w:w="0" w:type="dxa"/>
              <w:left w:w="108" w:type="dxa"/>
              <w:bottom w:w="0" w:type="dxa"/>
              <w:right w:w="108" w:type="dxa"/>
            </w:tcMar>
          </w:tcPr>
          <w:p w14:paraId="5F3A0D60" w14:textId="6C84059A" w:rsidR="00726B5F" w:rsidRPr="001271CE" w:rsidRDefault="00726B5F" w:rsidP="009741E8">
            <w:pPr>
              <w:ind w:firstLine="0"/>
            </w:pPr>
            <w:r w:rsidRPr="001271CE">
              <w:t>Se acceptă.</w:t>
            </w:r>
          </w:p>
        </w:tc>
      </w:tr>
      <w:tr w:rsidR="009741E8" w:rsidRPr="001271CE" w14:paraId="12F31929" w14:textId="77777777" w:rsidTr="003411E9">
        <w:trPr>
          <w:trHeight w:val="760"/>
        </w:trPr>
        <w:tc>
          <w:tcPr>
            <w:tcW w:w="2166" w:type="dxa"/>
            <w:vMerge/>
            <w:tcMar>
              <w:top w:w="0" w:type="dxa"/>
              <w:left w:w="108" w:type="dxa"/>
              <w:bottom w:w="0" w:type="dxa"/>
              <w:right w:w="108" w:type="dxa"/>
            </w:tcMar>
          </w:tcPr>
          <w:p w14:paraId="408D0421"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7CE44B10"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5D20A64A" w14:textId="37EBF141" w:rsidR="009741E8" w:rsidRPr="001271CE" w:rsidRDefault="009741E8" w:rsidP="009741E8">
            <w:pPr>
              <w:ind w:firstLine="0"/>
            </w:pPr>
            <w:r w:rsidRPr="001271CE">
              <w:t xml:space="preserve">La pct. 21, se consideră necesară includerea criteriilor de eligibilitate și selecție, precum și a conținutului dosarului solicitantului, direct în Regulament, și nu în termenii de referință ai concursului, deoarece Regulamentul reprezintă actul normativ de bază care stabilește cadrul procedural și condițiile generale de participare, asigurând transparență, predictibilitate și aplicare uniformă. În schimb, termenii de referință pot varia de la un concurs la altul și nu oferă aceeași claritate privind modul de desfășurare a procedurii. </w:t>
            </w:r>
          </w:p>
        </w:tc>
        <w:tc>
          <w:tcPr>
            <w:tcW w:w="6300" w:type="dxa"/>
            <w:tcBorders>
              <w:top w:val="single" w:sz="4" w:space="0" w:color="auto"/>
              <w:bottom w:val="single" w:sz="4" w:space="0" w:color="auto"/>
            </w:tcBorders>
            <w:tcMar>
              <w:top w:w="0" w:type="dxa"/>
              <w:left w:w="108" w:type="dxa"/>
              <w:bottom w:w="0" w:type="dxa"/>
              <w:right w:w="108" w:type="dxa"/>
            </w:tcMar>
          </w:tcPr>
          <w:p w14:paraId="7BB4CD63" w14:textId="77777777" w:rsidR="009741E8" w:rsidRPr="001271CE" w:rsidRDefault="00237CEB" w:rsidP="009741E8">
            <w:pPr>
              <w:ind w:firstLine="0"/>
            </w:pPr>
            <w:r w:rsidRPr="001271CE">
              <w:t>Nu se acceptă.</w:t>
            </w:r>
          </w:p>
          <w:p w14:paraId="489839ED" w14:textId="386981A5" w:rsidR="00237CEB" w:rsidRPr="001271CE" w:rsidRDefault="00237CEB" w:rsidP="009741E8">
            <w:pPr>
              <w:ind w:firstLine="0"/>
            </w:pPr>
            <w:r w:rsidRPr="001271CE">
              <w:t>Criteriile de eligibilitate și selecție, precum și conținutul dosarului solicitantului au caracter tehnic și depind de obiectivele, tematica și specificul fiecărui concurs. Din acest motiv, acestea sunt stabilite prin termenii de referință ai apelului, care sunt documente publice și asigură transparența procedurii. Includerea acestor elemente direct în Regulament ar conduce la o supra-reglementare și ar limita nejustificat flexibilitatea necesară adaptării procedurilor la tipul activităților finanțate.</w:t>
            </w:r>
          </w:p>
        </w:tc>
      </w:tr>
      <w:tr w:rsidR="009741E8" w:rsidRPr="001271CE" w14:paraId="12A738E2" w14:textId="77777777" w:rsidTr="003411E9">
        <w:trPr>
          <w:trHeight w:val="533"/>
        </w:trPr>
        <w:tc>
          <w:tcPr>
            <w:tcW w:w="2166" w:type="dxa"/>
            <w:vMerge/>
            <w:tcMar>
              <w:top w:w="0" w:type="dxa"/>
              <w:left w:w="108" w:type="dxa"/>
              <w:bottom w:w="0" w:type="dxa"/>
              <w:right w:w="108" w:type="dxa"/>
            </w:tcMar>
          </w:tcPr>
          <w:p w14:paraId="281B3565"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36DC1D9D"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3568D32C" w14:textId="7193292C" w:rsidR="009741E8" w:rsidRPr="001271CE" w:rsidRDefault="009741E8" w:rsidP="009741E8">
            <w:pPr>
              <w:ind w:firstLine="0"/>
            </w:pPr>
            <w:r w:rsidRPr="001271CE">
              <w:t>Suplimentar, trebuie de specificat cine vor fi beneficiarii burselor de studiu și cercetare.</w:t>
            </w:r>
          </w:p>
        </w:tc>
        <w:tc>
          <w:tcPr>
            <w:tcW w:w="6300" w:type="dxa"/>
            <w:tcBorders>
              <w:top w:val="single" w:sz="4" w:space="0" w:color="auto"/>
              <w:bottom w:val="single" w:sz="4" w:space="0" w:color="auto"/>
            </w:tcBorders>
            <w:tcMar>
              <w:top w:w="0" w:type="dxa"/>
              <w:left w:w="108" w:type="dxa"/>
              <w:bottom w:w="0" w:type="dxa"/>
              <w:right w:w="108" w:type="dxa"/>
            </w:tcMar>
          </w:tcPr>
          <w:p w14:paraId="67A96F0B" w14:textId="77777777" w:rsidR="009741E8" w:rsidRPr="001271CE" w:rsidRDefault="007C127C" w:rsidP="009741E8">
            <w:pPr>
              <w:ind w:firstLine="0"/>
            </w:pPr>
            <w:r w:rsidRPr="001271CE">
              <w:t>Se acceptă.</w:t>
            </w:r>
          </w:p>
          <w:p w14:paraId="117A0F3C" w14:textId="025EA733" w:rsidR="00960E30" w:rsidRPr="001271CE" w:rsidRDefault="00960E30" w:rsidP="009741E8">
            <w:pPr>
              <w:ind w:firstLine="0"/>
            </w:pPr>
            <w:r w:rsidRPr="001271CE">
              <w:t xml:space="preserve">Proiectul a fost completat cu o normă privind categoria generală a beneficiarilor burselor, menținând stabilirea condițiilor concrete de </w:t>
            </w:r>
            <w:r w:rsidRPr="001271CE">
              <w:lastRenderedPageBreak/>
              <w:t>eligibilitate și selecție la nivelul termenilor de referință, având în vedere caracterul variabil și tehnic al acestora.</w:t>
            </w:r>
          </w:p>
        </w:tc>
      </w:tr>
      <w:tr w:rsidR="009741E8" w:rsidRPr="001271CE" w14:paraId="41B224B7" w14:textId="77777777" w:rsidTr="003411E9">
        <w:trPr>
          <w:trHeight w:val="314"/>
        </w:trPr>
        <w:tc>
          <w:tcPr>
            <w:tcW w:w="2166" w:type="dxa"/>
            <w:vMerge/>
            <w:tcMar>
              <w:top w:w="0" w:type="dxa"/>
              <w:left w:w="108" w:type="dxa"/>
              <w:bottom w:w="0" w:type="dxa"/>
              <w:right w:w="108" w:type="dxa"/>
            </w:tcMar>
          </w:tcPr>
          <w:p w14:paraId="6175BADB"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7C8E5D3D"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7C9BECC2" w14:textId="203F8D2E" w:rsidR="009741E8" w:rsidRPr="001271CE" w:rsidRDefault="009741E8" w:rsidP="009741E8">
            <w:pPr>
              <w:ind w:firstLine="0"/>
            </w:pPr>
            <w:r w:rsidRPr="001271CE">
              <w:t>La pct. 25, cuvântul ,,precisă” se va substitui cu cuvântul ,,specială”.</w:t>
            </w:r>
          </w:p>
        </w:tc>
        <w:tc>
          <w:tcPr>
            <w:tcW w:w="6300" w:type="dxa"/>
            <w:tcBorders>
              <w:top w:val="single" w:sz="4" w:space="0" w:color="auto"/>
              <w:bottom w:val="single" w:sz="4" w:space="0" w:color="auto"/>
            </w:tcBorders>
            <w:tcMar>
              <w:top w:w="0" w:type="dxa"/>
              <w:left w:w="108" w:type="dxa"/>
              <w:bottom w:w="0" w:type="dxa"/>
              <w:right w:w="108" w:type="dxa"/>
            </w:tcMar>
          </w:tcPr>
          <w:p w14:paraId="04D6DB92" w14:textId="60D2512F" w:rsidR="009741E8" w:rsidRPr="001271CE" w:rsidRDefault="00857DBA" w:rsidP="009741E8">
            <w:pPr>
              <w:ind w:firstLine="0"/>
            </w:pPr>
            <w:r w:rsidRPr="001271CE">
              <w:t>Se acceptă.</w:t>
            </w:r>
          </w:p>
        </w:tc>
      </w:tr>
      <w:tr w:rsidR="009741E8" w:rsidRPr="001271CE" w14:paraId="5AB4A7F4" w14:textId="77777777" w:rsidTr="003411E9">
        <w:trPr>
          <w:trHeight w:val="314"/>
        </w:trPr>
        <w:tc>
          <w:tcPr>
            <w:tcW w:w="2166" w:type="dxa"/>
            <w:vMerge/>
            <w:tcMar>
              <w:top w:w="0" w:type="dxa"/>
              <w:left w:w="108" w:type="dxa"/>
              <w:bottom w:w="0" w:type="dxa"/>
              <w:right w:w="108" w:type="dxa"/>
            </w:tcMar>
          </w:tcPr>
          <w:p w14:paraId="2623EE43"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4B784606"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60232B2B" w14:textId="3C102857" w:rsidR="009741E8" w:rsidRPr="001271CE" w:rsidRDefault="009741E8" w:rsidP="009741E8">
            <w:pPr>
              <w:ind w:firstLine="0"/>
            </w:pPr>
            <w:r w:rsidRPr="001271CE">
              <w:t>Referindu-ne la pct. 44 și 60, întru evitarea unor cheltuieli suplimentare din bugetul de stat precum și ținând cont de incompatibilitățile și restricțiile generale pentru funcția publică, stipulate în art.25 din Legea cu privire la funcția publică și statutul funcționarului public nr.158/2008, proiectul se va completa cu un alineat nou cu următorul cuprins: ,,Activitatea reprezentanților comisiei de selecție și a comisiei de contestație nu este remunerată”.</w:t>
            </w:r>
          </w:p>
        </w:tc>
        <w:tc>
          <w:tcPr>
            <w:tcW w:w="6300" w:type="dxa"/>
            <w:tcBorders>
              <w:top w:val="single" w:sz="4" w:space="0" w:color="auto"/>
              <w:bottom w:val="single" w:sz="4" w:space="0" w:color="auto"/>
            </w:tcBorders>
            <w:tcMar>
              <w:top w:w="0" w:type="dxa"/>
              <w:left w:w="108" w:type="dxa"/>
              <w:bottom w:w="0" w:type="dxa"/>
              <w:right w:w="108" w:type="dxa"/>
            </w:tcMar>
          </w:tcPr>
          <w:p w14:paraId="5AD6DF7B" w14:textId="77777777" w:rsidR="009741E8" w:rsidRPr="001271CE" w:rsidRDefault="00A50295" w:rsidP="009741E8">
            <w:pPr>
              <w:ind w:firstLine="0"/>
            </w:pPr>
            <w:r w:rsidRPr="001271CE">
              <w:t>Se acceptă.</w:t>
            </w:r>
          </w:p>
          <w:p w14:paraId="403C0C67" w14:textId="6A4628F0" w:rsidR="00474437" w:rsidRPr="001271CE" w:rsidRDefault="009608E7" w:rsidP="009741E8">
            <w:pPr>
              <w:ind w:firstLine="0"/>
            </w:pPr>
            <w:r w:rsidRPr="001271CE">
              <w:t>Proiectul a fost completat.</w:t>
            </w:r>
          </w:p>
        </w:tc>
      </w:tr>
      <w:tr w:rsidR="009741E8" w:rsidRPr="001271CE" w14:paraId="4332D3BD" w14:textId="77777777" w:rsidTr="003411E9">
        <w:trPr>
          <w:trHeight w:val="314"/>
        </w:trPr>
        <w:tc>
          <w:tcPr>
            <w:tcW w:w="2166" w:type="dxa"/>
            <w:vMerge/>
            <w:tcMar>
              <w:top w:w="0" w:type="dxa"/>
              <w:left w:w="108" w:type="dxa"/>
              <w:bottom w:w="0" w:type="dxa"/>
              <w:right w:w="108" w:type="dxa"/>
            </w:tcMar>
          </w:tcPr>
          <w:p w14:paraId="5F9C21FE"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03D0EBC3"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00F14D31" w14:textId="2C517F07" w:rsidR="009741E8" w:rsidRPr="001271CE" w:rsidRDefault="009741E8" w:rsidP="009741E8">
            <w:pPr>
              <w:ind w:firstLine="0"/>
            </w:pPr>
            <w:r w:rsidRPr="001271CE">
              <w:t>Pct. 49 și 50 în textul proiectului actului normativ nu precizează în mod explicit ce tip de capacitate urmează a fi evaluată. Formularea actuală se limitează la sintagma generală „evaluarea capacității”, fără a specifica dacă este vorba despre capacitatea administrativă, financiară, operațională, tehnică sau instituțională a beneficiarului. Această omisiune generează ambiguitate, întrucât, fără o delimitare clară, rămâne incert cadrul exact al evaluării, criteriile concrete și domeniile de competență care trebuie analizate. Prin urmare, este necesară o clarificare privind sfera evaluării capacităților, fie prin completarea textului normativ, fie prin referirea explicită la tipurile de capacitate vizate.</w:t>
            </w:r>
          </w:p>
        </w:tc>
        <w:tc>
          <w:tcPr>
            <w:tcW w:w="6300" w:type="dxa"/>
            <w:tcBorders>
              <w:top w:val="single" w:sz="4" w:space="0" w:color="auto"/>
              <w:bottom w:val="single" w:sz="4" w:space="0" w:color="auto"/>
            </w:tcBorders>
            <w:tcMar>
              <w:top w:w="0" w:type="dxa"/>
              <w:left w:w="108" w:type="dxa"/>
              <w:bottom w:w="0" w:type="dxa"/>
              <w:right w:w="108" w:type="dxa"/>
            </w:tcMar>
          </w:tcPr>
          <w:p w14:paraId="1B1EC076" w14:textId="77777777" w:rsidR="005172D6" w:rsidRPr="001271CE" w:rsidRDefault="005172D6" w:rsidP="009741E8">
            <w:pPr>
              <w:ind w:firstLine="0"/>
            </w:pPr>
            <w:r w:rsidRPr="001271CE">
              <w:t>Se acceptă.</w:t>
            </w:r>
          </w:p>
          <w:p w14:paraId="442B10DD" w14:textId="39BEF72C" w:rsidR="009741E8" w:rsidRPr="001271CE" w:rsidRDefault="005172D6" w:rsidP="009741E8">
            <w:pPr>
              <w:ind w:firstLine="0"/>
            </w:pPr>
            <w:r w:rsidRPr="001271CE">
              <w:t>Textul a fost completat pentru a preciza că evaluarea vizează capacitatea administrativă, financiară și operațională a beneficiarilor, menținând stabilirea instrumentelor și metodologiei de evaluare la nivelul ordinului ministrului, având în vedere caracterul tehnic al acestora.</w:t>
            </w:r>
          </w:p>
        </w:tc>
      </w:tr>
      <w:tr w:rsidR="009741E8" w:rsidRPr="001271CE" w14:paraId="5021F495" w14:textId="77777777" w:rsidTr="003411E9">
        <w:trPr>
          <w:trHeight w:val="314"/>
        </w:trPr>
        <w:tc>
          <w:tcPr>
            <w:tcW w:w="2166" w:type="dxa"/>
            <w:vMerge/>
            <w:tcMar>
              <w:top w:w="0" w:type="dxa"/>
              <w:left w:w="108" w:type="dxa"/>
              <w:bottom w:w="0" w:type="dxa"/>
              <w:right w:w="108" w:type="dxa"/>
            </w:tcMar>
          </w:tcPr>
          <w:p w14:paraId="0FF1DCB8"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4CAD3744"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2C2DFCED" w14:textId="0EFD3DDA" w:rsidR="009741E8" w:rsidRPr="001271CE" w:rsidRDefault="009741E8" w:rsidP="009741E8">
            <w:pPr>
              <w:ind w:firstLine="0"/>
            </w:pPr>
            <w:r w:rsidRPr="001271CE">
              <w:t xml:space="preserve">Pct. 64, 92 și 95 urmează să fie revizuite prin generalizare/comasare, în conformitate cu art. 14 din Legea 149/2025, întrucât acestea sunt similare din punct de vedere a conținutului. </w:t>
            </w:r>
          </w:p>
        </w:tc>
        <w:tc>
          <w:tcPr>
            <w:tcW w:w="6300" w:type="dxa"/>
            <w:tcBorders>
              <w:top w:val="single" w:sz="4" w:space="0" w:color="auto"/>
              <w:bottom w:val="single" w:sz="4" w:space="0" w:color="auto"/>
            </w:tcBorders>
            <w:tcMar>
              <w:top w:w="0" w:type="dxa"/>
              <w:left w:w="108" w:type="dxa"/>
              <w:bottom w:w="0" w:type="dxa"/>
              <w:right w:w="108" w:type="dxa"/>
            </w:tcMar>
          </w:tcPr>
          <w:p w14:paraId="4514983F" w14:textId="77777777" w:rsidR="009741E8" w:rsidRPr="001271CE" w:rsidRDefault="00C01B8D" w:rsidP="009741E8">
            <w:pPr>
              <w:ind w:firstLine="0"/>
            </w:pPr>
            <w:r w:rsidRPr="001271CE">
              <w:t>Nu se acceptă.</w:t>
            </w:r>
          </w:p>
          <w:p w14:paraId="7B4CE60A" w14:textId="2BD9E07A" w:rsidR="00C01B8D" w:rsidRPr="001271CE" w:rsidRDefault="00C01B8D" w:rsidP="009741E8">
            <w:pPr>
              <w:ind w:firstLine="0"/>
            </w:pPr>
            <w:r w:rsidRPr="001271CE">
              <w:t>Deși toate cele trei prevederi vizează acorduri de finanțare în sensul art. 14 din Legea nr. 149/2025, acestea se referă la instrumente distincte (granturi, sprijin bugetar direct și contribuții voluntare), care implică tipuri diferite de beneficiari și regimuri juridice diferite. Prin urmare, menținerea unor prevederi separate permite adaptarea conținutului acordului de finanțare la specificul fiecărui instrument și corespunde practicii internaționale în domeniu.</w:t>
            </w:r>
          </w:p>
        </w:tc>
      </w:tr>
      <w:tr w:rsidR="009741E8" w:rsidRPr="001271CE" w14:paraId="220CA56C" w14:textId="77777777" w:rsidTr="003411E9">
        <w:trPr>
          <w:trHeight w:val="314"/>
        </w:trPr>
        <w:tc>
          <w:tcPr>
            <w:tcW w:w="2166" w:type="dxa"/>
            <w:vMerge/>
            <w:tcMar>
              <w:top w:w="0" w:type="dxa"/>
              <w:left w:w="108" w:type="dxa"/>
              <w:bottom w:w="0" w:type="dxa"/>
              <w:right w:w="108" w:type="dxa"/>
            </w:tcMar>
          </w:tcPr>
          <w:p w14:paraId="0B238765"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6D0DD3E7"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4687372F" w14:textId="73B46C5B" w:rsidR="009741E8" w:rsidRPr="001271CE" w:rsidRDefault="009741E8" w:rsidP="009741E8">
            <w:pPr>
              <w:ind w:firstLine="0"/>
            </w:pPr>
            <w:r w:rsidRPr="001271CE">
              <w:t>Pct. 69 este considerat inoportun, fiindcă plățile efectuate în cuantum de până la 100% nu pot fi încadrate în categoria plăților în avans.</w:t>
            </w:r>
          </w:p>
        </w:tc>
        <w:tc>
          <w:tcPr>
            <w:tcW w:w="6300" w:type="dxa"/>
            <w:tcBorders>
              <w:top w:val="single" w:sz="4" w:space="0" w:color="auto"/>
              <w:bottom w:val="single" w:sz="4" w:space="0" w:color="auto"/>
            </w:tcBorders>
            <w:tcMar>
              <w:top w:w="0" w:type="dxa"/>
              <w:left w:w="108" w:type="dxa"/>
              <w:bottom w:w="0" w:type="dxa"/>
              <w:right w:w="108" w:type="dxa"/>
            </w:tcMar>
          </w:tcPr>
          <w:p w14:paraId="0AD78CA3" w14:textId="77777777" w:rsidR="009741E8" w:rsidRPr="001271CE" w:rsidRDefault="00D02E4C" w:rsidP="009741E8">
            <w:pPr>
              <w:ind w:firstLine="0"/>
            </w:pPr>
            <w:r w:rsidRPr="001271CE">
              <w:t>Se acceptă parțial.</w:t>
            </w:r>
          </w:p>
          <w:p w14:paraId="4C5CE010" w14:textId="1CBBDCF1" w:rsidR="00D02E4C" w:rsidRPr="001271CE" w:rsidRDefault="00D02E4C" w:rsidP="009741E8">
            <w:pPr>
              <w:ind w:firstLine="0"/>
            </w:pPr>
            <w:r w:rsidRPr="001271CE">
              <w:t>Textul a fost reformulat pentru a evita utilizarea noțiunii de „plăți în avans” și pentru a reflecta mai clar posibilitatea efectuării plăților înainte de realizarea activităților finanțate, menținând însă aceeași flexibilitate privind cuantumul plăților către beneficiari</w:t>
            </w:r>
            <w:r w:rsidR="00903823" w:rsidRPr="001271CE">
              <w:t>, conform practicii internaționale în domeniu.</w:t>
            </w:r>
          </w:p>
        </w:tc>
      </w:tr>
      <w:tr w:rsidR="009741E8" w:rsidRPr="001271CE" w14:paraId="59916647" w14:textId="77777777" w:rsidTr="003411E9">
        <w:trPr>
          <w:trHeight w:val="314"/>
        </w:trPr>
        <w:tc>
          <w:tcPr>
            <w:tcW w:w="2166" w:type="dxa"/>
            <w:vMerge/>
            <w:tcMar>
              <w:top w:w="0" w:type="dxa"/>
              <w:left w:w="108" w:type="dxa"/>
              <w:bottom w:w="0" w:type="dxa"/>
              <w:right w:w="108" w:type="dxa"/>
            </w:tcMar>
          </w:tcPr>
          <w:p w14:paraId="5A32F161"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6F630B93"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45BFF17A" w14:textId="629D15E2" w:rsidR="009741E8" w:rsidRPr="001271CE" w:rsidRDefault="009741E8" w:rsidP="009741E8">
            <w:pPr>
              <w:ind w:firstLine="0"/>
            </w:pPr>
            <w:r w:rsidRPr="001271CE">
              <w:t>La pct. 88, nu se precizează în ce situații se aplică varianta generală și în ce situații se acordă sprijin sectorial. Astfel, decizia rămâne nefundamentată, implicațiile fiecărui tip de sprijin fiind neclare.</w:t>
            </w:r>
          </w:p>
        </w:tc>
        <w:tc>
          <w:tcPr>
            <w:tcW w:w="6300" w:type="dxa"/>
            <w:tcBorders>
              <w:top w:val="single" w:sz="4" w:space="0" w:color="auto"/>
              <w:bottom w:val="single" w:sz="4" w:space="0" w:color="auto"/>
            </w:tcBorders>
            <w:tcMar>
              <w:top w:w="0" w:type="dxa"/>
              <w:left w:w="108" w:type="dxa"/>
              <w:bottom w:w="0" w:type="dxa"/>
              <w:right w:w="108" w:type="dxa"/>
            </w:tcMar>
          </w:tcPr>
          <w:p w14:paraId="770DCB1D" w14:textId="77777777" w:rsidR="009741E8" w:rsidRPr="001271CE" w:rsidRDefault="00063EEA" w:rsidP="009741E8">
            <w:pPr>
              <w:ind w:firstLine="0"/>
            </w:pPr>
            <w:r w:rsidRPr="001271CE">
              <w:t>Se acceptă.</w:t>
            </w:r>
          </w:p>
          <w:p w14:paraId="6F9F9E86" w14:textId="6E03DA7F" w:rsidR="00063EEA" w:rsidRPr="001271CE" w:rsidRDefault="00063EEA" w:rsidP="009741E8">
            <w:pPr>
              <w:ind w:firstLine="0"/>
            </w:pPr>
            <w:r w:rsidRPr="001271CE">
              <w:t xml:space="preserve">Proiectul a fost </w:t>
            </w:r>
            <w:r w:rsidR="003F0C3A" w:rsidRPr="001271CE">
              <w:t>completat.</w:t>
            </w:r>
          </w:p>
        </w:tc>
      </w:tr>
      <w:tr w:rsidR="009741E8" w:rsidRPr="001271CE" w14:paraId="410AD0F6" w14:textId="77777777" w:rsidTr="003411E9">
        <w:trPr>
          <w:trHeight w:val="314"/>
        </w:trPr>
        <w:tc>
          <w:tcPr>
            <w:tcW w:w="2166" w:type="dxa"/>
            <w:vMerge/>
            <w:tcMar>
              <w:top w:w="0" w:type="dxa"/>
              <w:left w:w="108" w:type="dxa"/>
              <w:bottom w:w="0" w:type="dxa"/>
              <w:right w:w="108" w:type="dxa"/>
            </w:tcMar>
          </w:tcPr>
          <w:p w14:paraId="3A0D8557"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33C12263"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5E65C179" w14:textId="77777777" w:rsidR="009741E8" w:rsidRPr="001271CE" w:rsidRDefault="009741E8" w:rsidP="009741E8">
            <w:pPr>
              <w:ind w:firstLine="0"/>
            </w:pPr>
            <w:r w:rsidRPr="001271CE">
              <w:rPr>
                <w:i/>
                <w:iCs/>
              </w:rPr>
              <w:t>La Nota de fundamentare.</w:t>
            </w:r>
            <w:r w:rsidRPr="001271CE">
              <w:t xml:space="preserve"> </w:t>
            </w:r>
          </w:p>
          <w:p w14:paraId="13510A42" w14:textId="6A99CC91" w:rsidR="009741E8" w:rsidRPr="001271CE" w:rsidRDefault="009741E8" w:rsidP="009741E8">
            <w:pPr>
              <w:ind w:firstLine="0"/>
            </w:pPr>
            <w:r w:rsidRPr="001271CE">
              <w:lastRenderedPageBreak/>
              <w:t xml:space="preserve">Examinarea impactului financiar aferent proiectului de Regulament relevă o serie de riscuri și constrângeri bugetare majore, care nu permit susținerea acestuia în forma propusă. Deși se menționează că proiectul nu generează un impact financiar direct asupra cheltuielilor de personal existente, analiza detaliată arată că implementarea prevederilor sale presupune, în realitate, costuri suplimentare semnificative pe termen scurt, mediu și lung. Aceste costuri privesc atât finanțarea activităților de cooperare internațională pentru dezvoltare și asistență umanitară, cât și acoperirea cheltuielilor administrative necesare pentru funcționarea mecanismului. </w:t>
            </w:r>
          </w:p>
        </w:tc>
        <w:tc>
          <w:tcPr>
            <w:tcW w:w="6300" w:type="dxa"/>
            <w:tcBorders>
              <w:top w:val="single" w:sz="4" w:space="0" w:color="auto"/>
              <w:bottom w:val="single" w:sz="4" w:space="0" w:color="auto"/>
            </w:tcBorders>
            <w:tcMar>
              <w:top w:w="0" w:type="dxa"/>
              <w:left w:w="108" w:type="dxa"/>
              <w:bottom w:w="0" w:type="dxa"/>
              <w:right w:w="108" w:type="dxa"/>
            </w:tcMar>
          </w:tcPr>
          <w:p w14:paraId="497B5384" w14:textId="77777777" w:rsidR="009741E8" w:rsidRPr="001271CE" w:rsidRDefault="00061B7C" w:rsidP="009741E8">
            <w:pPr>
              <w:ind w:firstLine="0"/>
            </w:pPr>
            <w:r w:rsidRPr="001271CE">
              <w:lastRenderedPageBreak/>
              <w:t>Nu se acceptă.</w:t>
            </w:r>
          </w:p>
          <w:p w14:paraId="270334BC" w14:textId="252CC776" w:rsidR="00061B7C" w:rsidRPr="001271CE" w:rsidRDefault="00061B7C" w:rsidP="009741E8">
            <w:pPr>
              <w:ind w:firstLine="0"/>
            </w:pPr>
            <w:r w:rsidRPr="001271CE">
              <w:lastRenderedPageBreak/>
              <w:t>Proiectul de Regulament nu instituie obligații bugetare automate, ci operaționalizează prevederile Legii nr. 149/2025, ale cărei implementare a fost asumată prin decizie politică la nivel înalt. Toate alocările financiare rămân condiționate de cadrul bugetar pe termen mediu și de legea anuală a bugetului de stat. Estimările prezentate în Nota de fundamentare reflectă un exercițiu de transparență și responsabilitate, nu angajamente financiare. Implementarea mecanismului este cu atât mai necesară în contextul avansării Republicii Moldova în procesul de integrare europeană și al deschiderii negocierilor pe toate cele șase clustere.</w:t>
            </w:r>
          </w:p>
        </w:tc>
      </w:tr>
      <w:tr w:rsidR="009741E8" w:rsidRPr="001271CE" w14:paraId="734AAF11" w14:textId="77777777" w:rsidTr="003411E9">
        <w:trPr>
          <w:trHeight w:val="314"/>
        </w:trPr>
        <w:tc>
          <w:tcPr>
            <w:tcW w:w="2166" w:type="dxa"/>
            <w:vMerge/>
            <w:tcMar>
              <w:top w:w="0" w:type="dxa"/>
              <w:left w:w="108" w:type="dxa"/>
              <w:bottom w:w="0" w:type="dxa"/>
              <w:right w:w="108" w:type="dxa"/>
            </w:tcMar>
          </w:tcPr>
          <w:p w14:paraId="4E8C620E"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7A9A96E3"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179B8092" w14:textId="6B57FBFA" w:rsidR="009741E8" w:rsidRPr="001271CE" w:rsidRDefault="009741E8" w:rsidP="009741E8">
            <w:pPr>
              <w:ind w:firstLine="0"/>
            </w:pPr>
            <w:r w:rsidRPr="001271CE">
              <w:t xml:space="preserve">Costurile operaționale estimate pentru anul 2027, în valoare de cca 800.000 lei reprezintă cheltuieli suplimentare care nu au acoperire în prezent. Extinderea personalului, dezvoltarea instrumentelor IT, evaluările externe și cheltuielile administrative pentru organizarea apelurilor de proiecte necesită alocări bugetare noi, pentru care nu există garanții privind identificarea surselor de finanțare. </w:t>
            </w:r>
          </w:p>
        </w:tc>
        <w:tc>
          <w:tcPr>
            <w:tcW w:w="6300" w:type="dxa"/>
            <w:tcBorders>
              <w:top w:val="single" w:sz="4" w:space="0" w:color="auto"/>
              <w:bottom w:val="single" w:sz="4" w:space="0" w:color="auto"/>
            </w:tcBorders>
            <w:tcMar>
              <w:top w:w="0" w:type="dxa"/>
              <w:left w:w="108" w:type="dxa"/>
              <w:bottom w:w="0" w:type="dxa"/>
              <w:right w:w="108" w:type="dxa"/>
            </w:tcMar>
          </w:tcPr>
          <w:p w14:paraId="0A43C3AB" w14:textId="77777777" w:rsidR="00A23CF4" w:rsidRPr="001271CE" w:rsidRDefault="00A23CF4" w:rsidP="009741E8">
            <w:pPr>
              <w:ind w:firstLine="0"/>
            </w:pPr>
            <w:r w:rsidRPr="001271CE">
              <w:t xml:space="preserve">Nu se acceptă. </w:t>
            </w:r>
          </w:p>
          <w:p w14:paraId="43A02F7D" w14:textId="2769F1AA" w:rsidR="009741E8" w:rsidRPr="001271CE" w:rsidRDefault="00A23CF4" w:rsidP="009741E8">
            <w:pPr>
              <w:ind w:firstLine="0"/>
            </w:pPr>
            <w:r w:rsidRPr="001271CE">
              <w:t>Costurile estimate au caracter orientativ și nu creează obligații bugetare în sine. Totodată, în Cadrul Bugetar pe Termen Mediu pentru anul 2027 a fost deja proiectată suma de 1 milion lei pentru activități în domeniul cooperării internaționale pentru dezvoltare și asistență umanitară. Suplimentar, cheltuielile de consolidare instituțională (inclusiv salarizarea personalului) sunt eligibile pentru raportare ca asistență oficială pentru dezvoltare (AOD) conform standardelor OCDE-DAC, cu care Republica Moldova a inițiat deja dialogul privind colectarea și raportarea datelor.</w:t>
            </w:r>
          </w:p>
        </w:tc>
      </w:tr>
      <w:tr w:rsidR="009741E8" w:rsidRPr="001271CE" w14:paraId="482ED0F1" w14:textId="77777777" w:rsidTr="003411E9">
        <w:trPr>
          <w:trHeight w:val="314"/>
        </w:trPr>
        <w:tc>
          <w:tcPr>
            <w:tcW w:w="2166" w:type="dxa"/>
            <w:vMerge/>
            <w:tcMar>
              <w:top w:w="0" w:type="dxa"/>
              <w:left w:w="108" w:type="dxa"/>
              <w:bottom w:w="0" w:type="dxa"/>
              <w:right w:w="108" w:type="dxa"/>
            </w:tcMar>
          </w:tcPr>
          <w:p w14:paraId="132B0528"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74718B3F"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42F7E72C" w14:textId="769EDE5F" w:rsidR="009741E8" w:rsidRPr="001271CE" w:rsidRDefault="009741E8" w:rsidP="009741E8">
            <w:pPr>
              <w:ind w:firstLine="0"/>
            </w:pPr>
            <w:r w:rsidRPr="001271CE">
              <w:t>La pct.4.2 autorul nici nu estimează volumul cheltuielilor necesare finanțării activităților de cooperare internațională pentru dezvoltare și asistență umanitară, menționând că acesta va fi determinat ulterior. Lipsa estimării costului integral creează un risc substanțial de subestimare a necesarului bugetar și poate genera presiuni neplanificate asupra bugetului de stat începând cu anul 2027. În context, se propune examinarea suplimentară a experienței pe domeniul dat a țărilor candidate la UE care se află la o etapă mai avansată de negociere, precum și a celor din cadrul UE în perioada incipientă de implementare a activităților menționate.</w:t>
            </w:r>
          </w:p>
        </w:tc>
        <w:tc>
          <w:tcPr>
            <w:tcW w:w="6300" w:type="dxa"/>
            <w:tcBorders>
              <w:top w:val="single" w:sz="4" w:space="0" w:color="auto"/>
              <w:bottom w:val="single" w:sz="4" w:space="0" w:color="auto"/>
            </w:tcBorders>
            <w:tcMar>
              <w:top w:w="0" w:type="dxa"/>
              <w:left w:w="108" w:type="dxa"/>
              <w:bottom w:w="0" w:type="dxa"/>
              <w:right w:w="108" w:type="dxa"/>
            </w:tcMar>
          </w:tcPr>
          <w:p w14:paraId="3DE67CDD" w14:textId="77777777" w:rsidR="00F45C5B" w:rsidRPr="001271CE" w:rsidRDefault="00F45C5B" w:rsidP="009741E8">
            <w:pPr>
              <w:ind w:firstLine="0"/>
            </w:pPr>
            <w:r w:rsidRPr="001271CE">
              <w:t>Nu se acceptă.</w:t>
            </w:r>
          </w:p>
          <w:p w14:paraId="701320B7" w14:textId="77777777" w:rsidR="00F45C5B" w:rsidRPr="001271CE" w:rsidRDefault="00F45C5B" w:rsidP="009741E8">
            <w:pPr>
              <w:ind w:firstLine="0"/>
            </w:pPr>
            <w:r w:rsidRPr="001271CE">
              <w:t>Volumul fondurilor destinate activităților de cooperare internațională pentru dezvoltare nu poate fi stabilit în etapa de adoptare a Regulamentului, întrucât Legea nr. 149/2025 prevede expres că alocările se stabilesc prin Cadrul Bugetar pe Termen Mediu și prin legea anuală a bugetului de stat, iar estimarea multianuală urmează a fi realizată prin Programul multianual strategic. Această abordare este conformă cadrului legal și practicilor europene.</w:t>
            </w:r>
          </w:p>
          <w:p w14:paraId="3B6C636B" w14:textId="3AA145A8" w:rsidR="00130025" w:rsidRPr="001271CE" w:rsidRDefault="00130025" w:rsidP="009741E8">
            <w:pPr>
              <w:ind w:firstLine="0"/>
            </w:pPr>
            <w:r w:rsidRPr="001271CE">
              <w:t>Procesul de elaborare a cadrului normativ s-a bazat deja pe bunele practici ale Uniunii Europene și ale statelor membre, precum și pe standardele OCDE-DAC, inclusiv în materie de transparență, monitorizare și evaluare. Republica Moldova se află într-o etapă avansată a procesului de integrare europeană, urmând deschiderea negocierilor pe toate cele șase clustere, iar instituirea funcțională a mecanismului național de cooperare pentru dezvoltare este parte a acestui parcurs și nu poate fi amânată în lipsa unor „garanții bugetare” absolute, care oricum sunt asigurate prin procedurile bugetare ordinare.</w:t>
            </w:r>
          </w:p>
        </w:tc>
      </w:tr>
      <w:tr w:rsidR="009741E8" w:rsidRPr="001271CE" w14:paraId="31949672" w14:textId="77777777" w:rsidTr="003411E9">
        <w:trPr>
          <w:trHeight w:val="314"/>
        </w:trPr>
        <w:tc>
          <w:tcPr>
            <w:tcW w:w="2166" w:type="dxa"/>
            <w:vMerge/>
            <w:tcMar>
              <w:top w:w="0" w:type="dxa"/>
              <w:left w:w="108" w:type="dxa"/>
              <w:bottom w:w="0" w:type="dxa"/>
              <w:right w:w="108" w:type="dxa"/>
            </w:tcMar>
          </w:tcPr>
          <w:p w14:paraId="47129BEC" w14:textId="77777777" w:rsidR="009741E8" w:rsidRPr="001271CE" w:rsidRDefault="009741E8" w:rsidP="009741E8">
            <w:pPr>
              <w:ind w:firstLine="0"/>
              <w:jc w:val="left"/>
            </w:pPr>
          </w:p>
        </w:tc>
        <w:tc>
          <w:tcPr>
            <w:tcW w:w="516" w:type="dxa"/>
            <w:tcBorders>
              <w:top w:val="single" w:sz="4" w:space="0" w:color="auto"/>
              <w:bottom w:val="single" w:sz="4" w:space="0" w:color="auto"/>
            </w:tcBorders>
            <w:tcMar>
              <w:top w:w="0" w:type="dxa"/>
              <w:left w:w="108" w:type="dxa"/>
              <w:bottom w:w="0" w:type="dxa"/>
              <w:right w:w="108" w:type="dxa"/>
            </w:tcMar>
          </w:tcPr>
          <w:p w14:paraId="2FF47591" w14:textId="77777777" w:rsidR="009741E8" w:rsidRPr="001271CE" w:rsidRDefault="009741E8" w:rsidP="009741E8">
            <w:pPr>
              <w:pStyle w:val="ListParagraph"/>
              <w:numPr>
                <w:ilvl w:val="0"/>
                <w:numId w:val="1"/>
              </w:numPr>
              <w:ind w:right="76"/>
              <w:jc w:val="left"/>
            </w:pPr>
          </w:p>
        </w:tc>
        <w:tc>
          <w:tcPr>
            <w:tcW w:w="5706" w:type="dxa"/>
            <w:tcBorders>
              <w:top w:val="single" w:sz="4" w:space="0" w:color="auto"/>
              <w:bottom w:val="single" w:sz="4" w:space="0" w:color="auto"/>
            </w:tcBorders>
            <w:tcMar>
              <w:top w:w="0" w:type="dxa"/>
              <w:left w:w="108" w:type="dxa"/>
              <w:bottom w:w="0" w:type="dxa"/>
              <w:right w:w="108" w:type="dxa"/>
            </w:tcMar>
          </w:tcPr>
          <w:p w14:paraId="504F046E" w14:textId="66F835C7" w:rsidR="009741E8" w:rsidRPr="001271CE" w:rsidRDefault="009741E8" w:rsidP="009741E8">
            <w:pPr>
              <w:ind w:firstLine="0"/>
            </w:pPr>
            <w:r w:rsidRPr="001271CE">
              <w:t xml:space="preserve">În concluzie, ținând cont de constrângerile bugetare, concentrarea asupra implementării Agendei de reforme, precum și în lipsa unei fundamentări financiare complete și sustenabile, proiectul prezintă riscuri majore asupra bugetului de stat. Adoptarea acestuia, în forma propusă, ar genera obligații financiare suplimentare fără a exista </w:t>
            </w:r>
            <w:r w:rsidRPr="001271CE">
              <w:lastRenderedPageBreak/>
              <w:t>garanții privind acoperirea lor, fapt neadmis de cadrul normativ bugetar în vigoare.</w:t>
            </w:r>
          </w:p>
        </w:tc>
        <w:tc>
          <w:tcPr>
            <w:tcW w:w="6300" w:type="dxa"/>
            <w:tcBorders>
              <w:top w:val="single" w:sz="4" w:space="0" w:color="auto"/>
              <w:bottom w:val="single" w:sz="4" w:space="0" w:color="auto"/>
            </w:tcBorders>
            <w:tcMar>
              <w:top w:w="0" w:type="dxa"/>
              <w:left w:w="108" w:type="dxa"/>
              <w:bottom w:w="0" w:type="dxa"/>
              <w:right w:w="108" w:type="dxa"/>
            </w:tcMar>
          </w:tcPr>
          <w:p w14:paraId="215277C9" w14:textId="77777777" w:rsidR="00216DC5" w:rsidRPr="001271CE" w:rsidRDefault="00216DC5" w:rsidP="009741E8">
            <w:pPr>
              <w:ind w:firstLine="0"/>
            </w:pPr>
            <w:r w:rsidRPr="001271CE">
              <w:lastRenderedPageBreak/>
              <w:t>Nu se acceptă.</w:t>
            </w:r>
          </w:p>
          <w:p w14:paraId="0269D81E" w14:textId="31362020" w:rsidR="009741E8" w:rsidRPr="001271CE" w:rsidRDefault="00077408" w:rsidP="009741E8">
            <w:pPr>
              <w:ind w:firstLine="0"/>
            </w:pPr>
            <w:r w:rsidRPr="001271CE">
              <w:t xml:space="preserve">Proiectul nu generează obligații financiare suplimentare prin el însuși și nu derogă de la cadrul normativ bugetar în vigoare. Toate cheltuielile rămân supuse aprobării prin procedurile bugetare ordinare. Adoptarea Regulamentului reprezintă o obligație legală derivată din Legea nr. 149/2025 </w:t>
            </w:r>
            <w:r w:rsidRPr="001271CE">
              <w:lastRenderedPageBreak/>
              <w:t>și o condiție esențială pentru funcționalizarea unui domeniu strategic pentru politica externă și procesul de integrare europeană, susținut constant prin decizii politice la nivel înalt și prin consultările cu societatea civilă.</w:t>
            </w:r>
          </w:p>
        </w:tc>
      </w:tr>
      <w:tr w:rsidR="009741E8" w:rsidRPr="001271CE" w14:paraId="3EAF7FF4" w14:textId="77777777" w:rsidTr="003411E9">
        <w:trPr>
          <w:trHeight w:val="300"/>
        </w:trPr>
        <w:tc>
          <w:tcPr>
            <w:tcW w:w="2166" w:type="dxa"/>
            <w:vMerge w:val="restart"/>
            <w:tcMar>
              <w:top w:w="0" w:type="dxa"/>
              <w:left w:w="108" w:type="dxa"/>
              <w:bottom w:w="0" w:type="dxa"/>
              <w:right w:w="108" w:type="dxa"/>
            </w:tcMar>
          </w:tcPr>
          <w:p w14:paraId="20782F8B" w14:textId="77777777" w:rsidR="009741E8" w:rsidRPr="001271CE" w:rsidRDefault="009741E8" w:rsidP="009741E8">
            <w:pPr>
              <w:ind w:firstLine="0"/>
              <w:jc w:val="left"/>
            </w:pPr>
            <w:r w:rsidRPr="001271CE">
              <w:lastRenderedPageBreak/>
              <w:t>Ministerul Afacerilor Interne</w:t>
            </w:r>
          </w:p>
          <w:p w14:paraId="01518AFB" w14:textId="77777777" w:rsidR="009741E8" w:rsidRPr="001271CE" w:rsidRDefault="009741E8" w:rsidP="009741E8">
            <w:pPr>
              <w:ind w:firstLine="0"/>
              <w:jc w:val="left"/>
            </w:pPr>
            <w:r w:rsidRPr="001271CE">
              <w:rPr>
                <w:i/>
                <w:iCs/>
              </w:rPr>
              <w:t>Nr. 41/ 4269 din 3 decembrie 2025</w:t>
            </w:r>
          </w:p>
          <w:p w14:paraId="25CFF399" w14:textId="77777777" w:rsidR="00FA1E7C" w:rsidRPr="001271CE" w:rsidRDefault="00FA1E7C" w:rsidP="009741E8">
            <w:pPr>
              <w:ind w:firstLine="0"/>
              <w:jc w:val="left"/>
            </w:pPr>
          </w:p>
          <w:p w14:paraId="19E03D78" w14:textId="534225F8" w:rsidR="00FA1E7C" w:rsidRPr="001271CE" w:rsidRDefault="00FA1E7C" w:rsidP="009741E8">
            <w:pPr>
              <w:ind w:firstLine="0"/>
              <w:jc w:val="left"/>
            </w:pPr>
            <w:r w:rsidRPr="001271CE">
              <w:t xml:space="preserve">Pozițiile MAE și MAI au fost </w:t>
            </w:r>
            <w:r w:rsidR="00A424E0" w:rsidRPr="001271CE">
              <w:t>coordonate</w:t>
            </w:r>
            <w:r w:rsidRPr="001271CE">
              <w:t xml:space="preserve"> în cadrul ședinței de lucru din data de 20.01.2026 </w:t>
            </w:r>
            <w:r w:rsidRPr="001271CE">
              <w:rPr>
                <w:i/>
                <w:iCs/>
              </w:rPr>
              <w:t>(conform Procesului verbal nr. 2, care se anexează)</w:t>
            </w:r>
          </w:p>
        </w:tc>
        <w:tc>
          <w:tcPr>
            <w:tcW w:w="516" w:type="dxa"/>
            <w:tcMar>
              <w:top w:w="0" w:type="dxa"/>
              <w:left w:w="108" w:type="dxa"/>
              <w:bottom w:w="0" w:type="dxa"/>
              <w:right w:w="108" w:type="dxa"/>
            </w:tcMar>
          </w:tcPr>
          <w:p w14:paraId="4AA2E854"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6B7C025" w14:textId="155C5B77" w:rsidR="009741E8" w:rsidRPr="001271CE" w:rsidRDefault="009741E8" w:rsidP="009741E8">
            <w:pPr>
              <w:ind w:firstLine="0"/>
            </w:pPr>
            <w:r w:rsidRPr="001271CE">
              <w:t>În clauza de adoptare, temeiul se va completa și cu art. 12 alin. (2) din Legea nr. 149/2025 cu privire la cooperarea internațională pentru dezvoltare și asistență umanitară, normă din care reiese expres competența Guvernului de a aproba Regulamentul privind mecanismul de realizare a activităților de cooperare internațională pentru dezvoltare și asistență umanitară.</w:t>
            </w:r>
          </w:p>
        </w:tc>
        <w:tc>
          <w:tcPr>
            <w:tcW w:w="6300" w:type="dxa"/>
            <w:tcMar>
              <w:top w:w="0" w:type="dxa"/>
              <w:left w:w="108" w:type="dxa"/>
              <w:bottom w:w="0" w:type="dxa"/>
              <w:right w:w="108" w:type="dxa"/>
            </w:tcMar>
          </w:tcPr>
          <w:p w14:paraId="3739174E" w14:textId="77777777" w:rsidR="009741E8" w:rsidRPr="001271CE" w:rsidRDefault="00905E04" w:rsidP="009741E8">
            <w:pPr>
              <w:ind w:firstLine="0"/>
            </w:pPr>
            <w:r w:rsidRPr="001271CE">
              <w:t>Se acceptă.</w:t>
            </w:r>
          </w:p>
          <w:p w14:paraId="32533F48" w14:textId="1E20F713" w:rsidR="00905E04" w:rsidRPr="001271CE" w:rsidRDefault="00905E04" w:rsidP="009741E8">
            <w:pPr>
              <w:ind w:firstLine="0"/>
            </w:pPr>
            <w:r w:rsidRPr="001271CE">
              <w:t>Clauza de adoptare a fost completată.</w:t>
            </w:r>
          </w:p>
        </w:tc>
      </w:tr>
      <w:tr w:rsidR="009741E8" w:rsidRPr="001271CE" w14:paraId="7F9CD41E" w14:textId="77777777" w:rsidTr="003411E9">
        <w:trPr>
          <w:trHeight w:val="300"/>
        </w:trPr>
        <w:tc>
          <w:tcPr>
            <w:tcW w:w="2166" w:type="dxa"/>
            <w:vMerge/>
            <w:tcMar>
              <w:top w:w="0" w:type="dxa"/>
              <w:left w:w="108" w:type="dxa"/>
              <w:bottom w:w="0" w:type="dxa"/>
              <w:right w:w="108" w:type="dxa"/>
            </w:tcMar>
          </w:tcPr>
          <w:p w14:paraId="0D8F5B88" w14:textId="77777777" w:rsidR="009741E8" w:rsidRPr="001271CE" w:rsidRDefault="009741E8" w:rsidP="009741E8">
            <w:pPr>
              <w:ind w:firstLine="0"/>
              <w:jc w:val="left"/>
            </w:pPr>
          </w:p>
        </w:tc>
        <w:tc>
          <w:tcPr>
            <w:tcW w:w="516" w:type="dxa"/>
            <w:tcMar>
              <w:top w:w="0" w:type="dxa"/>
              <w:left w:w="108" w:type="dxa"/>
              <w:bottom w:w="0" w:type="dxa"/>
              <w:right w:w="108" w:type="dxa"/>
            </w:tcMar>
          </w:tcPr>
          <w:p w14:paraId="4FB73198"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41F66F1B" w14:textId="27E84F4D" w:rsidR="009741E8" w:rsidRPr="001271CE" w:rsidRDefault="009741E8" w:rsidP="009741E8">
            <w:pPr>
              <w:ind w:firstLine="0"/>
            </w:pPr>
            <w:r w:rsidRPr="001271CE">
              <w:t>Cu referire la pct. 2, care stabilește că prezenta hotărâre intră în vigoare la 1 ianuarie 2027, se menționează că în nota de fundamentare lipsește justificarea termenului de intrare în vigoare a actului normativ, or, potrivit art. 56 din Legea nr. 100/2017 cu privire la actele normative, actele normative intră în vigoare peste o lună de la data publicării în Monitorul Oficial al Republicii Moldova sau la data indicată în textul actului normativ, care nu poate fi anterioară datei publicării. Intrarea în vigoare a actelor normative poate fi stabilită pentru o altă dată doar în cazul în care se urmărește protecția drepturilor și libertăților fundamentale ale omului, realizarea angajamentelor internaționale ale Republicii Moldova, conformarea cadrului normativ hotărârilor Curții Constituționale, eliminarea unor lacune din legislație sau contradicții între actele normative ori dacă există alte circumstanțe obiective.</w:t>
            </w:r>
          </w:p>
        </w:tc>
        <w:tc>
          <w:tcPr>
            <w:tcW w:w="6300" w:type="dxa"/>
            <w:tcMar>
              <w:top w:w="0" w:type="dxa"/>
              <w:left w:w="108" w:type="dxa"/>
              <w:bottom w:w="0" w:type="dxa"/>
              <w:right w:w="108" w:type="dxa"/>
            </w:tcMar>
          </w:tcPr>
          <w:p w14:paraId="3F0B484E" w14:textId="2086796B" w:rsidR="009741E8" w:rsidRPr="001271CE" w:rsidRDefault="00905E04" w:rsidP="009741E8">
            <w:pPr>
              <w:ind w:firstLine="0"/>
            </w:pPr>
            <w:r w:rsidRPr="001271CE">
              <w:t>Se acceptă.</w:t>
            </w:r>
          </w:p>
          <w:p w14:paraId="55A65817" w14:textId="257939F2" w:rsidR="00905E04" w:rsidRPr="001271CE" w:rsidRDefault="00905E04" w:rsidP="009741E8">
            <w:pPr>
              <w:ind w:firstLine="0"/>
            </w:pPr>
            <w:r w:rsidRPr="001271CE">
              <w:t>Data intrării în vigoare a HG a fost modificată din 1 ianuarie 2027 în 1 iulie 2026.</w:t>
            </w:r>
          </w:p>
          <w:p w14:paraId="23D935E2" w14:textId="77777777" w:rsidR="00905E04" w:rsidRPr="001271CE" w:rsidRDefault="00905E04" w:rsidP="00905E04"/>
          <w:p w14:paraId="7469E4F7" w14:textId="77777777" w:rsidR="00905E04" w:rsidRPr="001271CE" w:rsidRDefault="00905E04" w:rsidP="00905E04"/>
          <w:p w14:paraId="26114550" w14:textId="1D81CC3F" w:rsidR="00905E04" w:rsidRPr="001271CE" w:rsidRDefault="00905E04" w:rsidP="00905E04">
            <w:pPr>
              <w:tabs>
                <w:tab w:val="left" w:pos="1859"/>
              </w:tabs>
            </w:pPr>
            <w:r w:rsidRPr="001271CE">
              <w:tab/>
            </w:r>
          </w:p>
        </w:tc>
      </w:tr>
      <w:tr w:rsidR="009741E8" w:rsidRPr="001271CE" w14:paraId="3C00FADD" w14:textId="77777777" w:rsidTr="003411E9">
        <w:trPr>
          <w:trHeight w:val="300"/>
        </w:trPr>
        <w:tc>
          <w:tcPr>
            <w:tcW w:w="2166" w:type="dxa"/>
            <w:vMerge/>
            <w:tcMar>
              <w:top w:w="0" w:type="dxa"/>
              <w:left w:w="108" w:type="dxa"/>
              <w:bottom w:w="0" w:type="dxa"/>
              <w:right w:w="108" w:type="dxa"/>
            </w:tcMar>
          </w:tcPr>
          <w:p w14:paraId="7A5B3C83"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92D5F1C"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CA66FD6" w14:textId="06365D6C" w:rsidR="009741E8" w:rsidRPr="001271CE" w:rsidRDefault="009741E8" w:rsidP="009741E8">
            <w:pPr>
              <w:ind w:firstLine="0"/>
            </w:pPr>
            <w:r w:rsidRPr="001271CE">
              <w:t>Reieșind din considerentul că proiectul hotărârii de Guvern indică expres temeiul actului normativ, la pct. 1 se propune excluderea textului „ ,în temeiul prevederilor Legii nr. 149/2025 cu privire la cooperarea internațională pentru dezvoltare și asistență umanitară (în continuare – Lege)”.</w:t>
            </w:r>
          </w:p>
        </w:tc>
        <w:tc>
          <w:tcPr>
            <w:tcW w:w="6300" w:type="dxa"/>
            <w:tcMar>
              <w:top w:w="0" w:type="dxa"/>
              <w:left w:w="108" w:type="dxa"/>
              <w:bottom w:w="0" w:type="dxa"/>
              <w:right w:w="108" w:type="dxa"/>
            </w:tcMar>
          </w:tcPr>
          <w:p w14:paraId="43EE5358" w14:textId="77777777" w:rsidR="009741E8" w:rsidRPr="001271CE" w:rsidRDefault="00905E04" w:rsidP="009741E8">
            <w:pPr>
              <w:ind w:firstLine="0"/>
            </w:pPr>
            <w:r w:rsidRPr="001271CE">
              <w:t>Se acceptă.</w:t>
            </w:r>
          </w:p>
          <w:p w14:paraId="181D6D90" w14:textId="37F752F6" w:rsidR="00905E04" w:rsidRPr="001271CE" w:rsidRDefault="00905E04" w:rsidP="009741E8">
            <w:pPr>
              <w:ind w:firstLine="0"/>
            </w:pPr>
            <w:r w:rsidRPr="001271CE">
              <w:t>Pct. 1 fost modificat.</w:t>
            </w:r>
          </w:p>
        </w:tc>
      </w:tr>
      <w:tr w:rsidR="009741E8" w:rsidRPr="001271CE" w14:paraId="1E55D2AE" w14:textId="77777777" w:rsidTr="003411E9">
        <w:trPr>
          <w:trHeight w:val="300"/>
        </w:trPr>
        <w:tc>
          <w:tcPr>
            <w:tcW w:w="2166" w:type="dxa"/>
            <w:vMerge/>
            <w:tcMar>
              <w:top w:w="0" w:type="dxa"/>
              <w:left w:w="108" w:type="dxa"/>
              <w:bottom w:w="0" w:type="dxa"/>
              <w:right w:w="108" w:type="dxa"/>
            </w:tcMar>
          </w:tcPr>
          <w:p w14:paraId="645BD4DC" w14:textId="77777777" w:rsidR="009741E8" w:rsidRPr="001271CE" w:rsidRDefault="009741E8" w:rsidP="009741E8">
            <w:pPr>
              <w:ind w:firstLine="0"/>
              <w:jc w:val="left"/>
            </w:pPr>
          </w:p>
        </w:tc>
        <w:tc>
          <w:tcPr>
            <w:tcW w:w="516" w:type="dxa"/>
            <w:tcMar>
              <w:top w:w="0" w:type="dxa"/>
              <w:left w:w="108" w:type="dxa"/>
              <w:bottom w:w="0" w:type="dxa"/>
              <w:right w:w="108" w:type="dxa"/>
            </w:tcMar>
          </w:tcPr>
          <w:p w14:paraId="3201F0BD"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0F7D486C" w14:textId="21B5B78C" w:rsidR="009741E8" w:rsidRPr="001271CE" w:rsidRDefault="009741E8" w:rsidP="009741E8">
            <w:pPr>
              <w:ind w:firstLine="0"/>
            </w:pPr>
            <w:r w:rsidRPr="001271CE">
              <w:t>La pct. 2, subpct. 2.3 se va exclude, deoarece noțiunea de ,,beneficiar” se regăsește în art. 4 pct. 9 din Legea nr. 149/2025 cu privire la cooperarea internațională pentru dezvoltare și asistență umanitară. Or, în situația în care se dorește reglementarea obligațiilor beneficiarilor, acestea urmează să fie prevăzute expres într-o normă separată (la alt Capitol).</w:t>
            </w:r>
          </w:p>
        </w:tc>
        <w:tc>
          <w:tcPr>
            <w:tcW w:w="6300" w:type="dxa"/>
            <w:tcMar>
              <w:top w:w="0" w:type="dxa"/>
              <w:left w:w="108" w:type="dxa"/>
              <w:bottom w:w="0" w:type="dxa"/>
              <w:right w:w="108" w:type="dxa"/>
            </w:tcMar>
          </w:tcPr>
          <w:p w14:paraId="0DAB913F" w14:textId="77777777" w:rsidR="009741E8" w:rsidRPr="001271CE" w:rsidRDefault="00B7497E" w:rsidP="009741E8">
            <w:pPr>
              <w:ind w:firstLine="0"/>
            </w:pPr>
            <w:r w:rsidRPr="001271CE">
              <w:t xml:space="preserve">Se acceptă. </w:t>
            </w:r>
          </w:p>
          <w:p w14:paraId="54500ED5" w14:textId="073F3741" w:rsidR="00B7497E" w:rsidRPr="001271CE" w:rsidRDefault="00B7497E" w:rsidP="009741E8">
            <w:pPr>
              <w:ind w:firstLine="0"/>
            </w:pPr>
            <w:r w:rsidRPr="001271CE">
              <w:t>Pct. 2.3 a fost exclusă.</w:t>
            </w:r>
          </w:p>
        </w:tc>
      </w:tr>
      <w:tr w:rsidR="009741E8" w:rsidRPr="001271CE" w14:paraId="3114A4C2" w14:textId="77777777" w:rsidTr="003411E9">
        <w:trPr>
          <w:trHeight w:val="300"/>
        </w:trPr>
        <w:tc>
          <w:tcPr>
            <w:tcW w:w="2166" w:type="dxa"/>
            <w:vMerge/>
            <w:tcMar>
              <w:top w:w="0" w:type="dxa"/>
              <w:left w:w="108" w:type="dxa"/>
              <w:bottom w:w="0" w:type="dxa"/>
              <w:right w:w="108" w:type="dxa"/>
            </w:tcMar>
          </w:tcPr>
          <w:p w14:paraId="39C4E156" w14:textId="77777777" w:rsidR="009741E8" w:rsidRPr="001271CE" w:rsidRDefault="009741E8" w:rsidP="009741E8">
            <w:pPr>
              <w:ind w:firstLine="0"/>
              <w:jc w:val="left"/>
            </w:pPr>
          </w:p>
        </w:tc>
        <w:tc>
          <w:tcPr>
            <w:tcW w:w="516" w:type="dxa"/>
            <w:tcMar>
              <w:top w:w="0" w:type="dxa"/>
              <w:left w:w="108" w:type="dxa"/>
              <w:bottom w:w="0" w:type="dxa"/>
              <w:right w:w="108" w:type="dxa"/>
            </w:tcMar>
          </w:tcPr>
          <w:p w14:paraId="51056DCB"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5851DE82" w14:textId="17FAB879" w:rsidR="009741E8" w:rsidRPr="001271CE" w:rsidRDefault="009741E8" w:rsidP="009741E8">
            <w:pPr>
              <w:ind w:firstLine="0"/>
            </w:pPr>
            <w:r w:rsidRPr="001271CE">
              <w:t>Subsecvent, la noțiunea ,,proiect” de la pct. 2 subpct. 2.6, se utilizează termenul de ,,asistență umanitară de urgență” care nu este definit și nu reiese nici din prevederile Legii prenotate.</w:t>
            </w:r>
          </w:p>
        </w:tc>
        <w:tc>
          <w:tcPr>
            <w:tcW w:w="6300" w:type="dxa"/>
            <w:tcMar>
              <w:top w:w="0" w:type="dxa"/>
              <w:left w:w="108" w:type="dxa"/>
              <w:bottom w:w="0" w:type="dxa"/>
              <w:right w:w="108" w:type="dxa"/>
            </w:tcMar>
          </w:tcPr>
          <w:p w14:paraId="2A7AB014" w14:textId="77777777" w:rsidR="009741E8" w:rsidRPr="001271CE" w:rsidRDefault="00934F5C" w:rsidP="009741E8">
            <w:pPr>
              <w:ind w:firstLine="0"/>
            </w:pPr>
            <w:r w:rsidRPr="001271CE">
              <w:t>Se acceptă parțial.</w:t>
            </w:r>
          </w:p>
          <w:p w14:paraId="57D2124B" w14:textId="2EA84530" w:rsidR="00934F5C" w:rsidRPr="001271CE" w:rsidRDefault="00934F5C" w:rsidP="009741E8">
            <w:pPr>
              <w:ind w:firstLine="0"/>
            </w:pPr>
            <w:r w:rsidRPr="001271CE">
              <w:t>Definiția a fost reformulată prin utilizarea sintagmei „asistență umanitară cu caracter de urgență”, pentru a evita introducerea unei noțiuni distincte nedefinite. Totodată, a fost menținută referirea la caracterul de urgență al intervențiilor, întrucât aceasta este relevantă pentru delimitarea proiectelor umanitare de alte forme de sprijin și reflectă specificul intervențiilor rapide în situații de criză.</w:t>
            </w:r>
          </w:p>
        </w:tc>
      </w:tr>
      <w:tr w:rsidR="009741E8" w:rsidRPr="001271CE" w14:paraId="0AD59296" w14:textId="77777777" w:rsidTr="003411E9">
        <w:trPr>
          <w:trHeight w:val="300"/>
        </w:trPr>
        <w:tc>
          <w:tcPr>
            <w:tcW w:w="2166" w:type="dxa"/>
            <w:vMerge/>
            <w:tcMar>
              <w:top w:w="0" w:type="dxa"/>
              <w:left w:w="108" w:type="dxa"/>
              <w:bottom w:w="0" w:type="dxa"/>
              <w:right w:w="108" w:type="dxa"/>
            </w:tcMar>
          </w:tcPr>
          <w:p w14:paraId="6D780F88" w14:textId="77777777" w:rsidR="009741E8" w:rsidRPr="001271CE" w:rsidRDefault="009741E8" w:rsidP="009741E8">
            <w:pPr>
              <w:ind w:firstLine="0"/>
              <w:jc w:val="left"/>
            </w:pPr>
          </w:p>
        </w:tc>
        <w:tc>
          <w:tcPr>
            <w:tcW w:w="516" w:type="dxa"/>
            <w:tcMar>
              <w:top w:w="0" w:type="dxa"/>
              <w:left w:w="108" w:type="dxa"/>
              <w:bottom w:w="0" w:type="dxa"/>
              <w:right w:w="108" w:type="dxa"/>
            </w:tcMar>
          </w:tcPr>
          <w:p w14:paraId="31F8CB05"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309146F9" w14:textId="318EED47" w:rsidR="009741E8" w:rsidRPr="001271CE" w:rsidRDefault="009741E8" w:rsidP="009741E8">
            <w:pPr>
              <w:ind w:firstLine="0"/>
            </w:pPr>
            <w:r w:rsidRPr="001271CE">
              <w:t>La pct. 3, cuvântul ,,adoptat” se va substitui cu cuvântul ,,aprobat”, iar după textul ,,conform art. 8” și ,,conform art. 9” se va completa cu textul ,,alin. (3)”, în conformitate cu art. 8 alin. (3) și art. 9 alin. (3) din Legea nr. 149/2025 cu privire la cooperarea internațională pentru dezvoltare și asistență umanitară.</w:t>
            </w:r>
          </w:p>
        </w:tc>
        <w:tc>
          <w:tcPr>
            <w:tcW w:w="6300" w:type="dxa"/>
            <w:tcMar>
              <w:top w:w="0" w:type="dxa"/>
              <w:left w:w="108" w:type="dxa"/>
              <w:bottom w:w="0" w:type="dxa"/>
              <w:right w:w="108" w:type="dxa"/>
            </w:tcMar>
          </w:tcPr>
          <w:p w14:paraId="12B0E52D" w14:textId="77777777" w:rsidR="009741E8" w:rsidRPr="001271CE" w:rsidRDefault="00934F5C" w:rsidP="009741E8">
            <w:pPr>
              <w:ind w:firstLine="0"/>
            </w:pPr>
            <w:r w:rsidRPr="001271CE">
              <w:t>Se acceptă.</w:t>
            </w:r>
          </w:p>
          <w:p w14:paraId="505C9539" w14:textId="7D44A047" w:rsidR="00934F5C" w:rsidRPr="001271CE" w:rsidRDefault="00934F5C" w:rsidP="009741E8">
            <w:pPr>
              <w:ind w:firstLine="0"/>
            </w:pPr>
            <w:r w:rsidRPr="001271CE">
              <w:t>Proiectul a fost modificat corespunzător.</w:t>
            </w:r>
          </w:p>
        </w:tc>
      </w:tr>
      <w:tr w:rsidR="009741E8" w:rsidRPr="001271CE" w14:paraId="107AE045" w14:textId="77777777" w:rsidTr="003411E9">
        <w:trPr>
          <w:trHeight w:val="300"/>
        </w:trPr>
        <w:tc>
          <w:tcPr>
            <w:tcW w:w="2166" w:type="dxa"/>
            <w:vMerge/>
            <w:tcMar>
              <w:top w:w="0" w:type="dxa"/>
              <w:left w:w="108" w:type="dxa"/>
              <w:bottom w:w="0" w:type="dxa"/>
              <w:right w:w="108" w:type="dxa"/>
            </w:tcMar>
          </w:tcPr>
          <w:p w14:paraId="17137354" w14:textId="77777777" w:rsidR="009741E8" w:rsidRPr="001271CE" w:rsidRDefault="009741E8" w:rsidP="009741E8">
            <w:pPr>
              <w:ind w:firstLine="0"/>
              <w:jc w:val="left"/>
            </w:pPr>
          </w:p>
        </w:tc>
        <w:tc>
          <w:tcPr>
            <w:tcW w:w="516" w:type="dxa"/>
            <w:tcMar>
              <w:top w:w="0" w:type="dxa"/>
              <w:left w:w="108" w:type="dxa"/>
              <w:bottom w:w="0" w:type="dxa"/>
              <w:right w:w="108" w:type="dxa"/>
            </w:tcMar>
          </w:tcPr>
          <w:p w14:paraId="603C1CAE"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607436D" w14:textId="77777777" w:rsidR="009741E8" w:rsidRPr="001271CE" w:rsidRDefault="009741E8" w:rsidP="009741E8">
            <w:pPr>
              <w:ind w:firstLine="0"/>
            </w:pPr>
            <w:r w:rsidRPr="001271CE">
              <w:t>La pct. 10 se va face referire la art. 12 alin. (1) din Legea menționată, deoarece formele de utilizare a mijloacelor financiare prin implementare directă sunt enumerate în această normă. Acest aspect este valabil și la pct. 23 (implementarea indirectă) la care se va face referire la art. 13 alin. (2) din Lege.</w:t>
            </w:r>
          </w:p>
          <w:p w14:paraId="7D251DC4" w14:textId="02FE4828" w:rsidR="009741E8" w:rsidRPr="001271CE" w:rsidRDefault="009741E8" w:rsidP="009741E8">
            <w:pPr>
              <w:ind w:firstLine="0"/>
            </w:pPr>
            <w:r w:rsidRPr="001271CE">
              <w:t>Totodată, se va revedea suplimentar oportunitatea specificării acestor forme și în Lege și în Regulamentul de implementare a acesteia, în scopul evitării dublării normelor juridice.</w:t>
            </w:r>
          </w:p>
        </w:tc>
        <w:tc>
          <w:tcPr>
            <w:tcW w:w="6300" w:type="dxa"/>
            <w:tcMar>
              <w:top w:w="0" w:type="dxa"/>
              <w:left w:w="108" w:type="dxa"/>
              <w:bottom w:w="0" w:type="dxa"/>
              <w:right w:w="108" w:type="dxa"/>
            </w:tcMar>
          </w:tcPr>
          <w:p w14:paraId="18311B22" w14:textId="77777777" w:rsidR="009741E8" w:rsidRPr="001271CE" w:rsidRDefault="00934F5C" w:rsidP="009741E8">
            <w:pPr>
              <w:ind w:firstLine="0"/>
            </w:pPr>
            <w:r w:rsidRPr="001271CE">
              <w:t>Nu se acceptă.</w:t>
            </w:r>
          </w:p>
          <w:p w14:paraId="488C876F" w14:textId="77777777" w:rsidR="00934F5C" w:rsidRPr="001271CE" w:rsidRDefault="00934F5C" w:rsidP="009741E8">
            <w:pPr>
              <w:ind w:firstLine="0"/>
            </w:pPr>
            <w:r w:rsidRPr="001271CE">
              <w:t>La solicitarea Ministerului Finanțelor, atât la pct. 10, cât și la pct. 23, sintagma „Potrivit prevederilor Legii,” a fost exclusă „ca fiind inutilă”.</w:t>
            </w:r>
          </w:p>
          <w:p w14:paraId="13F3F140" w14:textId="0346EC40" w:rsidR="00934F5C" w:rsidRPr="001271CE" w:rsidRDefault="00934F5C" w:rsidP="009741E8">
            <w:pPr>
              <w:ind w:firstLine="0"/>
            </w:pPr>
            <w:r w:rsidRPr="001271CE">
              <w:t>Totodată, pentru a facilita comprehensivitatea Regulamentului, se consideră oportună păstrarea enumerării formelor de utilizare a mijloacelor financiare.</w:t>
            </w:r>
          </w:p>
        </w:tc>
      </w:tr>
      <w:tr w:rsidR="009741E8" w:rsidRPr="001271CE" w14:paraId="358C7CAA" w14:textId="77777777" w:rsidTr="003411E9">
        <w:trPr>
          <w:trHeight w:val="300"/>
        </w:trPr>
        <w:tc>
          <w:tcPr>
            <w:tcW w:w="2166" w:type="dxa"/>
            <w:vMerge/>
            <w:tcMar>
              <w:top w:w="0" w:type="dxa"/>
              <w:left w:w="108" w:type="dxa"/>
              <w:bottom w:w="0" w:type="dxa"/>
              <w:right w:w="108" w:type="dxa"/>
            </w:tcMar>
          </w:tcPr>
          <w:p w14:paraId="7E622CE2"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760DBA8"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9D771C0" w14:textId="1287B832" w:rsidR="009741E8" w:rsidRPr="001271CE" w:rsidRDefault="009741E8" w:rsidP="009741E8">
            <w:pPr>
              <w:ind w:firstLine="0"/>
            </w:pPr>
            <w:r w:rsidRPr="001271CE">
              <w:t>La pct. 11 și 13, în scopul exprimării cu claritate a obiectului reglementării la cuvintele ,,în strictă conformitate cu legislația aplicabilă în domeniu” se va indica în mod concret domeniul aplicabil.</w:t>
            </w:r>
          </w:p>
        </w:tc>
        <w:tc>
          <w:tcPr>
            <w:tcW w:w="6300" w:type="dxa"/>
            <w:tcMar>
              <w:top w:w="0" w:type="dxa"/>
              <w:left w:w="108" w:type="dxa"/>
              <w:bottom w:w="0" w:type="dxa"/>
              <w:right w:w="108" w:type="dxa"/>
            </w:tcMar>
          </w:tcPr>
          <w:p w14:paraId="14C41D65" w14:textId="77777777" w:rsidR="009741E8" w:rsidRPr="001271CE" w:rsidRDefault="004B5F36" w:rsidP="009741E8">
            <w:pPr>
              <w:ind w:firstLine="0"/>
            </w:pPr>
            <w:r w:rsidRPr="001271CE">
              <w:t>Se acceptă.</w:t>
            </w:r>
          </w:p>
          <w:p w14:paraId="5933DC04" w14:textId="7DC79417" w:rsidR="007477E7" w:rsidRPr="001271CE" w:rsidRDefault="007477E7" w:rsidP="009741E8">
            <w:pPr>
              <w:ind w:firstLine="0"/>
            </w:pPr>
            <w:r w:rsidRPr="001271CE">
              <w:t>Proiectul a fost completat cu domeniile aplicabile: achizițiile publice și donațiile.</w:t>
            </w:r>
          </w:p>
        </w:tc>
      </w:tr>
      <w:tr w:rsidR="009741E8" w:rsidRPr="001271CE" w14:paraId="614042E3" w14:textId="77777777" w:rsidTr="003411E9">
        <w:trPr>
          <w:trHeight w:val="539"/>
        </w:trPr>
        <w:tc>
          <w:tcPr>
            <w:tcW w:w="2166" w:type="dxa"/>
            <w:vMerge/>
            <w:tcMar>
              <w:top w:w="0" w:type="dxa"/>
              <w:left w:w="108" w:type="dxa"/>
              <w:bottom w:w="0" w:type="dxa"/>
              <w:right w:w="108" w:type="dxa"/>
            </w:tcMar>
          </w:tcPr>
          <w:p w14:paraId="36E6C7D5" w14:textId="77777777" w:rsidR="009741E8" w:rsidRPr="001271CE" w:rsidRDefault="009741E8" w:rsidP="009741E8">
            <w:pPr>
              <w:ind w:firstLine="0"/>
              <w:jc w:val="left"/>
            </w:pPr>
          </w:p>
        </w:tc>
        <w:tc>
          <w:tcPr>
            <w:tcW w:w="516" w:type="dxa"/>
            <w:tcBorders>
              <w:bottom w:val="single" w:sz="4" w:space="0" w:color="auto"/>
            </w:tcBorders>
            <w:tcMar>
              <w:top w:w="0" w:type="dxa"/>
              <w:left w:w="108" w:type="dxa"/>
              <w:bottom w:w="0" w:type="dxa"/>
              <w:right w:w="108" w:type="dxa"/>
            </w:tcMar>
          </w:tcPr>
          <w:p w14:paraId="4E8CF4F2" w14:textId="77777777" w:rsidR="009741E8" w:rsidRPr="001271CE" w:rsidRDefault="009741E8" w:rsidP="009741E8">
            <w:pPr>
              <w:pStyle w:val="ListParagraph"/>
              <w:numPr>
                <w:ilvl w:val="0"/>
                <w:numId w:val="1"/>
              </w:numPr>
              <w:ind w:right="76"/>
              <w:jc w:val="left"/>
            </w:pPr>
          </w:p>
        </w:tc>
        <w:tc>
          <w:tcPr>
            <w:tcW w:w="5706" w:type="dxa"/>
            <w:tcBorders>
              <w:bottom w:val="single" w:sz="4" w:space="0" w:color="auto"/>
            </w:tcBorders>
            <w:tcMar>
              <w:top w:w="0" w:type="dxa"/>
              <w:left w:w="108" w:type="dxa"/>
              <w:bottom w:w="0" w:type="dxa"/>
              <w:right w:w="108" w:type="dxa"/>
            </w:tcMar>
          </w:tcPr>
          <w:p w14:paraId="109DB518" w14:textId="5CFB711B" w:rsidR="009741E8" w:rsidRPr="001271CE" w:rsidRDefault="009741E8" w:rsidP="009741E8">
            <w:pPr>
              <w:ind w:firstLine="0"/>
            </w:pPr>
            <w:r w:rsidRPr="001271CE">
              <w:t>La pct. 17 se recomandă specificarea actului prin care urmează a fi aprobat modelul raportului de misiune.</w:t>
            </w:r>
          </w:p>
        </w:tc>
        <w:tc>
          <w:tcPr>
            <w:tcW w:w="6300" w:type="dxa"/>
            <w:tcBorders>
              <w:bottom w:val="single" w:sz="4" w:space="0" w:color="auto"/>
            </w:tcBorders>
            <w:tcMar>
              <w:top w:w="0" w:type="dxa"/>
              <w:left w:w="108" w:type="dxa"/>
              <w:bottom w:w="0" w:type="dxa"/>
              <w:right w:w="108" w:type="dxa"/>
            </w:tcMar>
          </w:tcPr>
          <w:p w14:paraId="740E231F" w14:textId="77777777" w:rsidR="009741E8" w:rsidRPr="001271CE" w:rsidRDefault="007477E7" w:rsidP="009741E8">
            <w:pPr>
              <w:ind w:firstLine="0"/>
            </w:pPr>
            <w:r w:rsidRPr="001271CE">
              <w:t>Se acceptă.</w:t>
            </w:r>
          </w:p>
          <w:p w14:paraId="0D3910A5" w14:textId="79DD5B90" w:rsidR="007477E7" w:rsidRPr="001271CE" w:rsidRDefault="007477E7" w:rsidP="009741E8">
            <w:pPr>
              <w:ind w:firstLine="0"/>
            </w:pPr>
            <w:r w:rsidRPr="001271CE">
              <w:t>Proiectul a fost completat cu sintagma „prin ordinul ministrului afacerilor externe”.</w:t>
            </w:r>
          </w:p>
        </w:tc>
      </w:tr>
      <w:tr w:rsidR="004B5F36" w:rsidRPr="001271CE" w14:paraId="461BC570" w14:textId="77777777" w:rsidTr="003411E9">
        <w:trPr>
          <w:trHeight w:val="2361"/>
        </w:trPr>
        <w:tc>
          <w:tcPr>
            <w:tcW w:w="2166" w:type="dxa"/>
            <w:vMerge/>
            <w:tcMar>
              <w:top w:w="0" w:type="dxa"/>
              <w:left w:w="108" w:type="dxa"/>
              <w:bottom w:w="0" w:type="dxa"/>
              <w:right w:w="108" w:type="dxa"/>
            </w:tcMar>
          </w:tcPr>
          <w:p w14:paraId="3E0355B5" w14:textId="77777777" w:rsidR="004B5F36" w:rsidRPr="001271CE" w:rsidRDefault="004B5F36" w:rsidP="009741E8">
            <w:pPr>
              <w:ind w:firstLine="0"/>
              <w:jc w:val="left"/>
            </w:pPr>
          </w:p>
        </w:tc>
        <w:tc>
          <w:tcPr>
            <w:tcW w:w="516" w:type="dxa"/>
            <w:tcBorders>
              <w:top w:val="single" w:sz="4" w:space="0" w:color="auto"/>
            </w:tcBorders>
            <w:tcMar>
              <w:top w:w="0" w:type="dxa"/>
              <w:left w:w="108" w:type="dxa"/>
              <w:bottom w:w="0" w:type="dxa"/>
              <w:right w:w="108" w:type="dxa"/>
            </w:tcMar>
          </w:tcPr>
          <w:p w14:paraId="20FBC4B7" w14:textId="77777777" w:rsidR="004B5F36" w:rsidRPr="001271CE" w:rsidRDefault="004B5F36" w:rsidP="009741E8">
            <w:pPr>
              <w:pStyle w:val="ListParagraph"/>
              <w:numPr>
                <w:ilvl w:val="0"/>
                <w:numId w:val="1"/>
              </w:numPr>
              <w:ind w:right="76"/>
              <w:jc w:val="left"/>
            </w:pPr>
          </w:p>
        </w:tc>
        <w:tc>
          <w:tcPr>
            <w:tcW w:w="5706" w:type="dxa"/>
            <w:tcBorders>
              <w:top w:val="single" w:sz="4" w:space="0" w:color="auto"/>
            </w:tcBorders>
            <w:tcMar>
              <w:top w:w="0" w:type="dxa"/>
              <w:left w:w="108" w:type="dxa"/>
              <w:bottom w:w="0" w:type="dxa"/>
              <w:right w:w="108" w:type="dxa"/>
            </w:tcMar>
          </w:tcPr>
          <w:p w14:paraId="75B670A7" w14:textId="77777777" w:rsidR="004B5F36" w:rsidRPr="001271CE" w:rsidRDefault="004B5F36" w:rsidP="004B5F36">
            <w:pPr>
              <w:ind w:firstLine="0"/>
            </w:pPr>
            <w:r w:rsidRPr="001271CE">
              <w:t>Subsecvent, de menționat că, potrivit pct. 14 transferul de expertiză se realizează prin intermediul unor misiuni temporare, iar conform pct. 16 misiunile pot include printre altele și intervențiile operative de protecție civilă și acțiuni de asistență umanitară. Totodată, la pct. 17 și 18 din proiect, se operează expres cu termenul ,,misiuni de transfer de expertiză”, fapt care creează confuzie privind domeniul exact de aplicare al Regulamentului (dacă reglementează doar această categorie de misiuni sau toate categoriile de misiuni).</w:t>
            </w:r>
          </w:p>
        </w:tc>
        <w:tc>
          <w:tcPr>
            <w:tcW w:w="6300" w:type="dxa"/>
            <w:tcBorders>
              <w:top w:val="single" w:sz="4" w:space="0" w:color="auto"/>
            </w:tcBorders>
            <w:tcMar>
              <w:top w:w="0" w:type="dxa"/>
              <w:left w:w="108" w:type="dxa"/>
              <w:bottom w:w="0" w:type="dxa"/>
              <w:right w:w="108" w:type="dxa"/>
            </w:tcMar>
          </w:tcPr>
          <w:p w14:paraId="095CD302" w14:textId="77777777" w:rsidR="004B5F36" w:rsidRPr="001271CE" w:rsidRDefault="0065722E" w:rsidP="009741E8">
            <w:pPr>
              <w:ind w:firstLine="0"/>
            </w:pPr>
            <w:r w:rsidRPr="001271CE">
              <w:t>Se acceptă.</w:t>
            </w:r>
          </w:p>
          <w:p w14:paraId="730C9E24" w14:textId="5DE26E92" w:rsidR="0065722E" w:rsidRPr="001271CE" w:rsidRDefault="0065722E" w:rsidP="009741E8">
            <w:pPr>
              <w:ind w:firstLine="0"/>
            </w:pPr>
            <w:r w:rsidRPr="001271CE">
              <w:t>Pct. 16 a fost modificat după cum urmează: sintagma „intervenții operative de protecție civilă și acțiuni de asistență umanitară” a fost înlocuită cu sintagma „activități de suport de expertiză și cooperare în domeniul protecției civile și al asistenței umanitare”</w:t>
            </w:r>
          </w:p>
        </w:tc>
      </w:tr>
      <w:tr w:rsidR="009741E8" w:rsidRPr="001271CE" w14:paraId="42628DD7" w14:textId="77777777" w:rsidTr="003411E9">
        <w:trPr>
          <w:trHeight w:val="300"/>
        </w:trPr>
        <w:tc>
          <w:tcPr>
            <w:tcW w:w="2166" w:type="dxa"/>
            <w:vMerge/>
            <w:tcMar>
              <w:top w:w="0" w:type="dxa"/>
              <w:left w:w="108" w:type="dxa"/>
              <w:bottom w:w="0" w:type="dxa"/>
              <w:right w:w="108" w:type="dxa"/>
            </w:tcMar>
          </w:tcPr>
          <w:p w14:paraId="2F80586D" w14:textId="77777777" w:rsidR="009741E8" w:rsidRPr="001271CE" w:rsidRDefault="009741E8" w:rsidP="009741E8">
            <w:pPr>
              <w:ind w:firstLine="0"/>
              <w:jc w:val="left"/>
            </w:pPr>
          </w:p>
        </w:tc>
        <w:tc>
          <w:tcPr>
            <w:tcW w:w="516" w:type="dxa"/>
            <w:tcMar>
              <w:top w:w="0" w:type="dxa"/>
              <w:left w:w="108" w:type="dxa"/>
              <w:bottom w:w="0" w:type="dxa"/>
              <w:right w:w="108" w:type="dxa"/>
            </w:tcMar>
          </w:tcPr>
          <w:p w14:paraId="69CD2C3B"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F26BD14" w14:textId="085BB247" w:rsidR="009741E8" w:rsidRPr="001271CE" w:rsidRDefault="009741E8" w:rsidP="009741E8">
            <w:pPr>
              <w:ind w:firstLine="0"/>
            </w:pPr>
            <w:r w:rsidRPr="001271CE">
              <w:t xml:space="preserve">Mai mult, la pct. 18 este prevăzut că în bugetul misiunilor de transfer de expertiză se includ cheltuielile de transport internațional, cazare și masă pentru participanții prevăzuți la pct. 14, în limita nivelului stabilit prin Regulamentul cu privire la delegarea personalului entităților din Republica Moldova, aprobat prin Hotărârea Guvernului nr. 10/2012. Or, în situația în care în misiunile de transfer de expertiză se includ și misiunile de intervenții operative de protecție civilă, de remarcat că, în multe situații persoanele delegate în acest scop, de regulă, nu dispun de cazare și/sau condiții obișnuite de hrană (ex. sunt adăpostiți în corturi, autospeciale, sau chiar în aer liber, în proximitatea locului/perimetrului unde sunt necesare întreprinderea </w:t>
            </w:r>
            <w:r w:rsidRPr="001271CE">
              <w:lastRenderedPageBreak/>
              <w:t>acțiunilor de intervenție și au un regim de activitate 24/24), iar Hotărârea Guvernului menționată nu este adaptată pentru misiunile la care participă echipele de salvatori și pompieri.</w:t>
            </w:r>
          </w:p>
        </w:tc>
        <w:tc>
          <w:tcPr>
            <w:tcW w:w="6300" w:type="dxa"/>
            <w:tcMar>
              <w:top w:w="0" w:type="dxa"/>
              <w:left w:w="108" w:type="dxa"/>
              <w:bottom w:w="0" w:type="dxa"/>
              <w:right w:w="108" w:type="dxa"/>
            </w:tcMar>
          </w:tcPr>
          <w:p w14:paraId="64752535" w14:textId="77777777" w:rsidR="009741E8" w:rsidRPr="001271CE" w:rsidRDefault="0065722E" w:rsidP="009741E8">
            <w:pPr>
              <w:ind w:firstLine="0"/>
            </w:pPr>
            <w:r w:rsidRPr="001271CE">
              <w:lastRenderedPageBreak/>
              <w:t>Se acceptă.</w:t>
            </w:r>
          </w:p>
          <w:p w14:paraId="0C30ACD1" w14:textId="543202C4" w:rsidR="0065722E" w:rsidRPr="001271CE" w:rsidRDefault="0065722E" w:rsidP="009741E8">
            <w:pPr>
              <w:ind w:firstLine="0"/>
            </w:pPr>
            <w:r w:rsidRPr="001271CE">
              <w:t>A se vedea pct. 54.</w:t>
            </w:r>
          </w:p>
        </w:tc>
      </w:tr>
      <w:tr w:rsidR="009741E8" w:rsidRPr="001271CE" w14:paraId="7AD642E0" w14:textId="77777777" w:rsidTr="003411E9">
        <w:trPr>
          <w:trHeight w:val="300"/>
        </w:trPr>
        <w:tc>
          <w:tcPr>
            <w:tcW w:w="2166" w:type="dxa"/>
            <w:vMerge/>
            <w:tcMar>
              <w:top w:w="0" w:type="dxa"/>
              <w:left w:w="108" w:type="dxa"/>
              <w:bottom w:w="0" w:type="dxa"/>
              <w:right w:w="108" w:type="dxa"/>
            </w:tcMar>
          </w:tcPr>
          <w:p w14:paraId="4B482606" w14:textId="77777777" w:rsidR="009741E8" w:rsidRPr="001271CE" w:rsidRDefault="009741E8" w:rsidP="009741E8">
            <w:pPr>
              <w:ind w:firstLine="0"/>
              <w:jc w:val="left"/>
            </w:pPr>
          </w:p>
        </w:tc>
        <w:tc>
          <w:tcPr>
            <w:tcW w:w="516" w:type="dxa"/>
            <w:tcMar>
              <w:top w:w="0" w:type="dxa"/>
              <w:left w:w="108" w:type="dxa"/>
              <w:bottom w:w="0" w:type="dxa"/>
              <w:right w:w="108" w:type="dxa"/>
            </w:tcMar>
          </w:tcPr>
          <w:p w14:paraId="29E7A326"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366AC305" w14:textId="55FBDB0B" w:rsidR="009741E8" w:rsidRPr="001271CE" w:rsidRDefault="009741E8" w:rsidP="009741E8">
            <w:pPr>
              <w:ind w:firstLine="0"/>
            </w:pPr>
            <w:r w:rsidRPr="001271CE">
              <w:t>Suplimentar, în situația în care pct. 18 se menține în redacția actuală, se recomandă examinarea oportunității includerii în bugetul misiunilor de transfer de expertiză, inclusiv cheltuielile pentru asigurarea medicală, în conformitate cu pct. 29 lit. d) din Regulamentul cu privire la delegarea personalului entităților din Republica Moldova, aprobat prin Hotărârea Guvernului nr. 10/2012, care prevede că personalului delegat i se restituie, potrivit documentelor confirmative prezentate de el, cheltuielile pentru asigurarea medicală obligatorie în străinătate.</w:t>
            </w:r>
          </w:p>
        </w:tc>
        <w:tc>
          <w:tcPr>
            <w:tcW w:w="6300" w:type="dxa"/>
            <w:tcMar>
              <w:top w:w="0" w:type="dxa"/>
              <w:left w:w="108" w:type="dxa"/>
              <w:bottom w:w="0" w:type="dxa"/>
              <w:right w:w="108" w:type="dxa"/>
            </w:tcMar>
          </w:tcPr>
          <w:p w14:paraId="27CB7740" w14:textId="77777777" w:rsidR="009741E8" w:rsidRPr="001271CE" w:rsidRDefault="004722E8" w:rsidP="009741E8">
            <w:pPr>
              <w:ind w:firstLine="0"/>
            </w:pPr>
            <w:r w:rsidRPr="001271CE">
              <w:t>Se acceptă.</w:t>
            </w:r>
          </w:p>
          <w:p w14:paraId="38C864F8" w14:textId="013C09FF" w:rsidR="004722E8" w:rsidRPr="001271CE" w:rsidRDefault="004722E8" w:rsidP="009741E8">
            <w:pPr>
              <w:ind w:firstLine="0"/>
            </w:pPr>
            <w:r w:rsidRPr="001271CE">
              <w:t>Asigurarea medicală obligatorie în străinătate a fost inclusă.</w:t>
            </w:r>
          </w:p>
        </w:tc>
      </w:tr>
      <w:tr w:rsidR="009741E8" w:rsidRPr="001271CE" w14:paraId="0D37F48F" w14:textId="77777777" w:rsidTr="003411E9">
        <w:trPr>
          <w:trHeight w:val="300"/>
        </w:trPr>
        <w:tc>
          <w:tcPr>
            <w:tcW w:w="2166" w:type="dxa"/>
            <w:vMerge/>
            <w:tcMar>
              <w:top w:w="0" w:type="dxa"/>
              <w:left w:w="108" w:type="dxa"/>
              <w:bottom w:w="0" w:type="dxa"/>
              <w:right w:w="108" w:type="dxa"/>
            </w:tcMar>
          </w:tcPr>
          <w:p w14:paraId="2F5B763A" w14:textId="77777777" w:rsidR="009741E8" w:rsidRPr="001271CE" w:rsidRDefault="009741E8" w:rsidP="009741E8">
            <w:pPr>
              <w:ind w:firstLine="0"/>
              <w:jc w:val="left"/>
            </w:pPr>
          </w:p>
        </w:tc>
        <w:tc>
          <w:tcPr>
            <w:tcW w:w="516" w:type="dxa"/>
            <w:tcMar>
              <w:top w:w="0" w:type="dxa"/>
              <w:left w:w="108" w:type="dxa"/>
              <w:bottom w:w="0" w:type="dxa"/>
              <w:right w:w="108" w:type="dxa"/>
            </w:tcMar>
          </w:tcPr>
          <w:p w14:paraId="62D358CC"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102801F" w14:textId="0C25F2E7" w:rsidR="009741E8" w:rsidRPr="001271CE" w:rsidRDefault="009741E8" w:rsidP="009741E8">
            <w:pPr>
              <w:ind w:firstLine="0"/>
            </w:pPr>
            <w:r w:rsidRPr="001271CE">
              <w:t>La pct. 52 se propune revizuirea cuvintelor „până la concurența valorii mijloacelor financiare alocate apelului competitiv” or, înțelesul acestora în conținutul normei nu este clar.</w:t>
            </w:r>
          </w:p>
        </w:tc>
        <w:tc>
          <w:tcPr>
            <w:tcW w:w="6300" w:type="dxa"/>
            <w:tcMar>
              <w:top w:w="0" w:type="dxa"/>
              <w:left w:w="108" w:type="dxa"/>
              <w:bottom w:w="0" w:type="dxa"/>
              <w:right w:w="108" w:type="dxa"/>
            </w:tcMar>
          </w:tcPr>
          <w:p w14:paraId="73A3AC29" w14:textId="77777777" w:rsidR="009741E8" w:rsidRPr="001271CE" w:rsidRDefault="00F76715" w:rsidP="009741E8">
            <w:pPr>
              <w:ind w:firstLine="0"/>
            </w:pPr>
            <w:r w:rsidRPr="001271CE">
              <w:t>Nu se acceptă.</w:t>
            </w:r>
          </w:p>
          <w:p w14:paraId="37FA0253" w14:textId="59AF35BB" w:rsidR="00F76715" w:rsidRPr="001271CE" w:rsidRDefault="00F76715" w:rsidP="009741E8">
            <w:pPr>
              <w:ind w:firstLine="0"/>
            </w:pPr>
            <w:r w:rsidRPr="001271CE">
              <w:t>Formularea „până la concurența valorii mijloacelor financiare alocate” este una consacrată în limbaj juridic, exprimă exact ideea de plafon bugetar obiectiv și nu lasă loc pentru interpretări discreționare.</w:t>
            </w:r>
          </w:p>
        </w:tc>
      </w:tr>
      <w:tr w:rsidR="009741E8" w:rsidRPr="001271CE" w14:paraId="6DB43DC0" w14:textId="77777777" w:rsidTr="003411E9">
        <w:trPr>
          <w:trHeight w:val="300"/>
        </w:trPr>
        <w:tc>
          <w:tcPr>
            <w:tcW w:w="2166" w:type="dxa"/>
            <w:vMerge/>
            <w:tcMar>
              <w:top w:w="0" w:type="dxa"/>
              <w:left w:w="108" w:type="dxa"/>
              <w:bottom w:w="0" w:type="dxa"/>
              <w:right w:w="108" w:type="dxa"/>
            </w:tcMar>
          </w:tcPr>
          <w:p w14:paraId="3077DB4B" w14:textId="77777777" w:rsidR="009741E8" w:rsidRPr="001271CE" w:rsidRDefault="009741E8" w:rsidP="009741E8">
            <w:pPr>
              <w:ind w:firstLine="0"/>
              <w:jc w:val="left"/>
            </w:pPr>
          </w:p>
        </w:tc>
        <w:tc>
          <w:tcPr>
            <w:tcW w:w="516" w:type="dxa"/>
            <w:tcMar>
              <w:top w:w="0" w:type="dxa"/>
              <w:left w:w="108" w:type="dxa"/>
              <w:bottom w:w="0" w:type="dxa"/>
              <w:right w:w="108" w:type="dxa"/>
            </w:tcMar>
          </w:tcPr>
          <w:p w14:paraId="0124A916"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677667D" w14:textId="327545CF" w:rsidR="009741E8" w:rsidRPr="001271CE" w:rsidRDefault="009741E8" w:rsidP="009741E8">
            <w:pPr>
              <w:ind w:firstLine="0"/>
            </w:pPr>
            <w:r w:rsidRPr="001271CE">
              <w:t xml:space="preserve">La pct. 69, atragem atenția că plata în avans presupune achitarea unei părți din valoarea finanțării. Astfel, achitarea unui cuantum de până la 100% din valoarea finanțării ar presupune achitarea integrală a acesteia. </w:t>
            </w:r>
          </w:p>
        </w:tc>
        <w:tc>
          <w:tcPr>
            <w:tcW w:w="6300" w:type="dxa"/>
            <w:tcMar>
              <w:top w:w="0" w:type="dxa"/>
              <w:left w:w="108" w:type="dxa"/>
              <w:bottom w:w="0" w:type="dxa"/>
              <w:right w:w="108" w:type="dxa"/>
            </w:tcMar>
          </w:tcPr>
          <w:p w14:paraId="1134A66F" w14:textId="77777777" w:rsidR="009741E8" w:rsidRPr="001271CE" w:rsidRDefault="00F76715" w:rsidP="009741E8">
            <w:pPr>
              <w:ind w:firstLine="0"/>
            </w:pPr>
            <w:r w:rsidRPr="001271CE">
              <w:t>Se acceptă.</w:t>
            </w:r>
          </w:p>
          <w:p w14:paraId="5DA3BDC6" w14:textId="5C25F981" w:rsidR="00F76715" w:rsidRPr="001271CE" w:rsidRDefault="00F76715" w:rsidP="009741E8">
            <w:pPr>
              <w:ind w:firstLine="0"/>
            </w:pPr>
            <w:r w:rsidRPr="001271CE">
              <w:t>Pct. 69 a fost modificat după cum urmează: „</w:t>
            </w:r>
            <w:r w:rsidRPr="001271CE">
              <w:rPr>
                <w:b/>
                <w:bCs/>
              </w:rPr>
              <w:t>69.</w:t>
            </w:r>
            <w:r w:rsidRPr="001271CE">
              <w:t xml:space="preserve"> Ministerul Afacerilor Externe poate efectua plăți către beneficiari, inclusiv înainte de realizarea activităților finanțate, în cuantum de până la 100% din valoarea finanțării.”</w:t>
            </w:r>
          </w:p>
        </w:tc>
      </w:tr>
      <w:tr w:rsidR="009741E8" w:rsidRPr="001271CE" w14:paraId="74813FE0" w14:textId="77777777" w:rsidTr="003411E9">
        <w:trPr>
          <w:trHeight w:val="300"/>
        </w:trPr>
        <w:tc>
          <w:tcPr>
            <w:tcW w:w="2166" w:type="dxa"/>
            <w:vMerge/>
            <w:tcMar>
              <w:top w:w="0" w:type="dxa"/>
              <w:left w:w="108" w:type="dxa"/>
              <w:bottom w:w="0" w:type="dxa"/>
              <w:right w:w="108" w:type="dxa"/>
            </w:tcMar>
          </w:tcPr>
          <w:p w14:paraId="1B400EA2" w14:textId="77777777" w:rsidR="009741E8" w:rsidRPr="001271CE" w:rsidRDefault="009741E8" w:rsidP="009741E8">
            <w:pPr>
              <w:ind w:firstLine="0"/>
              <w:jc w:val="left"/>
            </w:pPr>
          </w:p>
        </w:tc>
        <w:tc>
          <w:tcPr>
            <w:tcW w:w="516" w:type="dxa"/>
            <w:tcMar>
              <w:top w:w="0" w:type="dxa"/>
              <w:left w:w="108" w:type="dxa"/>
              <w:bottom w:w="0" w:type="dxa"/>
              <w:right w:w="108" w:type="dxa"/>
            </w:tcMar>
          </w:tcPr>
          <w:p w14:paraId="037E114E"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166A9682" w14:textId="5803E0FA" w:rsidR="009741E8" w:rsidRPr="001271CE" w:rsidRDefault="009741E8" w:rsidP="009741E8">
            <w:pPr>
              <w:ind w:firstLine="0"/>
            </w:pPr>
            <w:r w:rsidRPr="001271CE">
              <w:t>Adițional, menționăm că, la subsecțiunea 4 ,,Contribuții voluntare” nu sunt stabilite regulile de acordare a contribuțiilor voluntare, norme ce necesită a fi reglementate în Regulament, în conformitate cu art. 17 alin. (3) din Legea nr. 149/2025 cu privire la cooperarea internațională pentru dezvoltare și asistență umanitară. În context, se atestă că, proiectul Regulamentului nu este redat clar și nu conține toate reglementările care reies din Legea menționată. Prin urmare, acesta urmează a fi revizuit prin prisma art. 12 alin. (2), art. 13 alin. (3), art. 14 alin. (3), art. 15 alin. (4), art. 16 alin. (2), art. 17 alin. (3) și art. 19 alin. (4) din Legea nr. 149/2025 cu privire la cooperarea internațională pentru dezvoltare și asistență umanitară.</w:t>
            </w:r>
          </w:p>
        </w:tc>
        <w:tc>
          <w:tcPr>
            <w:tcW w:w="6300" w:type="dxa"/>
            <w:tcMar>
              <w:top w:w="0" w:type="dxa"/>
              <w:left w:w="108" w:type="dxa"/>
              <w:bottom w:w="0" w:type="dxa"/>
              <w:right w:w="108" w:type="dxa"/>
            </w:tcMar>
          </w:tcPr>
          <w:p w14:paraId="1753E9BE" w14:textId="77777777" w:rsidR="009741E8" w:rsidRPr="001271CE" w:rsidRDefault="001B03C0" w:rsidP="009741E8">
            <w:pPr>
              <w:ind w:firstLine="0"/>
            </w:pPr>
            <w:r w:rsidRPr="001271CE">
              <w:t>Se acceptă.</w:t>
            </w:r>
          </w:p>
          <w:p w14:paraId="121CC369" w14:textId="10984E10" w:rsidR="001B03C0" w:rsidRPr="001271CE" w:rsidRDefault="001B03C0" w:rsidP="009741E8">
            <w:pPr>
              <w:ind w:firstLine="0"/>
            </w:pPr>
            <w:r w:rsidRPr="001271CE">
              <w:t>Proiectul a fost completat cu norme-cadru privind temeiul acordării și forma actului de aprobare a contribuțiilor voluntare, fără a introduce detalii procedurale excesive care ar conduce la supra-reglementare.</w:t>
            </w:r>
          </w:p>
        </w:tc>
      </w:tr>
      <w:tr w:rsidR="00BF622A" w:rsidRPr="001271CE" w14:paraId="16B64AF3" w14:textId="77777777" w:rsidTr="003411E9">
        <w:trPr>
          <w:trHeight w:val="2530"/>
        </w:trPr>
        <w:tc>
          <w:tcPr>
            <w:tcW w:w="2166" w:type="dxa"/>
            <w:vMerge/>
            <w:tcMar>
              <w:top w:w="0" w:type="dxa"/>
              <w:left w:w="108" w:type="dxa"/>
              <w:bottom w:w="0" w:type="dxa"/>
              <w:right w:w="108" w:type="dxa"/>
            </w:tcMar>
          </w:tcPr>
          <w:p w14:paraId="62FBBD3A" w14:textId="77777777" w:rsidR="00BF622A" w:rsidRPr="001271CE" w:rsidRDefault="00BF622A" w:rsidP="009741E8">
            <w:pPr>
              <w:ind w:firstLine="0"/>
              <w:jc w:val="left"/>
            </w:pPr>
          </w:p>
        </w:tc>
        <w:tc>
          <w:tcPr>
            <w:tcW w:w="516" w:type="dxa"/>
            <w:tcMar>
              <w:top w:w="0" w:type="dxa"/>
              <w:left w:w="108" w:type="dxa"/>
              <w:bottom w:w="0" w:type="dxa"/>
              <w:right w:w="108" w:type="dxa"/>
            </w:tcMar>
          </w:tcPr>
          <w:p w14:paraId="6E973568" w14:textId="77777777" w:rsidR="00BF622A" w:rsidRPr="001271CE" w:rsidRDefault="00BF622A" w:rsidP="009741E8">
            <w:pPr>
              <w:pStyle w:val="ListParagraph"/>
              <w:numPr>
                <w:ilvl w:val="0"/>
                <w:numId w:val="1"/>
              </w:numPr>
              <w:ind w:right="76"/>
              <w:jc w:val="left"/>
            </w:pPr>
          </w:p>
        </w:tc>
        <w:tc>
          <w:tcPr>
            <w:tcW w:w="5706" w:type="dxa"/>
            <w:tcMar>
              <w:top w:w="0" w:type="dxa"/>
              <w:left w:w="108" w:type="dxa"/>
              <w:bottom w:w="0" w:type="dxa"/>
              <w:right w:w="108" w:type="dxa"/>
            </w:tcMar>
          </w:tcPr>
          <w:p w14:paraId="78269DCB" w14:textId="77777777" w:rsidR="00BF622A" w:rsidRPr="001271CE" w:rsidRDefault="00BF622A" w:rsidP="009741E8">
            <w:pPr>
              <w:ind w:firstLine="0"/>
            </w:pPr>
            <w:r w:rsidRPr="001271CE">
              <w:t xml:space="preserve">Cu referire la Capitolul IV „Asistența umanitară” considerăm necesar identificarea și stabilirea unui mecanism clar și concis privind acordarea asistenței umanitare de către Republica Moldova. </w:t>
            </w:r>
          </w:p>
          <w:p w14:paraId="39E8C0BB" w14:textId="7C8075EB" w:rsidR="00BF622A" w:rsidRPr="001271CE" w:rsidRDefault="00BF622A" w:rsidP="009741E8">
            <w:pPr>
              <w:ind w:firstLine="0"/>
            </w:pPr>
            <w:r w:rsidRPr="001271CE">
              <w:t>Mai mult, în Capitolul dat nu sunt prevăzute procedurile specifice de acordare a asistenței umanitare din componenta de asistență umanitară, normă care prevede expres stabilirea acestora în regulamentul privind mecanismul de realizare a activităților de cooperare internațională pentru dezvoltare și asistență umanitară, în conformitate cu art. 19 alin. (4) din Legea prenotată.</w:t>
            </w:r>
          </w:p>
        </w:tc>
        <w:tc>
          <w:tcPr>
            <w:tcW w:w="6300" w:type="dxa"/>
            <w:tcMar>
              <w:top w:w="0" w:type="dxa"/>
              <w:left w:w="108" w:type="dxa"/>
              <w:bottom w:w="0" w:type="dxa"/>
              <w:right w:w="108" w:type="dxa"/>
            </w:tcMar>
          </w:tcPr>
          <w:p w14:paraId="559D25FC" w14:textId="77777777" w:rsidR="00BF622A" w:rsidRPr="001271CE" w:rsidRDefault="00BF622A" w:rsidP="009741E8">
            <w:pPr>
              <w:ind w:firstLine="0"/>
            </w:pPr>
            <w:r w:rsidRPr="001271CE">
              <w:t>Se acceptă.</w:t>
            </w:r>
          </w:p>
          <w:p w14:paraId="313699C8" w14:textId="5CDF95F5" w:rsidR="00BF622A" w:rsidRPr="001271CE" w:rsidRDefault="00BF622A" w:rsidP="009741E8">
            <w:pPr>
              <w:ind w:firstLine="0"/>
            </w:pPr>
            <w:r w:rsidRPr="001271CE">
              <w:t xml:space="preserve">Capitolul </w:t>
            </w:r>
            <w:r w:rsidR="004A3A5E" w:rsidRPr="001271CE">
              <w:t>I</w:t>
            </w:r>
            <w:r w:rsidRPr="001271CE">
              <w:t>V a fost modificat.</w:t>
            </w:r>
          </w:p>
        </w:tc>
      </w:tr>
      <w:tr w:rsidR="009741E8" w:rsidRPr="001271CE" w14:paraId="2DD67CDB" w14:textId="77777777" w:rsidTr="003411E9">
        <w:trPr>
          <w:trHeight w:val="300"/>
        </w:trPr>
        <w:tc>
          <w:tcPr>
            <w:tcW w:w="2166" w:type="dxa"/>
            <w:vMerge/>
            <w:tcMar>
              <w:top w:w="0" w:type="dxa"/>
              <w:left w:w="108" w:type="dxa"/>
              <w:bottom w:w="0" w:type="dxa"/>
              <w:right w:w="108" w:type="dxa"/>
            </w:tcMar>
          </w:tcPr>
          <w:p w14:paraId="6337E175" w14:textId="77777777" w:rsidR="009741E8" w:rsidRPr="001271CE" w:rsidRDefault="009741E8" w:rsidP="009741E8">
            <w:pPr>
              <w:ind w:firstLine="0"/>
              <w:jc w:val="left"/>
            </w:pPr>
          </w:p>
        </w:tc>
        <w:tc>
          <w:tcPr>
            <w:tcW w:w="516" w:type="dxa"/>
            <w:tcMar>
              <w:top w:w="0" w:type="dxa"/>
              <w:left w:w="108" w:type="dxa"/>
              <w:bottom w:w="0" w:type="dxa"/>
              <w:right w:w="108" w:type="dxa"/>
            </w:tcMar>
          </w:tcPr>
          <w:p w14:paraId="71D120FD"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44F4464B" w14:textId="77777777" w:rsidR="009741E8" w:rsidRPr="001271CE" w:rsidRDefault="009741E8" w:rsidP="009741E8">
            <w:pPr>
              <w:ind w:firstLine="0"/>
            </w:pPr>
            <w:r w:rsidRPr="001271CE">
              <w:t>Subsidiar, pct. 96 urmează a fi revizuit, deoarece din conținutul acestuia reiese că Ministerul Afacerilor Externe colaborează cu Ministerul Afacerilor Interne și structurile cu atribuții în domeniu coordonate de acesta, în vederea furnizării asistenței umanitare la general, pe când din art. 19 alin. (2) din Legea nr. 149/2025 cu privire la cooperarea internațională pentru dezvoltare și asistență umanitară, rezultă că colaborarea se face doar în cazurile furnizării asistenței umanitare sub formă de bunuri și materiale de primă necesitate și a asistenței cu echipe de intervenție la dezastre.</w:t>
            </w:r>
          </w:p>
          <w:p w14:paraId="7EEB81CB" w14:textId="34FD7956" w:rsidR="009741E8" w:rsidRPr="001271CE" w:rsidRDefault="009741E8" w:rsidP="009741E8">
            <w:pPr>
              <w:ind w:firstLine="0"/>
            </w:pPr>
            <w:r w:rsidRPr="001271CE">
              <w:t xml:space="preserve">În context, subliniem că Legea menționată, prin art. 19 alin. (2), restrânge colaborarea Ministerului Afacerilor Externe în cazurile furnizării asistenței umanitare sub formă de bunuri și materiale de primă necesitate și a asistenței cu echipe de intervenție la dezastre, doar cu Ministerul Afacerilor Interne (prin intermediul Inspectoratului General pentru Situații de Urgență și al structurilor cu atribuții în domeniu coordonate de acesta). </w:t>
            </w:r>
          </w:p>
        </w:tc>
        <w:tc>
          <w:tcPr>
            <w:tcW w:w="6300" w:type="dxa"/>
            <w:tcMar>
              <w:top w:w="0" w:type="dxa"/>
              <w:left w:w="108" w:type="dxa"/>
              <w:bottom w:w="0" w:type="dxa"/>
              <w:right w:w="108" w:type="dxa"/>
            </w:tcMar>
          </w:tcPr>
          <w:p w14:paraId="2BDF3A90" w14:textId="1E11F733" w:rsidR="009741E8" w:rsidRPr="001271CE" w:rsidRDefault="00BF622A" w:rsidP="009741E8">
            <w:pPr>
              <w:ind w:firstLine="0"/>
            </w:pPr>
            <w:r w:rsidRPr="001271CE">
              <w:t>Se acceptă.</w:t>
            </w:r>
          </w:p>
        </w:tc>
      </w:tr>
      <w:tr w:rsidR="009741E8" w:rsidRPr="001271CE" w14:paraId="13353D31" w14:textId="77777777" w:rsidTr="003411E9">
        <w:trPr>
          <w:trHeight w:val="300"/>
        </w:trPr>
        <w:tc>
          <w:tcPr>
            <w:tcW w:w="2166" w:type="dxa"/>
            <w:vMerge/>
            <w:tcMar>
              <w:top w:w="0" w:type="dxa"/>
              <w:left w:w="108" w:type="dxa"/>
              <w:bottom w:w="0" w:type="dxa"/>
              <w:right w:w="108" w:type="dxa"/>
            </w:tcMar>
          </w:tcPr>
          <w:p w14:paraId="79072EAE" w14:textId="77777777" w:rsidR="009741E8" w:rsidRPr="001271CE" w:rsidRDefault="009741E8" w:rsidP="009741E8">
            <w:pPr>
              <w:ind w:firstLine="0"/>
              <w:jc w:val="left"/>
            </w:pPr>
          </w:p>
        </w:tc>
        <w:tc>
          <w:tcPr>
            <w:tcW w:w="516" w:type="dxa"/>
            <w:tcMar>
              <w:top w:w="0" w:type="dxa"/>
              <w:left w:w="108" w:type="dxa"/>
              <w:bottom w:w="0" w:type="dxa"/>
              <w:right w:w="108" w:type="dxa"/>
            </w:tcMar>
          </w:tcPr>
          <w:p w14:paraId="2396BD5A"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8EAF98A" w14:textId="4AACC41A" w:rsidR="009741E8" w:rsidRPr="001271CE" w:rsidRDefault="009741E8" w:rsidP="009741E8">
            <w:pPr>
              <w:ind w:firstLine="0"/>
            </w:pPr>
            <w:r w:rsidRPr="001271CE">
              <w:t>Mai mult, potrivit alin. (1) al aceluiași articol, asistența umanitară are ca obiective furnizarea materialelor, a resurselor umane și financiare, realizarea operațiunilor de răspuns la dezastre, creșterea capacității de prevenire și de răspuns la dezastre a autorităților și organizațiilor care acționează în domeniul asistenței umanitare, respectiv pot fi implicate și alte autorități. Totodată, nu este clar la care legislație specifică și la ce proceduri existente la nivel european și național se face trimitere în norma dată (art. 19 alin. (2)). Or, aceste neclarități urmează a fi reglementate în actul care pune în aplicare prevederile Legii, eventual în Regulamentul privind mecanismul de realizare a activităților de cooperare internațională pentru dezvoltare și asistență umanitară.</w:t>
            </w:r>
          </w:p>
        </w:tc>
        <w:tc>
          <w:tcPr>
            <w:tcW w:w="6300" w:type="dxa"/>
            <w:tcMar>
              <w:top w:w="0" w:type="dxa"/>
              <w:left w:w="108" w:type="dxa"/>
              <w:bottom w:w="0" w:type="dxa"/>
              <w:right w:w="108" w:type="dxa"/>
            </w:tcMar>
          </w:tcPr>
          <w:p w14:paraId="197406CA" w14:textId="66FCBE70" w:rsidR="009741E8" w:rsidRPr="001271CE" w:rsidRDefault="00BF622A" w:rsidP="009741E8">
            <w:pPr>
              <w:ind w:firstLine="0"/>
            </w:pPr>
            <w:r w:rsidRPr="001271CE">
              <w:t>Se acceptă.</w:t>
            </w:r>
          </w:p>
        </w:tc>
      </w:tr>
      <w:tr w:rsidR="009741E8" w:rsidRPr="001271CE" w14:paraId="5E66089E" w14:textId="77777777" w:rsidTr="003411E9">
        <w:trPr>
          <w:trHeight w:val="300"/>
        </w:trPr>
        <w:tc>
          <w:tcPr>
            <w:tcW w:w="2166" w:type="dxa"/>
            <w:vMerge/>
            <w:tcMar>
              <w:top w:w="0" w:type="dxa"/>
              <w:left w:w="108" w:type="dxa"/>
              <w:bottom w:w="0" w:type="dxa"/>
              <w:right w:w="108" w:type="dxa"/>
            </w:tcMar>
          </w:tcPr>
          <w:p w14:paraId="09CF4438" w14:textId="77777777" w:rsidR="009741E8" w:rsidRPr="001271CE" w:rsidRDefault="009741E8" w:rsidP="009741E8">
            <w:pPr>
              <w:ind w:firstLine="0"/>
              <w:jc w:val="left"/>
            </w:pPr>
          </w:p>
        </w:tc>
        <w:tc>
          <w:tcPr>
            <w:tcW w:w="516" w:type="dxa"/>
            <w:tcMar>
              <w:top w:w="0" w:type="dxa"/>
              <w:left w:w="108" w:type="dxa"/>
              <w:bottom w:w="0" w:type="dxa"/>
              <w:right w:w="108" w:type="dxa"/>
            </w:tcMar>
          </w:tcPr>
          <w:p w14:paraId="6F78D27C"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092FDD74" w14:textId="4EF081FB" w:rsidR="009741E8" w:rsidRPr="001271CE" w:rsidRDefault="009741E8" w:rsidP="009741E8">
            <w:pPr>
              <w:ind w:firstLine="0"/>
            </w:pPr>
            <w:r w:rsidRPr="001271CE">
              <w:t xml:space="preserve">Subsecvent, propunem excluderea de la pct. 97 a competenței ministrului afacerilor interne de a aproba participarea structurilor </w:t>
            </w:r>
            <w:r w:rsidRPr="001271CE">
              <w:lastRenderedPageBreak/>
              <w:t>coordonate la intervenții operative de salvare de vieți omenești cu echipe specializate, în caz de dezastre naturale sau alte situații de urgență, deoarece conform pct. 9 din Regulamentul cu privire la organizarea și funcționarea Ministerului Afacerilor Interne, aprobat prin Hotărârea Guvernului nr. 693/2017, ministrul afacerilor interne nu are o astfel de competență.</w:t>
            </w:r>
          </w:p>
        </w:tc>
        <w:tc>
          <w:tcPr>
            <w:tcW w:w="6300" w:type="dxa"/>
            <w:tcMar>
              <w:top w:w="0" w:type="dxa"/>
              <w:left w:w="108" w:type="dxa"/>
              <w:bottom w:w="0" w:type="dxa"/>
              <w:right w:w="108" w:type="dxa"/>
            </w:tcMar>
          </w:tcPr>
          <w:p w14:paraId="0C4F6F1B" w14:textId="294D0517" w:rsidR="009741E8" w:rsidRPr="001271CE" w:rsidRDefault="00BF622A" w:rsidP="009741E8">
            <w:pPr>
              <w:ind w:firstLine="0"/>
            </w:pPr>
            <w:r w:rsidRPr="001271CE">
              <w:lastRenderedPageBreak/>
              <w:t>Se acceptă.</w:t>
            </w:r>
          </w:p>
        </w:tc>
      </w:tr>
      <w:tr w:rsidR="009741E8" w:rsidRPr="001271CE" w14:paraId="7220F5CE" w14:textId="77777777" w:rsidTr="003411E9">
        <w:trPr>
          <w:trHeight w:val="300"/>
        </w:trPr>
        <w:tc>
          <w:tcPr>
            <w:tcW w:w="2166" w:type="dxa"/>
            <w:vMerge/>
            <w:tcMar>
              <w:top w:w="0" w:type="dxa"/>
              <w:left w:w="108" w:type="dxa"/>
              <w:bottom w:w="0" w:type="dxa"/>
              <w:right w:w="108" w:type="dxa"/>
            </w:tcMar>
          </w:tcPr>
          <w:p w14:paraId="79A8A864" w14:textId="77777777" w:rsidR="009741E8" w:rsidRPr="001271CE" w:rsidRDefault="009741E8" w:rsidP="009741E8">
            <w:pPr>
              <w:ind w:firstLine="0"/>
              <w:jc w:val="left"/>
            </w:pPr>
          </w:p>
        </w:tc>
        <w:tc>
          <w:tcPr>
            <w:tcW w:w="516" w:type="dxa"/>
            <w:tcMar>
              <w:top w:w="0" w:type="dxa"/>
              <w:left w:w="108" w:type="dxa"/>
              <w:bottom w:w="0" w:type="dxa"/>
              <w:right w:w="108" w:type="dxa"/>
            </w:tcMar>
          </w:tcPr>
          <w:p w14:paraId="56510222"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CCBAB4A" w14:textId="094E26D5" w:rsidR="009741E8" w:rsidRPr="001271CE" w:rsidRDefault="009741E8" w:rsidP="009741E8">
            <w:pPr>
              <w:ind w:firstLine="0"/>
            </w:pPr>
            <w:r w:rsidRPr="001271CE">
              <w:t>În context, de remarcat că, conform art. 6 alin. (5) din Legea Inspectoratului General pentru Situații de Urgență nr. 93/2007, Inspectoratul participă la misiuni și operațiuni speciale în conformitate cu tratatele internaționale la care Republica Moldova este parte. Participarea Inspectoratului la misiunile și operațiunile internaționale se aprobă în modul stabilit de legislația în vigoare. Astfel, analizând cadrul normativ în domeniu, se constată lipsa unei reglementări clare în partea ce ține de misiunile la care participă echipele de salvatori și pompieri. În acest sens, de menționat că, începând cu 01.01.2024, Republica Moldova participă în calitate de țară la Mecanismul de Protecție Civilă al Uniunii Europene, urmare adoptării Legii nr. 345/2023 pentru ratificarea Acordului dintre Republica Moldova, pe de o parte, și Uniunea Europeană, pe de altă parte, privind participarea Republicii Moldova la Mecanismul de Protecție Civilă al Uniunii Europene. Semnarea Acordului a determinat implementarea unor acțiuni pentru transpunerea Deciziei nr. 1313/2013/UE a Parlamentului European și a Consiliului din 17 decembrie 2013 privind Mecanismul de Protecției Civilă al Uniunii. Drept urmare, în vederea realizării prevederilor Acordului, a intervenit necesitatea elaborării unui proiect de lege care reglementează participarea Republicii Moldova la Mecanismul de Protecție Civilă al Uniunii Europene, în care vor fi prevăzute aspectele ce țin de participarea la misiuni de protecție civilă, inclusiv competența de aprobare a acestora, acțiune care se regăsește în Programul național de aderare a Republicii Moldova la Uniunea Europeană pentru anii 2025-2029, aprobat prin Hotărârea Guvernului nr. 306/2015, Anexa A la Clusterul 4.</w:t>
            </w:r>
          </w:p>
        </w:tc>
        <w:tc>
          <w:tcPr>
            <w:tcW w:w="6300" w:type="dxa"/>
            <w:tcMar>
              <w:top w:w="0" w:type="dxa"/>
              <w:left w:w="108" w:type="dxa"/>
              <w:bottom w:w="0" w:type="dxa"/>
              <w:right w:w="108" w:type="dxa"/>
            </w:tcMar>
          </w:tcPr>
          <w:p w14:paraId="2C772707" w14:textId="799D5C23" w:rsidR="009741E8" w:rsidRPr="001271CE" w:rsidRDefault="00B435C5" w:rsidP="009741E8">
            <w:pPr>
              <w:ind w:firstLine="0"/>
            </w:pPr>
            <w:r w:rsidRPr="001271CE">
              <w:t>Se acceptă.</w:t>
            </w:r>
          </w:p>
        </w:tc>
      </w:tr>
      <w:tr w:rsidR="009741E8" w:rsidRPr="001271CE" w14:paraId="19CE0AFA" w14:textId="77777777" w:rsidTr="003411E9">
        <w:trPr>
          <w:trHeight w:val="300"/>
        </w:trPr>
        <w:tc>
          <w:tcPr>
            <w:tcW w:w="2166" w:type="dxa"/>
            <w:vMerge/>
            <w:tcMar>
              <w:top w:w="0" w:type="dxa"/>
              <w:left w:w="108" w:type="dxa"/>
              <w:bottom w:w="0" w:type="dxa"/>
              <w:right w:w="108" w:type="dxa"/>
            </w:tcMar>
          </w:tcPr>
          <w:p w14:paraId="78C4057D"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31397DB"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71B56161" w14:textId="532D45AC" w:rsidR="009741E8" w:rsidRPr="001271CE" w:rsidRDefault="009741E8" w:rsidP="009741E8">
            <w:pPr>
              <w:ind w:firstLine="0"/>
            </w:pPr>
            <w:r w:rsidRPr="001271CE">
              <w:t xml:space="preserve">La pct. 75 este prevăzut că beneficiarul grantului returnează orice sumă necheltuită la finalul proiectului în termen de 30 de zile de la data primirii notificării, dar nu mai târziu de data de 25 noiembrie a anului în curs. Astfel, se menționează că prezenta normă nu stabilește ce fel de notificare urmează să primească beneficiarul grantului și cine va transmite această notificare. </w:t>
            </w:r>
          </w:p>
        </w:tc>
        <w:tc>
          <w:tcPr>
            <w:tcW w:w="6300" w:type="dxa"/>
            <w:tcMar>
              <w:top w:w="0" w:type="dxa"/>
              <w:left w:w="108" w:type="dxa"/>
              <w:bottom w:w="0" w:type="dxa"/>
              <w:right w:w="108" w:type="dxa"/>
            </w:tcMar>
          </w:tcPr>
          <w:p w14:paraId="5665C89D" w14:textId="33744C17" w:rsidR="009741E8" w:rsidRPr="001271CE" w:rsidRDefault="00BF622A" w:rsidP="009741E8">
            <w:pPr>
              <w:ind w:firstLine="0"/>
            </w:pPr>
            <w:r w:rsidRPr="001271CE">
              <w:t>Se acceptă.</w:t>
            </w:r>
          </w:p>
        </w:tc>
      </w:tr>
      <w:tr w:rsidR="00847F0C" w:rsidRPr="001271CE" w14:paraId="672247DC" w14:textId="77777777" w:rsidTr="003411E9">
        <w:trPr>
          <w:trHeight w:val="2760"/>
        </w:trPr>
        <w:tc>
          <w:tcPr>
            <w:tcW w:w="2166" w:type="dxa"/>
            <w:vMerge/>
            <w:tcMar>
              <w:top w:w="0" w:type="dxa"/>
              <w:left w:w="108" w:type="dxa"/>
              <w:bottom w:w="0" w:type="dxa"/>
              <w:right w:w="108" w:type="dxa"/>
            </w:tcMar>
          </w:tcPr>
          <w:p w14:paraId="4E8D757C" w14:textId="77777777" w:rsidR="00847F0C" w:rsidRPr="001271CE" w:rsidRDefault="00847F0C" w:rsidP="009741E8">
            <w:pPr>
              <w:ind w:firstLine="0"/>
              <w:jc w:val="left"/>
            </w:pPr>
          </w:p>
        </w:tc>
        <w:tc>
          <w:tcPr>
            <w:tcW w:w="516" w:type="dxa"/>
            <w:tcMar>
              <w:top w:w="0" w:type="dxa"/>
              <w:left w:w="108" w:type="dxa"/>
              <w:bottom w:w="0" w:type="dxa"/>
              <w:right w:w="108" w:type="dxa"/>
            </w:tcMar>
          </w:tcPr>
          <w:p w14:paraId="23E0E5D9" w14:textId="77777777" w:rsidR="00847F0C" w:rsidRPr="001271CE" w:rsidRDefault="00847F0C" w:rsidP="009741E8">
            <w:pPr>
              <w:pStyle w:val="ListParagraph"/>
              <w:numPr>
                <w:ilvl w:val="0"/>
                <w:numId w:val="1"/>
              </w:numPr>
              <w:ind w:right="76"/>
              <w:jc w:val="left"/>
            </w:pPr>
          </w:p>
        </w:tc>
        <w:tc>
          <w:tcPr>
            <w:tcW w:w="5706" w:type="dxa"/>
            <w:tcMar>
              <w:top w:w="0" w:type="dxa"/>
              <w:left w:w="108" w:type="dxa"/>
              <w:bottom w:w="0" w:type="dxa"/>
              <w:right w:w="108" w:type="dxa"/>
            </w:tcMar>
          </w:tcPr>
          <w:p w14:paraId="31A935D5" w14:textId="77777777" w:rsidR="00847F0C" w:rsidRPr="001271CE" w:rsidRDefault="00847F0C" w:rsidP="009741E8">
            <w:pPr>
              <w:ind w:firstLine="0"/>
            </w:pPr>
            <w:r w:rsidRPr="001271CE">
              <w:t xml:space="preserve">La fel, nu este clar ce se va întâmpla în situația în care beneficiarul primește notificarea după data de 25 noiembrie a anului curent și care sunt acțiunile ulterioare ale acestuia cu privire la returnarea sumelor necheltuite, având în vedere că termenul limită de returnare pentru anul în curs a expirat. Reieșind din cele expuse, se consideră oportună revizuirea prezentei norme și reglementarea clară a aspectelor aferente notificării care urmează să o primească beneficiarul după finalizarea proiectului. </w:t>
            </w:r>
          </w:p>
          <w:p w14:paraId="05DE7A78" w14:textId="4382FE20" w:rsidR="00847F0C" w:rsidRPr="001271CE" w:rsidRDefault="00847F0C" w:rsidP="009741E8">
            <w:pPr>
              <w:ind w:firstLine="0"/>
            </w:pPr>
            <w:r w:rsidRPr="001271CE">
              <w:t>Subsidiar, se propune reglementarea unei excepții pentru situația în care este depășit termenul de 25 noiembrie a anului în curs, pentru returnarea sumelor necheltuite.</w:t>
            </w:r>
          </w:p>
        </w:tc>
        <w:tc>
          <w:tcPr>
            <w:tcW w:w="6300" w:type="dxa"/>
            <w:tcMar>
              <w:top w:w="0" w:type="dxa"/>
              <w:left w:w="108" w:type="dxa"/>
              <w:bottom w:w="0" w:type="dxa"/>
              <w:right w:w="108" w:type="dxa"/>
            </w:tcMar>
          </w:tcPr>
          <w:p w14:paraId="5003A4CC" w14:textId="77777777" w:rsidR="00847F0C" w:rsidRPr="001271CE" w:rsidRDefault="00847F0C" w:rsidP="009741E8">
            <w:pPr>
              <w:ind w:firstLine="0"/>
            </w:pPr>
            <w:r w:rsidRPr="001271CE">
              <w:t xml:space="preserve">Nu se acceptă. </w:t>
            </w:r>
          </w:p>
          <w:p w14:paraId="29EDD239" w14:textId="77777777" w:rsidR="00847F0C" w:rsidRPr="001271CE" w:rsidRDefault="00847F0C" w:rsidP="009741E8">
            <w:pPr>
              <w:ind w:firstLine="0"/>
            </w:pPr>
            <w:r w:rsidRPr="001271CE">
              <w:t>MAE va cunoaște cu 30 de zile înainte de data de 25 noiembrie ce surse financiare vor fi supuse restituirii.</w:t>
            </w:r>
          </w:p>
          <w:p w14:paraId="430D0FC1" w14:textId="007E5E97" w:rsidR="00847F0C" w:rsidRPr="001271CE" w:rsidRDefault="00847F0C" w:rsidP="009741E8">
            <w:pPr>
              <w:ind w:firstLine="0"/>
            </w:pPr>
          </w:p>
        </w:tc>
      </w:tr>
      <w:tr w:rsidR="009741E8" w:rsidRPr="001271CE" w14:paraId="435DACBE" w14:textId="77777777" w:rsidTr="003411E9">
        <w:trPr>
          <w:trHeight w:val="300"/>
        </w:trPr>
        <w:tc>
          <w:tcPr>
            <w:tcW w:w="2166" w:type="dxa"/>
            <w:vMerge/>
            <w:tcMar>
              <w:top w:w="0" w:type="dxa"/>
              <w:left w:w="108" w:type="dxa"/>
              <w:bottom w:w="0" w:type="dxa"/>
              <w:right w:w="108" w:type="dxa"/>
            </w:tcMar>
          </w:tcPr>
          <w:p w14:paraId="01A06765" w14:textId="77777777" w:rsidR="009741E8" w:rsidRPr="001271CE" w:rsidRDefault="009741E8" w:rsidP="009741E8">
            <w:pPr>
              <w:ind w:firstLine="0"/>
              <w:jc w:val="left"/>
            </w:pPr>
          </w:p>
        </w:tc>
        <w:tc>
          <w:tcPr>
            <w:tcW w:w="516" w:type="dxa"/>
            <w:tcMar>
              <w:top w:w="0" w:type="dxa"/>
              <w:left w:w="108" w:type="dxa"/>
              <w:bottom w:w="0" w:type="dxa"/>
              <w:right w:w="108" w:type="dxa"/>
            </w:tcMar>
          </w:tcPr>
          <w:p w14:paraId="01AB3A94"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0F2EBAD" w14:textId="24FC9700" w:rsidR="009741E8" w:rsidRPr="001271CE" w:rsidRDefault="009741E8" w:rsidP="009741E8">
            <w:pPr>
              <w:ind w:firstLine="0"/>
            </w:pPr>
            <w:r w:rsidRPr="001271CE">
              <w:t>Adițional, se recomandă revizuirea pct. 85 care prevede termenul de depunere, în partea ce ține de trimiterea la pct. 28, care se referă la termenul de publicare a anunțului referitor la organizarea unui apel competitiv pentru depunerea de proiecte.</w:t>
            </w:r>
          </w:p>
        </w:tc>
        <w:tc>
          <w:tcPr>
            <w:tcW w:w="6300" w:type="dxa"/>
            <w:tcMar>
              <w:top w:w="0" w:type="dxa"/>
              <w:left w:w="108" w:type="dxa"/>
              <w:bottom w:w="0" w:type="dxa"/>
              <w:right w:w="108" w:type="dxa"/>
            </w:tcMar>
          </w:tcPr>
          <w:p w14:paraId="22481BC2" w14:textId="1B2EFF00" w:rsidR="009741E8" w:rsidRPr="001271CE" w:rsidRDefault="00847F0C" w:rsidP="009741E8">
            <w:pPr>
              <w:ind w:firstLine="0"/>
            </w:pPr>
            <w:r w:rsidRPr="001271CE">
              <w:t>Nu se acceptă.</w:t>
            </w:r>
          </w:p>
        </w:tc>
      </w:tr>
      <w:tr w:rsidR="00847F0C" w:rsidRPr="001271CE" w14:paraId="76560D0B" w14:textId="77777777" w:rsidTr="003411E9">
        <w:trPr>
          <w:trHeight w:val="3220"/>
        </w:trPr>
        <w:tc>
          <w:tcPr>
            <w:tcW w:w="2166" w:type="dxa"/>
            <w:vMerge/>
            <w:tcMar>
              <w:top w:w="0" w:type="dxa"/>
              <w:left w:w="108" w:type="dxa"/>
              <w:bottom w:w="0" w:type="dxa"/>
              <w:right w:w="108" w:type="dxa"/>
            </w:tcMar>
          </w:tcPr>
          <w:p w14:paraId="4BEEF57D" w14:textId="77777777" w:rsidR="00847F0C" w:rsidRPr="001271CE" w:rsidRDefault="00847F0C" w:rsidP="009741E8">
            <w:pPr>
              <w:ind w:firstLine="0"/>
              <w:jc w:val="left"/>
            </w:pPr>
          </w:p>
        </w:tc>
        <w:tc>
          <w:tcPr>
            <w:tcW w:w="516" w:type="dxa"/>
            <w:tcMar>
              <w:top w:w="0" w:type="dxa"/>
              <w:left w:w="108" w:type="dxa"/>
              <w:bottom w:w="0" w:type="dxa"/>
              <w:right w:w="108" w:type="dxa"/>
            </w:tcMar>
          </w:tcPr>
          <w:p w14:paraId="294C9CEB" w14:textId="77777777" w:rsidR="00847F0C" w:rsidRPr="001271CE" w:rsidRDefault="00847F0C" w:rsidP="009741E8">
            <w:pPr>
              <w:pStyle w:val="ListParagraph"/>
              <w:numPr>
                <w:ilvl w:val="0"/>
                <w:numId w:val="1"/>
              </w:numPr>
              <w:ind w:right="76"/>
              <w:jc w:val="left"/>
            </w:pPr>
          </w:p>
        </w:tc>
        <w:tc>
          <w:tcPr>
            <w:tcW w:w="5706" w:type="dxa"/>
            <w:tcMar>
              <w:top w:w="0" w:type="dxa"/>
              <w:left w:w="108" w:type="dxa"/>
              <w:bottom w:w="0" w:type="dxa"/>
              <w:right w:w="108" w:type="dxa"/>
            </w:tcMar>
          </w:tcPr>
          <w:p w14:paraId="47F98A1C" w14:textId="77777777" w:rsidR="00847F0C" w:rsidRPr="001271CE" w:rsidRDefault="00847F0C" w:rsidP="009741E8">
            <w:pPr>
              <w:ind w:firstLine="0"/>
            </w:pPr>
            <w:r w:rsidRPr="001271CE">
              <w:t xml:space="preserve">La pct. 99, autorul face trimitere la termenele de implementare prevăzute la pct. 76.4 din proiect, însă punctul menționat prevede că beneficiarul grantului poate solicita modificarea acordului de finanțare în situația în care este necesară prelungirea perioadei de implementare, cu precizarea motivelor care au condus la această solicitare, dar nu mai târziu de data de 25 noiembrie a anului în curs pentru cheltuielile angajate din bugetul anului respectiv, cu excepția proiectelor cu finanțare multianuală, ale căror termene se stabilesc prin acordul de finanțare. </w:t>
            </w:r>
          </w:p>
          <w:p w14:paraId="7B2CBB69" w14:textId="4B343BB9" w:rsidR="00847F0C" w:rsidRPr="001271CE" w:rsidRDefault="00847F0C" w:rsidP="009741E8">
            <w:pPr>
              <w:ind w:firstLine="0"/>
            </w:pPr>
            <w:r w:rsidRPr="001271CE">
              <w:t>Astfel, subpct. 76.4 nu reglementează termenele de implementare, fapt pentru care trimiterea efectuată de autor urmează a fi revizuită.</w:t>
            </w:r>
          </w:p>
        </w:tc>
        <w:tc>
          <w:tcPr>
            <w:tcW w:w="6300" w:type="dxa"/>
            <w:tcMar>
              <w:top w:w="0" w:type="dxa"/>
              <w:left w:w="108" w:type="dxa"/>
              <w:bottom w:w="0" w:type="dxa"/>
              <w:right w:w="108" w:type="dxa"/>
            </w:tcMar>
          </w:tcPr>
          <w:p w14:paraId="7424A2B2" w14:textId="75F65CCD" w:rsidR="00847F0C" w:rsidRPr="001271CE" w:rsidRDefault="00847F0C" w:rsidP="009741E8">
            <w:pPr>
              <w:ind w:firstLine="0"/>
            </w:pPr>
            <w:r w:rsidRPr="001271CE">
              <w:t>Se acceptă.</w:t>
            </w:r>
          </w:p>
          <w:p w14:paraId="7E1E9564" w14:textId="689D431D" w:rsidR="00847F0C" w:rsidRPr="001271CE" w:rsidRDefault="00847F0C" w:rsidP="009741E8">
            <w:pPr>
              <w:ind w:firstLine="0"/>
            </w:pPr>
            <w:r w:rsidRPr="001271CE">
              <w:t>Pct. 99 a fost reformulat, conform propunerii de la pct. 60.</w:t>
            </w:r>
          </w:p>
        </w:tc>
      </w:tr>
      <w:tr w:rsidR="009741E8" w:rsidRPr="001271CE" w14:paraId="5E9853DE" w14:textId="77777777" w:rsidTr="003411E9">
        <w:trPr>
          <w:trHeight w:val="300"/>
        </w:trPr>
        <w:tc>
          <w:tcPr>
            <w:tcW w:w="2166" w:type="dxa"/>
            <w:vMerge/>
            <w:tcMar>
              <w:top w:w="0" w:type="dxa"/>
              <w:left w:w="108" w:type="dxa"/>
              <w:bottom w:w="0" w:type="dxa"/>
              <w:right w:w="108" w:type="dxa"/>
            </w:tcMar>
          </w:tcPr>
          <w:p w14:paraId="49108FDC"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B6BB627"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0E37B7BC" w14:textId="082A6732" w:rsidR="009741E8" w:rsidRPr="001271CE" w:rsidRDefault="009741E8" w:rsidP="009741E8">
            <w:pPr>
              <w:ind w:firstLine="0"/>
            </w:pPr>
            <w:r w:rsidRPr="001271CE">
              <w:t>Suplimentar, se recomandă revizuirea terminologiei utilizate în proiect prin ajustarea acesteia la prevederile Legii nr. 248/2025 privind managementul situațiilor de criză.</w:t>
            </w:r>
          </w:p>
        </w:tc>
        <w:tc>
          <w:tcPr>
            <w:tcW w:w="6300" w:type="dxa"/>
            <w:tcMar>
              <w:top w:w="0" w:type="dxa"/>
              <w:left w:w="108" w:type="dxa"/>
              <w:bottom w:w="0" w:type="dxa"/>
              <w:right w:w="108" w:type="dxa"/>
            </w:tcMar>
          </w:tcPr>
          <w:p w14:paraId="0A90584E" w14:textId="02A570D3" w:rsidR="009741E8" w:rsidRPr="001271CE" w:rsidRDefault="004A3A5E" w:rsidP="009741E8">
            <w:pPr>
              <w:ind w:firstLine="0"/>
            </w:pPr>
            <w:r w:rsidRPr="001271CE">
              <w:t>S</w:t>
            </w:r>
            <w:r w:rsidR="00847F0C" w:rsidRPr="001271CE">
              <w:t>e acceptă.</w:t>
            </w:r>
          </w:p>
        </w:tc>
      </w:tr>
      <w:tr w:rsidR="009741E8" w:rsidRPr="001271CE" w14:paraId="33E53D45" w14:textId="77777777" w:rsidTr="003411E9">
        <w:trPr>
          <w:trHeight w:val="300"/>
        </w:trPr>
        <w:tc>
          <w:tcPr>
            <w:tcW w:w="2166" w:type="dxa"/>
            <w:vMerge w:val="restart"/>
            <w:tcMar>
              <w:top w:w="0" w:type="dxa"/>
              <w:left w:w="108" w:type="dxa"/>
              <w:bottom w:w="0" w:type="dxa"/>
              <w:right w:w="108" w:type="dxa"/>
            </w:tcMar>
          </w:tcPr>
          <w:p w14:paraId="62E57E20" w14:textId="77777777" w:rsidR="009741E8" w:rsidRPr="001271CE" w:rsidRDefault="009741E8" w:rsidP="009741E8">
            <w:pPr>
              <w:ind w:firstLine="0"/>
              <w:jc w:val="left"/>
            </w:pPr>
            <w:r w:rsidRPr="001271CE">
              <w:t>Ministerul Infrastructurii și Dezvoltării Regionale</w:t>
            </w:r>
          </w:p>
          <w:p w14:paraId="72C58214" w14:textId="5BBB577E" w:rsidR="009741E8" w:rsidRPr="001271CE" w:rsidRDefault="009741E8" w:rsidP="009741E8">
            <w:pPr>
              <w:ind w:firstLine="0"/>
              <w:jc w:val="left"/>
              <w:rPr>
                <w:i/>
                <w:iCs/>
              </w:rPr>
            </w:pPr>
            <w:r w:rsidRPr="001271CE">
              <w:rPr>
                <w:i/>
                <w:iCs/>
              </w:rPr>
              <w:t>Nr. 07-6378 din 4 decembrie 2025</w:t>
            </w:r>
          </w:p>
        </w:tc>
        <w:tc>
          <w:tcPr>
            <w:tcW w:w="516" w:type="dxa"/>
            <w:tcMar>
              <w:top w:w="0" w:type="dxa"/>
              <w:left w:w="108" w:type="dxa"/>
              <w:bottom w:w="0" w:type="dxa"/>
              <w:right w:w="108" w:type="dxa"/>
            </w:tcMar>
          </w:tcPr>
          <w:p w14:paraId="1E1C2D1B"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39FB37C1" w14:textId="525608C8" w:rsidR="009741E8" w:rsidRPr="001271CE" w:rsidRDefault="009741E8" w:rsidP="009741E8">
            <w:pPr>
              <w:ind w:firstLine="0"/>
            </w:pPr>
            <w:r w:rsidRPr="001271CE">
              <w:t xml:space="preserve">Proiectul nu reglementează niciun aspect referitor la Comitetul consultativ în domeniu, or potrivit art. 7 alin. (1) al Legii nr. 149/2025, în scopul asigurării coerenței planificării strategice și al stabilirii priorităților tematice și geografice în politica de cooperare internațională pentru dezvoltare și asistență umanitară a Republicii Moldova, se înființează Comitetul consultativ care funcționează în coordonarea Ministerului Afacerilor Externe. Drept urmare, proiectul urmează a fi corelat/completat cu un Regulament de organizare și </w:t>
            </w:r>
            <w:r w:rsidRPr="001271CE">
              <w:lastRenderedPageBreak/>
              <w:t>funcționare a Comitetului consultativ, având în vedere rolul acestuia în asigurarea coerenței planificării strategice și stabilirea priorităților tematice și geografice.</w:t>
            </w:r>
          </w:p>
        </w:tc>
        <w:tc>
          <w:tcPr>
            <w:tcW w:w="6300" w:type="dxa"/>
            <w:tcMar>
              <w:top w:w="0" w:type="dxa"/>
              <w:left w:w="108" w:type="dxa"/>
              <w:bottom w:w="0" w:type="dxa"/>
              <w:right w:w="108" w:type="dxa"/>
            </w:tcMar>
          </w:tcPr>
          <w:p w14:paraId="6488708C" w14:textId="77777777" w:rsidR="009741E8" w:rsidRPr="001271CE" w:rsidRDefault="00FA1E7C" w:rsidP="009741E8">
            <w:pPr>
              <w:ind w:firstLine="0"/>
            </w:pPr>
            <w:r w:rsidRPr="001271CE">
              <w:lastRenderedPageBreak/>
              <w:t>Se acceptă.</w:t>
            </w:r>
          </w:p>
          <w:p w14:paraId="7596C3DF" w14:textId="6A7A26F5" w:rsidR="00FA1E7C" w:rsidRPr="001271CE" w:rsidRDefault="00FA1E7C" w:rsidP="009741E8">
            <w:pPr>
              <w:ind w:firstLine="0"/>
            </w:pPr>
            <w:r w:rsidRPr="001271CE">
              <w:t>Proiectul Hotărârii Guvernului pentru aprobarea Regulamentului de organizare și activitate a Comitetului consultativ în domeniul cooperării internaționale pentru dezvoltare și asistență umanitară a fost elaborat și remis spre avizare ulterior.</w:t>
            </w:r>
          </w:p>
        </w:tc>
      </w:tr>
      <w:tr w:rsidR="009741E8" w:rsidRPr="001271CE" w14:paraId="2193FA6D" w14:textId="77777777" w:rsidTr="003411E9">
        <w:trPr>
          <w:trHeight w:val="300"/>
        </w:trPr>
        <w:tc>
          <w:tcPr>
            <w:tcW w:w="2166" w:type="dxa"/>
            <w:vMerge/>
            <w:tcMar>
              <w:top w:w="0" w:type="dxa"/>
              <w:left w:w="108" w:type="dxa"/>
              <w:bottom w:w="0" w:type="dxa"/>
              <w:right w:w="108" w:type="dxa"/>
            </w:tcMar>
          </w:tcPr>
          <w:p w14:paraId="24F46948" w14:textId="77777777" w:rsidR="009741E8" w:rsidRPr="001271CE" w:rsidRDefault="009741E8" w:rsidP="009741E8">
            <w:pPr>
              <w:ind w:firstLine="0"/>
              <w:jc w:val="left"/>
            </w:pPr>
          </w:p>
        </w:tc>
        <w:tc>
          <w:tcPr>
            <w:tcW w:w="516" w:type="dxa"/>
            <w:tcMar>
              <w:top w:w="0" w:type="dxa"/>
              <w:left w:w="108" w:type="dxa"/>
              <w:bottom w:w="0" w:type="dxa"/>
              <w:right w:w="108" w:type="dxa"/>
            </w:tcMar>
          </w:tcPr>
          <w:p w14:paraId="4F77AF12"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3D841D0E" w14:textId="3A119EAF" w:rsidR="009741E8" w:rsidRPr="001271CE" w:rsidRDefault="009741E8" w:rsidP="009741E8">
            <w:pPr>
              <w:ind w:firstLine="0"/>
            </w:pPr>
            <w:r w:rsidRPr="001271CE">
              <w:t>Suplimentar, având în vedere că proiectul de Regulament face trimitere în mod repetat la Manualul prevăzut la pct. 66, care dobândește un caracter determinant pentru aplicarea practică a mecanismelor instituite, se recomandă prioritizarea elaborării și aprobării acestuia, precum și a altor instrumente procedurale auxiliare necesare.</w:t>
            </w:r>
          </w:p>
        </w:tc>
        <w:tc>
          <w:tcPr>
            <w:tcW w:w="6300" w:type="dxa"/>
            <w:tcMar>
              <w:top w:w="0" w:type="dxa"/>
              <w:left w:w="108" w:type="dxa"/>
              <w:bottom w:w="0" w:type="dxa"/>
              <w:right w:w="108" w:type="dxa"/>
            </w:tcMar>
          </w:tcPr>
          <w:p w14:paraId="7D25ED3A" w14:textId="77777777" w:rsidR="00FA1E7C" w:rsidRPr="001271CE" w:rsidRDefault="00FA1E7C" w:rsidP="00FA1E7C">
            <w:pPr>
              <w:ind w:firstLine="0"/>
            </w:pPr>
            <w:r w:rsidRPr="001271CE">
              <w:t>Nu se acceptă.</w:t>
            </w:r>
          </w:p>
          <w:p w14:paraId="105B81EC" w14:textId="330AC82D" w:rsidR="009741E8" w:rsidRPr="001271CE" w:rsidRDefault="00FA1E7C" w:rsidP="00FA1E7C">
            <w:pPr>
              <w:ind w:firstLine="0"/>
            </w:pPr>
            <w:r w:rsidRPr="001271CE">
              <w:t>Documentele vizate (metodologia și grila de evaluare, termenii de referință, regulamentele comisiilor, manualul de proceduri etc.) au un caracter eminamente tehnic și operațional și nu constituie norme de drept material sau proceduri administrative cu aplicabilitate generală. Stabilirea acestora prin ordin al ministrului permite flexibilitate și adaptare la specificul fiecărui instrument, evitând rigidizarea excesivă a cadrului normativ. Aprobarea acestora prin hotărâre de Guvern ar conduce la supra-reglementare și ar genera dificultăți practice, întrucât orice ajustare tehnică minoră ar impune modificarea actului normativ de rang superior, afectând eficiența și funcționalitatea mecanismului.</w:t>
            </w:r>
          </w:p>
        </w:tc>
      </w:tr>
      <w:tr w:rsidR="009741E8" w:rsidRPr="001271CE" w14:paraId="22E2A57A" w14:textId="77777777" w:rsidTr="003411E9">
        <w:trPr>
          <w:trHeight w:val="300"/>
        </w:trPr>
        <w:tc>
          <w:tcPr>
            <w:tcW w:w="2166" w:type="dxa"/>
            <w:vMerge w:val="restart"/>
            <w:tcMar>
              <w:top w:w="0" w:type="dxa"/>
              <w:left w:w="108" w:type="dxa"/>
              <w:bottom w:w="0" w:type="dxa"/>
              <w:right w:w="108" w:type="dxa"/>
            </w:tcMar>
          </w:tcPr>
          <w:p w14:paraId="3E58DBBB" w14:textId="77777777" w:rsidR="009741E8" w:rsidRPr="001271CE" w:rsidRDefault="009741E8" w:rsidP="009741E8">
            <w:pPr>
              <w:ind w:firstLine="0"/>
              <w:jc w:val="left"/>
            </w:pPr>
            <w:r w:rsidRPr="001271CE">
              <w:t>Ministerul Mediului</w:t>
            </w:r>
          </w:p>
          <w:p w14:paraId="183E8D08" w14:textId="2EC8DFD1" w:rsidR="009741E8" w:rsidRPr="001271CE" w:rsidRDefault="009741E8" w:rsidP="009741E8">
            <w:pPr>
              <w:ind w:firstLine="0"/>
              <w:jc w:val="left"/>
              <w:rPr>
                <w:i/>
                <w:iCs/>
              </w:rPr>
            </w:pPr>
            <w:r w:rsidRPr="001271CE">
              <w:rPr>
                <w:i/>
                <w:iCs/>
              </w:rPr>
              <w:t>Nr. 02/1-05/3151 din 24 noiembrie 2025</w:t>
            </w:r>
          </w:p>
        </w:tc>
        <w:tc>
          <w:tcPr>
            <w:tcW w:w="516" w:type="dxa"/>
            <w:tcMar>
              <w:top w:w="0" w:type="dxa"/>
              <w:left w:w="108" w:type="dxa"/>
              <w:bottom w:w="0" w:type="dxa"/>
              <w:right w:w="108" w:type="dxa"/>
            </w:tcMar>
          </w:tcPr>
          <w:p w14:paraId="32B52FF1"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BFD07B1" w14:textId="2B1FB901" w:rsidR="009741E8" w:rsidRPr="001271CE" w:rsidRDefault="009741E8" w:rsidP="009741E8">
            <w:pPr>
              <w:ind w:firstLine="0"/>
            </w:pPr>
            <w:r w:rsidRPr="001271CE">
              <w:t xml:space="preserve">Pentru a elimina riscul de neconformitate și pentru a asigura respectarea deplină a principiului DNSH se impune introducerea obligatorie a avizului Ministerului Mediului (sau a instituției din subordine competente) în textul Regulamentului. Actuala formulare de la pct. 102 al Regulamentului atribuie în exclusivitate Ministerului Afacerilor Externe competența de a asigura evaluarea prealabilă a conformității DNSH, fără a prevedea obligativitatea obținerii avizului de specialitate din partea autorității de mediu competente. </w:t>
            </w:r>
          </w:p>
        </w:tc>
        <w:tc>
          <w:tcPr>
            <w:tcW w:w="6300" w:type="dxa"/>
            <w:tcMar>
              <w:top w:w="0" w:type="dxa"/>
              <w:left w:w="108" w:type="dxa"/>
              <w:bottom w:w="0" w:type="dxa"/>
              <w:right w:w="108" w:type="dxa"/>
            </w:tcMar>
          </w:tcPr>
          <w:p w14:paraId="54CC92D8" w14:textId="77777777" w:rsidR="009741E8" w:rsidRPr="001271CE" w:rsidRDefault="00856190" w:rsidP="009741E8">
            <w:pPr>
              <w:ind w:firstLine="0"/>
            </w:pPr>
            <w:r w:rsidRPr="001271CE">
              <w:t>Nu se acceptă.</w:t>
            </w:r>
          </w:p>
          <w:p w14:paraId="2B1A45AC" w14:textId="77777777" w:rsidR="00856190" w:rsidRPr="001271CE" w:rsidRDefault="00856190" w:rsidP="00856190">
            <w:pPr>
              <w:ind w:firstLine="0"/>
            </w:pPr>
            <w:r w:rsidRPr="001271CE">
              <w:t>Evaluarea conformității cu principiul DNSH constituie o obligație de procedură care, potrivit practicilor Uniunii Europene, revine autorității care gestionează mecanismul de finanțare și nu presupune instituirea unui aviz extern obligatoriu.</w:t>
            </w:r>
          </w:p>
          <w:p w14:paraId="29EFA8DC" w14:textId="77777777" w:rsidR="00856190" w:rsidRPr="001271CE" w:rsidRDefault="00856190" w:rsidP="00856190">
            <w:pPr>
              <w:ind w:firstLine="0"/>
            </w:pPr>
            <w:r w:rsidRPr="001271CE">
              <w:t>Activitățile finanțate în cadrul cooperării internaționale pentru dezvoltare și asistență umanitară sunt realizate preponderent în afara jurisdicției Republicii Moldova, ceea ce face inaplicabilă competența materială a autorității naționale de mediu asupra acestora.</w:t>
            </w:r>
          </w:p>
          <w:p w14:paraId="651CF4A7" w14:textId="6A2DBD70" w:rsidR="00856190" w:rsidRPr="001271CE" w:rsidRDefault="00856190" w:rsidP="00856190">
            <w:pPr>
              <w:ind w:firstLine="0"/>
            </w:pPr>
            <w:r w:rsidRPr="001271CE">
              <w:t>Introducerea unui aviz obligatoriu ar conduce la blocaje administrative, la diluarea responsabilităților instituționale și la instituirea unui mecanism disproporționat, nealiniat practicilor UE.</w:t>
            </w:r>
          </w:p>
        </w:tc>
      </w:tr>
      <w:tr w:rsidR="009741E8" w:rsidRPr="001271CE" w14:paraId="56F8AF48" w14:textId="77777777" w:rsidTr="003411E9">
        <w:trPr>
          <w:trHeight w:val="300"/>
        </w:trPr>
        <w:tc>
          <w:tcPr>
            <w:tcW w:w="2166" w:type="dxa"/>
            <w:vMerge/>
            <w:tcMar>
              <w:top w:w="0" w:type="dxa"/>
              <w:left w:w="108" w:type="dxa"/>
              <w:bottom w:w="0" w:type="dxa"/>
              <w:right w:w="108" w:type="dxa"/>
            </w:tcMar>
          </w:tcPr>
          <w:p w14:paraId="7A3ABCB1" w14:textId="77777777" w:rsidR="009741E8" w:rsidRPr="001271CE" w:rsidRDefault="009741E8" w:rsidP="009741E8">
            <w:pPr>
              <w:ind w:firstLine="0"/>
              <w:jc w:val="left"/>
            </w:pPr>
          </w:p>
        </w:tc>
        <w:tc>
          <w:tcPr>
            <w:tcW w:w="516" w:type="dxa"/>
            <w:tcMar>
              <w:top w:w="0" w:type="dxa"/>
              <w:left w:w="108" w:type="dxa"/>
              <w:bottom w:w="0" w:type="dxa"/>
              <w:right w:w="108" w:type="dxa"/>
            </w:tcMar>
          </w:tcPr>
          <w:p w14:paraId="3A65D474"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F942D3F" w14:textId="39258955" w:rsidR="009741E8" w:rsidRPr="001271CE" w:rsidRDefault="009741E8" w:rsidP="009741E8">
            <w:pPr>
              <w:ind w:firstLine="0"/>
            </w:pPr>
            <w:r w:rsidRPr="001271CE">
              <w:t>Astfel, la Capitolul V - RESPECTAREA PRINCIPIULUI „DO NO SIGNIFICANT HARM” (DNSH) se va include un punct conform redactării propuse</w:t>
            </w:r>
            <w:r w:rsidRPr="001271CE">
              <w:rPr>
                <w:i/>
                <w:iCs/>
              </w:rPr>
              <w:t>: ”102¹. Evaluarea prealabilă a conformității DNSH se supune obligatoriu avizării de către Ministerul Mediului sau, după caz, de către instituția competentă din subordinea acestuia. Avizul este emis în maximum 20 de zile lucrătoare de la primirea documentației complete. În cazul în care avizul este negativ sau condiționat, Ministerul Afacerilor Externe va ajusta propunerea de activitate în consecință sau va renunța la finanțarea acesteia.”.</w:t>
            </w:r>
          </w:p>
        </w:tc>
        <w:tc>
          <w:tcPr>
            <w:tcW w:w="6300" w:type="dxa"/>
            <w:tcMar>
              <w:top w:w="0" w:type="dxa"/>
              <w:left w:w="108" w:type="dxa"/>
              <w:bottom w:w="0" w:type="dxa"/>
              <w:right w:w="108" w:type="dxa"/>
            </w:tcMar>
          </w:tcPr>
          <w:p w14:paraId="0A2DB187" w14:textId="77777777" w:rsidR="009741E8" w:rsidRPr="001271CE" w:rsidRDefault="00856190" w:rsidP="009741E8">
            <w:pPr>
              <w:ind w:firstLine="0"/>
            </w:pPr>
            <w:r w:rsidRPr="001271CE">
              <w:t>Nu se acceptă.</w:t>
            </w:r>
          </w:p>
          <w:p w14:paraId="2298B230" w14:textId="34E2FF65" w:rsidR="00856190" w:rsidRPr="001271CE" w:rsidRDefault="00856190" w:rsidP="009741E8">
            <w:pPr>
              <w:ind w:firstLine="0"/>
            </w:pPr>
            <w:r w:rsidRPr="001271CE">
              <w:t>A se vedea pct. 72.</w:t>
            </w:r>
          </w:p>
        </w:tc>
      </w:tr>
      <w:tr w:rsidR="009741E8" w:rsidRPr="001271CE" w14:paraId="4B3B1317" w14:textId="77777777" w:rsidTr="003411E9">
        <w:trPr>
          <w:trHeight w:val="300"/>
        </w:trPr>
        <w:tc>
          <w:tcPr>
            <w:tcW w:w="2166" w:type="dxa"/>
            <w:vMerge w:val="restart"/>
            <w:tcMar>
              <w:top w:w="0" w:type="dxa"/>
              <w:left w:w="108" w:type="dxa"/>
              <w:bottom w:w="0" w:type="dxa"/>
              <w:right w:w="108" w:type="dxa"/>
            </w:tcMar>
          </w:tcPr>
          <w:p w14:paraId="37232526" w14:textId="77777777" w:rsidR="009741E8" w:rsidRPr="001271CE" w:rsidRDefault="009741E8" w:rsidP="009741E8">
            <w:pPr>
              <w:ind w:firstLine="0"/>
              <w:jc w:val="left"/>
            </w:pPr>
            <w:r w:rsidRPr="001271CE">
              <w:t>Ministerul Educației și Cercetării</w:t>
            </w:r>
          </w:p>
          <w:p w14:paraId="52EE91AD" w14:textId="3FBF398C" w:rsidR="009741E8" w:rsidRPr="001271CE" w:rsidRDefault="009741E8" w:rsidP="009741E8">
            <w:pPr>
              <w:ind w:firstLine="0"/>
              <w:jc w:val="left"/>
              <w:rPr>
                <w:i/>
                <w:iCs/>
              </w:rPr>
            </w:pPr>
            <w:r w:rsidRPr="001271CE">
              <w:rPr>
                <w:i/>
                <w:iCs/>
              </w:rPr>
              <w:t>Nr. 07-09/02/80/25 din 28 noiembrie 2025</w:t>
            </w:r>
          </w:p>
        </w:tc>
        <w:tc>
          <w:tcPr>
            <w:tcW w:w="516" w:type="dxa"/>
            <w:tcMar>
              <w:top w:w="0" w:type="dxa"/>
              <w:left w:w="108" w:type="dxa"/>
              <w:bottom w:w="0" w:type="dxa"/>
              <w:right w:w="108" w:type="dxa"/>
            </w:tcMar>
          </w:tcPr>
          <w:p w14:paraId="25576FA4"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662BF98" w14:textId="0E91349D" w:rsidR="009741E8" w:rsidRPr="001271CE" w:rsidRDefault="009741E8" w:rsidP="009741E8">
            <w:pPr>
              <w:ind w:firstLine="0"/>
            </w:pPr>
            <w:r w:rsidRPr="001271CE">
              <w:t xml:space="preserve">Considerăm necesară revizuirea pct. 4 din proiectul Regulamentului, întrucât acesta contravine dispozițiilor de la art. 8 din Legea nr. 149/2025 cu privire la cooperarea internațională pentru dezvoltare și asistență umanitară, care stabilesc că prioritățile de cooperare internațională pentru dezvoltare și asistență umanitară, precum și </w:t>
            </w:r>
            <w:r w:rsidRPr="001271CE">
              <w:lastRenderedPageBreak/>
              <w:t>modalitățile de implementare a activităților sunt cuprinse fin Programul multianual strategic care se aproba de Guvern.</w:t>
            </w:r>
          </w:p>
        </w:tc>
        <w:tc>
          <w:tcPr>
            <w:tcW w:w="6300" w:type="dxa"/>
            <w:tcMar>
              <w:top w:w="0" w:type="dxa"/>
              <w:left w:w="108" w:type="dxa"/>
              <w:bottom w:w="0" w:type="dxa"/>
              <w:right w:w="108" w:type="dxa"/>
            </w:tcMar>
          </w:tcPr>
          <w:p w14:paraId="66CFD3B5" w14:textId="77777777" w:rsidR="009741E8" w:rsidRPr="001271CE" w:rsidRDefault="00856190" w:rsidP="009741E8">
            <w:pPr>
              <w:ind w:firstLine="0"/>
            </w:pPr>
            <w:r w:rsidRPr="001271CE">
              <w:lastRenderedPageBreak/>
              <w:t>Se acceptă.</w:t>
            </w:r>
          </w:p>
          <w:p w14:paraId="355CFBF7" w14:textId="2E9E9847" w:rsidR="00856190" w:rsidRPr="001271CE" w:rsidRDefault="00856190" w:rsidP="009741E8">
            <w:pPr>
              <w:ind w:firstLine="0"/>
            </w:pPr>
            <w:r w:rsidRPr="001271CE">
              <w:t>Proiectul a fost ajustat corespunzător.</w:t>
            </w:r>
          </w:p>
        </w:tc>
      </w:tr>
      <w:tr w:rsidR="009741E8" w:rsidRPr="001271CE" w14:paraId="70D70084" w14:textId="77777777" w:rsidTr="003411E9">
        <w:trPr>
          <w:trHeight w:val="300"/>
        </w:trPr>
        <w:tc>
          <w:tcPr>
            <w:tcW w:w="2166" w:type="dxa"/>
            <w:vMerge/>
            <w:tcMar>
              <w:top w:w="0" w:type="dxa"/>
              <w:left w:w="108" w:type="dxa"/>
              <w:bottom w:w="0" w:type="dxa"/>
              <w:right w:w="108" w:type="dxa"/>
            </w:tcMar>
          </w:tcPr>
          <w:p w14:paraId="641FBCF5" w14:textId="77777777" w:rsidR="009741E8" w:rsidRPr="001271CE" w:rsidRDefault="009741E8" w:rsidP="009741E8">
            <w:pPr>
              <w:ind w:firstLine="0"/>
              <w:jc w:val="left"/>
            </w:pPr>
          </w:p>
        </w:tc>
        <w:tc>
          <w:tcPr>
            <w:tcW w:w="516" w:type="dxa"/>
            <w:tcMar>
              <w:top w:w="0" w:type="dxa"/>
              <w:left w:w="108" w:type="dxa"/>
              <w:bottom w:w="0" w:type="dxa"/>
              <w:right w:w="108" w:type="dxa"/>
            </w:tcMar>
          </w:tcPr>
          <w:p w14:paraId="30A0EA68"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84D64BC" w14:textId="5E84AA2A" w:rsidR="009741E8" w:rsidRPr="001271CE" w:rsidRDefault="009741E8" w:rsidP="009741E8">
            <w:pPr>
              <w:ind w:firstLine="0"/>
            </w:pPr>
            <w:r w:rsidRPr="001271CE">
              <w:t>In scopul acurateței exprimării, la pct. 9 se propune înlocuirea cuvântului ,, respectiv” cu textul ,,și/sau".</w:t>
            </w:r>
          </w:p>
        </w:tc>
        <w:tc>
          <w:tcPr>
            <w:tcW w:w="6300" w:type="dxa"/>
            <w:tcMar>
              <w:top w:w="0" w:type="dxa"/>
              <w:left w:w="108" w:type="dxa"/>
              <w:bottom w:w="0" w:type="dxa"/>
              <w:right w:w="108" w:type="dxa"/>
            </w:tcMar>
          </w:tcPr>
          <w:p w14:paraId="0AE44D35" w14:textId="77777777" w:rsidR="00856190" w:rsidRPr="001271CE" w:rsidRDefault="00856190" w:rsidP="00856190">
            <w:pPr>
              <w:ind w:firstLine="0"/>
            </w:pPr>
            <w:r w:rsidRPr="001271CE">
              <w:t>Nu se acceptă.</w:t>
            </w:r>
          </w:p>
          <w:p w14:paraId="3C1E48AE" w14:textId="7372909E" w:rsidR="009741E8" w:rsidRPr="001271CE" w:rsidRDefault="00856190" w:rsidP="00856190">
            <w:pPr>
              <w:ind w:firstLine="0"/>
            </w:pPr>
            <w:r w:rsidRPr="001271CE">
              <w:t>Redacția actuală urmărește redacția Legii 149/2025.</w:t>
            </w:r>
          </w:p>
        </w:tc>
      </w:tr>
      <w:tr w:rsidR="009741E8" w:rsidRPr="001271CE" w14:paraId="46CE2CD5" w14:textId="77777777" w:rsidTr="003411E9">
        <w:trPr>
          <w:trHeight w:val="300"/>
        </w:trPr>
        <w:tc>
          <w:tcPr>
            <w:tcW w:w="2166" w:type="dxa"/>
            <w:tcMar>
              <w:top w:w="0" w:type="dxa"/>
              <w:left w:w="108" w:type="dxa"/>
              <w:bottom w:w="0" w:type="dxa"/>
              <w:right w:w="108" w:type="dxa"/>
            </w:tcMar>
          </w:tcPr>
          <w:p w14:paraId="4C30CC9F" w14:textId="77777777" w:rsidR="009741E8" w:rsidRPr="001271CE" w:rsidRDefault="009741E8" w:rsidP="009741E8">
            <w:pPr>
              <w:ind w:firstLine="0"/>
              <w:jc w:val="left"/>
            </w:pPr>
            <w:r w:rsidRPr="001271CE">
              <w:t>Ministerul Muncii și Protecției Sociale</w:t>
            </w:r>
          </w:p>
          <w:p w14:paraId="53098159" w14:textId="18167AE4" w:rsidR="009741E8" w:rsidRPr="001271CE" w:rsidRDefault="009741E8" w:rsidP="009741E8">
            <w:pPr>
              <w:ind w:firstLine="0"/>
              <w:jc w:val="left"/>
              <w:rPr>
                <w:i/>
                <w:iCs/>
              </w:rPr>
            </w:pPr>
            <w:r w:rsidRPr="001271CE">
              <w:rPr>
                <w:i/>
                <w:iCs/>
              </w:rPr>
              <w:t>Nr. 18/5571 din 28 noiembrie 2025</w:t>
            </w:r>
          </w:p>
        </w:tc>
        <w:tc>
          <w:tcPr>
            <w:tcW w:w="516" w:type="dxa"/>
            <w:tcMar>
              <w:top w:w="0" w:type="dxa"/>
              <w:left w:w="108" w:type="dxa"/>
              <w:bottom w:w="0" w:type="dxa"/>
              <w:right w:w="108" w:type="dxa"/>
            </w:tcMar>
          </w:tcPr>
          <w:p w14:paraId="2EB40707"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4B7E6D43" w14:textId="1574D084" w:rsidR="009741E8" w:rsidRPr="001271CE" w:rsidRDefault="009741E8" w:rsidP="009741E8">
            <w:pPr>
              <w:ind w:firstLine="0"/>
            </w:pPr>
            <w:r w:rsidRPr="001271CE">
              <w:t>În limita competențelor funcționale, comunică susținerea proiectului indicat supra, fără obiecții și propuneri.</w:t>
            </w:r>
          </w:p>
        </w:tc>
        <w:tc>
          <w:tcPr>
            <w:tcW w:w="6300" w:type="dxa"/>
            <w:tcMar>
              <w:top w:w="0" w:type="dxa"/>
              <w:left w:w="108" w:type="dxa"/>
              <w:bottom w:w="0" w:type="dxa"/>
              <w:right w:w="108" w:type="dxa"/>
            </w:tcMar>
          </w:tcPr>
          <w:p w14:paraId="4C327563" w14:textId="07FF984C" w:rsidR="009741E8" w:rsidRPr="001271CE" w:rsidRDefault="00856190" w:rsidP="009741E8">
            <w:pPr>
              <w:ind w:firstLine="0"/>
            </w:pPr>
            <w:r w:rsidRPr="001271CE">
              <w:t>Se acceptă.</w:t>
            </w:r>
          </w:p>
        </w:tc>
      </w:tr>
      <w:tr w:rsidR="009741E8" w:rsidRPr="001271CE" w14:paraId="608B3186" w14:textId="77777777" w:rsidTr="003411E9">
        <w:trPr>
          <w:trHeight w:val="300"/>
        </w:trPr>
        <w:tc>
          <w:tcPr>
            <w:tcW w:w="2166" w:type="dxa"/>
            <w:vMerge w:val="restart"/>
            <w:tcMar>
              <w:top w:w="0" w:type="dxa"/>
              <w:left w:w="108" w:type="dxa"/>
              <w:bottom w:w="0" w:type="dxa"/>
              <w:right w:w="108" w:type="dxa"/>
            </w:tcMar>
          </w:tcPr>
          <w:p w14:paraId="2D6FB60C" w14:textId="77777777" w:rsidR="009741E8" w:rsidRPr="001271CE" w:rsidRDefault="009741E8" w:rsidP="009741E8">
            <w:pPr>
              <w:ind w:firstLine="0"/>
              <w:jc w:val="left"/>
            </w:pPr>
            <w:r w:rsidRPr="001271CE">
              <w:t>Ministerul Agriculturii și Industriei Alimentare</w:t>
            </w:r>
          </w:p>
          <w:p w14:paraId="4F82FC88" w14:textId="3D187110" w:rsidR="009741E8" w:rsidRPr="001271CE" w:rsidRDefault="009741E8" w:rsidP="009741E8">
            <w:pPr>
              <w:ind w:firstLine="0"/>
              <w:jc w:val="left"/>
              <w:rPr>
                <w:i/>
                <w:iCs/>
              </w:rPr>
            </w:pPr>
            <w:r w:rsidRPr="001271CE">
              <w:rPr>
                <w:i/>
                <w:iCs/>
              </w:rPr>
              <w:t>Nr. 2025PHG-3296 din 3 decembrie 2025</w:t>
            </w:r>
          </w:p>
        </w:tc>
        <w:tc>
          <w:tcPr>
            <w:tcW w:w="516" w:type="dxa"/>
            <w:tcMar>
              <w:top w:w="0" w:type="dxa"/>
              <w:left w:w="108" w:type="dxa"/>
              <w:bottom w:w="0" w:type="dxa"/>
              <w:right w:w="108" w:type="dxa"/>
            </w:tcMar>
          </w:tcPr>
          <w:p w14:paraId="6F1ED0D5"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6217BAFD" w14:textId="49421851" w:rsidR="009741E8" w:rsidRPr="001271CE" w:rsidRDefault="009741E8" w:rsidP="009741E8">
            <w:pPr>
              <w:ind w:firstLine="0"/>
            </w:pPr>
            <w:r w:rsidRPr="001271CE">
              <w:t xml:space="preserve">Obiecții argumentate și explicite pe marginea cărora trebuie să se ajungă la un acord: </w:t>
            </w:r>
          </w:p>
          <w:p w14:paraId="0C3E7D02" w14:textId="53A96C70" w:rsidR="009741E8" w:rsidRPr="001271CE" w:rsidRDefault="009741E8" w:rsidP="009741E8">
            <w:pPr>
              <w:ind w:firstLine="0"/>
            </w:pPr>
            <w:r w:rsidRPr="001271CE">
              <w:t>În textul proiectului Hotărârii: clauza de adoptare, propunem ca temeiul legal să fie art. 20 alin. (2) din Legea nr. 149/2025 cu privire la cooperarea internațională pentru dezvoltare și asistență umanitară, din motivul că alin. (2) al articolului precitat prevede „Guvernul, ... va aproba regulamentul privind mecanismul de realizare a activităților de cooperare internațională pentru dezvoltare și asistență umanitară”.</w:t>
            </w:r>
          </w:p>
        </w:tc>
        <w:tc>
          <w:tcPr>
            <w:tcW w:w="6300" w:type="dxa"/>
            <w:tcMar>
              <w:top w:w="0" w:type="dxa"/>
              <w:left w:w="108" w:type="dxa"/>
              <w:bottom w:w="0" w:type="dxa"/>
              <w:right w:w="108" w:type="dxa"/>
            </w:tcMar>
          </w:tcPr>
          <w:p w14:paraId="544E727E" w14:textId="1135BD2C" w:rsidR="009741E8" w:rsidRPr="001271CE" w:rsidRDefault="00856190" w:rsidP="009741E8">
            <w:pPr>
              <w:ind w:firstLine="0"/>
            </w:pPr>
            <w:r w:rsidRPr="001271CE">
              <w:t>Se acceptă.</w:t>
            </w:r>
          </w:p>
        </w:tc>
      </w:tr>
      <w:tr w:rsidR="009741E8" w:rsidRPr="001271CE" w14:paraId="249564E5" w14:textId="77777777" w:rsidTr="003411E9">
        <w:trPr>
          <w:trHeight w:val="300"/>
        </w:trPr>
        <w:tc>
          <w:tcPr>
            <w:tcW w:w="2166" w:type="dxa"/>
            <w:vMerge/>
            <w:tcMar>
              <w:top w:w="0" w:type="dxa"/>
              <w:left w:w="108" w:type="dxa"/>
              <w:bottom w:w="0" w:type="dxa"/>
              <w:right w:w="108" w:type="dxa"/>
            </w:tcMar>
          </w:tcPr>
          <w:p w14:paraId="36ACA58D"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857F0DC"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D13EEBB" w14:textId="77777777" w:rsidR="009741E8" w:rsidRPr="001271CE" w:rsidRDefault="009741E8" w:rsidP="009741E8">
            <w:pPr>
              <w:ind w:firstLine="0"/>
            </w:pPr>
            <w:r w:rsidRPr="001271CE">
              <w:t xml:space="preserve">Propuneri care poartă caracter de recomandare: </w:t>
            </w:r>
          </w:p>
          <w:p w14:paraId="00BFEB36" w14:textId="0852BD3E" w:rsidR="009741E8" w:rsidRPr="001271CE" w:rsidRDefault="009741E8" w:rsidP="009741E8">
            <w:pPr>
              <w:ind w:firstLine="0"/>
            </w:pPr>
            <w:r w:rsidRPr="001271CE">
              <w:t xml:space="preserve">în proiectul Anexei Hotărârii: pct. 2.3, autorul proiectului precizează că în calitatea de beneficiari sunt „entitățile de drept privat ale societății civile”, în opinia Ministerului, sintagma „entități de drept privat” trebuie să fie exclusă fiindcă în cadrul societății civile nu pot face parte entitățile publice; </w:t>
            </w:r>
          </w:p>
        </w:tc>
        <w:tc>
          <w:tcPr>
            <w:tcW w:w="6300" w:type="dxa"/>
            <w:tcMar>
              <w:top w:w="0" w:type="dxa"/>
              <w:left w:w="108" w:type="dxa"/>
              <w:bottom w:w="0" w:type="dxa"/>
              <w:right w:w="108" w:type="dxa"/>
            </w:tcMar>
          </w:tcPr>
          <w:p w14:paraId="73908A9E" w14:textId="77777777" w:rsidR="009741E8" w:rsidRPr="001271CE" w:rsidRDefault="00856190" w:rsidP="009741E8">
            <w:pPr>
              <w:ind w:firstLine="0"/>
            </w:pPr>
            <w:r w:rsidRPr="001271CE">
              <w:t>Se acceptă.</w:t>
            </w:r>
          </w:p>
          <w:p w14:paraId="5DAF2E70" w14:textId="4A4FF854" w:rsidR="00856190" w:rsidRPr="001271CE" w:rsidRDefault="00856190" w:rsidP="009741E8">
            <w:pPr>
              <w:ind w:firstLine="0"/>
            </w:pPr>
            <w:r w:rsidRPr="001271CE">
              <w:t>Pct. 2.3 a fost exclus la propunerea MAI.</w:t>
            </w:r>
          </w:p>
        </w:tc>
      </w:tr>
      <w:tr w:rsidR="009741E8" w:rsidRPr="001271CE" w14:paraId="516E3197" w14:textId="77777777" w:rsidTr="003411E9">
        <w:trPr>
          <w:trHeight w:val="300"/>
        </w:trPr>
        <w:tc>
          <w:tcPr>
            <w:tcW w:w="2166" w:type="dxa"/>
            <w:vMerge/>
            <w:tcMar>
              <w:top w:w="0" w:type="dxa"/>
              <w:left w:w="108" w:type="dxa"/>
              <w:bottom w:w="0" w:type="dxa"/>
              <w:right w:w="108" w:type="dxa"/>
            </w:tcMar>
          </w:tcPr>
          <w:p w14:paraId="6CBFD9BC" w14:textId="77777777" w:rsidR="009741E8" w:rsidRPr="001271CE" w:rsidRDefault="009741E8" w:rsidP="009741E8">
            <w:pPr>
              <w:ind w:firstLine="0"/>
              <w:jc w:val="left"/>
            </w:pPr>
          </w:p>
        </w:tc>
        <w:tc>
          <w:tcPr>
            <w:tcW w:w="516" w:type="dxa"/>
            <w:tcMar>
              <w:top w:w="0" w:type="dxa"/>
              <w:left w:w="108" w:type="dxa"/>
              <w:bottom w:w="0" w:type="dxa"/>
              <w:right w:w="108" w:type="dxa"/>
            </w:tcMar>
          </w:tcPr>
          <w:p w14:paraId="1710F9A2"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01458AE8" w14:textId="456AE400" w:rsidR="009741E8" w:rsidRPr="001271CE" w:rsidRDefault="009741E8" w:rsidP="009741E8">
            <w:pPr>
              <w:ind w:firstLine="0"/>
            </w:pPr>
            <w:r w:rsidRPr="001271CE">
              <w:t>... pct. 2.15, conform proiectului, subcontractantul este o persoană juridică de drept public sau privat, considerăm că poate fi inclusă și persoana fizică în calitate de subcontractant fiindcă, în temeiul unui contract de prestări servicii, persoana fizică poate presta activități tehnice, logistice sau de furnizare de bunuri și servicii în cadrul proiectului.</w:t>
            </w:r>
          </w:p>
        </w:tc>
        <w:tc>
          <w:tcPr>
            <w:tcW w:w="6300" w:type="dxa"/>
            <w:tcMar>
              <w:top w:w="0" w:type="dxa"/>
              <w:left w:w="108" w:type="dxa"/>
              <w:bottom w:w="0" w:type="dxa"/>
              <w:right w:w="108" w:type="dxa"/>
            </w:tcMar>
          </w:tcPr>
          <w:p w14:paraId="3D536312" w14:textId="38EDE666" w:rsidR="009741E8" w:rsidRPr="001271CE" w:rsidRDefault="00E4766E" w:rsidP="009741E8">
            <w:pPr>
              <w:ind w:firstLine="0"/>
            </w:pPr>
            <w:r w:rsidRPr="001271CE">
              <w:t>S</w:t>
            </w:r>
            <w:r w:rsidR="00856190" w:rsidRPr="001271CE">
              <w:t>e acceptă.</w:t>
            </w:r>
          </w:p>
          <w:p w14:paraId="63EE8B98" w14:textId="26508171" w:rsidR="00856190" w:rsidRPr="001271CE" w:rsidRDefault="00E4766E" w:rsidP="009741E8">
            <w:pPr>
              <w:ind w:firstLine="0"/>
            </w:pPr>
            <w:r w:rsidRPr="001271CE">
              <w:t>Pct. 2.15 a fost completat cu sintagma „sau persoană fizică autorizată potrivit legii”.</w:t>
            </w:r>
          </w:p>
        </w:tc>
      </w:tr>
      <w:tr w:rsidR="009741E8" w:rsidRPr="001271CE" w14:paraId="660BB4A8" w14:textId="77777777" w:rsidTr="003411E9">
        <w:trPr>
          <w:trHeight w:val="300"/>
        </w:trPr>
        <w:tc>
          <w:tcPr>
            <w:tcW w:w="2166" w:type="dxa"/>
            <w:tcMar>
              <w:top w:w="0" w:type="dxa"/>
              <w:left w:w="108" w:type="dxa"/>
              <w:bottom w:w="0" w:type="dxa"/>
              <w:right w:w="108" w:type="dxa"/>
            </w:tcMar>
          </w:tcPr>
          <w:p w14:paraId="730DEFD0" w14:textId="77777777" w:rsidR="009741E8" w:rsidRPr="001271CE" w:rsidRDefault="009741E8" w:rsidP="009741E8">
            <w:pPr>
              <w:ind w:firstLine="0"/>
              <w:jc w:val="left"/>
            </w:pPr>
            <w:r w:rsidRPr="001271CE">
              <w:t>Ministerul Dezvoltării Economice și Digitalizării</w:t>
            </w:r>
          </w:p>
          <w:p w14:paraId="57906375" w14:textId="6DB6490D" w:rsidR="009741E8" w:rsidRPr="001271CE" w:rsidRDefault="009741E8" w:rsidP="009741E8">
            <w:pPr>
              <w:ind w:firstLine="0"/>
              <w:jc w:val="left"/>
              <w:rPr>
                <w:i/>
                <w:iCs/>
              </w:rPr>
            </w:pPr>
            <w:r w:rsidRPr="001271CE">
              <w:rPr>
                <w:i/>
                <w:iCs/>
              </w:rPr>
              <w:t>Nr.03-3493 din 9 decembrie 2025</w:t>
            </w:r>
          </w:p>
        </w:tc>
        <w:tc>
          <w:tcPr>
            <w:tcW w:w="516" w:type="dxa"/>
            <w:tcMar>
              <w:top w:w="0" w:type="dxa"/>
              <w:left w:w="108" w:type="dxa"/>
              <w:bottom w:w="0" w:type="dxa"/>
              <w:right w:w="108" w:type="dxa"/>
            </w:tcMar>
          </w:tcPr>
          <w:p w14:paraId="59445D2A"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EB6F00C" w14:textId="0FAADD66" w:rsidR="009741E8" w:rsidRPr="001271CE" w:rsidRDefault="009741E8" w:rsidP="009741E8">
            <w:pPr>
              <w:ind w:firstLine="0"/>
            </w:pPr>
            <w:r w:rsidRPr="001271CE">
              <w:t>În limita competențelor funcționale, comunicăm lipsa obiecțiilor și propunerilor.</w:t>
            </w:r>
          </w:p>
        </w:tc>
        <w:tc>
          <w:tcPr>
            <w:tcW w:w="6300" w:type="dxa"/>
            <w:tcMar>
              <w:top w:w="0" w:type="dxa"/>
              <w:left w:w="108" w:type="dxa"/>
              <w:bottom w:w="0" w:type="dxa"/>
              <w:right w:w="108" w:type="dxa"/>
            </w:tcMar>
          </w:tcPr>
          <w:p w14:paraId="3B23C364" w14:textId="1FDE984E" w:rsidR="009741E8" w:rsidRPr="001271CE" w:rsidRDefault="00E4766E" w:rsidP="009741E8">
            <w:pPr>
              <w:ind w:firstLine="0"/>
            </w:pPr>
            <w:r w:rsidRPr="001271CE">
              <w:t>Se acceptă.</w:t>
            </w:r>
          </w:p>
        </w:tc>
      </w:tr>
      <w:tr w:rsidR="009741E8" w:rsidRPr="001271CE" w14:paraId="70F4F254" w14:textId="77777777" w:rsidTr="003411E9">
        <w:trPr>
          <w:trHeight w:val="300"/>
        </w:trPr>
        <w:tc>
          <w:tcPr>
            <w:tcW w:w="2166" w:type="dxa"/>
            <w:tcMar>
              <w:top w:w="0" w:type="dxa"/>
              <w:left w:w="108" w:type="dxa"/>
              <w:bottom w:w="0" w:type="dxa"/>
              <w:right w:w="108" w:type="dxa"/>
            </w:tcMar>
          </w:tcPr>
          <w:p w14:paraId="4BB95A83" w14:textId="77777777" w:rsidR="009741E8" w:rsidRPr="001271CE" w:rsidRDefault="009741E8" w:rsidP="009741E8">
            <w:pPr>
              <w:ind w:firstLine="0"/>
              <w:jc w:val="left"/>
            </w:pPr>
            <w:r w:rsidRPr="001271CE">
              <w:t>Centrul Național pentru Protecția Datelor cu Caracter Personal</w:t>
            </w:r>
          </w:p>
          <w:p w14:paraId="0796FF07" w14:textId="3BBDB180" w:rsidR="009741E8" w:rsidRPr="001271CE" w:rsidRDefault="009741E8" w:rsidP="009741E8">
            <w:pPr>
              <w:ind w:firstLine="0"/>
              <w:jc w:val="left"/>
              <w:rPr>
                <w:i/>
                <w:iCs/>
              </w:rPr>
            </w:pPr>
            <w:r w:rsidRPr="001271CE">
              <w:rPr>
                <w:i/>
                <w:iCs/>
              </w:rPr>
              <w:t>Nr. 04-01/5632/4282 din 4 decembrie 2025</w:t>
            </w:r>
          </w:p>
        </w:tc>
        <w:tc>
          <w:tcPr>
            <w:tcW w:w="516" w:type="dxa"/>
            <w:tcMar>
              <w:top w:w="0" w:type="dxa"/>
              <w:left w:w="108" w:type="dxa"/>
              <w:bottom w:w="0" w:type="dxa"/>
              <w:right w:w="108" w:type="dxa"/>
            </w:tcMar>
          </w:tcPr>
          <w:p w14:paraId="46C26EB5" w14:textId="77777777" w:rsidR="009741E8" w:rsidRPr="001271CE" w:rsidRDefault="009741E8" w:rsidP="009741E8">
            <w:pPr>
              <w:pStyle w:val="ListParagraph"/>
              <w:numPr>
                <w:ilvl w:val="0"/>
                <w:numId w:val="1"/>
              </w:numPr>
              <w:ind w:right="76"/>
              <w:jc w:val="left"/>
            </w:pPr>
          </w:p>
        </w:tc>
        <w:tc>
          <w:tcPr>
            <w:tcW w:w="5706" w:type="dxa"/>
            <w:tcMar>
              <w:top w:w="0" w:type="dxa"/>
              <w:left w:w="108" w:type="dxa"/>
              <w:bottom w:w="0" w:type="dxa"/>
              <w:right w:w="108" w:type="dxa"/>
            </w:tcMar>
          </w:tcPr>
          <w:p w14:paraId="2C1DF451" w14:textId="64205769" w:rsidR="009741E8" w:rsidRPr="001271CE" w:rsidRDefault="009741E8" w:rsidP="009741E8">
            <w:pPr>
              <w:ind w:firstLine="0"/>
            </w:pPr>
            <w:r w:rsidRPr="001271CE">
              <w:t>Reieșind din competențele funcționale, comunică despre lipsa obiecțiilor și propunerilor.</w:t>
            </w:r>
          </w:p>
        </w:tc>
        <w:tc>
          <w:tcPr>
            <w:tcW w:w="6300" w:type="dxa"/>
            <w:tcMar>
              <w:top w:w="0" w:type="dxa"/>
              <w:left w:w="108" w:type="dxa"/>
              <w:bottom w:w="0" w:type="dxa"/>
              <w:right w:w="108" w:type="dxa"/>
            </w:tcMar>
          </w:tcPr>
          <w:p w14:paraId="143283BF" w14:textId="701A4A1B" w:rsidR="009741E8" w:rsidRPr="001271CE" w:rsidRDefault="00E4766E" w:rsidP="009741E8">
            <w:pPr>
              <w:ind w:firstLine="0"/>
            </w:pPr>
            <w:r w:rsidRPr="001271CE">
              <w:t>Se acceptă.</w:t>
            </w:r>
          </w:p>
        </w:tc>
      </w:tr>
      <w:tr w:rsidR="002B7384" w:rsidRPr="001271CE" w14:paraId="4EC29EA5" w14:textId="77777777" w:rsidTr="003411E9">
        <w:trPr>
          <w:trHeight w:val="300"/>
        </w:trPr>
        <w:tc>
          <w:tcPr>
            <w:tcW w:w="14688" w:type="dxa"/>
            <w:gridSpan w:val="4"/>
            <w:tcMar>
              <w:top w:w="0" w:type="dxa"/>
              <w:left w:w="108" w:type="dxa"/>
              <w:bottom w:w="0" w:type="dxa"/>
              <w:right w:w="108" w:type="dxa"/>
            </w:tcMar>
          </w:tcPr>
          <w:p w14:paraId="15AAA683" w14:textId="43F3FD6F" w:rsidR="002B7384" w:rsidRPr="001271CE" w:rsidRDefault="00C3516D" w:rsidP="00F12F60">
            <w:pPr>
              <w:ind w:firstLine="0"/>
              <w:jc w:val="center"/>
              <w:rPr>
                <w:b/>
                <w:bCs/>
              </w:rPr>
            </w:pPr>
            <w:r w:rsidRPr="001271CE">
              <w:rPr>
                <w:b/>
                <w:bCs/>
              </w:rPr>
              <w:t>Ședinț</w:t>
            </w:r>
            <w:r w:rsidR="003411E9" w:rsidRPr="001271CE">
              <w:rPr>
                <w:b/>
                <w:bCs/>
              </w:rPr>
              <w:t>ele</w:t>
            </w:r>
            <w:r w:rsidRPr="001271CE">
              <w:rPr>
                <w:b/>
                <w:bCs/>
              </w:rPr>
              <w:t xml:space="preserve"> interinstituțional</w:t>
            </w:r>
            <w:r w:rsidR="003411E9" w:rsidRPr="001271CE">
              <w:rPr>
                <w:b/>
                <w:bCs/>
              </w:rPr>
              <w:t>e</w:t>
            </w:r>
            <w:r w:rsidRPr="001271CE">
              <w:rPr>
                <w:b/>
                <w:bCs/>
              </w:rPr>
              <w:t xml:space="preserve"> pentru clarificarea obiecțiilor din 20.01.2026 </w:t>
            </w:r>
            <w:r w:rsidR="003411E9" w:rsidRPr="001271CE">
              <w:rPr>
                <w:b/>
                <w:bCs/>
              </w:rPr>
              <w:t>(P</w:t>
            </w:r>
            <w:r w:rsidRPr="001271CE">
              <w:rPr>
                <w:b/>
                <w:bCs/>
              </w:rPr>
              <w:t>roces</w:t>
            </w:r>
            <w:r w:rsidR="003411E9" w:rsidRPr="001271CE">
              <w:rPr>
                <w:b/>
                <w:bCs/>
              </w:rPr>
              <w:t>e</w:t>
            </w:r>
            <w:r w:rsidRPr="001271CE">
              <w:rPr>
                <w:b/>
                <w:bCs/>
              </w:rPr>
              <w:t>l</w:t>
            </w:r>
            <w:r w:rsidR="003411E9" w:rsidRPr="001271CE">
              <w:rPr>
                <w:b/>
                <w:bCs/>
              </w:rPr>
              <w:t>e-</w:t>
            </w:r>
            <w:r w:rsidRPr="001271CE">
              <w:rPr>
                <w:b/>
                <w:bCs/>
              </w:rPr>
              <w:t>verbal</w:t>
            </w:r>
            <w:r w:rsidR="003411E9" w:rsidRPr="001271CE">
              <w:rPr>
                <w:b/>
                <w:bCs/>
              </w:rPr>
              <w:t>e</w:t>
            </w:r>
            <w:r w:rsidRPr="001271CE">
              <w:rPr>
                <w:b/>
                <w:bCs/>
              </w:rPr>
              <w:t xml:space="preserve"> nr. 1</w:t>
            </w:r>
            <w:r w:rsidR="003169D6" w:rsidRPr="001271CE">
              <w:rPr>
                <w:b/>
                <w:bCs/>
              </w:rPr>
              <w:t xml:space="preserve"> și</w:t>
            </w:r>
            <w:r w:rsidR="003411E9" w:rsidRPr="001271CE">
              <w:rPr>
                <w:b/>
                <w:bCs/>
              </w:rPr>
              <w:t xml:space="preserve"> nr.</w:t>
            </w:r>
            <w:r w:rsidR="003169D6" w:rsidRPr="001271CE">
              <w:rPr>
                <w:b/>
                <w:bCs/>
              </w:rPr>
              <w:t xml:space="preserve"> 2</w:t>
            </w:r>
            <w:r w:rsidRPr="001271CE">
              <w:rPr>
                <w:b/>
                <w:bCs/>
              </w:rPr>
              <w:t>)</w:t>
            </w:r>
          </w:p>
        </w:tc>
      </w:tr>
      <w:tr w:rsidR="007409BA" w:rsidRPr="001271CE" w14:paraId="6290A87E" w14:textId="77777777" w:rsidTr="003411E9">
        <w:trPr>
          <w:trHeight w:val="300"/>
        </w:trPr>
        <w:tc>
          <w:tcPr>
            <w:tcW w:w="2166" w:type="dxa"/>
            <w:vMerge w:val="restart"/>
            <w:tcMar>
              <w:top w:w="0" w:type="dxa"/>
              <w:left w:w="108" w:type="dxa"/>
              <w:bottom w:w="0" w:type="dxa"/>
              <w:right w:w="108" w:type="dxa"/>
            </w:tcMar>
          </w:tcPr>
          <w:p w14:paraId="421C33AD" w14:textId="77777777" w:rsidR="007409BA" w:rsidRPr="001271CE" w:rsidRDefault="007409BA" w:rsidP="00AB6AE3">
            <w:pPr>
              <w:ind w:firstLine="0"/>
              <w:jc w:val="left"/>
            </w:pPr>
            <w:r w:rsidRPr="001271CE">
              <w:lastRenderedPageBreak/>
              <w:t>Ministerului Finanțelor</w:t>
            </w:r>
          </w:p>
          <w:p w14:paraId="2C5FD7FA" w14:textId="77777777" w:rsidR="007409BA" w:rsidRPr="001271CE" w:rsidRDefault="007409BA" w:rsidP="00AB6AE3">
            <w:pPr>
              <w:ind w:firstLine="0"/>
              <w:jc w:val="left"/>
            </w:pPr>
          </w:p>
          <w:p w14:paraId="72A69BFA" w14:textId="6207BAD9" w:rsidR="007409BA" w:rsidRPr="001271CE" w:rsidRDefault="007409BA" w:rsidP="00AB6AE3">
            <w:pPr>
              <w:ind w:firstLine="0"/>
              <w:jc w:val="left"/>
            </w:pPr>
            <w:r w:rsidRPr="001271CE">
              <w:rPr>
                <w:i/>
                <w:iCs/>
              </w:rPr>
              <w:t>(conform Procesului verbal nr. 1, care se anexează)</w:t>
            </w:r>
          </w:p>
        </w:tc>
        <w:tc>
          <w:tcPr>
            <w:tcW w:w="516" w:type="dxa"/>
            <w:tcMar>
              <w:top w:w="0" w:type="dxa"/>
              <w:left w:w="108" w:type="dxa"/>
              <w:bottom w:w="0" w:type="dxa"/>
              <w:right w:w="108" w:type="dxa"/>
            </w:tcMar>
          </w:tcPr>
          <w:p w14:paraId="7CBAB622" w14:textId="77777777" w:rsidR="007409BA" w:rsidRPr="001271CE" w:rsidRDefault="007409BA" w:rsidP="00AB6AE3">
            <w:pPr>
              <w:pStyle w:val="ListParagraph"/>
              <w:numPr>
                <w:ilvl w:val="0"/>
                <w:numId w:val="1"/>
              </w:numPr>
              <w:ind w:right="192"/>
              <w:jc w:val="left"/>
            </w:pPr>
          </w:p>
        </w:tc>
        <w:tc>
          <w:tcPr>
            <w:tcW w:w="5706" w:type="dxa"/>
            <w:tcMar>
              <w:top w:w="0" w:type="dxa"/>
              <w:left w:w="108" w:type="dxa"/>
              <w:bottom w:w="0" w:type="dxa"/>
              <w:right w:w="108" w:type="dxa"/>
            </w:tcMar>
          </w:tcPr>
          <w:p w14:paraId="0622F68F" w14:textId="49F232F3" w:rsidR="007409BA" w:rsidRPr="001271CE" w:rsidRDefault="007409BA" w:rsidP="00D65283">
            <w:pPr>
              <w:ind w:firstLine="0"/>
            </w:pPr>
            <w:r w:rsidRPr="001271CE">
              <w:t xml:space="preserve">MF a propus să fie realizata o apreciere de ansamblu, urmare discuțiilor cu colegii de la Direcției sinteză bugetară pe marginea proiectului. </w:t>
            </w:r>
          </w:p>
          <w:p w14:paraId="21EA4159" w14:textId="77777777" w:rsidR="007409BA" w:rsidRPr="001271CE" w:rsidRDefault="007409BA" w:rsidP="00AB6AE3">
            <w:pPr>
              <w:ind w:firstLine="0"/>
            </w:pPr>
          </w:p>
        </w:tc>
        <w:tc>
          <w:tcPr>
            <w:tcW w:w="6300" w:type="dxa"/>
            <w:tcMar>
              <w:top w:w="0" w:type="dxa"/>
              <w:left w:w="108" w:type="dxa"/>
              <w:bottom w:w="0" w:type="dxa"/>
              <w:right w:w="108" w:type="dxa"/>
            </w:tcMar>
          </w:tcPr>
          <w:p w14:paraId="32D9A4B6" w14:textId="6B997FCC" w:rsidR="007409BA" w:rsidRPr="001271CE" w:rsidRDefault="007409BA" w:rsidP="00AB6AE3">
            <w:pPr>
              <w:ind w:firstLine="0"/>
            </w:pPr>
            <w:r w:rsidRPr="001271CE">
              <w:t>Propunerea a fost acceptată.</w:t>
            </w:r>
          </w:p>
        </w:tc>
      </w:tr>
      <w:tr w:rsidR="007409BA" w:rsidRPr="001271CE" w14:paraId="2AAEE24C" w14:textId="77777777" w:rsidTr="003411E9">
        <w:trPr>
          <w:trHeight w:val="300"/>
        </w:trPr>
        <w:tc>
          <w:tcPr>
            <w:tcW w:w="2166" w:type="dxa"/>
            <w:vMerge/>
            <w:tcMar>
              <w:top w:w="0" w:type="dxa"/>
              <w:left w:w="108" w:type="dxa"/>
              <w:bottom w:w="0" w:type="dxa"/>
              <w:right w:w="108" w:type="dxa"/>
            </w:tcMar>
          </w:tcPr>
          <w:p w14:paraId="70573F69" w14:textId="77777777" w:rsidR="007409BA" w:rsidRPr="001271CE" w:rsidRDefault="007409BA" w:rsidP="00AB6AE3">
            <w:pPr>
              <w:ind w:firstLine="0"/>
              <w:jc w:val="left"/>
            </w:pPr>
          </w:p>
        </w:tc>
        <w:tc>
          <w:tcPr>
            <w:tcW w:w="516" w:type="dxa"/>
            <w:tcMar>
              <w:top w:w="0" w:type="dxa"/>
              <w:left w:w="108" w:type="dxa"/>
              <w:bottom w:w="0" w:type="dxa"/>
              <w:right w:w="108" w:type="dxa"/>
            </w:tcMar>
          </w:tcPr>
          <w:p w14:paraId="5E289EAC" w14:textId="77777777" w:rsidR="007409BA" w:rsidRPr="001271CE" w:rsidRDefault="007409BA" w:rsidP="00AB6AE3">
            <w:pPr>
              <w:pStyle w:val="ListParagraph"/>
              <w:numPr>
                <w:ilvl w:val="0"/>
                <w:numId w:val="1"/>
              </w:numPr>
              <w:ind w:right="192"/>
              <w:jc w:val="left"/>
            </w:pPr>
          </w:p>
        </w:tc>
        <w:tc>
          <w:tcPr>
            <w:tcW w:w="5706" w:type="dxa"/>
            <w:tcMar>
              <w:top w:w="0" w:type="dxa"/>
              <w:left w:w="108" w:type="dxa"/>
              <w:bottom w:w="0" w:type="dxa"/>
              <w:right w:w="108" w:type="dxa"/>
            </w:tcMar>
          </w:tcPr>
          <w:p w14:paraId="46219E15" w14:textId="716F20BD" w:rsidR="007409BA" w:rsidRPr="001271CE" w:rsidRDefault="007409BA" w:rsidP="005B6102">
            <w:pPr>
              <w:ind w:firstLine="0"/>
            </w:pPr>
            <w:r w:rsidRPr="001271CE">
              <w:t xml:space="preserve">Având in vedere că Regulamentul în sine nu reprezintă un document cu asumări și nu provoacă/determină imediat angajamente financiare, concluzia generală este că argumentele MAE expuse în tabelul de divergențe sunt plauzibile și convingătoare, și acceptă ca observațiile referitor la implicațiile financiare expuse in aviz sa fie revizuite. </w:t>
            </w:r>
          </w:p>
          <w:p w14:paraId="575C0C51" w14:textId="77777777" w:rsidR="007409BA" w:rsidRPr="001271CE" w:rsidRDefault="007409BA" w:rsidP="00D65283">
            <w:pPr>
              <w:ind w:firstLine="0"/>
            </w:pPr>
          </w:p>
        </w:tc>
        <w:tc>
          <w:tcPr>
            <w:tcW w:w="6300" w:type="dxa"/>
            <w:tcMar>
              <w:top w:w="0" w:type="dxa"/>
              <w:left w:w="108" w:type="dxa"/>
              <w:bottom w:w="0" w:type="dxa"/>
              <w:right w:w="108" w:type="dxa"/>
            </w:tcMar>
          </w:tcPr>
          <w:p w14:paraId="0151657B" w14:textId="4F47D4E4" w:rsidR="007409BA" w:rsidRPr="001271CE" w:rsidRDefault="007409BA" w:rsidP="00AB6AE3">
            <w:pPr>
              <w:ind w:firstLine="0"/>
            </w:pPr>
            <w:r w:rsidRPr="001271CE">
              <w:t>Poziția MF a fost acceptată</w:t>
            </w:r>
          </w:p>
        </w:tc>
      </w:tr>
      <w:tr w:rsidR="007409BA" w:rsidRPr="001271CE" w14:paraId="51CD7E2C" w14:textId="77777777" w:rsidTr="003411E9">
        <w:trPr>
          <w:trHeight w:val="300"/>
        </w:trPr>
        <w:tc>
          <w:tcPr>
            <w:tcW w:w="2166" w:type="dxa"/>
            <w:vMerge/>
            <w:tcMar>
              <w:top w:w="0" w:type="dxa"/>
              <w:left w:w="108" w:type="dxa"/>
              <w:bottom w:w="0" w:type="dxa"/>
              <w:right w:w="108" w:type="dxa"/>
            </w:tcMar>
          </w:tcPr>
          <w:p w14:paraId="0E170041" w14:textId="77777777" w:rsidR="007409BA" w:rsidRPr="001271CE" w:rsidRDefault="007409BA" w:rsidP="00AB6AE3">
            <w:pPr>
              <w:ind w:firstLine="0"/>
              <w:jc w:val="left"/>
            </w:pPr>
          </w:p>
        </w:tc>
        <w:tc>
          <w:tcPr>
            <w:tcW w:w="516" w:type="dxa"/>
            <w:tcMar>
              <w:top w:w="0" w:type="dxa"/>
              <w:left w:w="108" w:type="dxa"/>
              <w:bottom w:w="0" w:type="dxa"/>
              <w:right w:w="108" w:type="dxa"/>
            </w:tcMar>
          </w:tcPr>
          <w:p w14:paraId="237184B9" w14:textId="77777777" w:rsidR="007409BA" w:rsidRPr="001271CE" w:rsidRDefault="007409BA" w:rsidP="00AB6AE3">
            <w:pPr>
              <w:pStyle w:val="ListParagraph"/>
              <w:numPr>
                <w:ilvl w:val="0"/>
                <w:numId w:val="1"/>
              </w:numPr>
              <w:ind w:right="192"/>
              <w:jc w:val="left"/>
            </w:pPr>
          </w:p>
        </w:tc>
        <w:tc>
          <w:tcPr>
            <w:tcW w:w="5706" w:type="dxa"/>
            <w:tcMar>
              <w:top w:w="0" w:type="dxa"/>
              <w:left w:w="108" w:type="dxa"/>
              <w:bottom w:w="0" w:type="dxa"/>
              <w:right w:w="108" w:type="dxa"/>
            </w:tcMar>
          </w:tcPr>
          <w:p w14:paraId="54FD6F25" w14:textId="3D90C7B8" w:rsidR="007409BA" w:rsidRPr="001271CE" w:rsidRDefault="007409BA" w:rsidP="00BA791E">
            <w:pPr>
              <w:ind w:firstLine="0"/>
            </w:pPr>
            <w:r w:rsidRPr="001271CE">
              <w:t>Îngrijorarea majoră este că există costuri recurente, de genul cheltuielilor de personal. reflectate în pct. 4.2 din Nota de fundamentare și care fac parte din logistica aplicării mecanismului, și inevitabil vor exista în viitor. A fost solicitată cuantificarea acestui impact.</w:t>
            </w:r>
          </w:p>
        </w:tc>
        <w:tc>
          <w:tcPr>
            <w:tcW w:w="6300" w:type="dxa"/>
            <w:tcMar>
              <w:top w:w="0" w:type="dxa"/>
              <w:left w:w="108" w:type="dxa"/>
              <w:bottom w:w="0" w:type="dxa"/>
              <w:right w:w="108" w:type="dxa"/>
            </w:tcMar>
          </w:tcPr>
          <w:p w14:paraId="199DB24A" w14:textId="5163CB26" w:rsidR="007409BA" w:rsidRPr="001271CE" w:rsidRDefault="007409BA" w:rsidP="00AB6AE3">
            <w:pPr>
              <w:ind w:firstLine="0"/>
            </w:pPr>
            <w:r w:rsidRPr="001271CE">
              <w:t>Poziția MF a fost acceptată</w:t>
            </w:r>
          </w:p>
        </w:tc>
      </w:tr>
      <w:tr w:rsidR="007409BA" w:rsidRPr="001271CE" w14:paraId="039CAEE1" w14:textId="77777777" w:rsidTr="003411E9">
        <w:trPr>
          <w:trHeight w:val="300"/>
        </w:trPr>
        <w:tc>
          <w:tcPr>
            <w:tcW w:w="2166" w:type="dxa"/>
            <w:vMerge/>
            <w:tcMar>
              <w:top w:w="0" w:type="dxa"/>
              <w:left w:w="108" w:type="dxa"/>
              <w:bottom w:w="0" w:type="dxa"/>
              <w:right w:w="108" w:type="dxa"/>
            </w:tcMar>
          </w:tcPr>
          <w:p w14:paraId="50CB9858" w14:textId="77777777" w:rsidR="007409BA" w:rsidRPr="001271CE" w:rsidRDefault="007409BA" w:rsidP="00AB6AE3">
            <w:pPr>
              <w:ind w:firstLine="0"/>
              <w:jc w:val="left"/>
            </w:pPr>
          </w:p>
        </w:tc>
        <w:tc>
          <w:tcPr>
            <w:tcW w:w="516" w:type="dxa"/>
            <w:tcMar>
              <w:top w:w="0" w:type="dxa"/>
              <w:left w:w="108" w:type="dxa"/>
              <w:bottom w:w="0" w:type="dxa"/>
              <w:right w:w="108" w:type="dxa"/>
            </w:tcMar>
          </w:tcPr>
          <w:p w14:paraId="2DA042A2" w14:textId="77777777" w:rsidR="007409BA" w:rsidRPr="001271CE" w:rsidRDefault="007409BA" w:rsidP="00AB6AE3">
            <w:pPr>
              <w:pStyle w:val="ListParagraph"/>
              <w:numPr>
                <w:ilvl w:val="0"/>
                <w:numId w:val="1"/>
              </w:numPr>
              <w:ind w:right="192"/>
              <w:jc w:val="left"/>
            </w:pPr>
          </w:p>
        </w:tc>
        <w:tc>
          <w:tcPr>
            <w:tcW w:w="5706" w:type="dxa"/>
            <w:tcMar>
              <w:top w:w="0" w:type="dxa"/>
              <w:left w:w="108" w:type="dxa"/>
              <w:bottom w:w="0" w:type="dxa"/>
              <w:right w:w="108" w:type="dxa"/>
            </w:tcMar>
          </w:tcPr>
          <w:p w14:paraId="78291272" w14:textId="14559389" w:rsidR="007409BA" w:rsidRPr="001271CE" w:rsidRDefault="007409BA" w:rsidP="00EF347E">
            <w:pPr>
              <w:ind w:firstLine="0"/>
            </w:pPr>
            <w:r w:rsidRPr="001271CE">
              <w:t>MF a solicitat completarea Notei de fundamentare pentru a garanta că vor fi depuse eforturi pentru a încadra costurile potențial suplimentare în bugetul existent, având in vedere că, statistic vorbind, în fiecare an există o anumită parte de buget care rămâne nevalorificată, ceea ce permite încadrarea costurilor recurente în economiile anual formate în cadrul bugetului existent.</w:t>
            </w:r>
          </w:p>
        </w:tc>
        <w:tc>
          <w:tcPr>
            <w:tcW w:w="6300" w:type="dxa"/>
            <w:tcMar>
              <w:top w:w="0" w:type="dxa"/>
              <w:left w:w="108" w:type="dxa"/>
              <w:bottom w:w="0" w:type="dxa"/>
              <w:right w:w="108" w:type="dxa"/>
            </w:tcMar>
          </w:tcPr>
          <w:p w14:paraId="4F30DF92" w14:textId="77777777" w:rsidR="007409BA" w:rsidRPr="001271CE" w:rsidRDefault="007409BA" w:rsidP="00FC56DB">
            <w:pPr>
              <w:ind w:firstLine="0"/>
            </w:pPr>
            <w:r w:rsidRPr="001271CE">
              <w:t>Propunerea MF a fost acceptat.</w:t>
            </w:r>
          </w:p>
          <w:p w14:paraId="5AB59832" w14:textId="77777777" w:rsidR="007409BA" w:rsidRPr="001271CE" w:rsidRDefault="007409BA" w:rsidP="00AB6AE3">
            <w:pPr>
              <w:ind w:firstLine="0"/>
            </w:pPr>
          </w:p>
        </w:tc>
      </w:tr>
      <w:tr w:rsidR="001646D3" w:rsidRPr="001271CE" w14:paraId="3BC52950" w14:textId="77777777" w:rsidTr="003411E9">
        <w:trPr>
          <w:trHeight w:val="300"/>
        </w:trPr>
        <w:tc>
          <w:tcPr>
            <w:tcW w:w="2166" w:type="dxa"/>
            <w:vMerge w:val="restart"/>
            <w:tcMar>
              <w:top w:w="0" w:type="dxa"/>
              <w:left w:w="108" w:type="dxa"/>
              <w:bottom w:w="0" w:type="dxa"/>
              <w:right w:w="108" w:type="dxa"/>
            </w:tcMar>
          </w:tcPr>
          <w:p w14:paraId="5F5ED61C" w14:textId="77777777" w:rsidR="001646D3" w:rsidRPr="001271CE" w:rsidRDefault="001646D3" w:rsidP="001646D3">
            <w:pPr>
              <w:ind w:firstLine="0"/>
              <w:jc w:val="left"/>
            </w:pPr>
            <w:r w:rsidRPr="001271CE">
              <w:t>Ministerul Afacerilor Interne</w:t>
            </w:r>
          </w:p>
          <w:p w14:paraId="71B338D4" w14:textId="77777777" w:rsidR="00B75637" w:rsidRPr="001271CE" w:rsidRDefault="00B75637" w:rsidP="001646D3">
            <w:pPr>
              <w:ind w:firstLine="0"/>
              <w:jc w:val="left"/>
            </w:pPr>
          </w:p>
          <w:p w14:paraId="13417E21" w14:textId="156360CC" w:rsidR="001646D3" w:rsidRPr="001271CE" w:rsidRDefault="001646D3" w:rsidP="001646D3">
            <w:pPr>
              <w:ind w:firstLine="0"/>
              <w:jc w:val="left"/>
            </w:pPr>
            <w:r w:rsidRPr="001271CE">
              <w:rPr>
                <w:i/>
                <w:iCs/>
              </w:rPr>
              <w:t>(conform Procesului verbal nr. 2, care se anexează)</w:t>
            </w:r>
          </w:p>
        </w:tc>
        <w:tc>
          <w:tcPr>
            <w:tcW w:w="516" w:type="dxa"/>
            <w:tcMar>
              <w:top w:w="0" w:type="dxa"/>
              <w:left w:w="108" w:type="dxa"/>
              <w:bottom w:w="0" w:type="dxa"/>
              <w:right w:w="108" w:type="dxa"/>
            </w:tcMar>
          </w:tcPr>
          <w:p w14:paraId="529075F4" w14:textId="77777777" w:rsidR="001646D3" w:rsidRPr="001271CE" w:rsidRDefault="001646D3" w:rsidP="00AB6AE3">
            <w:pPr>
              <w:pStyle w:val="ListParagraph"/>
              <w:numPr>
                <w:ilvl w:val="0"/>
                <w:numId w:val="1"/>
              </w:numPr>
              <w:ind w:right="192"/>
              <w:jc w:val="left"/>
            </w:pPr>
          </w:p>
        </w:tc>
        <w:tc>
          <w:tcPr>
            <w:tcW w:w="5706" w:type="dxa"/>
            <w:tcMar>
              <w:top w:w="0" w:type="dxa"/>
              <w:left w:w="108" w:type="dxa"/>
              <w:bottom w:w="0" w:type="dxa"/>
              <w:right w:w="108" w:type="dxa"/>
            </w:tcMar>
          </w:tcPr>
          <w:p w14:paraId="0B09F3CD" w14:textId="64B7F6AA" w:rsidR="001646D3" w:rsidRPr="001271CE" w:rsidRDefault="001646D3" w:rsidP="00AB6AE3">
            <w:pPr>
              <w:ind w:firstLine="0"/>
            </w:pPr>
            <w:r w:rsidRPr="001271CE">
              <w:t>... la noțiunea ,,proiect” de la pct. 2 subpct. 2.6, se utilizează termenul de ,,asistență umanitară de urgență” care nu este definit și nu reiese nici din prevederile Legii prenotate.</w:t>
            </w:r>
          </w:p>
        </w:tc>
        <w:tc>
          <w:tcPr>
            <w:tcW w:w="6300" w:type="dxa"/>
            <w:tcMar>
              <w:top w:w="0" w:type="dxa"/>
              <w:left w:w="108" w:type="dxa"/>
              <w:bottom w:w="0" w:type="dxa"/>
              <w:right w:w="108" w:type="dxa"/>
            </w:tcMar>
          </w:tcPr>
          <w:p w14:paraId="754767AD" w14:textId="59FA33B0" w:rsidR="001646D3" w:rsidRPr="001271CE" w:rsidRDefault="001646D3" w:rsidP="00AB6AE3">
            <w:pPr>
              <w:ind w:firstLine="0"/>
            </w:pPr>
            <w:r w:rsidRPr="001271CE">
              <w:t xml:space="preserve">Se acceptă parțial. </w:t>
            </w:r>
            <w:r w:rsidR="006F73E7" w:rsidRPr="001271CE">
              <w:t>MAE a expus că d</w:t>
            </w:r>
            <w:r w:rsidRPr="001271CE">
              <w:t xml:space="preserve">efiniția a fost reformulată prin utilizarea sintagmei „asistență umanitară cu caracter de urgență”, pentru a evita introducerea unei noțiuni distincte nedefinite. Totodată, a fost menținută referirea la caracterul de urgență al intervențiilor, întrucât aceasta este relevantă pentru delimitarea proiectelor umanitare de alte forme de sprijin și reflectă specificul intervențiilor rapide în situații de criză. </w:t>
            </w:r>
          </w:p>
          <w:p w14:paraId="17DAB101" w14:textId="4F614338" w:rsidR="001646D3" w:rsidRPr="001271CE" w:rsidRDefault="001646D3" w:rsidP="00AB6AE3">
            <w:pPr>
              <w:ind w:firstLine="0"/>
            </w:pPr>
            <w:r w:rsidRPr="001271CE">
              <w:t>MAI a acceptat poziția MAE expusă la pct. 49 din Tabelul de divergență.</w:t>
            </w:r>
          </w:p>
        </w:tc>
      </w:tr>
      <w:tr w:rsidR="001646D3" w:rsidRPr="001271CE" w14:paraId="502C6435" w14:textId="77777777" w:rsidTr="003411E9">
        <w:trPr>
          <w:trHeight w:val="300"/>
        </w:trPr>
        <w:tc>
          <w:tcPr>
            <w:tcW w:w="2166" w:type="dxa"/>
            <w:vMerge/>
            <w:tcMar>
              <w:top w:w="0" w:type="dxa"/>
              <w:left w:w="108" w:type="dxa"/>
              <w:bottom w:w="0" w:type="dxa"/>
              <w:right w:w="108" w:type="dxa"/>
            </w:tcMar>
          </w:tcPr>
          <w:p w14:paraId="793BA491" w14:textId="77777777" w:rsidR="001646D3" w:rsidRPr="001271CE" w:rsidRDefault="001646D3" w:rsidP="00AB6AE3">
            <w:pPr>
              <w:ind w:firstLine="0"/>
              <w:jc w:val="left"/>
            </w:pPr>
          </w:p>
        </w:tc>
        <w:tc>
          <w:tcPr>
            <w:tcW w:w="516" w:type="dxa"/>
            <w:tcMar>
              <w:top w:w="0" w:type="dxa"/>
              <w:left w:w="108" w:type="dxa"/>
              <w:bottom w:w="0" w:type="dxa"/>
              <w:right w:w="108" w:type="dxa"/>
            </w:tcMar>
          </w:tcPr>
          <w:p w14:paraId="0025424B" w14:textId="77777777" w:rsidR="001646D3" w:rsidRPr="001271CE" w:rsidRDefault="001646D3" w:rsidP="00AB6AE3">
            <w:pPr>
              <w:pStyle w:val="ListParagraph"/>
              <w:numPr>
                <w:ilvl w:val="0"/>
                <w:numId w:val="1"/>
              </w:numPr>
              <w:ind w:right="192"/>
              <w:jc w:val="left"/>
            </w:pPr>
          </w:p>
        </w:tc>
        <w:tc>
          <w:tcPr>
            <w:tcW w:w="5706" w:type="dxa"/>
            <w:tcMar>
              <w:top w:w="0" w:type="dxa"/>
              <w:left w:w="108" w:type="dxa"/>
              <w:bottom w:w="0" w:type="dxa"/>
              <w:right w:w="108" w:type="dxa"/>
            </w:tcMar>
          </w:tcPr>
          <w:p w14:paraId="077E02B2" w14:textId="383CF98B" w:rsidR="001646D3" w:rsidRPr="001271CE" w:rsidRDefault="001646D3" w:rsidP="005143E4">
            <w:pPr>
              <w:ind w:firstLine="0"/>
            </w:pPr>
            <w:r w:rsidRPr="001271CE">
              <w:t xml:space="preserve">Referitor la pct. 54-55 din Tabel, MAI a evidențiat importanța ajustării terminologiei cu prevederile Legii nr. 248/2025 privind managementul situațiilor de criză și a solicitat clarificări vizavi de caracterul misiunilor de transfer de expertiză în sensul intervențiilor operative de protecție civilă. </w:t>
            </w:r>
          </w:p>
          <w:p w14:paraId="306CF537" w14:textId="40A15C35" w:rsidR="001646D3" w:rsidRPr="001271CE" w:rsidRDefault="001646D3" w:rsidP="005143E4">
            <w:pPr>
              <w:ind w:firstLine="0"/>
            </w:pPr>
            <w:r w:rsidRPr="001271CE">
              <w:t xml:space="preserve">Aceasta își propune să permită includerea misiunilor care au ca obiectiv transferul de expertiză în domeniul protecției civile în Planul anual de cooperare internațională pentru dezvoltare și asistență umanitară. </w:t>
            </w:r>
          </w:p>
        </w:tc>
        <w:tc>
          <w:tcPr>
            <w:tcW w:w="6300" w:type="dxa"/>
            <w:tcMar>
              <w:top w:w="0" w:type="dxa"/>
              <w:left w:w="108" w:type="dxa"/>
              <w:bottom w:w="0" w:type="dxa"/>
              <w:right w:w="108" w:type="dxa"/>
            </w:tcMar>
          </w:tcPr>
          <w:p w14:paraId="0B0845F8" w14:textId="77777777" w:rsidR="001646D3" w:rsidRPr="001271CE" w:rsidRDefault="001646D3" w:rsidP="00AB6AE3">
            <w:pPr>
              <w:ind w:firstLine="0"/>
            </w:pPr>
            <w:r w:rsidRPr="001271CE">
              <w:t xml:space="preserve">MAE a explicat că norma nu urmărește scopul de a substitui sau extinde modul de reglementare/desfășurare a intervențiilor operative ale IGSU. </w:t>
            </w:r>
          </w:p>
          <w:p w14:paraId="5F07FAC6" w14:textId="6623EB57" w:rsidR="001646D3" w:rsidRPr="001271CE" w:rsidRDefault="001646D3" w:rsidP="00AB6AE3">
            <w:pPr>
              <w:ind w:firstLine="0"/>
            </w:pPr>
            <w:r w:rsidRPr="001271CE">
              <w:t>MAI a acceptat poziția MAE.</w:t>
            </w:r>
          </w:p>
        </w:tc>
      </w:tr>
      <w:tr w:rsidR="001646D3" w:rsidRPr="001271CE" w14:paraId="29396A23" w14:textId="77777777" w:rsidTr="003411E9">
        <w:trPr>
          <w:trHeight w:val="300"/>
        </w:trPr>
        <w:tc>
          <w:tcPr>
            <w:tcW w:w="2166" w:type="dxa"/>
            <w:vMerge/>
            <w:tcMar>
              <w:top w:w="0" w:type="dxa"/>
              <w:left w:w="108" w:type="dxa"/>
              <w:bottom w:w="0" w:type="dxa"/>
              <w:right w:w="108" w:type="dxa"/>
            </w:tcMar>
          </w:tcPr>
          <w:p w14:paraId="3144CC22" w14:textId="77777777" w:rsidR="001646D3" w:rsidRPr="001271CE" w:rsidRDefault="001646D3" w:rsidP="00AB6AE3">
            <w:pPr>
              <w:ind w:firstLine="0"/>
              <w:jc w:val="left"/>
            </w:pPr>
          </w:p>
        </w:tc>
        <w:tc>
          <w:tcPr>
            <w:tcW w:w="516" w:type="dxa"/>
            <w:tcMar>
              <w:top w:w="0" w:type="dxa"/>
              <w:left w:w="108" w:type="dxa"/>
              <w:bottom w:w="0" w:type="dxa"/>
              <w:right w:w="108" w:type="dxa"/>
            </w:tcMar>
          </w:tcPr>
          <w:p w14:paraId="3758081F" w14:textId="77777777" w:rsidR="001646D3" w:rsidRPr="001271CE" w:rsidRDefault="001646D3" w:rsidP="00AB6AE3">
            <w:pPr>
              <w:pStyle w:val="ListParagraph"/>
              <w:numPr>
                <w:ilvl w:val="0"/>
                <w:numId w:val="1"/>
              </w:numPr>
              <w:ind w:right="192"/>
              <w:jc w:val="left"/>
            </w:pPr>
          </w:p>
        </w:tc>
        <w:tc>
          <w:tcPr>
            <w:tcW w:w="5706" w:type="dxa"/>
            <w:tcMar>
              <w:top w:w="0" w:type="dxa"/>
              <w:left w:w="108" w:type="dxa"/>
              <w:bottom w:w="0" w:type="dxa"/>
              <w:right w:w="108" w:type="dxa"/>
            </w:tcMar>
          </w:tcPr>
          <w:p w14:paraId="473C69F3" w14:textId="14B0D3C6" w:rsidR="001646D3" w:rsidRPr="001271CE" w:rsidRDefault="001646D3" w:rsidP="00932FB2">
            <w:pPr>
              <w:ind w:firstLine="0"/>
            </w:pPr>
            <w:r w:rsidRPr="001271CE">
              <w:t>Referitor la pct. 60-64, 68 din Tabel</w:t>
            </w:r>
            <w:r w:rsidR="00D24875" w:rsidRPr="001271CE">
              <w:t>.</w:t>
            </w:r>
            <w:r w:rsidRPr="001271CE">
              <w:t xml:space="preserve"> </w:t>
            </w:r>
          </w:p>
        </w:tc>
        <w:tc>
          <w:tcPr>
            <w:tcW w:w="6300" w:type="dxa"/>
            <w:tcMar>
              <w:top w:w="0" w:type="dxa"/>
              <w:left w:w="108" w:type="dxa"/>
              <w:bottom w:w="0" w:type="dxa"/>
              <w:right w:w="108" w:type="dxa"/>
            </w:tcMar>
          </w:tcPr>
          <w:p w14:paraId="7F4266E4" w14:textId="77777777" w:rsidR="00D24875" w:rsidRPr="001271CE" w:rsidRDefault="00D24875" w:rsidP="00AB6AE3">
            <w:pPr>
              <w:ind w:firstLine="0"/>
            </w:pPr>
            <w:r w:rsidRPr="001271CE">
              <w:t xml:space="preserve">MAE a prezentat versiunea revizuită a Capitolului IV din proiectul Regulamentului – Asistența umanitară. </w:t>
            </w:r>
          </w:p>
          <w:p w14:paraId="07D464B5" w14:textId="77777777" w:rsidR="00D24875" w:rsidRPr="001271CE" w:rsidRDefault="00D24875" w:rsidP="00AB6AE3">
            <w:pPr>
              <w:ind w:firstLine="0"/>
            </w:pPr>
            <w:r w:rsidRPr="001271CE">
              <w:t xml:space="preserve">MAI a acceptat în totalitate pct. 98, 101-103, și a solicitat redactarea pct. 99 și 100 din redacția nouă a Regulamentului. </w:t>
            </w:r>
          </w:p>
          <w:p w14:paraId="73B95D33" w14:textId="3172452C" w:rsidR="001646D3" w:rsidRPr="001271CE" w:rsidRDefault="001646D3" w:rsidP="00AB6AE3">
            <w:pPr>
              <w:ind w:firstLine="0"/>
            </w:pPr>
            <w:r w:rsidRPr="001271CE">
              <w:lastRenderedPageBreak/>
              <w:t>Propunerile MAI au fost acceptate.</w:t>
            </w:r>
          </w:p>
        </w:tc>
      </w:tr>
      <w:tr w:rsidR="006C0E2C" w:rsidRPr="001271CE" w14:paraId="04A01996" w14:textId="77777777" w:rsidTr="00332634">
        <w:tc>
          <w:tcPr>
            <w:tcW w:w="14688" w:type="dxa"/>
            <w:gridSpan w:val="4"/>
            <w:tcMar>
              <w:top w:w="0" w:type="dxa"/>
              <w:left w:w="108" w:type="dxa"/>
              <w:bottom w:w="0" w:type="dxa"/>
              <w:right w:w="108" w:type="dxa"/>
            </w:tcMar>
          </w:tcPr>
          <w:p w14:paraId="329B2325" w14:textId="77777777" w:rsidR="006C0E2C" w:rsidRPr="001271CE" w:rsidRDefault="006C0E2C" w:rsidP="00332634">
            <w:pPr>
              <w:pBdr>
                <w:top w:val="none" w:sz="4" w:space="0" w:color="000000"/>
                <w:left w:val="none" w:sz="4" w:space="0" w:color="000000"/>
                <w:bottom w:val="none" w:sz="4" w:space="0" w:color="000000"/>
                <w:right w:val="none" w:sz="4" w:space="0" w:color="000000"/>
              </w:pBdr>
              <w:ind w:right="5" w:firstLine="0"/>
              <w:jc w:val="center"/>
              <w:rPr>
                <w:b/>
                <w:bCs/>
              </w:rPr>
            </w:pPr>
            <w:r w:rsidRPr="001271CE">
              <w:rPr>
                <w:b/>
                <w:bCs/>
              </w:rPr>
              <w:lastRenderedPageBreak/>
              <w:t>Consultare publică</w:t>
            </w:r>
          </w:p>
        </w:tc>
      </w:tr>
      <w:tr w:rsidR="006C0E2C" w:rsidRPr="001271CE" w14:paraId="55DB5269" w14:textId="77777777" w:rsidTr="00332634">
        <w:trPr>
          <w:trHeight w:val="300"/>
        </w:trPr>
        <w:tc>
          <w:tcPr>
            <w:tcW w:w="2166" w:type="dxa"/>
            <w:vMerge w:val="restart"/>
            <w:tcMar>
              <w:top w:w="0" w:type="dxa"/>
              <w:left w:w="108" w:type="dxa"/>
              <w:bottom w:w="0" w:type="dxa"/>
              <w:right w:w="108" w:type="dxa"/>
            </w:tcMar>
          </w:tcPr>
          <w:p w14:paraId="0D024C7D" w14:textId="77777777" w:rsidR="006C0E2C" w:rsidRPr="001271CE" w:rsidRDefault="006C0E2C" w:rsidP="00332634">
            <w:pPr>
              <w:ind w:firstLine="0"/>
              <w:jc w:val="left"/>
            </w:pPr>
            <w:r w:rsidRPr="001271CE">
              <w:t>Institutul pentru Politici și Reforme Europene</w:t>
            </w:r>
          </w:p>
          <w:p w14:paraId="2C3D0558" w14:textId="77777777" w:rsidR="006C0E2C" w:rsidRPr="001271CE" w:rsidRDefault="006C0E2C" w:rsidP="00332634">
            <w:pPr>
              <w:ind w:firstLine="0"/>
              <w:jc w:val="left"/>
              <w:rPr>
                <w:i/>
                <w:iCs/>
              </w:rPr>
            </w:pPr>
          </w:p>
          <w:p w14:paraId="3C02C1B5" w14:textId="77777777" w:rsidR="006C0E2C" w:rsidRPr="001271CE" w:rsidRDefault="006C0E2C" w:rsidP="00332634">
            <w:pPr>
              <w:ind w:firstLine="0"/>
              <w:jc w:val="left"/>
              <w:rPr>
                <w:i/>
                <w:iCs/>
              </w:rPr>
            </w:pPr>
            <w:r w:rsidRPr="001271CE">
              <w:rPr>
                <w:i/>
                <w:iCs/>
              </w:rPr>
              <w:t>Ședința din</w:t>
            </w:r>
          </w:p>
          <w:p w14:paraId="50CE1432" w14:textId="77777777" w:rsidR="006C0E2C" w:rsidRPr="001271CE" w:rsidRDefault="006C0E2C" w:rsidP="00332634">
            <w:pPr>
              <w:ind w:firstLine="0"/>
              <w:jc w:val="left"/>
            </w:pPr>
            <w:hyperlink r:id="rId11">
              <w:r w:rsidRPr="001271CE">
                <w:rPr>
                  <w:rStyle w:val="Hyperlink"/>
                  <w:i/>
                  <w:iCs/>
                </w:rPr>
                <w:t>28 noiembrie 2025</w:t>
              </w:r>
            </w:hyperlink>
          </w:p>
          <w:p w14:paraId="0CE99B08" w14:textId="77777777" w:rsidR="006C0E2C" w:rsidRPr="001271CE" w:rsidRDefault="006C0E2C" w:rsidP="00332634">
            <w:pPr>
              <w:ind w:firstLine="0"/>
              <w:jc w:val="left"/>
            </w:pPr>
            <w:r w:rsidRPr="001271CE">
              <w:t>(copia procesului verbal se anexează)</w:t>
            </w:r>
          </w:p>
        </w:tc>
        <w:tc>
          <w:tcPr>
            <w:tcW w:w="516" w:type="dxa"/>
            <w:tcMar>
              <w:top w:w="0" w:type="dxa"/>
              <w:left w:w="108" w:type="dxa"/>
              <w:bottom w:w="0" w:type="dxa"/>
              <w:right w:w="108" w:type="dxa"/>
            </w:tcMar>
          </w:tcPr>
          <w:p w14:paraId="78ED45B7"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41986615" w14:textId="77777777" w:rsidR="006C0E2C" w:rsidRPr="001271CE" w:rsidRDefault="006C0E2C" w:rsidP="00332634">
            <w:pPr>
              <w:ind w:firstLine="0"/>
            </w:pPr>
            <w:r w:rsidRPr="001271CE">
              <w:t>Dl Iulian Groza, Director Executiv, a salutat inițiativa, a recunoscut nivelul avansat al proiectului și a venit cu următoarele sugestii:</w:t>
            </w:r>
          </w:p>
          <w:p w14:paraId="0E90FCFD" w14:textId="77777777" w:rsidR="006C0E2C" w:rsidRPr="001271CE" w:rsidRDefault="006C0E2C" w:rsidP="00332634">
            <w:pPr>
              <w:ind w:firstLine="0"/>
            </w:pPr>
            <w:r w:rsidRPr="001271CE">
              <w:t>Examinarea oportunității includerii modelelor de documente menționate în cadrul proiectului Regulamentului în calitate de anexe ale acestuia;</w:t>
            </w:r>
          </w:p>
        </w:tc>
        <w:tc>
          <w:tcPr>
            <w:tcW w:w="6300" w:type="dxa"/>
            <w:tcMar>
              <w:top w:w="0" w:type="dxa"/>
              <w:left w:w="108" w:type="dxa"/>
              <w:bottom w:w="0" w:type="dxa"/>
              <w:right w:w="108" w:type="dxa"/>
            </w:tcMar>
          </w:tcPr>
          <w:p w14:paraId="6B4622B7" w14:textId="77777777" w:rsidR="006C0E2C" w:rsidRPr="001271CE" w:rsidRDefault="006C0E2C" w:rsidP="00332634">
            <w:pPr>
              <w:ind w:firstLine="0"/>
            </w:pPr>
            <w:r w:rsidRPr="001271CE">
              <w:t>Nu se acceptă.</w:t>
            </w:r>
          </w:p>
          <w:p w14:paraId="7CAEB825" w14:textId="77777777" w:rsidR="006C0E2C" w:rsidRPr="001271CE" w:rsidRDefault="006C0E2C" w:rsidP="00332634">
            <w:pPr>
              <w:ind w:firstLine="0"/>
            </w:pPr>
            <w:r w:rsidRPr="001271CE">
              <w:t>Documentele vizate (metodologia și grila de evaluare, termenii de referință, regulamentele comisiilor, manualul de proceduri etc.) au un caracter eminamente tehnic și operațional și nu constituie norme de drept material sau proceduri administrative cu aplicabilitate generală. Stabilirea acestora prin ordin al ministrului permite flexibilitate și adaptare la specificul fiecărui instrument, evitând rigidizarea excesivă a cadrului normativ. Aprobarea acestora prin hotărâre de Guvern ar conduce la supra-reglementare și ar genera dificultăți practice, întrucât orice ajustare tehnică minoră ar impune modificarea actului normativ de rang superior, afectând eficiența și funcționalitatea mecanismului.</w:t>
            </w:r>
          </w:p>
        </w:tc>
      </w:tr>
      <w:tr w:rsidR="006C0E2C" w:rsidRPr="001271CE" w14:paraId="43B072BE" w14:textId="77777777" w:rsidTr="00332634">
        <w:trPr>
          <w:trHeight w:val="300"/>
        </w:trPr>
        <w:tc>
          <w:tcPr>
            <w:tcW w:w="2166" w:type="dxa"/>
            <w:vMerge/>
            <w:tcMar>
              <w:top w:w="0" w:type="dxa"/>
              <w:left w:w="108" w:type="dxa"/>
              <w:bottom w:w="0" w:type="dxa"/>
              <w:right w:w="108" w:type="dxa"/>
            </w:tcMar>
          </w:tcPr>
          <w:p w14:paraId="59F5606F" w14:textId="77777777" w:rsidR="006C0E2C" w:rsidRPr="001271CE" w:rsidRDefault="006C0E2C" w:rsidP="00332634"/>
        </w:tc>
        <w:tc>
          <w:tcPr>
            <w:tcW w:w="516" w:type="dxa"/>
            <w:tcMar>
              <w:top w:w="0" w:type="dxa"/>
              <w:left w:w="108" w:type="dxa"/>
              <w:bottom w:w="0" w:type="dxa"/>
              <w:right w:w="108" w:type="dxa"/>
            </w:tcMar>
          </w:tcPr>
          <w:p w14:paraId="35815772"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3E047114" w14:textId="77777777" w:rsidR="006C0E2C" w:rsidRPr="001271CE" w:rsidRDefault="006C0E2C" w:rsidP="00332634">
            <w:pPr>
              <w:ind w:firstLine="0"/>
            </w:pPr>
            <w:r w:rsidRPr="001271CE">
              <w:t>Examinarea posibilității intrării în vigoare a proiectului Hotărârii la o dată anterioară decât cea enunțată (în proiect a fost inclusă data de 1 ianuarie 2027)</w:t>
            </w:r>
          </w:p>
        </w:tc>
        <w:tc>
          <w:tcPr>
            <w:tcW w:w="6300" w:type="dxa"/>
            <w:tcMar>
              <w:top w:w="0" w:type="dxa"/>
              <w:left w:w="108" w:type="dxa"/>
              <w:bottom w:w="0" w:type="dxa"/>
              <w:right w:w="108" w:type="dxa"/>
            </w:tcMar>
          </w:tcPr>
          <w:p w14:paraId="4B72DCBD" w14:textId="77777777" w:rsidR="006C0E2C" w:rsidRPr="001271CE" w:rsidRDefault="006C0E2C" w:rsidP="00332634">
            <w:pPr>
              <w:ind w:firstLine="0"/>
            </w:pPr>
            <w:r w:rsidRPr="001271CE">
              <w:t>Se acceptă.</w:t>
            </w:r>
          </w:p>
          <w:p w14:paraId="108B1BA6" w14:textId="77777777" w:rsidR="006C0E2C" w:rsidRPr="001271CE" w:rsidRDefault="006C0E2C" w:rsidP="00332634">
            <w:pPr>
              <w:ind w:firstLine="0"/>
            </w:pPr>
            <w:r w:rsidRPr="001271CE">
              <w:t>Termenul de intrare în vigoare a fost modificat.</w:t>
            </w:r>
          </w:p>
        </w:tc>
      </w:tr>
      <w:tr w:rsidR="006C0E2C" w:rsidRPr="001271CE" w14:paraId="327B0EAD" w14:textId="77777777" w:rsidTr="00332634">
        <w:trPr>
          <w:trHeight w:val="300"/>
        </w:trPr>
        <w:tc>
          <w:tcPr>
            <w:tcW w:w="2166" w:type="dxa"/>
            <w:vMerge/>
            <w:tcMar>
              <w:top w:w="0" w:type="dxa"/>
              <w:left w:w="108" w:type="dxa"/>
              <w:bottom w:w="0" w:type="dxa"/>
              <w:right w:w="108" w:type="dxa"/>
            </w:tcMar>
          </w:tcPr>
          <w:p w14:paraId="632EA8C8" w14:textId="77777777" w:rsidR="006C0E2C" w:rsidRPr="001271CE" w:rsidRDefault="006C0E2C" w:rsidP="00332634"/>
        </w:tc>
        <w:tc>
          <w:tcPr>
            <w:tcW w:w="516" w:type="dxa"/>
            <w:tcMar>
              <w:top w:w="0" w:type="dxa"/>
              <w:left w:w="108" w:type="dxa"/>
              <w:bottom w:w="0" w:type="dxa"/>
              <w:right w:w="108" w:type="dxa"/>
            </w:tcMar>
          </w:tcPr>
          <w:p w14:paraId="100DDE9F"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7F2224B1" w14:textId="77777777" w:rsidR="006C0E2C" w:rsidRPr="001271CE" w:rsidRDefault="006C0E2C" w:rsidP="00332634">
            <w:pPr>
              <w:ind w:firstLine="0"/>
            </w:pPr>
            <w:r w:rsidRPr="001271CE">
              <w:t>Identificarea unui buget pentru activitățile de cooperare internațională pentru dezvoltare și asistență umanitară în anul 2026, în vederea pilotării unor activități în domeniu;</w:t>
            </w:r>
          </w:p>
        </w:tc>
        <w:tc>
          <w:tcPr>
            <w:tcW w:w="6300" w:type="dxa"/>
            <w:tcMar>
              <w:top w:w="0" w:type="dxa"/>
              <w:left w:w="108" w:type="dxa"/>
              <w:bottom w:w="0" w:type="dxa"/>
              <w:right w:w="108" w:type="dxa"/>
            </w:tcMar>
          </w:tcPr>
          <w:p w14:paraId="5BE69D93" w14:textId="77777777" w:rsidR="006C0E2C" w:rsidRPr="001271CE" w:rsidRDefault="006C0E2C" w:rsidP="00332634">
            <w:pPr>
              <w:ind w:firstLine="0"/>
            </w:pPr>
            <w:r w:rsidRPr="001271CE">
              <w:t>Nu se acceptă.</w:t>
            </w:r>
          </w:p>
          <w:p w14:paraId="3937F33C" w14:textId="77777777" w:rsidR="006C0E2C" w:rsidRPr="001271CE" w:rsidRDefault="006C0E2C" w:rsidP="00332634">
            <w:pPr>
              <w:ind w:firstLine="0"/>
            </w:pPr>
            <w:r w:rsidRPr="001271CE">
              <w:t>Procedura de planificare bugetară nu permite acest lucru.</w:t>
            </w:r>
          </w:p>
        </w:tc>
      </w:tr>
      <w:tr w:rsidR="006C0E2C" w:rsidRPr="001271CE" w14:paraId="2ECCF128" w14:textId="77777777" w:rsidTr="00332634">
        <w:trPr>
          <w:trHeight w:val="300"/>
        </w:trPr>
        <w:tc>
          <w:tcPr>
            <w:tcW w:w="2166" w:type="dxa"/>
            <w:vMerge w:val="restart"/>
            <w:tcMar>
              <w:top w:w="0" w:type="dxa"/>
              <w:left w:w="108" w:type="dxa"/>
              <w:bottom w:w="0" w:type="dxa"/>
              <w:right w:w="108" w:type="dxa"/>
            </w:tcMar>
          </w:tcPr>
          <w:p w14:paraId="35EEE06F" w14:textId="77777777" w:rsidR="006C0E2C" w:rsidRPr="001271CE" w:rsidRDefault="006C0E2C" w:rsidP="00332634">
            <w:pPr>
              <w:ind w:firstLine="0"/>
              <w:jc w:val="left"/>
            </w:pPr>
            <w:r w:rsidRPr="001271CE">
              <w:t>„Forța Fermierilor”, membru al Platformei Naționale a Forumului Societății Civile din Parteneriatul Estic</w:t>
            </w:r>
          </w:p>
          <w:p w14:paraId="2824D725" w14:textId="77777777" w:rsidR="006C0E2C" w:rsidRPr="001271CE" w:rsidRDefault="006C0E2C" w:rsidP="00332634">
            <w:pPr>
              <w:ind w:firstLine="0"/>
              <w:jc w:val="left"/>
              <w:rPr>
                <w:i/>
                <w:iCs/>
              </w:rPr>
            </w:pPr>
          </w:p>
          <w:p w14:paraId="285E7199" w14:textId="77777777" w:rsidR="006C0E2C" w:rsidRPr="001271CE" w:rsidRDefault="006C0E2C" w:rsidP="00332634">
            <w:pPr>
              <w:ind w:firstLine="0"/>
              <w:jc w:val="left"/>
              <w:rPr>
                <w:i/>
                <w:iCs/>
              </w:rPr>
            </w:pPr>
            <w:r w:rsidRPr="001271CE">
              <w:rPr>
                <w:i/>
                <w:iCs/>
              </w:rPr>
              <w:t>Ședința din</w:t>
            </w:r>
          </w:p>
          <w:p w14:paraId="4A38B52D" w14:textId="77777777" w:rsidR="006C0E2C" w:rsidRPr="001271CE" w:rsidRDefault="006C0E2C" w:rsidP="00332634">
            <w:pPr>
              <w:ind w:firstLine="0"/>
              <w:jc w:val="left"/>
            </w:pPr>
            <w:hyperlink r:id="rId12">
              <w:r w:rsidRPr="001271CE">
                <w:rPr>
                  <w:rStyle w:val="Hyperlink"/>
                  <w:i/>
                  <w:iCs/>
                </w:rPr>
                <w:t>28 noiembrie 2025</w:t>
              </w:r>
            </w:hyperlink>
          </w:p>
        </w:tc>
        <w:tc>
          <w:tcPr>
            <w:tcW w:w="516" w:type="dxa"/>
            <w:tcMar>
              <w:top w:w="0" w:type="dxa"/>
              <w:left w:w="108" w:type="dxa"/>
              <w:bottom w:w="0" w:type="dxa"/>
              <w:right w:w="108" w:type="dxa"/>
            </w:tcMar>
          </w:tcPr>
          <w:p w14:paraId="7C8B5AD5"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09289545" w14:textId="77777777" w:rsidR="006C0E2C" w:rsidRPr="001271CE" w:rsidRDefault="006C0E2C" w:rsidP="00332634">
            <w:pPr>
              <w:ind w:firstLine="0"/>
            </w:pPr>
            <w:r w:rsidRPr="001271CE">
              <w:t>Dl Alexandru Badarau, Director-executiv, a susținut necesitatea acestui Regulament având în vedere statul de țară candidat pentru aderarea la UE și a menționat următoarele:</w:t>
            </w:r>
          </w:p>
          <w:p w14:paraId="74F31D27" w14:textId="77777777" w:rsidR="006C0E2C" w:rsidRPr="001271CE" w:rsidRDefault="006C0E2C" w:rsidP="00332634">
            <w:pPr>
              <w:ind w:firstLine="0"/>
            </w:pPr>
            <w:r w:rsidRPr="001271CE">
              <w:t>Regulamentul trebuie să servească în calitate de instrument pentru identificarea noilor piețe de realizare a produselor moldovenești;</w:t>
            </w:r>
          </w:p>
        </w:tc>
        <w:tc>
          <w:tcPr>
            <w:tcW w:w="6300" w:type="dxa"/>
            <w:tcMar>
              <w:top w:w="0" w:type="dxa"/>
              <w:left w:w="108" w:type="dxa"/>
              <w:bottom w:w="0" w:type="dxa"/>
              <w:right w:w="108" w:type="dxa"/>
            </w:tcMar>
          </w:tcPr>
          <w:p w14:paraId="2DB25E00" w14:textId="77777777" w:rsidR="006C0E2C" w:rsidRPr="001271CE" w:rsidRDefault="006C0E2C" w:rsidP="00332634">
            <w:pPr>
              <w:ind w:firstLine="0"/>
            </w:pPr>
            <w:r w:rsidRPr="001271CE">
              <w:t>Se acceptă.</w:t>
            </w:r>
          </w:p>
        </w:tc>
      </w:tr>
      <w:tr w:rsidR="006C0E2C" w:rsidRPr="001271CE" w14:paraId="49DD7963" w14:textId="77777777" w:rsidTr="00332634">
        <w:trPr>
          <w:trHeight w:val="300"/>
        </w:trPr>
        <w:tc>
          <w:tcPr>
            <w:tcW w:w="2166" w:type="dxa"/>
            <w:vMerge/>
            <w:tcMar>
              <w:top w:w="0" w:type="dxa"/>
              <w:left w:w="108" w:type="dxa"/>
              <w:bottom w:w="0" w:type="dxa"/>
              <w:right w:w="108" w:type="dxa"/>
            </w:tcMar>
          </w:tcPr>
          <w:p w14:paraId="074C4621" w14:textId="77777777" w:rsidR="006C0E2C" w:rsidRPr="001271CE" w:rsidRDefault="006C0E2C" w:rsidP="00332634"/>
        </w:tc>
        <w:tc>
          <w:tcPr>
            <w:tcW w:w="516" w:type="dxa"/>
            <w:tcMar>
              <w:top w:w="0" w:type="dxa"/>
              <w:left w:w="108" w:type="dxa"/>
              <w:bottom w:w="0" w:type="dxa"/>
              <w:right w:w="108" w:type="dxa"/>
            </w:tcMar>
          </w:tcPr>
          <w:p w14:paraId="142B151E"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53D5CB0E" w14:textId="77777777" w:rsidR="006C0E2C" w:rsidRPr="001271CE" w:rsidRDefault="006C0E2C" w:rsidP="00332634">
            <w:pPr>
              <w:ind w:firstLine="0"/>
            </w:pPr>
            <w:r w:rsidRPr="001271CE">
              <w:t>Este necesară consultarea proiectelor Programului multianual strategic și Planurilor anuale în domeniul cooperării internaționale pentru dezvoltare și asistență umanitară cu mediul de afaceri prin intermediul platformelor existente, inclusiv Consiliul economic de pe lângă Prim-ministru;</w:t>
            </w:r>
          </w:p>
        </w:tc>
        <w:tc>
          <w:tcPr>
            <w:tcW w:w="6300" w:type="dxa"/>
            <w:tcMar>
              <w:top w:w="0" w:type="dxa"/>
              <w:left w:w="108" w:type="dxa"/>
              <w:bottom w:w="0" w:type="dxa"/>
              <w:right w:w="108" w:type="dxa"/>
            </w:tcMar>
          </w:tcPr>
          <w:p w14:paraId="4BDBC9E7" w14:textId="77777777" w:rsidR="006C0E2C" w:rsidRPr="001271CE" w:rsidRDefault="006C0E2C" w:rsidP="00332634">
            <w:pPr>
              <w:ind w:firstLine="0"/>
            </w:pPr>
            <w:r w:rsidRPr="001271CE">
              <w:t>Se acceptă.</w:t>
            </w:r>
          </w:p>
        </w:tc>
      </w:tr>
      <w:tr w:rsidR="006C0E2C" w:rsidRPr="001271CE" w14:paraId="3AE929D1" w14:textId="77777777" w:rsidTr="00332634">
        <w:trPr>
          <w:trHeight w:val="300"/>
        </w:trPr>
        <w:tc>
          <w:tcPr>
            <w:tcW w:w="2166" w:type="dxa"/>
            <w:vMerge/>
            <w:tcMar>
              <w:top w:w="0" w:type="dxa"/>
              <w:left w:w="108" w:type="dxa"/>
              <w:bottom w:w="0" w:type="dxa"/>
              <w:right w:w="108" w:type="dxa"/>
            </w:tcMar>
          </w:tcPr>
          <w:p w14:paraId="508695F8" w14:textId="77777777" w:rsidR="006C0E2C" w:rsidRPr="001271CE" w:rsidRDefault="006C0E2C" w:rsidP="00332634"/>
        </w:tc>
        <w:tc>
          <w:tcPr>
            <w:tcW w:w="516" w:type="dxa"/>
            <w:tcMar>
              <w:top w:w="0" w:type="dxa"/>
              <w:left w:w="108" w:type="dxa"/>
              <w:bottom w:w="0" w:type="dxa"/>
              <w:right w:w="108" w:type="dxa"/>
            </w:tcMar>
          </w:tcPr>
          <w:p w14:paraId="56341E1D"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28742244" w14:textId="77777777" w:rsidR="006C0E2C" w:rsidRPr="001271CE" w:rsidRDefault="006C0E2C" w:rsidP="00332634">
            <w:pPr>
              <w:ind w:firstLine="0"/>
            </w:pPr>
            <w:r w:rsidRPr="001271CE">
              <w:t>Sunt necesare întâlniri periodice cu reprezentanții mediului de afaceri pentru a coordona modalitățile de colaborare și sprijin din partea acestora, în vederea creării unei sinergii și asigurării eficienței maxime a acestui instrument de politică externă;</w:t>
            </w:r>
          </w:p>
        </w:tc>
        <w:tc>
          <w:tcPr>
            <w:tcW w:w="6300" w:type="dxa"/>
            <w:tcMar>
              <w:top w:w="0" w:type="dxa"/>
              <w:left w:w="108" w:type="dxa"/>
              <w:bottom w:w="0" w:type="dxa"/>
              <w:right w:w="108" w:type="dxa"/>
            </w:tcMar>
          </w:tcPr>
          <w:p w14:paraId="0A535B7B" w14:textId="77777777" w:rsidR="006C0E2C" w:rsidRPr="001271CE" w:rsidRDefault="006C0E2C" w:rsidP="00332634">
            <w:pPr>
              <w:ind w:firstLine="0"/>
            </w:pPr>
            <w:r w:rsidRPr="001271CE">
              <w:t>Se acceptă.</w:t>
            </w:r>
          </w:p>
        </w:tc>
      </w:tr>
      <w:tr w:rsidR="006C0E2C" w:rsidRPr="001271CE" w14:paraId="4310F721" w14:textId="77777777" w:rsidTr="00332634">
        <w:trPr>
          <w:trHeight w:val="300"/>
        </w:trPr>
        <w:tc>
          <w:tcPr>
            <w:tcW w:w="2166" w:type="dxa"/>
            <w:vMerge/>
            <w:tcMar>
              <w:top w:w="0" w:type="dxa"/>
              <w:left w:w="108" w:type="dxa"/>
              <w:bottom w:w="0" w:type="dxa"/>
              <w:right w:w="108" w:type="dxa"/>
            </w:tcMar>
          </w:tcPr>
          <w:p w14:paraId="1DF6103E" w14:textId="77777777" w:rsidR="006C0E2C" w:rsidRPr="001271CE" w:rsidRDefault="006C0E2C" w:rsidP="00332634"/>
        </w:tc>
        <w:tc>
          <w:tcPr>
            <w:tcW w:w="516" w:type="dxa"/>
            <w:tcMar>
              <w:top w:w="0" w:type="dxa"/>
              <w:left w:w="108" w:type="dxa"/>
              <w:bottom w:w="0" w:type="dxa"/>
              <w:right w:w="108" w:type="dxa"/>
            </w:tcMar>
          </w:tcPr>
          <w:p w14:paraId="03D9E1C9"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58B78587" w14:textId="77777777" w:rsidR="006C0E2C" w:rsidRPr="001271CE" w:rsidRDefault="006C0E2C" w:rsidP="00332634">
            <w:pPr>
              <w:ind w:firstLine="0"/>
            </w:pPr>
            <w:r w:rsidRPr="001271CE">
              <w:t>Sunt necesare instruiri pentru reprezentanții misiunilor diplomatice responsabili de dosarul economic, mai ales în contextul pregătirii evenimentelor de promovare economică a Republicii Moldova;</w:t>
            </w:r>
          </w:p>
        </w:tc>
        <w:tc>
          <w:tcPr>
            <w:tcW w:w="6300" w:type="dxa"/>
            <w:tcMar>
              <w:top w:w="0" w:type="dxa"/>
              <w:left w:w="108" w:type="dxa"/>
              <w:bottom w:w="0" w:type="dxa"/>
              <w:right w:w="108" w:type="dxa"/>
            </w:tcMar>
          </w:tcPr>
          <w:p w14:paraId="138A7E03" w14:textId="77777777" w:rsidR="006C0E2C" w:rsidRPr="001271CE" w:rsidRDefault="006C0E2C" w:rsidP="00332634">
            <w:pPr>
              <w:ind w:firstLine="0"/>
            </w:pPr>
            <w:r w:rsidRPr="001271CE">
              <w:t>Se acceptă.</w:t>
            </w:r>
          </w:p>
        </w:tc>
      </w:tr>
      <w:tr w:rsidR="006C0E2C" w:rsidRPr="001271CE" w14:paraId="3A2F20FC" w14:textId="77777777" w:rsidTr="00332634">
        <w:trPr>
          <w:trHeight w:val="300"/>
        </w:trPr>
        <w:tc>
          <w:tcPr>
            <w:tcW w:w="2166" w:type="dxa"/>
            <w:vMerge/>
            <w:tcMar>
              <w:top w:w="0" w:type="dxa"/>
              <w:left w:w="108" w:type="dxa"/>
              <w:bottom w:w="0" w:type="dxa"/>
              <w:right w:w="108" w:type="dxa"/>
            </w:tcMar>
          </w:tcPr>
          <w:p w14:paraId="7CE5961C" w14:textId="77777777" w:rsidR="006C0E2C" w:rsidRPr="001271CE" w:rsidRDefault="006C0E2C" w:rsidP="00332634"/>
        </w:tc>
        <w:tc>
          <w:tcPr>
            <w:tcW w:w="516" w:type="dxa"/>
            <w:tcMar>
              <w:top w:w="0" w:type="dxa"/>
              <w:left w:w="108" w:type="dxa"/>
              <w:bottom w:w="0" w:type="dxa"/>
              <w:right w:w="108" w:type="dxa"/>
            </w:tcMar>
          </w:tcPr>
          <w:p w14:paraId="0EBCAA4F"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76DE4F2B" w14:textId="77777777" w:rsidR="006C0E2C" w:rsidRPr="001271CE" w:rsidRDefault="006C0E2C" w:rsidP="00332634">
            <w:pPr>
              <w:ind w:firstLine="0"/>
            </w:pPr>
            <w:r w:rsidRPr="001271CE">
              <w:t>Consideră binevenit de comunicat mai larg despre acest domeniu;</w:t>
            </w:r>
          </w:p>
        </w:tc>
        <w:tc>
          <w:tcPr>
            <w:tcW w:w="6300" w:type="dxa"/>
            <w:tcMar>
              <w:top w:w="0" w:type="dxa"/>
              <w:left w:w="108" w:type="dxa"/>
              <w:bottom w:w="0" w:type="dxa"/>
              <w:right w:w="108" w:type="dxa"/>
            </w:tcMar>
          </w:tcPr>
          <w:p w14:paraId="499026D9" w14:textId="77777777" w:rsidR="006C0E2C" w:rsidRPr="001271CE" w:rsidRDefault="006C0E2C" w:rsidP="00332634">
            <w:pPr>
              <w:ind w:firstLine="0"/>
            </w:pPr>
            <w:r w:rsidRPr="001271CE">
              <w:t>Se acceptă.</w:t>
            </w:r>
          </w:p>
        </w:tc>
      </w:tr>
      <w:tr w:rsidR="006C0E2C" w:rsidRPr="001271CE" w14:paraId="4A6DDAD5" w14:textId="77777777" w:rsidTr="00332634">
        <w:trPr>
          <w:trHeight w:val="300"/>
        </w:trPr>
        <w:tc>
          <w:tcPr>
            <w:tcW w:w="2166" w:type="dxa"/>
            <w:vMerge/>
            <w:tcMar>
              <w:top w:w="0" w:type="dxa"/>
              <w:left w:w="108" w:type="dxa"/>
              <w:bottom w:w="0" w:type="dxa"/>
              <w:right w:w="108" w:type="dxa"/>
            </w:tcMar>
          </w:tcPr>
          <w:p w14:paraId="3D112855" w14:textId="77777777" w:rsidR="006C0E2C" w:rsidRPr="001271CE" w:rsidRDefault="006C0E2C" w:rsidP="00332634"/>
        </w:tc>
        <w:tc>
          <w:tcPr>
            <w:tcW w:w="516" w:type="dxa"/>
            <w:tcMar>
              <w:top w:w="0" w:type="dxa"/>
              <w:left w:w="108" w:type="dxa"/>
              <w:bottom w:w="0" w:type="dxa"/>
              <w:right w:w="108" w:type="dxa"/>
            </w:tcMar>
          </w:tcPr>
          <w:p w14:paraId="564514FA" w14:textId="77777777" w:rsidR="006C0E2C" w:rsidRPr="001271CE" w:rsidRDefault="006C0E2C" w:rsidP="00332634">
            <w:pPr>
              <w:pStyle w:val="ListParagraph"/>
              <w:numPr>
                <w:ilvl w:val="0"/>
                <w:numId w:val="1"/>
              </w:numPr>
              <w:jc w:val="left"/>
            </w:pPr>
          </w:p>
        </w:tc>
        <w:tc>
          <w:tcPr>
            <w:tcW w:w="5706" w:type="dxa"/>
            <w:tcMar>
              <w:top w:w="0" w:type="dxa"/>
              <w:left w:w="108" w:type="dxa"/>
              <w:bottom w:w="0" w:type="dxa"/>
              <w:right w:w="108" w:type="dxa"/>
            </w:tcMar>
          </w:tcPr>
          <w:p w14:paraId="33429B54" w14:textId="77777777" w:rsidR="006C0E2C" w:rsidRPr="001271CE" w:rsidRDefault="006C0E2C" w:rsidP="00332634">
            <w:pPr>
              <w:ind w:firstLine="0"/>
            </w:pPr>
            <w:r w:rsidRPr="001271CE">
              <w:t>Necesitatea publicării informațiilor relevante pe pagina Web oficială a MAE.</w:t>
            </w:r>
          </w:p>
        </w:tc>
        <w:tc>
          <w:tcPr>
            <w:tcW w:w="6300" w:type="dxa"/>
            <w:tcMar>
              <w:top w:w="0" w:type="dxa"/>
              <w:left w:w="108" w:type="dxa"/>
              <w:bottom w:w="0" w:type="dxa"/>
              <w:right w:w="108" w:type="dxa"/>
            </w:tcMar>
          </w:tcPr>
          <w:p w14:paraId="1D4DBD8F" w14:textId="77777777" w:rsidR="006C0E2C" w:rsidRPr="001271CE" w:rsidRDefault="006C0E2C" w:rsidP="00332634">
            <w:pPr>
              <w:ind w:firstLine="0"/>
            </w:pPr>
            <w:r w:rsidRPr="001271CE">
              <w:t>Se acceptă.</w:t>
            </w:r>
          </w:p>
        </w:tc>
      </w:tr>
      <w:tr w:rsidR="00A52C75" w:rsidRPr="001271CE" w14:paraId="6AB4B6DF" w14:textId="77777777" w:rsidTr="003411E9">
        <w:trPr>
          <w:trHeight w:val="300"/>
        </w:trPr>
        <w:tc>
          <w:tcPr>
            <w:tcW w:w="14688" w:type="dxa"/>
            <w:gridSpan w:val="4"/>
            <w:tcMar>
              <w:top w:w="0" w:type="dxa"/>
              <w:left w:w="108" w:type="dxa"/>
              <w:bottom w:w="0" w:type="dxa"/>
              <w:right w:w="108" w:type="dxa"/>
            </w:tcMar>
          </w:tcPr>
          <w:p w14:paraId="2F69036A" w14:textId="027B85B9" w:rsidR="00A52C75" w:rsidRPr="001271CE" w:rsidRDefault="00AB30D2" w:rsidP="00A52C75">
            <w:pPr>
              <w:ind w:firstLine="0"/>
              <w:jc w:val="center"/>
            </w:pPr>
            <w:r w:rsidRPr="001271CE">
              <w:rPr>
                <w:b/>
                <w:bCs/>
              </w:rPr>
              <w:t>Aviz</w:t>
            </w:r>
            <w:r w:rsidR="009410EE">
              <w:rPr>
                <w:b/>
                <w:bCs/>
              </w:rPr>
              <w:t>e suplimentare</w:t>
            </w:r>
          </w:p>
        </w:tc>
      </w:tr>
      <w:tr w:rsidR="00F12F60" w:rsidRPr="001271CE" w14:paraId="16F0D0BE" w14:textId="77777777" w:rsidTr="003411E9">
        <w:trPr>
          <w:trHeight w:val="300"/>
        </w:trPr>
        <w:tc>
          <w:tcPr>
            <w:tcW w:w="2166" w:type="dxa"/>
            <w:tcMar>
              <w:top w:w="0" w:type="dxa"/>
              <w:left w:w="108" w:type="dxa"/>
              <w:bottom w:w="0" w:type="dxa"/>
              <w:right w:w="108" w:type="dxa"/>
            </w:tcMar>
          </w:tcPr>
          <w:p w14:paraId="31D88026" w14:textId="77777777" w:rsidR="00F12F60" w:rsidRPr="001271CE" w:rsidRDefault="00F12F60" w:rsidP="00FE6328">
            <w:pPr>
              <w:ind w:firstLine="0"/>
              <w:jc w:val="left"/>
            </w:pPr>
            <w:r w:rsidRPr="001271CE">
              <w:lastRenderedPageBreak/>
              <w:t>Ministerul Afacerilor Interne</w:t>
            </w:r>
          </w:p>
          <w:p w14:paraId="59B9044D" w14:textId="77777777" w:rsidR="00F12F60" w:rsidRPr="001271CE" w:rsidRDefault="00F12F60" w:rsidP="00FE6328">
            <w:pPr>
              <w:ind w:firstLine="0"/>
              <w:jc w:val="left"/>
              <w:rPr>
                <w:i/>
                <w:iCs/>
              </w:rPr>
            </w:pPr>
          </w:p>
          <w:p w14:paraId="29E6D74A" w14:textId="3F538847" w:rsidR="00F12F60" w:rsidRPr="001271CE" w:rsidRDefault="00F12F60" w:rsidP="00FE6328">
            <w:pPr>
              <w:ind w:firstLine="0"/>
              <w:jc w:val="left"/>
              <w:rPr>
                <w:b/>
                <w:bCs/>
              </w:rPr>
            </w:pPr>
            <w:r w:rsidRPr="001271CE">
              <w:rPr>
                <w:i/>
                <w:iCs/>
              </w:rPr>
              <w:t>Nr. 41/337 din 30</w:t>
            </w:r>
            <w:r w:rsidR="00E71100" w:rsidRPr="001271CE">
              <w:rPr>
                <w:i/>
                <w:iCs/>
              </w:rPr>
              <w:t xml:space="preserve"> ianuarie </w:t>
            </w:r>
            <w:r w:rsidRPr="001271CE">
              <w:rPr>
                <w:i/>
                <w:iCs/>
              </w:rPr>
              <w:t>2026</w:t>
            </w:r>
          </w:p>
        </w:tc>
        <w:tc>
          <w:tcPr>
            <w:tcW w:w="516" w:type="dxa"/>
            <w:tcMar>
              <w:top w:w="0" w:type="dxa"/>
              <w:left w:w="108" w:type="dxa"/>
              <w:bottom w:w="0" w:type="dxa"/>
              <w:right w:w="108" w:type="dxa"/>
            </w:tcMar>
          </w:tcPr>
          <w:p w14:paraId="17DDF924" w14:textId="26501F8C" w:rsidR="00F12F60" w:rsidRPr="001271CE" w:rsidRDefault="00F12F60" w:rsidP="003013D1">
            <w:pPr>
              <w:pStyle w:val="ListParagraph"/>
              <w:numPr>
                <w:ilvl w:val="0"/>
                <w:numId w:val="1"/>
              </w:numPr>
              <w:ind w:right="192"/>
              <w:jc w:val="left"/>
            </w:pPr>
          </w:p>
        </w:tc>
        <w:tc>
          <w:tcPr>
            <w:tcW w:w="5706" w:type="dxa"/>
            <w:tcMar>
              <w:top w:w="0" w:type="dxa"/>
              <w:left w:w="108" w:type="dxa"/>
              <w:bottom w:w="0" w:type="dxa"/>
              <w:right w:w="108" w:type="dxa"/>
            </w:tcMar>
          </w:tcPr>
          <w:p w14:paraId="39ABA9F4" w14:textId="77777777" w:rsidR="00F12F60" w:rsidRPr="001271CE" w:rsidRDefault="00F12F60" w:rsidP="00FE6328">
            <w:pPr>
              <w:ind w:firstLine="0"/>
            </w:pPr>
            <w:r w:rsidRPr="001271CE">
              <w:t>...reiterează propunerea formulată anterior, prin avizul nr. 41/4269 din 03 decembrie 2025, în partea ce se referă la procedurile specifice de acordare a asistenței umanitare</w:t>
            </w:r>
          </w:p>
          <w:p w14:paraId="09A3C13F" w14:textId="77777777" w:rsidR="00F12F60" w:rsidRPr="001271CE" w:rsidRDefault="00F12F60" w:rsidP="00FE6328">
            <w:pPr>
              <w:ind w:firstLine="0"/>
            </w:pPr>
          </w:p>
          <w:p w14:paraId="6A394BED" w14:textId="77777777" w:rsidR="00F12F60" w:rsidRPr="001271CE" w:rsidRDefault="00F12F60" w:rsidP="00FE6328">
            <w:pPr>
              <w:ind w:firstLine="0"/>
            </w:pPr>
            <w:r w:rsidRPr="001271CE">
              <w:t>Cu referire la prevederile art. 19 alin. (2) și alin. (4) din Legea nr. 149/2025 cu privire la cooperarea internațională pentru dezvoltare și asistență umanitară, se constată că proiectul Regulamentului privind mecanismul de realizare a activităților de cooperare internațională pentru dezvoltare și asistență umanitară nu asigură reglementarea clară și completă a procedurilor de acordare a asistenței umanitare.</w:t>
            </w:r>
          </w:p>
          <w:p w14:paraId="3322AC39" w14:textId="77777777" w:rsidR="00F12F60" w:rsidRPr="001271CE" w:rsidRDefault="00F12F60" w:rsidP="00FE6328">
            <w:pPr>
              <w:ind w:firstLine="0"/>
            </w:pPr>
          </w:p>
          <w:p w14:paraId="5435DA7A" w14:textId="77777777" w:rsidR="00F12F60" w:rsidRPr="001271CE" w:rsidRDefault="00F12F60" w:rsidP="00FE6328">
            <w:pPr>
              <w:ind w:firstLine="0"/>
            </w:pPr>
            <w:r w:rsidRPr="001271CE">
              <w:t xml:space="preserve">Astfel, pe de o parte, trimiterea generică la „legislația specifică” și la „procedurile existente la nivel european și național”, prevăzută la art. 19 alin. (2), fără indicarea expresă a acestora sau fără integrarea lor în regulament, nu corespunde exigențelor unui act normativ de punere în aplicare și nu permite identificarea temeiului juridic concret, a competențelor instituționale și a mecanismului de colaborare între autoritățile implicate. </w:t>
            </w:r>
          </w:p>
          <w:p w14:paraId="310B5702" w14:textId="77777777" w:rsidR="00F12F60" w:rsidRPr="001271CE" w:rsidRDefault="00F12F60" w:rsidP="00FE6328">
            <w:pPr>
              <w:ind w:firstLine="0"/>
            </w:pPr>
          </w:p>
          <w:p w14:paraId="1B15B5A8" w14:textId="77777777" w:rsidR="00F12F60" w:rsidRPr="001271CE" w:rsidRDefault="00F12F60" w:rsidP="00FE6328">
            <w:pPr>
              <w:ind w:firstLine="0"/>
            </w:pPr>
            <w:r w:rsidRPr="001271CE">
              <w:t>Pe de altă parte, deși art. 19 alin. (4) instituie în mod expres obligația stabilirii prin regulament a procedurilor specifice de acordare a asistenței umanitare, proiectul nu conține reglementări procedurale distincte și exhaustive sub aspectul temeiului acordării asistenței, mecanismului decizional, etapelor, autorităților competente, responsabilităților instituționale și modalităților de implementare.</w:t>
            </w:r>
          </w:p>
          <w:p w14:paraId="2AE69DE9" w14:textId="77777777" w:rsidR="00F12F60" w:rsidRPr="001271CE" w:rsidRDefault="00F12F60" w:rsidP="00FE6328">
            <w:pPr>
              <w:ind w:firstLine="0"/>
            </w:pPr>
          </w:p>
          <w:p w14:paraId="6C44D01B" w14:textId="77777777" w:rsidR="00F12F60" w:rsidRPr="001271CE" w:rsidRDefault="00F12F60" w:rsidP="00FE6328">
            <w:pPr>
              <w:ind w:firstLine="0"/>
            </w:pPr>
            <w:r w:rsidRPr="001271CE">
              <w:t>Lipsa acestor reglementări generează un cadru normativ vag și interpretabil, care nu asigură aplicarea efectivă a Legii nr. 149/2025 cu privire la cooperarea internațională pentru dezvoltare și asistență umanitară și creează dificultăți semnificative în procesul de acordare a asistenței umanitare de către Republica Moldova.</w:t>
            </w:r>
          </w:p>
          <w:p w14:paraId="26F07B32" w14:textId="77777777" w:rsidR="00F12F60" w:rsidRPr="001271CE" w:rsidRDefault="00F12F60" w:rsidP="00FE6328">
            <w:pPr>
              <w:ind w:firstLine="0"/>
            </w:pPr>
          </w:p>
          <w:p w14:paraId="72B2E97B" w14:textId="77777777" w:rsidR="00F12F60" w:rsidRPr="001271CE" w:rsidRDefault="00F12F60" w:rsidP="00FE6328">
            <w:pPr>
              <w:ind w:firstLine="0"/>
            </w:pPr>
            <w:r w:rsidRPr="001271CE">
              <w:t>Aceste deficiențe sunt întâmpinate în prezent în contextul elaborării hotărârii Guvernului privind acordarea asistenței umanitare Ucrainei, situație care, în lipsa unor proceduri clar reglementate, riscă să genereze o poziție instituțională vulnerabilă, sub aspectul fundamentării juridice, delimitării competențelor și asigurării unui mecanism coerent și previzibil de acordare a asistenței. În aceste condiții, se consideră oportun completarea proiectului regulamentului cu proceduri clare și exhaustive privind acordarea asistenței umanitare.</w:t>
            </w:r>
          </w:p>
        </w:tc>
        <w:tc>
          <w:tcPr>
            <w:tcW w:w="6300" w:type="dxa"/>
            <w:tcMar>
              <w:top w:w="0" w:type="dxa"/>
              <w:left w:w="108" w:type="dxa"/>
              <w:bottom w:w="0" w:type="dxa"/>
              <w:right w:w="108" w:type="dxa"/>
            </w:tcMar>
          </w:tcPr>
          <w:p w14:paraId="26B67978" w14:textId="77777777" w:rsidR="00F12F60" w:rsidRPr="001271CE" w:rsidRDefault="00DE08D7" w:rsidP="00FE6328">
            <w:pPr>
              <w:ind w:firstLine="0"/>
            </w:pPr>
            <w:r w:rsidRPr="001271CE">
              <w:t>Se acceptă.</w:t>
            </w:r>
          </w:p>
          <w:p w14:paraId="2D8957D6" w14:textId="77777777" w:rsidR="00DE08D7" w:rsidRPr="001271CE" w:rsidRDefault="00DE08D7" w:rsidP="00FE6328">
            <w:pPr>
              <w:ind w:firstLine="0"/>
            </w:pPr>
            <w:r w:rsidRPr="001271CE">
              <w:t>Redacția nouă a cap. IV este:</w:t>
            </w:r>
          </w:p>
          <w:p w14:paraId="35DA9594" w14:textId="77777777" w:rsidR="006B5D59" w:rsidRPr="001271CE" w:rsidRDefault="00DE08D7" w:rsidP="006B5D59">
            <w:pPr>
              <w:ind w:firstLine="0"/>
            </w:pPr>
            <w:r w:rsidRPr="001271CE">
              <w:t>„</w:t>
            </w:r>
            <w:r w:rsidR="006B5D59" w:rsidRPr="001271CE">
              <w:t>ASISTENȚA UMANITARĂ</w:t>
            </w:r>
          </w:p>
          <w:p w14:paraId="1DA92C34" w14:textId="77777777" w:rsidR="006B5D59" w:rsidRPr="001271CE" w:rsidRDefault="006B5D59" w:rsidP="006B5D59">
            <w:pPr>
              <w:ind w:firstLine="0"/>
            </w:pPr>
            <w:r w:rsidRPr="001271CE">
              <w:t>98.</w:t>
            </w:r>
            <w:r w:rsidRPr="001271CE">
              <w:tab/>
              <w:t>Prezentul capitol stabilește procedurile aplicabile acordării asistenței umanitare finanțate din componenta de asistență umanitară, în vederea realizării obiectivelor prevăzute la art. 19 alin. (1) din Lege.</w:t>
            </w:r>
          </w:p>
          <w:p w14:paraId="7E118DC5" w14:textId="77777777" w:rsidR="006B5D59" w:rsidRPr="001271CE" w:rsidRDefault="006B5D59" w:rsidP="006B5D59">
            <w:pPr>
              <w:ind w:firstLine="0"/>
            </w:pPr>
            <w:r w:rsidRPr="001271CE">
              <w:t>99.</w:t>
            </w:r>
            <w:r w:rsidRPr="001271CE">
              <w:tab/>
              <w:t>Activitățile finanțate din componenta de asistență umanitară se inițiază și se implementează de către Ministerul Afacerilor Externe conform prezentului Regulament.</w:t>
            </w:r>
          </w:p>
          <w:p w14:paraId="0278B854" w14:textId="77777777" w:rsidR="006B5D59" w:rsidRPr="001271CE" w:rsidRDefault="006B5D59" w:rsidP="006B5D59">
            <w:pPr>
              <w:ind w:firstLine="0"/>
            </w:pPr>
            <w:r w:rsidRPr="001271CE">
              <w:t>100.</w:t>
            </w:r>
            <w:r w:rsidRPr="001271CE">
              <w:tab/>
              <w:t>Activitățile de asistență umanitară finanțate din bugetele altor autorități publice centrale și locale se inițiază și se implementează de către aceste autorități, conform legislației aplicabile, cu avizul Ministerului Afacerilor Externe asupra aspectelor de cooperare externă.</w:t>
            </w:r>
          </w:p>
          <w:p w14:paraId="6C44286F" w14:textId="77777777" w:rsidR="006B5D59" w:rsidRPr="001271CE" w:rsidRDefault="006B5D59" w:rsidP="006B5D59">
            <w:pPr>
              <w:ind w:firstLine="0"/>
            </w:pPr>
            <w:r w:rsidRPr="001271CE">
              <w:t>101.</w:t>
            </w:r>
            <w:r w:rsidRPr="001271CE">
              <w:tab/>
              <w:t>Propunerea de acordare a asistenței umanitare se inițiază de către subdiviziunile Ministerului Afacerilor Externe sau de către misiunile diplomatice/oficiile consulare și cuprinde, cel puțin următoarele elemente: contextul intervenției și necesitatea acordării asistenței, relevanța pentru interesele politico diplomatice și pentru evoluția  dialogului bilateral, relevanța pentru cooperarea sectorială sau economică bilaterală, dimensiunea comunității moldovenești din statul beneficiar, existența și capacitatea unui partener local de implementare și monitorizare, forma propusă a asistenței, valoarea estimată.</w:t>
            </w:r>
          </w:p>
          <w:p w14:paraId="0DD013D4" w14:textId="77777777" w:rsidR="006B5D59" w:rsidRPr="001271CE" w:rsidRDefault="006B5D59" w:rsidP="006B5D59">
            <w:pPr>
              <w:ind w:firstLine="0"/>
            </w:pPr>
            <w:r w:rsidRPr="001271CE">
              <w:t>102.</w:t>
            </w:r>
            <w:r w:rsidRPr="001271CE">
              <w:tab/>
              <w:t>Subdiviziunea internă responsabilă de cooperarea internațională pentru dezvoltare și asistență umanitară din cadrul Ministerului Afacerilor Externe elaborează avizul de oportunitate, care cuprinde: evoluțiile și circumstanțele care justifică acordarea asistenței umanitare, analiza oportunității acordării asistenței umanitare și modalitatea propusă de acordare.</w:t>
            </w:r>
          </w:p>
          <w:p w14:paraId="02956CFC" w14:textId="77777777" w:rsidR="006B5D59" w:rsidRPr="001271CE" w:rsidRDefault="006B5D59" w:rsidP="006B5D59">
            <w:pPr>
              <w:ind w:firstLine="0"/>
            </w:pPr>
            <w:r w:rsidRPr="001271CE">
              <w:t>103.</w:t>
            </w:r>
            <w:r w:rsidRPr="001271CE">
              <w:tab/>
              <w:t xml:space="preserve">Avizul de oportunitate se înaintează ministrului afacerilor externe, însoțit de  propunerea de aprobare și de emitere a ordinului ministrului pentru acordarea asistenței, în limita alocațiilor prevăzute în Planul anual. </w:t>
            </w:r>
          </w:p>
          <w:p w14:paraId="39829F2B" w14:textId="77777777" w:rsidR="006B5D59" w:rsidRPr="001271CE" w:rsidRDefault="006B5D59" w:rsidP="006B5D59">
            <w:pPr>
              <w:ind w:firstLine="0"/>
            </w:pPr>
            <w:r w:rsidRPr="001271CE">
              <w:t>104.</w:t>
            </w:r>
            <w:r w:rsidRPr="001271CE">
              <w:tab/>
              <w:t>Ordinul indică beneficiarul, forma și valoarea asistenței umanitare.</w:t>
            </w:r>
          </w:p>
          <w:p w14:paraId="63210120" w14:textId="77777777" w:rsidR="006B5D59" w:rsidRPr="001271CE" w:rsidRDefault="006B5D59" w:rsidP="006B5D59">
            <w:pPr>
              <w:ind w:firstLine="0"/>
            </w:pPr>
            <w:r w:rsidRPr="001271CE">
              <w:t>105.</w:t>
            </w:r>
            <w:r w:rsidRPr="001271CE">
              <w:tab/>
              <w:t>Pentru situațiile prevăzute la art. 19 alin. (2) din Lege, participarea Inspectoratului General pentru Situații de Urgență la acordarea asistenței umanitare se reglementează prin protocol încheiat între Ministerul Afacerilor Externe și Ministerul Afacerilor Interne, care stabilește atribuțiile, procedurile operaționale și modalitățile de coordonare.</w:t>
            </w:r>
          </w:p>
          <w:p w14:paraId="54B3F5FD" w14:textId="04350491" w:rsidR="00DE08D7" w:rsidRPr="001271CE" w:rsidRDefault="006B5D59" w:rsidP="006B5D59">
            <w:pPr>
              <w:ind w:firstLine="0"/>
            </w:pPr>
            <w:r w:rsidRPr="001271CE">
              <w:t>106.</w:t>
            </w:r>
            <w:r w:rsidRPr="001271CE">
              <w:tab/>
              <w:t>Acordarea asistenței umanitare sub formă de bunuri și materiale de primă necesitate provenite din rezervele de stat sau din rezervele de mobilizare se realizează potrivit procedurilor și competențelor stabilite de Legea nr. 104/2020 cu privire la rezervele de stat și de mobilizare.</w:t>
            </w:r>
            <w:r w:rsidR="00DE08D7" w:rsidRPr="001271CE">
              <w:t>”</w:t>
            </w:r>
          </w:p>
        </w:tc>
      </w:tr>
      <w:tr w:rsidR="006E2238" w:rsidRPr="001271CE" w14:paraId="2ABD5C15" w14:textId="77777777" w:rsidTr="00332634">
        <w:trPr>
          <w:trHeight w:val="300"/>
        </w:trPr>
        <w:tc>
          <w:tcPr>
            <w:tcW w:w="2166" w:type="dxa"/>
            <w:vMerge w:val="restart"/>
          </w:tcPr>
          <w:p w14:paraId="6D029D13" w14:textId="77777777" w:rsidR="006E2238" w:rsidRPr="001271CE" w:rsidRDefault="006E2238" w:rsidP="00332634">
            <w:pPr>
              <w:ind w:firstLine="0"/>
              <w:jc w:val="left"/>
            </w:pPr>
            <w:r w:rsidRPr="001271CE">
              <w:lastRenderedPageBreak/>
              <w:t>Centrul Național pentru Protecția Datelor cu Caracter Personal al Republicii Moldova (CNPDCP)</w:t>
            </w:r>
          </w:p>
          <w:p w14:paraId="1850D4D8" w14:textId="77777777" w:rsidR="006E2238" w:rsidRPr="001271CE" w:rsidRDefault="006E2238" w:rsidP="00332634">
            <w:pPr>
              <w:ind w:firstLine="0"/>
              <w:jc w:val="left"/>
            </w:pPr>
          </w:p>
          <w:p w14:paraId="70022E85" w14:textId="77777777" w:rsidR="006E2238" w:rsidRPr="001271CE" w:rsidRDefault="006E2238" w:rsidP="00332634">
            <w:pPr>
              <w:ind w:firstLine="0"/>
              <w:jc w:val="left"/>
              <w:rPr>
                <w:i/>
                <w:iCs/>
              </w:rPr>
            </w:pPr>
            <w:r w:rsidRPr="001271CE">
              <w:rPr>
                <w:i/>
                <w:iCs/>
              </w:rPr>
              <w:t>Nr. 04-01/365/541 din 17 februarie 2026</w:t>
            </w:r>
          </w:p>
        </w:tc>
        <w:tc>
          <w:tcPr>
            <w:tcW w:w="516" w:type="dxa"/>
          </w:tcPr>
          <w:p w14:paraId="1EBF8C2B" w14:textId="77777777" w:rsidR="006E2238" w:rsidRPr="001271CE" w:rsidRDefault="006E2238" w:rsidP="00332634">
            <w:pPr>
              <w:pStyle w:val="ListParagraph"/>
              <w:numPr>
                <w:ilvl w:val="0"/>
                <w:numId w:val="1"/>
              </w:numPr>
              <w:ind w:right="76"/>
            </w:pPr>
          </w:p>
        </w:tc>
        <w:tc>
          <w:tcPr>
            <w:tcW w:w="5706" w:type="dxa"/>
          </w:tcPr>
          <w:p w14:paraId="35711E2C" w14:textId="77777777" w:rsidR="006E2238" w:rsidRPr="001271CE" w:rsidRDefault="006E2238" w:rsidP="00332634">
            <w:pPr>
              <w:ind w:firstLine="0"/>
            </w:pPr>
            <w:r w:rsidRPr="001271CE">
              <w:t>Potrivit Notei de fundamentare, în cadrul activităților de cooperare internațională pentru dezvoltare și asistență umanitară se vor prelucra date cu caracter personal ale experților/membrilor comisiilor/la evaluarea dosarelor de grant (CV-uri, date de contact etc.), respectiv, considerăm oportun ca Regulamentul vizat să stabilească dispoziții specifice privind: tipurile de date care fac obiectul prelucrării; entitățile cărora le pot fi divulgate datele și scopul pentru care respectivele date cu caracter personal pot fi divulgate; limitările legate de scop; perioadele de stocare, măsuri organizatorice și tehnice necesare pentru protecția datelor cu caracter personal etc.</w:t>
            </w:r>
          </w:p>
        </w:tc>
        <w:tc>
          <w:tcPr>
            <w:tcW w:w="6300" w:type="dxa"/>
          </w:tcPr>
          <w:p w14:paraId="621A4049" w14:textId="77777777" w:rsidR="006E2238" w:rsidRPr="001271CE" w:rsidRDefault="00690844" w:rsidP="00332634">
            <w:pPr>
              <w:ind w:firstLine="0"/>
            </w:pPr>
            <w:r w:rsidRPr="001271CE">
              <w:t>Se acceptă parțial.</w:t>
            </w:r>
          </w:p>
          <w:p w14:paraId="21F3648E" w14:textId="77777777" w:rsidR="000447D9" w:rsidRPr="001271CE" w:rsidRDefault="000447D9" w:rsidP="000447D9">
            <w:pPr>
              <w:ind w:firstLine="0"/>
            </w:pPr>
            <w:r w:rsidRPr="001271CE">
              <w:t>Regulamentul nu instituie un regim special de prelucrare a datelor cu caracter personal, iar prelucrarea acestora în cadrul activităților de cooperare internațională se realizează în temeiul Legii nr. 133/2011 privind protecția datelor cu caracter personal, act normativ cu aplicabilitate generală și directă pentru toți operatorii.</w:t>
            </w:r>
          </w:p>
          <w:p w14:paraId="78C77143" w14:textId="2851A42D" w:rsidR="000447D9" w:rsidRPr="001271CE" w:rsidRDefault="000447D9" w:rsidP="000447D9">
            <w:pPr>
              <w:ind w:firstLine="0"/>
            </w:pPr>
            <w:r w:rsidRPr="001271CE">
              <w:t xml:space="preserve">Totodată, în cadrul MAE există acte normative interne (inclusiv Ordinul ministrului </w:t>
            </w:r>
            <w:r w:rsidR="00BA1550" w:rsidRPr="001271CE">
              <w:t>nr. 184-b-169</w:t>
            </w:r>
            <w:r w:rsidR="009B7266" w:rsidRPr="001271CE">
              <w:t xml:space="preserve"> </w:t>
            </w:r>
            <w:r w:rsidRPr="001271CE">
              <w:t xml:space="preserve">din </w:t>
            </w:r>
            <w:r w:rsidR="009B7266" w:rsidRPr="001271CE">
              <w:t>23.07.</w:t>
            </w:r>
            <w:r w:rsidRPr="001271CE">
              <w:t>2021) care reglementează în detaliu principiile prelucrării, măsurile tehnice și organizatorice, protecția prin design, limitarea accesului, criptarea și interdicțiile privind transmiterea nesecurizată a datelor.</w:t>
            </w:r>
          </w:p>
          <w:p w14:paraId="0D5D57B8" w14:textId="71483995" w:rsidR="000447D9" w:rsidRPr="001271CE" w:rsidRDefault="000447D9" w:rsidP="000447D9">
            <w:pPr>
              <w:ind w:firstLine="0"/>
            </w:pPr>
            <w:r w:rsidRPr="001271CE">
              <w:t>Pentru consolidarea previzibilității normei, proiectul a fost completat cu o dispoziție expresă</w:t>
            </w:r>
            <w:r w:rsidR="002266C1">
              <w:t xml:space="preserve"> (pct. 128)</w:t>
            </w:r>
            <w:r w:rsidRPr="001271CE">
              <w:t xml:space="preserve"> de trimitere la Legea nr. 133/2011 și la actele normative interne ale MAE, stabilind că datele se prelucrează exclusiv în scopul organizării, evaluării, contractării, implementării și monitorizării activităților reglementate.</w:t>
            </w:r>
          </w:p>
          <w:p w14:paraId="4F9F3B93" w14:textId="50FADD93" w:rsidR="00690844" w:rsidRPr="001271CE" w:rsidRDefault="000447D9" w:rsidP="000447D9">
            <w:pPr>
              <w:ind w:firstLine="0"/>
            </w:pPr>
            <w:r w:rsidRPr="001271CE">
              <w:t>Enumerarea exhaustivă a tipurilor de date, a tuturor destinatarilor sau a măsurilor tehnice la nivel de Regulament nu este necesară și ar genera rigiditate normativă, aceste aspecte fiind reglementate adecvat prin cadrul legal general și prin procedurile interne aplicabile.</w:t>
            </w:r>
          </w:p>
        </w:tc>
      </w:tr>
      <w:tr w:rsidR="006E2238" w:rsidRPr="001271CE" w14:paraId="3886D6B5" w14:textId="77777777" w:rsidTr="00332634">
        <w:trPr>
          <w:trHeight w:val="300"/>
        </w:trPr>
        <w:tc>
          <w:tcPr>
            <w:tcW w:w="2166" w:type="dxa"/>
            <w:vMerge/>
          </w:tcPr>
          <w:p w14:paraId="3D8257C3" w14:textId="77777777" w:rsidR="006E2238" w:rsidRPr="001271CE" w:rsidRDefault="006E2238" w:rsidP="00332634">
            <w:pPr>
              <w:ind w:firstLine="0"/>
              <w:jc w:val="left"/>
            </w:pPr>
          </w:p>
        </w:tc>
        <w:tc>
          <w:tcPr>
            <w:tcW w:w="516" w:type="dxa"/>
          </w:tcPr>
          <w:p w14:paraId="4C6DAE47" w14:textId="77777777" w:rsidR="006E2238" w:rsidRPr="001271CE" w:rsidRDefault="006E2238" w:rsidP="00332634">
            <w:pPr>
              <w:pStyle w:val="ListParagraph"/>
              <w:numPr>
                <w:ilvl w:val="0"/>
                <w:numId w:val="1"/>
              </w:numPr>
              <w:ind w:right="76"/>
            </w:pPr>
          </w:p>
        </w:tc>
        <w:tc>
          <w:tcPr>
            <w:tcW w:w="5706" w:type="dxa"/>
          </w:tcPr>
          <w:p w14:paraId="26C3BCDA" w14:textId="77777777" w:rsidR="006E2238" w:rsidRPr="001271CE" w:rsidRDefault="006E2238" w:rsidP="00332634">
            <w:pPr>
              <w:ind w:firstLine="0"/>
            </w:pPr>
            <w:r w:rsidRPr="001271CE">
              <w:t>Mai mult, se va nota că, potrivit art. 11 alin. (3) al Legii nr. 133/2011, la încheierea operațiunilor de prelucrare a datelor cu caracter personal, dacă subiectul acestor date nu și-a dat consimțământul pentru o altă destinație sau pentru o prelucrare ulterioară, acestea vor fi: distruse; transferate unui alt operator, cu condiția ca operatorul inițial să garanteze faptul că prelucrările ulterioare au scopuri similare celor în care s-a făcut prelucrarea inițială; transformate în date anonime și stocate exclusiv în scopuri statistice, de cercetare istorică sau științifică.</w:t>
            </w:r>
          </w:p>
          <w:p w14:paraId="3E30AF9E" w14:textId="77777777" w:rsidR="006E2238" w:rsidRPr="001271CE" w:rsidRDefault="006E2238" w:rsidP="00332634">
            <w:pPr>
              <w:ind w:firstLine="0"/>
            </w:pPr>
            <w:r w:rsidRPr="001271CE">
              <w:t>Astfel, atragem atenția că, proiectul Regulamentului trebuie să cuprindă prevederi privind termenul concret de stocare/păstrare a datelor cu caracter personal și modalitatea de ștergere a acestora.</w:t>
            </w:r>
          </w:p>
        </w:tc>
        <w:tc>
          <w:tcPr>
            <w:tcW w:w="6300" w:type="dxa"/>
          </w:tcPr>
          <w:p w14:paraId="677F7EF5" w14:textId="59E2318E" w:rsidR="009F6590" w:rsidRPr="001271CE" w:rsidRDefault="00C95A6D" w:rsidP="009F6590">
            <w:pPr>
              <w:ind w:firstLine="0"/>
            </w:pPr>
            <w:r w:rsidRPr="001271CE">
              <w:t>Nu se acceptă.</w:t>
            </w:r>
          </w:p>
          <w:p w14:paraId="454B3D41" w14:textId="2591DAB1" w:rsidR="009F6590" w:rsidRPr="009F6590" w:rsidRDefault="009F6590" w:rsidP="009F6590">
            <w:pPr>
              <w:ind w:firstLine="0"/>
            </w:pPr>
            <w:r w:rsidRPr="009F6590">
              <w:t>Dispozițiile art. 11 alin. (3) din Legea nr. 133/2011 sunt direct aplicabile operatorului de date și produc efecte indiferent de includerea lor în Regulament.</w:t>
            </w:r>
          </w:p>
          <w:p w14:paraId="7279B0CA" w14:textId="77777777" w:rsidR="009F6590" w:rsidRPr="009F6590" w:rsidRDefault="009F6590" w:rsidP="009F6590">
            <w:pPr>
              <w:ind w:firstLine="0"/>
            </w:pPr>
            <w:r w:rsidRPr="009F6590">
              <w:t>Activitățile reglementate implică obligații de păstrare corelate cu implementarea proiectelor, raportarea financiară, auditul intern și extern, controlul financiar și eventualele litigii. Stabilirea unor termene fixe și uniforme în Regulament ar putea intra în conflict cu aceste obligații legale.</w:t>
            </w:r>
          </w:p>
          <w:p w14:paraId="41802ED8" w14:textId="77777777" w:rsidR="009F6590" w:rsidRPr="009F6590" w:rsidRDefault="009F6590" w:rsidP="009F6590">
            <w:pPr>
              <w:ind w:firstLine="0"/>
            </w:pPr>
            <w:r w:rsidRPr="009F6590">
              <w:t>Regulamentul prevede păstrarea datelor pe perioada necesară realizării scopului prelucrării și a obligațiilor legale aplicabile, iar distrugerea, anonimizarea sau transferul se realizează în condițiile Legii nr. 133/2011.</w:t>
            </w:r>
          </w:p>
          <w:p w14:paraId="6CCE119E" w14:textId="7C60B878" w:rsidR="006E2238" w:rsidRPr="001271CE" w:rsidRDefault="009F6590" w:rsidP="00332634">
            <w:pPr>
              <w:ind w:firstLine="0"/>
            </w:pPr>
            <w:r w:rsidRPr="009F6590">
              <w:t>Termenele concrete de păstrare sunt stabilite prin actele normative interne și prin nomenclatorul documentelor, în conformitate cu legislația arhivistică și financiară aplicabilă.</w:t>
            </w:r>
          </w:p>
        </w:tc>
      </w:tr>
      <w:tr w:rsidR="006E2238" w:rsidRPr="001271CE" w14:paraId="431605EC" w14:textId="77777777" w:rsidTr="00332634">
        <w:trPr>
          <w:trHeight w:val="300"/>
        </w:trPr>
        <w:tc>
          <w:tcPr>
            <w:tcW w:w="2166" w:type="dxa"/>
            <w:vMerge/>
          </w:tcPr>
          <w:p w14:paraId="27E79E6B" w14:textId="77777777" w:rsidR="006E2238" w:rsidRPr="001271CE" w:rsidRDefault="006E2238" w:rsidP="00332634">
            <w:pPr>
              <w:ind w:firstLine="0"/>
              <w:jc w:val="left"/>
            </w:pPr>
          </w:p>
        </w:tc>
        <w:tc>
          <w:tcPr>
            <w:tcW w:w="516" w:type="dxa"/>
          </w:tcPr>
          <w:p w14:paraId="7BB53F57" w14:textId="77777777" w:rsidR="006E2238" w:rsidRPr="001271CE" w:rsidRDefault="006E2238" w:rsidP="00332634">
            <w:pPr>
              <w:pStyle w:val="ListParagraph"/>
              <w:numPr>
                <w:ilvl w:val="0"/>
                <w:numId w:val="1"/>
              </w:numPr>
              <w:ind w:right="76"/>
            </w:pPr>
          </w:p>
        </w:tc>
        <w:tc>
          <w:tcPr>
            <w:tcW w:w="5706" w:type="dxa"/>
          </w:tcPr>
          <w:p w14:paraId="734BEFF4" w14:textId="77777777" w:rsidR="006E2238" w:rsidRPr="001271CE" w:rsidRDefault="006E2238" w:rsidP="00332634">
            <w:pPr>
              <w:ind w:firstLine="0"/>
            </w:pPr>
            <w:r w:rsidRPr="001271CE">
              <w:t>Totodată, cu titlu informativ, comunicăm că a fost instituită obligația operatorului de date cu caracter personal de a efectua evaluarea impactului asupra protecției datelor cu caracter personal, în cazul în care prelucrarea datelor poate genera un risc sporit pentru drepturile și libertățile persoanelor, precum și desemnarea unei persoane responsabile cu protecția datelor cu caracter personal (art. 23-25 din Legea nr. 133/2011 privind protecția datelor cu caracter personal).</w:t>
            </w:r>
          </w:p>
          <w:p w14:paraId="43414D84" w14:textId="77777777" w:rsidR="006E2238" w:rsidRPr="001271CE" w:rsidRDefault="006E2238" w:rsidP="00332634">
            <w:pPr>
              <w:ind w:firstLine="0"/>
            </w:pPr>
            <w:r w:rsidRPr="001271CE">
              <w:lastRenderedPageBreak/>
              <w:t>Astfel, ținând cont de prevederile art. 23 alin. (6) din Legea 133/2011, în cazul în care, tipurile de prelucrare a datelor cu caracter personal, reglementate prin actul normativ prenotat sunt susceptibile să genereze un risc sporit pentru drepturile și libertățile persoanelor, reieșind cel puțin din faptul prelucrării la scară largă a datelor cu caracter personal, este necesară efectuarea evaluării impactului asupra prelucrării datelor cu caracter personal, în contextul adoptării respectivului act normativ.</w:t>
            </w:r>
          </w:p>
        </w:tc>
        <w:tc>
          <w:tcPr>
            <w:tcW w:w="6300" w:type="dxa"/>
          </w:tcPr>
          <w:p w14:paraId="5AE94B15" w14:textId="3C3854DB" w:rsidR="00855C40" w:rsidRDefault="00855C40" w:rsidP="001271CE">
            <w:pPr>
              <w:ind w:firstLine="0"/>
            </w:pPr>
            <w:r>
              <w:lastRenderedPageBreak/>
              <w:t>Se acceptă.</w:t>
            </w:r>
          </w:p>
          <w:p w14:paraId="22248F09" w14:textId="39F72F95" w:rsidR="001271CE" w:rsidRPr="001271CE" w:rsidRDefault="001271CE" w:rsidP="001271CE">
            <w:pPr>
              <w:ind w:firstLine="0"/>
            </w:pPr>
            <w:r w:rsidRPr="001271CE">
              <w:t>Obligația efectuării evaluării impactului asupra protecției datelor și desemnarea responsabilului pentru protecția datelor sunt reglementate expres de art. 23–25 din Legea nr. 133/2011 și sunt aplicabile direct MAE în calitate de operator de date.</w:t>
            </w:r>
          </w:p>
          <w:p w14:paraId="6F9008F5" w14:textId="581C24FB" w:rsidR="001271CE" w:rsidRPr="001271CE" w:rsidRDefault="001271CE" w:rsidP="001271CE">
            <w:pPr>
              <w:ind w:firstLine="0"/>
            </w:pPr>
            <w:r w:rsidRPr="001271CE">
              <w:lastRenderedPageBreak/>
              <w:t>Regulamentul nu instituie un regim de prelucrare la scară largă sau categorii speciale de date care să atragă automat obligația efectuării evaluării impactului.</w:t>
            </w:r>
          </w:p>
          <w:p w14:paraId="03B4A428" w14:textId="77777777" w:rsidR="001271CE" w:rsidRPr="001271CE" w:rsidRDefault="001271CE" w:rsidP="001271CE">
            <w:pPr>
              <w:ind w:firstLine="0"/>
            </w:pPr>
            <w:r w:rsidRPr="001271CE">
              <w:t>În măsura în care, în aplicarea Regulamentului, tipurile de prelucrare sunt susceptibile să genereze un risc sporit pentru drepturile și libertățile persoanelor vizate, MAE va asigura efectuarea evaluării impactului, în conformitate cu Legea nr. 133/2011.</w:t>
            </w:r>
          </w:p>
          <w:p w14:paraId="3B478DC1" w14:textId="585B2C9B" w:rsidR="006E2238" w:rsidRPr="001271CE" w:rsidRDefault="001271CE" w:rsidP="00332634">
            <w:pPr>
              <w:ind w:firstLine="0"/>
            </w:pPr>
            <w:r w:rsidRPr="001271CE">
              <w:t>Funcția responsabilului pentru protecția datelor este deja instituită la nivel instituțional și nu necesită reiterare detaliată în cadrul prezentului Regulament sectorial.</w:t>
            </w:r>
          </w:p>
        </w:tc>
      </w:tr>
      <w:tr w:rsidR="000C405F" w:rsidRPr="001271CE" w14:paraId="50332ED5" w14:textId="77777777" w:rsidTr="003411E9">
        <w:trPr>
          <w:trHeight w:val="300"/>
        </w:trPr>
        <w:tc>
          <w:tcPr>
            <w:tcW w:w="14688" w:type="dxa"/>
            <w:gridSpan w:val="4"/>
            <w:tcMar>
              <w:top w:w="0" w:type="dxa"/>
              <w:left w:w="108" w:type="dxa"/>
              <w:bottom w:w="0" w:type="dxa"/>
              <w:right w:w="108" w:type="dxa"/>
            </w:tcMar>
          </w:tcPr>
          <w:p w14:paraId="592A8B69" w14:textId="2406F604" w:rsidR="000C405F" w:rsidRPr="00EF2994" w:rsidRDefault="000C405F" w:rsidP="0067284C">
            <w:pPr>
              <w:ind w:firstLine="0"/>
              <w:jc w:val="center"/>
              <w:rPr>
                <w:b/>
                <w:bCs/>
              </w:rPr>
            </w:pPr>
            <w:r w:rsidRPr="00EF2994">
              <w:rPr>
                <w:b/>
                <w:bCs/>
              </w:rPr>
              <w:lastRenderedPageBreak/>
              <w:t>Expertiza anticorupție</w:t>
            </w:r>
            <w:r w:rsidR="00B92F9C" w:rsidRPr="00EF2994">
              <w:rPr>
                <w:b/>
                <w:bCs/>
              </w:rPr>
              <w:t xml:space="preserve"> și juridică</w:t>
            </w:r>
          </w:p>
        </w:tc>
      </w:tr>
      <w:tr w:rsidR="00701914" w:rsidRPr="001271CE" w14:paraId="71279D05" w14:textId="77777777" w:rsidTr="003411E9">
        <w:trPr>
          <w:trHeight w:val="300"/>
        </w:trPr>
        <w:tc>
          <w:tcPr>
            <w:tcW w:w="2166" w:type="dxa"/>
            <w:vMerge w:val="restart"/>
            <w:tcMar>
              <w:top w:w="0" w:type="dxa"/>
              <w:left w:w="108" w:type="dxa"/>
              <w:bottom w:w="0" w:type="dxa"/>
              <w:right w:w="108" w:type="dxa"/>
            </w:tcMar>
          </w:tcPr>
          <w:p w14:paraId="674BA2A9" w14:textId="292EAC55" w:rsidR="00701914" w:rsidRPr="001271CE" w:rsidRDefault="00701914" w:rsidP="00C71E68">
            <w:pPr>
              <w:ind w:firstLine="0"/>
              <w:jc w:val="left"/>
            </w:pPr>
            <w:r w:rsidRPr="001271CE">
              <w:t>Centrul Național Anticorupție</w:t>
            </w:r>
          </w:p>
          <w:p w14:paraId="68C684CC" w14:textId="77777777" w:rsidR="00701914" w:rsidRPr="001271CE" w:rsidRDefault="00701914" w:rsidP="00C71E68">
            <w:pPr>
              <w:ind w:firstLine="0"/>
              <w:jc w:val="left"/>
            </w:pPr>
          </w:p>
          <w:p w14:paraId="1B4EAB6F" w14:textId="77777777" w:rsidR="00701914" w:rsidRPr="001271CE" w:rsidRDefault="00701914" w:rsidP="009741E8">
            <w:pPr>
              <w:ind w:firstLine="0"/>
              <w:jc w:val="left"/>
              <w:rPr>
                <w:i/>
                <w:iCs/>
              </w:rPr>
            </w:pPr>
            <w:r w:rsidRPr="001271CE">
              <w:rPr>
                <w:i/>
                <w:iCs/>
              </w:rPr>
              <w:t>Nr. 06/2/2327 din 10.02.2026</w:t>
            </w:r>
          </w:p>
          <w:p w14:paraId="3C24D3B3" w14:textId="77777777" w:rsidR="00701914" w:rsidRPr="001271CE" w:rsidRDefault="00701914" w:rsidP="009741E8">
            <w:pPr>
              <w:ind w:firstLine="0"/>
              <w:jc w:val="left"/>
              <w:rPr>
                <w:i/>
                <w:iCs/>
              </w:rPr>
            </w:pPr>
          </w:p>
          <w:p w14:paraId="56988C9A" w14:textId="4812DB19" w:rsidR="00701914" w:rsidRPr="001271CE" w:rsidRDefault="00701914" w:rsidP="00334BB0">
            <w:pPr>
              <w:ind w:firstLine="0"/>
              <w:jc w:val="left"/>
            </w:pPr>
            <w:r w:rsidRPr="001271CE">
              <w:rPr>
                <w:i/>
                <w:iCs/>
              </w:rPr>
              <w:t>Raport de expertiză anticorupție Nr. EHG26/11178 din 10.02.2026</w:t>
            </w:r>
          </w:p>
        </w:tc>
        <w:tc>
          <w:tcPr>
            <w:tcW w:w="516" w:type="dxa"/>
            <w:tcMar>
              <w:top w:w="0" w:type="dxa"/>
              <w:left w:w="108" w:type="dxa"/>
              <w:bottom w:w="0" w:type="dxa"/>
              <w:right w:w="108" w:type="dxa"/>
            </w:tcMar>
          </w:tcPr>
          <w:p w14:paraId="3556C703"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56A957C6" w14:textId="77777777" w:rsidR="00701914" w:rsidRPr="001271CE" w:rsidRDefault="00701914" w:rsidP="009741E8">
            <w:pPr>
              <w:ind w:firstLine="0"/>
            </w:pPr>
            <w:r w:rsidRPr="001271CE">
              <w:t>Punctul 45 din proiectul Regulamentului</w:t>
            </w:r>
          </w:p>
          <w:p w14:paraId="0B4C4296" w14:textId="77777777" w:rsidR="00701914" w:rsidRPr="001271CE" w:rsidRDefault="00701914" w:rsidP="00AE6F65">
            <w:pPr>
              <w:ind w:firstLine="0"/>
              <w:rPr>
                <w:b/>
                <w:bCs/>
              </w:rPr>
            </w:pPr>
          </w:p>
          <w:p w14:paraId="0AA19163" w14:textId="0F640624" w:rsidR="00701914" w:rsidRPr="001271CE" w:rsidRDefault="00701914" w:rsidP="00AE6F65">
            <w:pPr>
              <w:ind w:firstLine="0"/>
            </w:pPr>
            <w:r w:rsidRPr="001271CE">
              <w:rPr>
                <w:b/>
                <w:bCs/>
              </w:rPr>
              <w:t>Recomandări</w:t>
            </w:r>
            <w:r w:rsidRPr="001271CE">
              <w:t>:</w:t>
            </w:r>
          </w:p>
          <w:p w14:paraId="7353297A" w14:textId="77777777" w:rsidR="00701914" w:rsidRPr="001271CE" w:rsidRDefault="00701914" w:rsidP="00AE6F65">
            <w:pPr>
              <w:ind w:firstLine="0"/>
            </w:pPr>
            <w:r w:rsidRPr="001271CE">
              <w:t xml:space="preserve">Propunem autorului - </w:t>
            </w:r>
          </w:p>
          <w:p w14:paraId="586B1518" w14:textId="77777777" w:rsidR="00701914" w:rsidRPr="001271CE" w:rsidRDefault="00701914" w:rsidP="003013D1">
            <w:pPr>
              <w:pStyle w:val="ListParagraph"/>
              <w:numPr>
                <w:ilvl w:val="0"/>
                <w:numId w:val="3"/>
              </w:numPr>
            </w:pPr>
            <w:r w:rsidRPr="001271CE">
              <w:t>reglementarea clară și transparentă a modului de constituire a Comisiei de selecție, inclusiv componența numerică a acesteia;</w:t>
            </w:r>
          </w:p>
          <w:p w14:paraId="1F152997" w14:textId="77777777" w:rsidR="00701914" w:rsidRPr="001271CE" w:rsidRDefault="00701914" w:rsidP="003013D1">
            <w:pPr>
              <w:pStyle w:val="ListParagraph"/>
              <w:numPr>
                <w:ilvl w:val="0"/>
                <w:numId w:val="3"/>
              </w:numPr>
            </w:pPr>
            <w:r w:rsidRPr="001271CE">
              <w:t>stabilirea interdicției a deținerii calității de membru al comisiei de selecție a angajaților subdiviziunii interne din cadrul MAE către au delegate atribuții și responsabilități potrivit aceluiași Regulament;</w:t>
            </w:r>
          </w:p>
          <w:p w14:paraId="767A7133" w14:textId="77777777" w:rsidR="004D15EB" w:rsidRDefault="00701914" w:rsidP="004D15EB">
            <w:pPr>
              <w:pStyle w:val="ListParagraph"/>
              <w:numPr>
                <w:ilvl w:val="0"/>
                <w:numId w:val="3"/>
              </w:numPr>
            </w:pPr>
            <w:r w:rsidRPr="001271CE">
              <w:t>stabilirea în mod clar și transparent a modului de alegere și numire a membrilor comisiei de selecție din rândul „experților independenți” și ai „reprezentanților autorităților publice”, precum și rolul acestora prin prisma votului „consultativ”;</w:t>
            </w:r>
          </w:p>
          <w:p w14:paraId="5D1D9A7A" w14:textId="2C5FE900" w:rsidR="00701914" w:rsidRPr="001271CE" w:rsidRDefault="00701914" w:rsidP="004D15EB">
            <w:pPr>
              <w:pStyle w:val="ListParagraph"/>
              <w:numPr>
                <w:ilvl w:val="0"/>
                <w:numId w:val="3"/>
              </w:numPr>
            </w:pPr>
            <w:r w:rsidRPr="001271CE">
              <w:t>modificarea textului „la care se pot alătura”</w:t>
            </w:r>
          </w:p>
        </w:tc>
        <w:tc>
          <w:tcPr>
            <w:tcW w:w="6300" w:type="dxa"/>
            <w:tcMar>
              <w:top w:w="0" w:type="dxa"/>
              <w:left w:w="108" w:type="dxa"/>
              <w:bottom w:w="0" w:type="dxa"/>
              <w:right w:w="108" w:type="dxa"/>
            </w:tcMar>
          </w:tcPr>
          <w:p w14:paraId="5B7434AA" w14:textId="77777777" w:rsidR="008F514E" w:rsidRDefault="00D76AA1" w:rsidP="00034C35">
            <w:pPr>
              <w:ind w:firstLine="0"/>
            </w:pPr>
            <w:r w:rsidRPr="001271CE">
              <w:t>Se acceptă parțial.</w:t>
            </w:r>
          </w:p>
          <w:p w14:paraId="2E0B4F43" w14:textId="00731EE0" w:rsidR="00034C35" w:rsidRPr="001271CE" w:rsidRDefault="00034C35" w:rsidP="00034C35">
            <w:pPr>
              <w:ind w:firstLine="0"/>
            </w:pPr>
            <w:r w:rsidRPr="001271CE">
              <w:t>Recomandările privind clarificarea modului de constituire a comisiei au fost parțial acceptate. Noua redacție a pct. 44–45 elimină ambiguitatea privind votul consultativ și stabilește clar că experții independenți pot participa în calitate de observatori.</w:t>
            </w:r>
          </w:p>
          <w:p w14:paraId="44C7A70E" w14:textId="77777777" w:rsidR="00034C35" w:rsidRPr="001271CE" w:rsidRDefault="00034C35" w:rsidP="00034C35">
            <w:pPr>
              <w:ind w:firstLine="0"/>
            </w:pPr>
            <w:r w:rsidRPr="001271CE">
              <w:t>Integritatea procesului este asigurată prin obligația semnării declarațiilor de imparțialitate (pct. 46), prin publicarea punctajelor (pct. 47) și prin instituirea unei comisii distincte de contestație (pct. 62).</w:t>
            </w:r>
          </w:p>
          <w:p w14:paraId="251C325B" w14:textId="55D0D2E3" w:rsidR="00034C35" w:rsidRPr="001271CE" w:rsidRDefault="00034C35" w:rsidP="00034C35">
            <w:pPr>
              <w:ind w:firstLine="0"/>
            </w:pPr>
            <w:r w:rsidRPr="001271CE">
              <w:t>Componența numerică și regulile detaliate de funcționare sunt stabilite prin regulament aprobat ordin al ministrului (pct. 63), în vederea asigurării flexibilității administrative și adaptării la specificul fiecărui apel.</w:t>
            </w:r>
          </w:p>
          <w:p w14:paraId="53BC12BC" w14:textId="215838DA" w:rsidR="00D76AA1" w:rsidRPr="001271CE" w:rsidRDefault="00034C35" w:rsidP="00034C35">
            <w:pPr>
              <w:ind w:firstLine="0"/>
            </w:pPr>
            <w:r w:rsidRPr="001271CE">
              <w:t>Introducerea unei interdicții generale privind participarea angajaților subdiviziunii interne nu este necesară la nivel de regulament, întrucât comisia aplică criterii prestabilite și verificabile, fără a exercita competențe discreționare, iar mecanismele de transparență și contestare asigură garanții suficiente de integritate.</w:t>
            </w:r>
          </w:p>
        </w:tc>
      </w:tr>
      <w:tr w:rsidR="008F514E" w:rsidRPr="001271CE" w14:paraId="0A5B3206" w14:textId="77777777" w:rsidTr="004874EE">
        <w:trPr>
          <w:trHeight w:val="5830"/>
        </w:trPr>
        <w:tc>
          <w:tcPr>
            <w:tcW w:w="2166" w:type="dxa"/>
            <w:vMerge/>
            <w:tcMar>
              <w:top w:w="0" w:type="dxa"/>
              <w:left w:w="108" w:type="dxa"/>
              <w:bottom w:w="0" w:type="dxa"/>
              <w:right w:w="108" w:type="dxa"/>
            </w:tcMar>
          </w:tcPr>
          <w:p w14:paraId="74B03AD7" w14:textId="77777777" w:rsidR="008F514E" w:rsidRPr="001271CE" w:rsidRDefault="008F514E" w:rsidP="009741E8">
            <w:pPr>
              <w:ind w:firstLine="0"/>
              <w:jc w:val="left"/>
            </w:pPr>
          </w:p>
        </w:tc>
        <w:tc>
          <w:tcPr>
            <w:tcW w:w="516" w:type="dxa"/>
            <w:tcMar>
              <w:top w:w="0" w:type="dxa"/>
              <w:left w:w="108" w:type="dxa"/>
              <w:bottom w:w="0" w:type="dxa"/>
              <w:right w:w="108" w:type="dxa"/>
            </w:tcMar>
          </w:tcPr>
          <w:p w14:paraId="27CE4CEF" w14:textId="77777777" w:rsidR="008F514E" w:rsidRPr="001271CE" w:rsidRDefault="008F514E" w:rsidP="009A7C2F">
            <w:pPr>
              <w:pStyle w:val="ListParagraph"/>
              <w:numPr>
                <w:ilvl w:val="0"/>
                <w:numId w:val="1"/>
              </w:numPr>
              <w:ind w:right="76"/>
              <w:jc w:val="left"/>
            </w:pPr>
          </w:p>
        </w:tc>
        <w:tc>
          <w:tcPr>
            <w:tcW w:w="5706" w:type="dxa"/>
            <w:tcMar>
              <w:top w:w="0" w:type="dxa"/>
              <w:left w:w="108" w:type="dxa"/>
              <w:bottom w:w="0" w:type="dxa"/>
              <w:right w:w="108" w:type="dxa"/>
            </w:tcMar>
          </w:tcPr>
          <w:p w14:paraId="7F4E3834" w14:textId="73325576" w:rsidR="008F514E" w:rsidRPr="001271CE" w:rsidRDefault="008F514E" w:rsidP="009741E8">
            <w:pPr>
              <w:ind w:firstLine="0"/>
              <w:rPr>
                <w:b/>
                <w:bCs/>
              </w:rPr>
            </w:pPr>
            <w:r w:rsidRPr="001271CE">
              <w:rPr>
                <w:b/>
                <w:bCs/>
              </w:rPr>
              <w:t>Punctele 49-52 din proiectul Regulamentului</w:t>
            </w:r>
          </w:p>
          <w:p w14:paraId="69E1F36A" w14:textId="77777777" w:rsidR="008F514E" w:rsidRPr="001271CE" w:rsidRDefault="008F514E" w:rsidP="00BB1B4E">
            <w:pPr>
              <w:ind w:firstLine="0"/>
            </w:pPr>
            <w:r w:rsidRPr="001271CE">
              <w:rPr>
                <w:b/>
                <w:bCs/>
              </w:rPr>
              <w:t>Recomandări</w:t>
            </w:r>
            <w:r w:rsidRPr="001271CE">
              <w:t>:</w:t>
            </w:r>
          </w:p>
          <w:p w14:paraId="1C441BED" w14:textId="77777777" w:rsidR="008F514E" w:rsidRPr="001271CE" w:rsidRDefault="008F514E" w:rsidP="00547022">
            <w:pPr>
              <w:ind w:firstLine="0"/>
            </w:pPr>
            <w:r w:rsidRPr="001271CE">
              <w:t>Propunem autorului:</w:t>
            </w:r>
          </w:p>
          <w:p w14:paraId="7BF01495" w14:textId="77777777" w:rsidR="008F514E" w:rsidRPr="001271CE" w:rsidRDefault="008F514E" w:rsidP="00BB1B4E">
            <w:pPr>
              <w:spacing w:after="240"/>
              <w:ind w:firstLine="0"/>
            </w:pPr>
            <w:r w:rsidRPr="001271CE">
              <w:t>- reexaminarea normelor punctelor 49-52 în vederea transparentizării activității comisiei de selecție, precum și a rolului subdiviziunii interne din cadrul MAE în examinarea unilaterală a evaluării capacității beneficiarilor în condițiile stipulate de normele din proiect;</w:t>
            </w:r>
          </w:p>
          <w:p w14:paraId="44528EE4" w14:textId="77777777" w:rsidR="008F514E" w:rsidRPr="001271CE" w:rsidRDefault="008F514E" w:rsidP="00BB1B4E">
            <w:pPr>
              <w:spacing w:after="240"/>
              <w:ind w:firstLine="0"/>
            </w:pPr>
            <w:r w:rsidRPr="001271CE">
              <w:t>- reevaluarea rolului șefului direcției din cadrul MAE în partea ce ține de validarea proiectelor și a punctajelor, a deciziilor de acordare a grantului, precum și a deciziilor de neacordare a grantului (în raport cu semnarea la etapa inițială de validare a proiectului și a punctajului);</w:t>
            </w:r>
          </w:p>
          <w:p w14:paraId="306A25FF" w14:textId="2E4096EC" w:rsidR="008F514E" w:rsidRPr="001271CE" w:rsidRDefault="008F514E" w:rsidP="00BB1B4E">
            <w:pPr>
              <w:ind w:firstLine="0"/>
            </w:pPr>
            <w:r w:rsidRPr="001271CE">
              <w:t>- reexaminarea punctului 51 prin reglementarea clară a cazurilor de evaluare a capacității în condițiile punctului 50.</w:t>
            </w:r>
          </w:p>
        </w:tc>
        <w:tc>
          <w:tcPr>
            <w:tcW w:w="6300" w:type="dxa"/>
            <w:tcMar>
              <w:top w:w="0" w:type="dxa"/>
              <w:left w:w="108" w:type="dxa"/>
              <w:bottom w:w="0" w:type="dxa"/>
              <w:right w:w="108" w:type="dxa"/>
            </w:tcMar>
          </w:tcPr>
          <w:p w14:paraId="5E3B017B" w14:textId="77777777" w:rsidR="008F514E" w:rsidRPr="001271CE" w:rsidRDefault="008F514E" w:rsidP="008F514E">
            <w:pPr>
              <w:ind w:firstLine="0"/>
            </w:pPr>
            <w:r w:rsidRPr="001271CE">
              <w:t>Se acceptă parțial.</w:t>
            </w:r>
          </w:p>
          <w:p w14:paraId="18B4BC74" w14:textId="77777777" w:rsidR="008F514E" w:rsidRPr="001271CE" w:rsidRDefault="008F514E" w:rsidP="008F514E">
            <w:pPr>
              <w:ind w:firstLine="0"/>
            </w:pPr>
            <w:r w:rsidRPr="001271CE">
              <w:t>Proiectul a fost modificat. În redacția actuală, rolurile sunt delimitate funcțional și previzibil, în conformitate cu cerințele de claritate și determinare ale normelor.</w:t>
            </w:r>
          </w:p>
          <w:p w14:paraId="070303A2" w14:textId="77777777" w:rsidR="008F514E" w:rsidRPr="001271CE" w:rsidRDefault="008F514E" w:rsidP="008F514E">
            <w:pPr>
              <w:ind w:firstLine="0"/>
            </w:pPr>
            <w:r w:rsidRPr="001271CE">
              <w:t xml:space="preserve">Comisia de selecție realizează evaluarea tehnică și întocmește raportul final cu punctajele în ordinea descrescătoare, iar etapa ulterioară este una de </w:t>
            </w:r>
            <w:r w:rsidRPr="001271CE">
              <w:rPr>
                <w:i/>
                <w:iCs/>
              </w:rPr>
              <w:t>due diligence</w:t>
            </w:r>
            <w:r w:rsidRPr="001271CE">
              <w:t xml:space="preserve"> și contractare. Validarea raportului final de către conducătorul subdiviziunii interne reprezintă un mecanism de control managerial și asumare administrativă, fără impact asupra punctajului sau ordinii stabilite.</w:t>
            </w:r>
          </w:p>
          <w:p w14:paraId="6A69CA02" w14:textId="77777777" w:rsidR="008F514E" w:rsidRPr="001271CE" w:rsidRDefault="008F514E" w:rsidP="008F514E">
            <w:pPr>
              <w:ind w:firstLine="0"/>
            </w:pPr>
            <w:r w:rsidRPr="001271CE">
              <w:t>Evaluarea capacității beneficiarilor este aplicată entităților de drept privat din Republica Moldova ori alte state, înainte de negocierea acordului, ca instrument de management al riscului financiar. Această abordare este coerentă cu procedura atribuirii directe, unde nota de justificare include, în mod expres, verificări de integritate/diligență și evaluarea capacității (pct. 65–66).</w:t>
            </w:r>
          </w:p>
          <w:p w14:paraId="415FC198" w14:textId="77777777" w:rsidR="008F514E" w:rsidRPr="001271CE" w:rsidRDefault="008F514E" w:rsidP="008F514E">
            <w:pPr>
              <w:ind w:firstLine="0"/>
            </w:pPr>
            <w:r w:rsidRPr="001271CE">
              <w:t>Reglementarea beneficiarilor este, de asemenea, corelată: pentru granturile prin contribuții la bugetul general, beneficiarii sunt stabiliți expres (pct. 82).</w:t>
            </w:r>
          </w:p>
          <w:p w14:paraId="47F37BB4" w14:textId="77777777" w:rsidR="008F514E" w:rsidRPr="001271CE" w:rsidRDefault="008F514E" w:rsidP="008F514E">
            <w:pPr>
              <w:ind w:firstLine="0"/>
            </w:pPr>
            <w:r w:rsidRPr="001271CE">
              <w:t>Decizia juridică finală privind acordarea grantului se materializează prin ordin al ministrului sau prin acord de finanțare, nu printr-un act al subdiviziunii interne.</w:t>
            </w:r>
          </w:p>
          <w:p w14:paraId="734071D0" w14:textId="681614E1" w:rsidR="008F514E" w:rsidRPr="001271CE" w:rsidRDefault="008F514E" w:rsidP="008F514E">
            <w:pPr>
              <w:ind w:firstLine="0"/>
            </w:pPr>
            <w:r w:rsidRPr="001271CE">
              <w:t>În ansamblu, mecanismul instituie garanții anticorupție suficiente (publicarea punctajelor, declarații de imparțialitate, separarea contestațiilor), fără a crea discreții administrative nejustificate și fără a genera premise de corupție.</w:t>
            </w:r>
          </w:p>
        </w:tc>
      </w:tr>
      <w:tr w:rsidR="00701914" w:rsidRPr="001271CE" w14:paraId="421E3053" w14:textId="77777777" w:rsidTr="003411E9">
        <w:trPr>
          <w:trHeight w:val="300"/>
        </w:trPr>
        <w:tc>
          <w:tcPr>
            <w:tcW w:w="2166" w:type="dxa"/>
            <w:vMerge/>
            <w:tcMar>
              <w:top w:w="0" w:type="dxa"/>
              <w:left w:w="108" w:type="dxa"/>
              <w:bottom w:w="0" w:type="dxa"/>
              <w:right w:w="108" w:type="dxa"/>
            </w:tcMar>
          </w:tcPr>
          <w:p w14:paraId="4F37F94C" w14:textId="77777777" w:rsidR="00701914" w:rsidRPr="001271CE" w:rsidRDefault="00701914" w:rsidP="009741E8">
            <w:pPr>
              <w:ind w:firstLine="0"/>
              <w:jc w:val="left"/>
            </w:pPr>
          </w:p>
        </w:tc>
        <w:tc>
          <w:tcPr>
            <w:tcW w:w="516" w:type="dxa"/>
            <w:tcMar>
              <w:top w:w="0" w:type="dxa"/>
              <w:left w:w="108" w:type="dxa"/>
              <w:bottom w:w="0" w:type="dxa"/>
              <w:right w:w="108" w:type="dxa"/>
            </w:tcMar>
          </w:tcPr>
          <w:p w14:paraId="3163CA47"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6C3E7912" w14:textId="77777777" w:rsidR="00701914" w:rsidRPr="001271CE" w:rsidRDefault="00701914" w:rsidP="004167E4">
            <w:pPr>
              <w:ind w:firstLine="0"/>
              <w:rPr>
                <w:b/>
                <w:bCs/>
              </w:rPr>
            </w:pPr>
            <w:r w:rsidRPr="001271CE">
              <w:rPr>
                <w:b/>
                <w:bCs/>
              </w:rPr>
              <w:t xml:space="preserve">Punctul 51 corelat cu punctul 63 și 80 din proiectul Regulamentului </w:t>
            </w:r>
          </w:p>
          <w:p w14:paraId="29CA155E" w14:textId="77777777" w:rsidR="00701914" w:rsidRPr="001271CE" w:rsidRDefault="00701914" w:rsidP="00DD6E66">
            <w:pPr>
              <w:ind w:firstLine="0"/>
            </w:pPr>
            <w:r w:rsidRPr="001271CE">
              <w:rPr>
                <w:b/>
                <w:bCs/>
              </w:rPr>
              <w:t>Recomandări</w:t>
            </w:r>
            <w:r w:rsidRPr="001271CE">
              <w:t xml:space="preserve">: </w:t>
            </w:r>
          </w:p>
          <w:p w14:paraId="5C53CE52" w14:textId="167536F5" w:rsidR="00701914" w:rsidRPr="001271CE" w:rsidRDefault="00701914" w:rsidP="00DD6E66">
            <w:pPr>
              <w:ind w:firstLine="0"/>
            </w:pPr>
            <w:r w:rsidRPr="001271CE">
              <w:t>Propunem autorului modificarea normelor prin stabilirea clară a subiecților ce pot obține granturi prin modalitățile prevăzute de Regulament - prin procedură competitivă, precum și prin procedura de atribuire directă.</w:t>
            </w:r>
          </w:p>
        </w:tc>
        <w:tc>
          <w:tcPr>
            <w:tcW w:w="6300" w:type="dxa"/>
            <w:tcMar>
              <w:top w:w="0" w:type="dxa"/>
              <w:left w:w="108" w:type="dxa"/>
              <w:bottom w:w="0" w:type="dxa"/>
              <w:right w:w="108" w:type="dxa"/>
            </w:tcMar>
          </w:tcPr>
          <w:p w14:paraId="49E7E62F" w14:textId="77777777" w:rsidR="00701914" w:rsidRPr="001271CE" w:rsidRDefault="0002334C" w:rsidP="009741E8">
            <w:pPr>
              <w:ind w:firstLine="0"/>
            </w:pPr>
            <w:r w:rsidRPr="001271CE">
              <w:t>Se acceptă parțial.</w:t>
            </w:r>
          </w:p>
          <w:p w14:paraId="254E0F0F" w14:textId="4FBACA36" w:rsidR="00563D0E" w:rsidRPr="001271CE" w:rsidRDefault="0002334C" w:rsidP="00563D0E">
            <w:pPr>
              <w:ind w:firstLine="0"/>
            </w:pPr>
            <w:r w:rsidRPr="001271CE">
              <w:t>Proiectul a fost modificat</w:t>
            </w:r>
            <w:r w:rsidR="00563D0E" w:rsidRPr="001271CE">
              <w:t>. În redacția nouă p. 51 a fost exclus.</w:t>
            </w:r>
          </w:p>
          <w:p w14:paraId="69A82519" w14:textId="5240CD87" w:rsidR="00563D0E" w:rsidRPr="001271CE" w:rsidRDefault="00563D0E" w:rsidP="00563D0E">
            <w:pPr>
              <w:ind w:firstLine="0"/>
            </w:pPr>
            <w:r w:rsidRPr="001271CE">
              <w:t>Totodată, observația pornește de la o interpretare cumulativă a unor mecanisme distincte de acordare a granturilor. Regulamentul reglementează separat granturile acordate prin procedură competitivă, granturile prin atribuire directă și contribuțiile la bugetul general, fiecare având beneficiari și condiții proprii.</w:t>
            </w:r>
          </w:p>
          <w:p w14:paraId="1F059BE5" w14:textId="77777777" w:rsidR="00563D0E" w:rsidRPr="001271CE" w:rsidRDefault="00563D0E" w:rsidP="00563D0E">
            <w:pPr>
              <w:ind w:firstLine="0"/>
            </w:pPr>
            <w:r w:rsidRPr="001271CE">
              <w:t>Norma privind evaluarea capacității nu stabilește categoria beneficiarilor, ci introduce un mecanism de verificare ex-ante aplicabil entităților de drept privat, în considerarea riscurilor financiare specifice acestora.</w:t>
            </w:r>
          </w:p>
          <w:p w14:paraId="19ED95B1" w14:textId="77777777" w:rsidR="00563D0E" w:rsidRPr="001271CE" w:rsidRDefault="00563D0E" w:rsidP="00563D0E">
            <w:pPr>
              <w:ind w:firstLine="0"/>
            </w:pPr>
            <w:r w:rsidRPr="001271CE">
              <w:t>Beneficiarii granturilor prin atribuire directă și ai contribuțiilor la bugetul general sunt expres prevăzuți în norme distincte, fără suprapuneri nejustificate.</w:t>
            </w:r>
          </w:p>
          <w:p w14:paraId="161F1967" w14:textId="3AC6FACF" w:rsidR="0002334C" w:rsidRPr="001271CE" w:rsidRDefault="00563D0E" w:rsidP="00563D0E">
            <w:pPr>
              <w:ind w:firstLine="0"/>
            </w:pPr>
            <w:r w:rsidRPr="001271CE">
              <w:t>Prin urmare, nu există ambiguitate privind subiecții eligibili, iar arhitectura normativă este structurată pe mecanisme juridice diferite, fiecare cu regim propriu.</w:t>
            </w:r>
          </w:p>
        </w:tc>
      </w:tr>
      <w:tr w:rsidR="00701914" w:rsidRPr="001271CE" w14:paraId="56AF7A75" w14:textId="77777777" w:rsidTr="003411E9">
        <w:trPr>
          <w:trHeight w:val="300"/>
        </w:trPr>
        <w:tc>
          <w:tcPr>
            <w:tcW w:w="2166" w:type="dxa"/>
            <w:vMerge/>
            <w:tcMar>
              <w:top w:w="0" w:type="dxa"/>
              <w:left w:w="108" w:type="dxa"/>
              <w:bottom w:w="0" w:type="dxa"/>
              <w:right w:w="108" w:type="dxa"/>
            </w:tcMar>
          </w:tcPr>
          <w:p w14:paraId="1B30CAED" w14:textId="77777777" w:rsidR="00701914" w:rsidRPr="001271CE" w:rsidRDefault="00701914" w:rsidP="009741E8">
            <w:pPr>
              <w:ind w:firstLine="0"/>
              <w:jc w:val="left"/>
            </w:pPr>
          </w:p>
        </w:tc>
        <w:tc>
          <w:tcPr>
            <w:tcW w:w="516" w:type="dxa"/>
            <w:tcMar>
              <w:top w:w="0" w:type="dxa"/>
              <w:left w:w="108" w:type="dxa"/>
              <w:bottom w:w="0" w:type="dxa"/>
              <w:right w:w="108" w:type="dxa"/>
            </w:tcMar>
          </w:tcPr>
          <w:p w14:paraId="39E5B9B8"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7D62DF1E" w14:textId="77777777" w:rsidR="00701914" w:rsidRPr="001271CE" w:rsidRDefault="00701914" w:rsidP="009741E8">
            <w:pPr>
              <w:ind w:firstLine="0"/>
              <w:rPr>
                <w:b/>
                <w:bCs/>
              </w:rPr>
            </w:pPr>
            <w:r w:rsidRPr="001271CE">
              <w:rPr>
                <w:b/>
                <w:bCs/>
              </w:rPr>
              <w:t xml:space="preserve">Punctele 53-56 din proiectul Regulamentului </w:t>
            </w:r>
          </w:p>
          <w:p w14:paraId="49A8A0B7" w14:textId="77777777" w:rsidR="00701914" w:rsidRPr="001271CE" w:rsidRDefault="00701914" w:rsidP="009741E8">
            <w:pPr>
              <w:ind w:firstLine="0"/>
            </w:pPr>
            <w:r w:rsidRPr="001271CE">
              <w:rPr>
                <w:b/>
                <w:bCs/>
              </w:rPr>
              <w:t>Recomandări</w:t>
            </w:r>
            <w:r w:rsidRPr="001271CE">
              <w:t xml:space="preserve">: </w:t>
            </w:r>
          </w:p>
          <w:p w14:paraId="6D8E493B" w14:textId="77777777" w:rsidR="00701914" w:rsidRPr="001271CE" w:rsidRDefault="00701914" w:rsidP="009741E8">
            <w:pPr>
              <w:ind w:firstLine="0"/>
            </w:pPr>
            <w:r w:rsidRPr="001271CE">
              <w:t>Propunem reexaminarea punctelor 53-56 în vederea instituirii unor proceduri transparente de desfășurare a negocierilor acordului de finanțare pentru fiecare proiect.</w:t>
            </w:r>
          </w:p>
          <w:p w14:paraId="3D129698" w14:textId="24626375" w:rsidR="00701914" w:rsidRPr="001271CE" w:rsidRDefault="00701914" w:rsidP="009741E8">
            <w:pPr>
              <w:ind w:firstLine="0"/>
            </w:pPr>
            <w:r w:rsidRPr="001271CE">
              <w:t>Sintagma „sau unei persoane desemnate în acest sens de comisia de selecție” urmează să fie exclusă din textul normei.</w:t>
            </w:r>
          </w:p>
        </w:tc>
        <w:tc>
          <w:tcPr>
            <w:tcW w:w="6300" w:type="dxa"/>
            <w:tcMar>
              <w:top w:w="0" w:type="dxa"/>
              <w:left w:w="108" w:type="dxa"/>
              <w:bottom w:w="0" w:type="dxa"/>
              <w:right w:w="108" w:type="dxa"/>
            </w:tcMar>
          </w:tcPr>
          <w:p w14:paraId="3EC30C0A" w14:textId="77777777" w:rsidR="00701914" w:rsidRPr="001271CE" w:rsidRDefault="000069EF" w:rsidP="009741E8">
            <w:pPr>
              <w:ind w:firstLine="0"/>
            </w:pPr>
            <w:r w:rsidRPr="001271CE">
              <w:t>Se acceptă parțial.</w:t>
            </w:r>
          </w:p>
          <w:p w14:paraId="7D157910" w14:textId="055863F1" w:rsidR="000069EF" w:rsidRPr="001271CE" w:rsidRDefault="000069EF" w:rsidP="000069EF">
            <w:pPr>
              <w:ind w:firstLine="0"/>
            </w:pPr>
            <w:r w:rsidRPr="001271CE">
              <w:t>Redacția actuală a eliminat sintagma „persoană desemnată”, stabilind că negocierea se realizează prin intermediul unui membru al comisiei de selecție, desemnat de aceasta, ceea ce asigură expertiza și trasabilitatea procesului.</w:t>
            </w:r>
          </w:p>
          <w:p w14:paraId="11508AE3" w14:textId="018B9394" w:rsidR="000069EF" w:rsidRPr="001271CE" w:rsidRDefault="000069EF" w:rsidP="000069EF">
            <w:pPr>
              <w:ind w:firstLine="0"/>
            </w:pPr>
            <w:r w:rsidRPr="001271CE">
              <w:t>Negocierea nu constituie o decizie asupra acordării grantului și nu poate modifica punctajul sau ordinea stabilită prin raportul final. Forma finală a acordului este supusă validării manageriale, iar acordarea grantului se realizează prin acord de finanțare</w:t>
            </w:r>
            <w:r w:rsidR="00E74F40" w:rsidRPr="001271CE">
              <w:t xml:space="preserve"> sau prin ordin al ministrului</w:t>
            </w:r>
            <w:r w:rsidRPr="001271CE">
              <w:t>, conform cadrului legal.</w:t>
            </w:r>
          </w:p>
          <w:p w14:paraId="71B63E96" w14:textId="77777777" w:rsidR="000069EF" w:rsidRPr="001271CE" w:rsidRDefault="000069EF" w:rsidP="000069EF">
            <w:pPr>
              <w:ind w:firstLine="0"/>
            </w:pPr>
            <w:r w:rsidRPr="001271CE">
              <w:t>Conținutul minim al acordului de finanțare este expres reglementat, ceea ce limitează marja de apreciere în etapa negocierii.</w:t>
            </w:r>
          </w:p>
          <w:p w14:paraId="0D281B64" w14:textId="4F73F050" w:rsidR="000069EF" w:rsidRPr="001271CE" w:rsidRDefault="000069EF" w:rsidP="000069EF">
            <w:pPr>
              <w:ind w:firstLine="0"/>
            </w:pPr>
            <w:r w:rsidRPr="001271CE">
              <w:t>Procedura respectă principiile transparenței, ierarhiei stabilite prin evaluare și separării funcțiilor, neexistând competențe discreționare nejustificate.</w:t>
            </w:r>
          </w:p>
        </w:tc>
      </w:tr>
      <w:tr w:rsidR="00701914" w:rsidRPr="001271CE" w14:paraId="15CC7925" w14:textId="77777777" w:rsidTr="003411E9">
        <w:trPr>
          <w:trHeight w:val="300"/>
        </w:trPr>
        <w:tc>
          <w:tcPr>
            <w:tcW w:w="2166" w:type="dxa"/>
            <w:vMerge/>
            <w:tcMar>
              <w:top w:w="0" w:type="dxa"/>
              <w:left w:w="108" w:type="dxa"/>
              <w:bottom w:w="0" w:type="dxa"/>
              <w:right w:w="108" w:type="dxa"/>
            </w:tcMar>
          </w:tcPr>
          <w:p w14:paraId="24F9BE03" w14:textId="77777777" w:rsidR="00701914" w:rsidRPr="001271CE" w:rsidRDefault="00701914" w:rsidP="009741E8">
            <w:pPr>
              <w:ind w:firstLine="0"/>
              <w:jc w:val="left"/>
            </w:pPr>
          </w:p>
        </w:tc>
        <w:tc>
          <w:tcPr>
            <w:tcW w:w="516" w:type="dxa"/>
            <w:tcMar>
              <w:top w:w="0" w:type="dxa"/>
              <w:left w:w="108" w:type="dxa"/>
              <w:bottom w:w="0" w:type="dxa"/>
              <w:right w:w="108" w:type="dxa"/>
            </w:tcMar>
          </w:tcPr>
          <w:p w14:paraId="1BFB34F6"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7DE6258E" w14:textId="77777777" w:rsidR="00701914" w:rsidRPr="001271CE" w:rsidRDefault="00701914" w:rsidP="00023589">
            <w:pPr>
              <w:ind w:firstLine="0"/>
              <w:rPr>
                <w:b/>
                <w:bCs/>
              </w:rPr>
            </w:pPr>
            <w:r w:rsidRPr="001271CE">
              <w:rPr>
                <w:b/>
                <w:bCs/>
              </w:rPr>
              <w:t xml:space="preserve">Punctul 61 din proiectul Regulamentului </w:t>
            </w:r>
          </w:p>
          <w:p w14:paraId="2F3B7B71" w14:textId="77777777" w:rsidR="00701914" w:rsidRPr="001271CE" w:rsidRDefault="00701914" w:rsidP="00023589">
            <w:pPr>
              <w:ind w:firstLine="0"/>
            </w:pPr>
            <w:r w:rsidRPr="001271CE">
              <w:rPr>
                <w:b/>
                <w:bCs/>
              </w:rPr>
              <w:t>Recomandări</w:t>
            </w:r>
            <w:r w:rsidRPr="001271CE">
              <w:t>:</w:t>
            </w:r>
          </w:p>
          <w:p w14:paraId="17FB73EC" w14:textId="77777777" w:rsidR="00701914" w:rsidRPr="001271CE" w:rsidRDefault="00701914" w:rsidP="00023589">
            <w:pPr>
              <w:ind w:firstLine="0"/>
            </w:pPr>
            <w:r w:rsidRPr="001271CE">
              <w:t>Propunem autorului:</w:t>
            </w:r>
          </w:p>
          <w:p w14:paraId="249ADE5B" w14:textId="77777777" w:rsidR="00701914" w:rsidRPr="001271CE" w:rsidRDefault="00701914" w:rsidP="00BB1B4E">
            <w:pPr>
              <w:spacing w:after="240"/>
              <w:ind w:firstLine="0"/>
            </w:pPr>
            <w:r w:rsidRPr="001271CE">
              <w:t>- stabilirea componenței numerice a comisiei de contestare;</w:t>
            </w:r>
          </w:p>
          <w:p w14:paraId="645116AF" w14:textId="77777777" w:rsidR="00701914" w:rsidRPr="001271CE" w:rsidRDefault="00701914" w:rsidP="00BB1B4E">
            <w:pPr>
              <w:spacing w:after="240"/>
              <w:ind w:firstLine="0"/>
            </w:pPr>
            <w:r w:rsidRPr="001271CE">
              <w:t>- includerea „experților independenți” în cadrul comisiei de contestare și reglementarea modului de alegere obiectivă și transparentă a acestora, precum și acordarea dreptului de vot în cadrul comisiei;</w:t>
            </w:r>
          </w:p>
          <w:p w14:paraId="0F2B79DE" w14:textId="2BA2DF6C" w:rsidR="00701914" w:rsidRPr="001271CE" w:rsidRDefault="00701914" w:rsidP="00BB1B4E">
            <w:pPr>
              <w:spacing w:after="240"/>
              <w:ind w:firstLine="0"/>
            </w:pPr>
            <w:r w:rsidRPr="001271CE">
              <w:t>- stabilirea interdicției de atragere în componența comisiei de contestație a angajaților subdiviziunii interne din cadrul MAE.</w:t>
            </w:r>
          </w:p>
        </w:tc>
        <w:tc>
          <w:tcPr>
            <w:tcW w:w="6300" w:type="dxa"/>
            <w:tcMar>
              <w:top w:w="0" w:type="dxa"/>
              <w:left w:w="108" w:type="dxa"/>
              <w:bottom w:w="0" w:type="dxa"/>
              <w:right w:w="108" w:type="dxa"/>
            </w:tcMar>
          </w:tcPr>
          <w:p w14:paraId="1A4B1F96" w14:textId="2A6D27A2" w:rsidR="00777FA9" w:rsidRPr="001271CE" w:rsidRDefault="00777FA9" w:rsidP="00002CA4">
            <w:pPr>
              <w:ind w:firstLine="0"/>
            </w:pPr>
            <w:r w:rsidRPr="001271CE">
              <w:t>Nu se acceptă.</w:t>
            </w:r>
          </w:p>
          <w:p w14:paraId="1F9F3CB9" w14:textId="38962B2C" w:rsidR="00002CA4" w:rsidRPr="001271CE" w:rsidRDefault="00002CA4" w:rsidP="00002CA4">
            <w:pPr>
              <w:ind w:firstLine="0"/>
            </w:pPr>
            <w:r w:rsidRPr="001271CE">
              <w:t>Norma instituie o separare clară între comisia de selecție și comisia de contestație, membrii acesteia neputând fi membri ai comisiei de selecție, ceea ce asigură imparțialitatea examinării contestațiilor.</w:t>
            </w:r>
          </w:p>
          <w:p w14:paraId="2161158A" w14:textId="2873F75D" w:rsidR="00002CA4" w:rsidRPr="001271CE" w:rsidRDefault="00002CA4" w:rsidP="00002CA4">
            <w:pPr>
              <w:ind w:firstLine="0"/>
            </w:pPr>
            <w:r w:rsidRPr="001271CE">
              <w:t xml:space="preserve">Stabilirea componenței numerice și a regulilor detaliate de funcționare este </w:t>
            </w:r>
            <w:r w:rsidR="00B17D6C" w:rsidRPr="001271CE">
              <w:t>realizată</w:t>
            </w:r>
            <w:r w:rsidRPr="001271CE">
              <w:t xml:space="preserve"> </w:t>
            </w:r>
            <w:r w:rsidR="00B17D6C" w:rsidRPr="001271CE">
              <w:t xml:space="preserve">conform regulamentului Comisiei aprobat prin </w:t>
            </w:r>
            <w:r w:rsidRPr="001271CE">
              <w:t>ordin al ministrului, pentru a asigura flexibilitate administrativă și adaptare la specificul fiecărui apel.</w:t>
            </w:r>
          </w:p>
          <w:p w14:paraId="7ADA4482" w14:textId="77777777" w:rsidR="00002CA4" w:rsidRPr="001271CE" w:rsidRDefault="00002CA4" w:rsidP="00002CA4">
            <w:pPr>
              <w:ind w:firstLine="0"/>
            </w:pPr>
            <w:r w:rsidRPr="001271CE">
              <w:t>Participarea unui expert independent este o opțiune suplimentară menită să consolideze obiectivitatea procedurii, fără a afecta competența decizională a comisiei.</w:t>
            </w:r>
          </w:p>
          <w:p w14:paraId="1D2FA72D" w14:textId="77777777" w:rsidR="00002CA4" w:rsidRPr="001271CE" w:rsidRDefault="00002CA4" w:rsidP="00002CA4">
            <w:pPr>
              <w:ind w:firstLine="0"/>
            </w:pPr>
            <w:r w:rsidRPr="001271CE">
              <w:t>Instituirea unei interdicții generale privind participarea angajaților unei subdiviziuni interne nu este necesară, întrucât garanția relevantă este separarea funcțională între selecție și contestație, deja prevăzută în Regulament.</w:t>
            </w:r>
          </w:p>
          <w:p w14:paraId="11EEEB7B" w14:textId="08D3D881" w:rsidR="00701914" w:rsidRPr="001271CE" w:rsidRDefault="00002CA4" w:rsidP="00002CA4">
            <w:pPr>
              <w:ind w:firstLine="0"/>
            </w:pPr>
            <w:r w:rsidRPr="001271CE">
              <w:t>Norma asigură suficiente garanții de transparență și integritate, fără a crea discreții administrative nejustificate.</w:t>
            </w:r>
          </w:p>
        </w:tc>
      </w:tr>
      <w:tr w:rsidR="00701914" w:rsidRPr="001271CE" w14:paraId="0E5F2D94" w14:textId="77777777" w:rsidTr="003411E9">
        <w:trPr>
          <w:trHeight w:val="300"/>
        </w:trPr>
        <w:tc>
          <w:tcPr>
            <w:tcW w:w="2166" w:type="dxa"/>
            <w:vMerge/>
            <w:tcMar>
              <w:top w:w="0" w:type="dxa"/>
              <w:left w:w="108" w:type="dxa"/>
              <w:bottom w:w="0" w:type="dxa"/>
              <w:right w:w="108" w:type="dxa"/>
            </w:tcMar>
          </w:tcPr>
          <w:p w14:paraId="2AA9C3F8" w14:textId="77777777" w:rsidR="00701914" w:rsidRPr="001271CE" w:rsidRDefault="00701914" w:rsidP="009741E8">
            <w:pPr>
              <w:ind w:firstLine="0"/>
              <w:jc w:val="left"/>
            </w:pPr>
          </w:p>
        </w:tc>
        <w:tc>
          <w:tcPr>
            <w:tcW w:w="516" w:type="dxa"/>
            <w:tcMar>
              <w:top w:w="0" w:type="dxa"/>
              <w:left w:w="108" w:type="dxa"/>
              <w:bottom w:w="0" w:type="dxa"/>
              <w:right w:w="108" w:type="dxa"/>
            </w:tcMar>
          </w:tcPr>
          <w:p w14:paraId="4DCFC109"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2FDE15C5" w14:textId="77777777" w:rsidR="00701914" w:rsidRPr="001271CE" w:rsidRDefault="00701914" w:rsidP="00FC73A3">
            <w:pPr>
              <w:ind w:firstLine="0"/>
              <w:rPr>
                <w:b/>
                <w:bCs/>
              </w:rPr>
            </w:pPr>
            <w:r w:rsidRPr="001271CE">
              <w:rPr>
                <w:b/>
                <w:bCs/>
              </w:rPr>
              <w:t>Punctul 77 corelat cu punctul 79 din proiectul Regulamentului</w:t>
            </w:r>
          </w:p>
          <w:p w14:paraId="40054542" w14:textId="77777777" w:rsidR="00701914" w:rsidRPr="001271CE" w:rsidRDefault="00701914" w:rsidP="00FC73A3">
            <w:pPr>
              <w:ind w:firstLine="0"/>
            </w:pPr>
            <w:r w:rsidRPr="001271CE">
              <w:rPr>
                <w:b/>
                <w:bCs/>
              </w:rPr>
              <w:t>Recomandări</w:t>
            </w:r>
            <w:r w:rsidRPr="001271CE">
              <w:t>:</w:t>
            </w:r>
          </w:p>
          <w:p w14:paraId="362D60B5" w14:textId="44730C75" w:rsidR="00701914" w:rsidRPr="001271CE" w:rsidRDefault="00701914" w:rsidP="00FC73A3">
            <w:pPr>
              <w:ind w:firstLine="0"/>
            </w:pPr>
            <w:r w:rsidRPr="001271CE">
              <w:t>Propunem reexaminarea normelor prin prisma celor expuse supra.</w:t>
            </w:r>
          </w:p>
        </w:tc>
        <w:tc>
          <w:tcPr>
            <w:tcW w:w="6300" w:type="dxa"/>
            <w:tcMar>
              <w:top w:w="0" w:type="dxa"/>
              <w:left w:w="108" w:type="dxa"/>
              <w:bottom w:w="0" w:type="dxa"/>
              <w:right w:w="108" w:type="dxa"/>
            </w:tcMar>
          </w:tcPr>
          <w:p w14:paraId="25CAB9BC" w14:textId="3008367B" w:rsidR="005B092D" w:rsidRPr="001271CE" w:rsidRDefault="005B092D" w:rsidP="005B092D">
            <w:pPr>
              <w:ind w:firstLine="0"/>
            </w:pPr>
            <w:r w:rsidRPr="001271CE">
              <w:t>Nu se acceptă.</w:t>
            </w:r>
          </w:p>
          <w:p w14:paraId="009F7FA9" w14:textId="70812739" w:rsidR="005B092D" w:rsidRPr="001271CE" w:rsidRDefault="005B092D" w:rsidP="005B092D">
            <w:pPr>
              <w:ind w:firstLine="0"/>
            </w:pPr>
            <w:r w:rsidRPr="001271CE">
              <w:t>Observațiile pornesc de la o confuzie între evaluarea propunerii de proiect și gestionarea contractuală a acordului de finanțare.</w:t>
            </w:r>
          </w:p>
          <w:p w14:paraId="1B6D26DC" w14:textId="77777777" w:rsidR="005B092D" w:rsidRPr="001271CE" w:rsidRDefault="005B092D" w:rsidP="005B092D">
            <w:pPr>
              <w:ind w:firstLine="0"/>
            </w:pPr>
            <w:r w:rsidRPr="001271CE">
              <w:t>Comisia de selecție își exercită competența în etapa evaluării și ierarhizării proiectelor. Ulterior, acordul de finanțare intră în faza de implementare contractuală, care este gestionată de subdiviziunea internă responsabilă de domeniu.</w:t>
            </w:r>
          </w:p>
          <w:p w14:paraId="3D32E1FE" w14:textId="134FBDF4" w:rsidR="005B092D" w:rsidRPr="001271CE" w:rsidRDefault="005B092D" w:rsidP="005B092D">
            <w:pPr>
              <w:ind w:firstLine="0"/>
            </w:pPr>
            <w:r w:rsidRPr="001271CE">
              <w:t xml:space="preserve">Modificările prevăzute la pct. 77 nu vizează reevaluarea proiectului sau alterarea obiectivelor aprobate, ci ajustări de implementare justificate de </w:t>
            </w:r>
            <w:r w:rsidRPr="001271CE">
              <w:lastRenderedPageBreak/>
              <w:t>circumstanțe obiective.</w:t>
            </w:r>
            <w:r w:rsidR="00CF5E6F" w:rsidRPr="001271CE">
              <w:t xml:space="preserve"> Modificările nu pot viza obiectivul general al proiectului, rezultatele asumate sau majorarea valorii finanțării aprobate.</w:t>
            </w:r>
          </w:p>
          <w:p w14:paraId="04C992D4" w14:textId="77777777" w:rsidR="005B092D" w:rsidRPr="001271CE" w:rsidRDefault="005B092D" w:rsidP="005B092D">
            <w:pPr>
              <w:ind w:firstLine="0"/>
            </w:pPr>
            <w:r w:rsidRPr="001271CE">
              <w:t>Instituirea competenței subdiviziunii interne pentru examinarea solicitărilor de modificare asigură operativitatea administrativă și coerența managementului financiar, fără a crea atribuții paralele sau discreționare.</w:t>
            </w:r>
          </w:p>
          <w:p w14:paraId="05E3C73D" w14:textId="12C668BC" w:rsidR="00701914" w:rsidRPr="001271CE" w:rsidRDefault="005B092D" w:rsidP="005B092D">
            <w:pPr>
              <w:ind w:firstLine="0"/>
            </w:pPr>
            <w:r w:rsidRPr="001271CE">
              <w:t>Norma stabilește un termen clar de examinare și menține trasabilitatea deciziei, fiind conformă principiilor de claritate și delimitare a competențelor.</w:t>
            </w:r>
          </w:p>
        </w:tc>
      </w:tr>
      <w:tr w:rsidR="00701914" w:rsidRPr="001271CE" w14:paraId="2F414C24" w14:textId="77777777" w:rsidTr="003411E9">
        <w:trPr>
          <w:trHeight w:val="300"/>
        </w:trPr>
        <w:tc>
          <w:tcPr>
            <w:tcW w:w="2166" w:type="dxa"/>
            <w:vMerge/>
            <w:tcMar>
              <w:top w:w="0" w:type="dxa"/>
              <w:left w:w="108" w:type="dxa"/>
              <w:bottom w:w="0" w:type="dxa"/>
              <w:right w:w="108" w:type="dxa"/>
            </w:tcMar>
          </w:tcPr>
          <w:p w14:paraId="74644601" w14:textId="77777777" w:rsidR="00701914" w:rsidRPr="001271CE" w:rsidRDefault="00701914" w:rsidP="009741E8">
            <w:pPr>
              <w:ind w:firstLine="0"/>
              <w:jc w:val="left"/>
            </w:pPr>
          </w:p>
        </w:tc>
        <w:tc>
          <w:tcPr>
            <w:tcW w:w="516" w:type="dxa"/>
            <w:tcMar>
              <w:top w:w="0" w:type="dxa"/>
              <w:left w:w="108" w:type="dxa"/>
              <w:bottom w:w="0" w:type="dxa"/>
              <w:right w:w="108" w:type="dxa"/>
            </w:tcMar>
          </w:tcPr>
          <w:p w14:paraId="45DE79E4" w14:textId="77777777" w:rsidR="00701914" w:rsidRPr="001271CE" w:rsidRDefault="00701914" w:rsidP="009A7C2F">
            <w:pPr>
              <w:pStyle w:val="ListParagraph"/>
              <w:numPr>
                <w:ilvl w:val="0"/>
                <w:numId w:val="1"/>
              </w:numPr>
              <w:ind w:right="76"/>
              <w:jc w:val="left"/>
            </w:pPr>
          </w:p>
        </w:tc>
        <w:tc>
          <w:tcPr>
            <w:tcW w:w="5706" w:type="dxa"/>
            <w:tcMar>
              <w:top w:w="0" w:type="dxa"/>
              <w:left w:w="108" w:type="dxa"/>
              <w:bottom w:w="0" w:type="dxa"/>
              <w:right w:w="108" w:type="dxa"/>
            </w:tcMar>
          </w:tcPr>
          <w:p w14:paraId="67846ACF" w14:textId="77777777" w:rsidR="00701914" w:rsidRPr="001271CE" w:rsidRDefault="00701914" w:rsidP="003133FA">
            <w:pPr>
              <w:ind w:firstLine="0"/>
              <w:rPr>
                <w:b/>
                <w:bCs/>
              </w:rPr>
            </w:pPr>
            <w:r w:rsidRPr="001271CE">
              <w:rPr>
                <w:b/>
                <w:bCs/>
              </w:rPr>
              <w:t>Concluzia expertizei</w:t>
            </w:r>
          </w:p>
          <w:p w14:paraId="770DCD13" w14:textId="4363D237" w:rsidR="00701914" w:rsidRPr="001271CE" w:rsidRDefault="00701914" w:rsidP="001249F8">
            <w:pPr>
              <w:spacing w:after="240"/>
              <w:ind w:firstLine="0"/>
            </w:pPr>
            <w:r w:rsidRPr="001271CE">
              <w:t>Proiectul a fost elaborat în temeiul prevederilor Legii nr. 149/2025 cu privire la cooperarea internațională pentru dezvoltare și asistență umanitară.</w:t>
            </w:r>
          </w:p>
          <w:p w14:paraId="623F8F7E" w14:textId="1A453DEE" w:rsidR="00701914" w:rsidRPr="001271CE" w:rsidRDefault="00701914" w:rsidP="001249F8">
            <w:pPr>
              <w:spacing w:after="240"/>
              <w:ind w:firstLine="0"/>
            </w:pPr>
            <w:r w:rsidRPr="001271CE">
              <w:t>Prin proiect se propune aprobarea Regulamentului privind mecanismul de realizare a activităților de cooperare internațională pentru dezvoltare și asistență umanitară. Potrivit punctului 1 din proiectul Regulamentului - Regulamentul cu privire la mecanismul de realizare a activităților de cooperare internațională pentru dezvoltare și asistență umanitară stabilește procedurile specifice necesare pentru finanțarea și implementarea activităților de cooperare internațională pentru dezvoltare și asistență umanitară.</w:t>
            </w:r>
          </w:p>
          <w:p w14:paraId="214557F1" w14:textId="58DA15F3" w:rsidR="00701914" w:rsidRPr="001271CE" w:rsidRDefault="00701914" w:rsidP="001249F8">
            <w:pPr>
              <w:spacing w:after="240"/>
              <w:ind w:firstLine="0"/>
              <w:rPr>
                <w:i/>
                <w:iCs/>
              </w:rPr>
            </w:pPr>
            <w:r w:rsidRPr="001271CE">
              <w:t xml:space="preserve">În nota de fundamentare se menționează că: </w:t>
            </w:r>
            <w:r w:rsidRPr="001271CE">
              <w:rPr>
                <w:i/>
                <w:iCs/>
              </w:rPr>
              <w:t>„Prin aprobarea și aplicarea Regulamentului se urmărește instituirea unui mecanism funcțional, predictibil și transparent de gestionare a mijloacelor financiare alocate Ministerului Afacerilor Externe pentru activitățile de cooperare internațională pentru dezvoltare și asistență umanitară, capabil să consolideze vizibilitatea Republicii Moldova pe plan extern și să contribuie la dezvoltarea unui sistem modern, coerent și sustenabil, compatibil cu standardele europene și internaționale”.</w:t>
            </w:r>
          </w:p>
          <w:p w14:paraId="73E62D4D" w14:textId="461BAB75" w:rsidR="00701914" w:rsidRPr="001271CE" w:rsidRDefault="00701914" w:rsidP="00AF625C">
            <w:pPr>
              <w:ind w:firstLine="0"/>
            </w:pPr>
            <w:r w:rsidRPr="001271CE">
              <w:t>În proiect au fost atestate norme care induc confuzie în stabilirea procedurilor de exercitare a unor atribuții/drepturi/obligații ale subiecților responsabili de implementarea normelor proiectului. Astfel, în conținutul proiectului au fost identificare norme care stabilesc proceduri administrative confuze și ambigui privind:</w:t>
            </w:r>
          </w:p>
          <w:p w14:paraId="6064E532" w14:textId="77777777" w:rsidR="00701914" w:rsidRPr="001271CE" w:rsidRDefault="00701914" w:rsidP="001249F8">
            <w:pPr>
              <w:spacing w:after="240"/>
              <w:ind w:firstLine="0"/>
            </w:pPr>
            <w:r w:rsidRPr="001271CE">
              <w:t>- instituirea/crearea comisiei de selecție și a comisiei de contestație;</w:t>
            </w:r>
          </w:p>
          <w:p w14:paraId="57C838CE" w14:textId="71703968" w:rsidR="00701914" w:rsidRPr="001271CE" w:rsidRDefault="00701914" w:rsidP="001249F8">
            <w:pPr>
              <w:spacing w:after="240"/>
              <w:ind w:firstLine="0"/>
            </w:pPr>
            <w:r w:rsidRPr="001271CE">
              <w:t xml:space="preserve">- procedura de acordare/neacordare a grantului, procedura de validare a raportului final al comisiei de selecție, procedura de efectuare a </w:t>
            </w:r>
            <w:r w:rsidRPr="001271CE">
              <w:lastRenderedPageBreak/>
              <w:t>evaluării capacității administrative, financiare și operaționale, precum și corelarea acțiunilor comisiei de selecție și ale subdiviziunii interne din cadrul MAE în luarea deciziei privind acordarea/neacordarea grantului;</w:t>
            </w:r>
          </w:p>
          <w:p w14:paraId="001209ED" w14:textId="538BD2F4" w:rsidR="00701914" w:rsidRPr="001271CE" w:rsidRDefault="00701914" w:rsidP="001249F8">
            <w:pPr>
              <w:spacing w:after="240"/>
              <w:ind w:firstLine="0"/>
            </w:pPr>
            <w:r w:rsidRPr="001271CE">
              <w:t>- procedura de negociere a acordului de finanțare, precum și procedura de modificare a acordului de finanțare.</w:t>
            </w:r>
          </w:p>
          <w:p w14:paraId="02F6FE77" w14:textId="2E15214E" w:rsidR="00701914" w:rsidRPr="001271CE" w:rsidRDefault="00701914" w:rsidP="001249F8">
            <w:pPr>
              <w:ind w:firstLine="0"/>
            </w:pPr>
            <w:r w:rsidRPr="001271CE">
              <w:t>În final, recomandăm autorului reexaminarea proiectului prin prisma prezentului raport de expertiză anticorupție și eliminarea factorilor și a riscurilor de corupție identificați.</w:t>
            </w:r>
          </w:p>
        </w:tc>
        <w:tc>
          <w:tcPr>
            <w:tcW w:w="6300" w:type="dxa"/>
            <w:tcMar>
              <w:top w:w="0" w:type="dxa"/>
              <w:left w:w="108" w:type="dxa"/>
              <w:bottom w:w="0" w:type="dxa"/>
              <w:right w:w="108" w:type="dxa"/>
            </w:tcMar>
          </w:tcPr>
          <w:p w14:paraId="7FE38A4E" w14:textId="27791FB3" w:rsidR="00681968" w:rsidRPr="001271CE" w:rsidRDefault="00681968" w:rsidP="00431B02">
            <w:pPr>
              <w:ind w:firstLine="0"/>
            </w:pPr>
            <w:r w:rsidRPr="001271CE">
              <w:lastRenderedPageBreak/>
              <w:t>Se acceptă parțial.</w:t>
            </w:r>
          </w:p>
          <w:p w14:paraId="50936E03" w14:textId="15A89833" w:rsidR="00431B02" w:rsidRPr="001271CE" w:rsidRDefault="00431B02" w:rsidP="00431B02">
            <w:pPr>
              <w:ind w:firstLine="0"/>
            </w:pPr>
            <w:r w:rsidRPr="001271CE">
              <w:t>Proiectul a fost reexaminat în lumina observațiilor formulate în raportul de expertiză anticorupție.</w:t>
            </w:r>
          </w:p>
          <w:p w14:paraId="536EE24F" w14:textId="77777777" w:rsidR="00431B02" w:rsidRPr="001271CE" w:rsidRDefault="00431B02" w:rsidP="00431B02">
            <w:pPr>
              <w:ind w:firstLine="0"/>
            </w:pPr>
          </w:p>
          <w:p w14:paraId="42F05B81" w14:textId="77777777" w:rsidR="00431B02" w:rsidRPr="001271CE" w:rsidRDefault="00431B02" w:rsidP="00431B02">
            <w:pPr>
              <w:ind w:firstLine="0"/>
            </w:pPr>
            <w:r w:rsidRPr="001271CE">
              <w:t>Redacția actuală clarifică delimitarea competențelor între comisia de selecție, comisia de contestație și subdiviziunea internă responsabilă de implementare, eliminând formulările susceptibile de interpretări divergente.</w:t>
            </w:r>
          </w:p>
          <w:p w14:paraId="19F34BB7" w14:textId="77777777" w:rsidR="00431B02" w:rsidRPr="001271CE" w:rsidRDefault="00431B02" w:rsidP="00431B02">
            <w:pPr>
              <w:ind w:firstLine="0"/>
            </w:pPr>
            <w:r w:rsidRPr="001271CE">
              <w:t>Procedura de acordare a granturilor este structurată pe etape distincte: evaluare tehnică, validare administrativă, evaluare a capacității și contractare, fiecare cu titular determinat al competenței și cu mecanisme de control și transparență.</w:t>
            </w:r>
          </w:p>
          <w:p w14:paraId="1E0B34CD" w14:textId="77777777" w:rsidR="00431B02" w:rsidRPr="001271CE" w:rsidRDefault="00431B02" w:rsidP="00431B02">
            <w:pPr>
              <w:ind w:firstLine="0"/>
            </w:pPr>
          </w:p>
          <w:p w14:paraId="25AC7BE1" w14:textId="77777777" w:rsidR="00431B02" w:rsidRPr="001271CE" w:rsidRDefault="00431B02" w:rsidP="00431B02">
            <w:pPr>
              <w:ind w:firstLine="0"/>
            </w:pPr>
            <w:r w:rsidRPr="001271CE">
              <w:t>Negocierea și modificarea acordului de finanțare sunt reglementate ca instrumente de administrare contractuală, fără a permite alterarea ierarhiei stabilite prin evaluare sau modificarea obiectivelor aprobate.</w:t>
            </w:r>
          </w:p>
          <w:p w14:paraId="383C47CF" w14:textId="77777777" w:rsidR="00681968" w:rsidRPr="001271CE" w:rsidRDefault="00681968" w:rsidP="00431B02">
            <w:pPr>
              <w:ind w:firstLine="0"/>
            </w:pPr>
          </w:p>
          <w:p w14:paraId="65193CC1" w14:textId="77777777" w:rsidR="00431B02" w:rsidRPr="001271CE" w:rsidRDefault="00431B02" w:rsidP="00431B02">
            <w:pPr>
              <w:ind w:firstLine="0"/>
            </w:pPr>
            <w:r w:rsidRPr="001271CE">
              <w:t>Regulamentul instituie suficiente garanții de integritate – separarea funcțiilor, publicarea rezultatelor, termene determinate, declarații de imparțialitate și mecanism de contestație – care limitează discreția administrativă și reduc riscul de corupție.</w:t>
            </w:r>
          </w:p>
          <w:p w14:paraId="1C1F4718" w14:textId="77777777" w:rsidR="00681968" w:rsidRPr="001271CE" w:rsidRDefault="00681968" w:rsidP="00431B02">
            <w:pPr>
              <w:ind w:firstLine="0"/>
            </w:pPr>
          </w:p>
          <w:p w14:paraId="588CDE84" w14:textId="143CA609" w:rsidR="00701914" w:rsidRPr="001271CE" w:rsidRDefault="00431B02" w:rsidP="00431B02">
            <w:pPr>
              <w:ind w:firstLine="0"/>
            </w:pPr>
            <w:r w:rsidRPr="001271CE">
              <w:t>Prin urmare, se consideră că proiectul, în redacția actuală, corespunde exigențelor de claritate și previzibilitate și nu conține factori de risc sistemic de corupție.</w:t>
            </w:r>
          </w:p>
        </w:tc>
      </w:tr>
      <w:tr w:rsidR="00681968" w:rsidRPr="001271CE" w14:paraId="1B18C2BA" w14:textId="77777777" w:rsidTr="003411E9">
        <w:trPr>
          <w:trHeight w:val="300"/>
        </w:trPr>
        <w:tc>
          <w:tcPr>
            <w:tcW w:w="2166" w:type="dxa"/>
            <w:vMerge w:val="restart"/>
            <w:tcMar>
              <w:top w:w="0" w:type="dxa"/>
              <w:left w:w="108" w:type="dxa"/>
              <w:bottom w:w="0" w:type="dxa"/>
              <w:right w:w="108" w:type="dxa"/>
            </w:tcMar>
          </w:tcPr>
          <w:p w14:paraId="192E127D" w14:textId="77777777" w:rsidR="00681968" w:rsidRPr="001271CE" w:rsidRDefault="00681968" w:rsidP="009741E8">
            <w:pPr>
              <w:ind w:firstLine="0"/>
              <w:jc w:val="left"/>
            </w:pPr>
            <w:r w:rsidRPr="001271CE">
              <w:rPr>
                <w:b/>
                <w:bCs/>
              </w:rPr>
              <w:t>Ministerul Justiției</w:t>
            </w:r>
            <w:r w:rsidRPr="001271CE">
              <w:t> </w:t>
            </w:r>
          </w:p>
          <w:p w14:paraId="55D71479" w14:textId="77777777" w:rsidR="00681968" w:rsidRPr="001271CE" w:rsidRDefault="00681968" w:rsidP="009741E8">
            <w:pPr>
              <w:ind w:firstLine="0"/>
              <w:jc w:val="left"/>
              <w:rPr>
                <w:i/>
                <w:iCs/>
              </w:rPr>
            </w:pPr>
          </w:p>
          <w:p w14:paraId="7712D7EB" w14:textId="4DA33259" w:rsidR="00681968" w:rsidRPr="001271CE" w:rsidRDefault="00681968" w:rsidP="009741E8">
            <w:pPr>
              <w:ind w:firstLine="0"/>
              <w:jc w:val="left"/>
            </w:pPr>
            <w:r w:rsidRPr="001271CE">
              <w:rPr>
                <w:i/>
                <w:iCs/>
              </w:rPr>
              <w:t>Nr. 04/1-1624 din 16 februarie 2026</w:t>
            </w:r>
          </w:p>
        </w:tc>
        <w:tc>
          <w:tcPr>
            <w:tcW w:w="516" w:type="dxa"/>
            <w:tcMar>
              <w:top w:w="0" w:type="dxa"/>
              <w:left w:w="108" w:type="dxa"/>
              <w:bottom w:w="0" w:type="dxa"/>
              <w:right w:w="108" w:type="dxa"/>
            </w:tcMar>
          </w:tcPr>
          <w:p w14:paraId="28F24038"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709662E8" w14:textId="63625F28" w:rsidR="00681968" w:rsidRPr="001271CE" w:rsidRDefault="00681968" w:rsidP="009741E8">
            <w:pPr>
              <w:ind w:firstLine="0"/>
            </w:pPr>
            <w:r w:rsidRPr="001271CE">
              <w:t>...din punct de vedere conceptual, precizăm că nu avem observații de formulat.</w:t>
            </w:r>
          </w:p>
        </w:tc>
        <w:tc>
          <w:tcPr>
            <w:tcW w:w="6300" w:type="dxa"/>
            <w:tcMar>
              <w:top w:w="0" w:type="dxa"/>
              <w:left w:w="108" w:type="dxa"/>
              <w:bottom w:w="0" w:type="dxa"/>
              <w:right w:w="108" w:type="dxa"/>
            </w:tcMar>
          </w:tcPr>
          <w:p w14:paraId="545D51D2" w14:textId="6B2DF142" w:rsidR="00681968" w:rsidRPr="001271CE" w:rsidRDefault="00681968" w:rsidP="009741E8">
            <w:pPr>
              <w:ind w:firstLine="0"/>
            </w:pPr>
            <w:r w:rsidRPr="001271CE">
              <w:t>Se acceptă.</w:t>
            </w:r>
          </w:p>
        </w:tc>
      </w:tr>
      <w:tr w:rsidR="00681968" w:rsidRPr="001271CE" w14:paraId="261EDBFC" w14:textId="77777777" w:rsidTr="003411E9">
        <w:trPr>
          <w:trHeight w:val="300"/>
        </w:trPr>
        <w:tc>
          <w:tcPr>
            <w:tcW w:w="2166" w:type="dxa"/>
            <w:vMerge/>
            <w:tcMar>
              <w:top w:w="0" w:type="dxa"/>
              <w:left w:w="108" w:type="dxa"/>
              <w:bottom w:w="0" w:type="dxa"/>
              <w:right w:w="108" w:type="dxa"/>
            </w:tcMar>
          </w:tcPr>
          <w:p w14:paraId="2CB94C12"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5BA80A41"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2C4344D1" w14:textId="2525C6FD" w:rsidR="00681968" w:rsidRPr="001271CE" w:rsidRDefault="00681968" w:rsidP="00AC661F">
            <w:pPr>
              <w:ind w:firstLine="0"/>
            </w:pPr>
            <w:r w:rsidRPr="001271CE">
              <w:t>Referitor la textul propriu-zis al proiectului, menționăm despre necesitatea îmbunătățirii sub aspectul redactării și al respectării normelor de tehnică legislativă, după cum urmează:</w:t>
            </w:r>
          </w:p>
          <w:p w14:paraId="2D3D83A7" w14:textId="24DAAA73" w:rsidR="00681968" w:rsidRPr="001271CE" w:rsidRDefault="00681968" w:rsidP="00AC661F">
            <w:pPr>
              <w:ind w:firstLine="0"/>
            </w:pPr>
            <w:r w:rsidRPr="001271CE">
              <w:t xml:space="preserve">La proiectul </w:t>
            </w:r>
            <w:r w:rsidRPr="001271CE">
              <w:rPr>
                <w:i/>
                <w:iCs/>
              </w:rPr>
              <w:t>hotărârii</w:t>
            </w:r>
            <w:r w:rsidRPr="001271CE">
              <w:t xml:space="preserve">, clauza de adoptare, după indicarea actului normativ de referință, se va completa cu sursa de publicare după următoarea formulă: (Monitorul </w:t>
            </w:r>
          </w:p>
          <w:p w14:paraId="589E56E6" w14:textId="33BB9405" w:rsidR="00681968" w:rsidRPr="001271CE" w:rsidRDefault="00681968" w:rsidP="00B75693">
            <w:pPr>
              <w:ind w:firstLine="0"/>
            </w:pPr>
            <w:r w:rsidRPr="001271CE">
              <w:t>Oficial al Republicii Moldova, anul publicării, numărul Monitorului, numărul articolului).</w:t>
            </w:r>
          </w:p>
        </w:tc>
        <w:tc>
          <w:tcPr>
            <w:tcW w:w="6300" w:type="dxa"/>
            <w:tcMar>
              <w:top w:w="0" w:type="dxa"/>
              <w:left w:w="108" w:type="dxa"/>
              <w:bottom w:w="0" w:type="dxa"/>
              <w:right w:w="108" w:type="dxa"/>
            </w:tcMar>
          </w:tcPr>
          <w:p w14:paraId="3AE657F2" w14:textId="77777777" w:rsidR="00681968" w:rsidRPr="001271CE" w:rsidRDefault="00681968" w:rsidP="009741E8">
            <w:pPr>
              <w:ind w:firstLine="0"/>
            </w:pPr>
            <w:r w:rsidRPr="001271CE">
              <w:t>Se acceptă.</w:t>
            </w:r>
          </w:p>
          <w:p w14:paraId="4D7895FD" w14:textId="11C14A84" w:rsidR="00681968" w:rsidRPr="001271CE" w:rsidRDefault="00681968" w:rsidP="009741E8">
            <w:pPr>
              <w:ind w:firstLine="0"/>
            </w:pPr>
            <w:r w:rsidRPr="001271CE">
              <w:t>Proiectul HG a fost completat.</w:t>
            </w:r>
          </w:p>
        </w:tc>
      </w:tr>
      <w:tr w:rsidR="00681968" w:rsidRPr="001271CE" w14:paraId="63D192CD" w14:textId="77777777" w:rsidTr="003411E9">
        <w:trPr>
          <w:trHeight w:val="300"/>
        </w:trPr>
        <w:tc>
          <w:tcPr>
            <w:tcW w:w="2166" w:type="dxa"/>
            <w:vMerge/>
            <w:tcMar>
              <w:top w:w="0" w:type="dxa"/>
              <w:left w:w="108" w:type="dxa"/>
              <w:bottom w:w="0" w:type="dxa"/>
              <w:right w:w="108" w:type="dxa"/>
            </w:tcMar>
          </w:tcPr>
          <w:p w14:paraId="7BB626B3"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15F78CED"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15DF48D1" w14:textId="77777777" w:rsidR="00681968" w:rsidRPr="001271CE" w:rsidRDefault="00681968" w:rsidP="009741E8">
            <w:pPr>
              <w:ind w:firstLine="0"/>
            </w:pPr>
            <w:r w:rsidRPr="001271CE">
              <w:t xml:space="preserve">La proiectul </w:t>
            </w:r>
            <w:r w:rsidRPr="001271CE">
              <w:rPr>
                <w:i/>
                <w:iCs/>
              </w:rPr>
              <w:t>Regulamentului</w:t>
            </w:r>
            <w:r w:rsidRPr="001271CE">
              <w:t xml:space="preserve">: </w:t>
            </w:r>
          </w:p>
          <w:p w14:paraId="54E62927" w14:textId="306DA105" w:rsidR="00681968" w:rsidRPr="001271CE" w:rsidRDefault="00681968" w:rsidP="009741E8">
            <w:pPr>
              <w:ind w:firstLine="0"/>
            </w:pPr>
            <w:r w:rsidRPr="001271CE">
              <w:t xml:space="preserve">La sbp. 2.1 semnalăm că, exprimarea prin abrevieri a unor denumiri sau termeni se poate face numai după explicarea lor în text, la prima folosire (ex: DNSH, OCDE). </w:t>
            </w:r>
          </w:p>
        </w:tc>
        <w:tc>
          <w:tcPr>
            <w:tcW w:w="6300" w:type="dxa"/>
            <w:tcMar>
              <w:top w:w="0" w:type="dxa"/>
              <w:left w:w="108" w:type="dxa"/>
              <w:bottom w:w="0" w:type="dxa"/>
              <w:right w:w="108" w:type="dxa"/>
            </w:tcMar>
          </w:tcPr>
          <w:p w14:paraId="1E37A02A" w14:textId="77777777" w:rsidR="00681968" w:rsidRPr="001271CE" w:rsidRDefault="00681968" w:rsidP="009741E8">
            <w:pPr>
              <w:ind w:firstLine="0"/>
            </w:pPr>
            <w:r w:rsidRPr="001271CE">
              <w:t>Se acceptă.</w:t>
            </w:r>
          </w:p>
          <w:p w14:paraId="1CC59AD5" w14:textId="50E2D2F8" w:rsidR="00681968" w:rsidRPr="001271CE" w:rsidRDefault="00681968" w:rsidP="009741E8">
            <w:pPr>
              <w:ind w:firstLine="0"/>
            </w:pPr>
            <w:r w:rsidRPr="001271CE">
              <w:t>Proiectul a fost modificat corespunzător.</w:t>
            </w:r>
          </w:p>
        </w:tc>
      </w:tr>
      <w:tr w:rsidR="00681968" w:rsidRPr="001271CE" w14:paraId="63925631" w14:textId="77777777" w:rsidTr="003411E9">
        <w:trPr>
          <w:trHeight w:val="300"/>
        </w:trPr>
        <w:tc>
          <w:tcPr>
            <w:tcW w:w="2166" w:type="dxa"/>
            <w:vMerge/>
            <w:tcMar>
              <w:top w:w="0" w:type="dxa"/>
              <w:left w:w="108" w:type="dxa"/>
              <w:bottom w:w="0" w:type="dxa"/>
              <w:right w:w="108" w:type="dxa"/>
            </w:tcMar>
          </w:tcPr>
          <w:p w14:paraId="687BF0F2"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75D75EAF"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6258598E" w14:textId="40D19587" w:rsidR="00681968" w:rsidRPr="001271CE" w:rsidRDefault="00681968" w:rsidP="009741E8">
            <w:pPr>
              <w:ind w:firstLine="0"/>
            </w:pPr>
            <w:r w:rsidRPr="001271CE">
              <w:t xml:space="preserve">La sbp. 2.1 ...De asemenea, se va evita sintagma „demersuri </w:t>
            </w:r>
            <w:r w:rsidRPr="001271CE">
              <w:rPr>
                <w:u w:val="single"/>
              </w:rPr>
              <w:t>concrete</w:t>
            </w:r>
            <w:r w:rsidRPr="001271CE">
              <w:t>”, în scopul neadmiterii interpretărilor neuniforme.</w:t>
            </w:r>
          </w:p>
        </w:tc>
        <w:tc>
          <w:tcPr>
            <w:tcW w:w="6300" w:type="dxa"/>
            <w:tcMar>
              <w:top w:w="0" w:type="dxa"/>
              <w:left w:w="108" w:type="dxa"/>
              <w:bottom w:w="0" w:type="dxa"/>
              <w:right w:w="108" w:type="dxa"/>
            </w:tcMar>
          </w:tcPr>
          <w:p w14:paraId="27997AD8" w14:textId="77777777" w:rsidR="00681968" w:rsidRPr="001271CE" w:rsidRDefault="00681968" w:rsidP="009741E8">
            <w:pPr>
              <w:ind w:firstLine="0"/>
            </w:pPr>
            <w:r w:rsidRPr="001271CE">
              <w:t>Se acceptă.</w:t>
            </w:r>
          </w:p>
          <w:p w14:paraId="727091B2" w14:textId="79F2FA44" w:rsidR="00681968" w:rsidRPr="001271CE" w:rsidRDefault="00681968" w:rsidP="009741E8">
            <w:pPr>
              <w:ind w:firstLine="0"/>
            </w:pPr>
            <w:r w:rsidRPr="001271CE">
              <w:t>Proiectul a fost modificat corespunzător.</w:t>
            </w:r>
          </w:p>
        </w:tc>
      </w:tr>
      <w:tr w:rsidR="00681968" w:rsidRPr="001271CE" w14:paraId="2C7ED7ED" w14:textId="77777777" w:rsidTr="003411E9">
        <w:trPr>
          <w:trHeight w:val="300"/>
        </w:trPr>
        <w:tc>
          <w:tcPr>
            <w:tcW w:w="2166" w:type="dxa"/>
            <w:vMerge/>
            <w:tcMar>
              <w:top w:w="0" w:type="dxa"/>
              <w:left w:w="108" w:type="dxa"/>
              <w:bottom w:w="0" w:type="dxa"/>
              <w:right w:w="108" w:type="dxa"/>
            </w:tcMar>
          </w:tcPr>
          <w:p w14:paraId="000191D0"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57437D47"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5329E6C8" w14:textId="6580D220" w:rsidR="00681968" w:rsidRPr="001271CE" w:rsidRDefault="00681968" w:rsidP="009741E8">
            <w:pPr>
              <w:ind w:firstLine="0"/>
            </w:pPr>
            <w:r w:rsidRPr="001271CE">
              <w:t>La sbp. 2.2 este de remarcat că, actul normativ nu este un dicționar juridic, fapt pentru care nu este justificată definirea noțiunilor decât în cazul în care la momentul adoptării actului se știe cu certitudine că, un termen este pasibil de mai multe interpretări sau dacă se imprimă un alt sens decât cel uzual și se optează pentru o anumită interpretare (ex: noțiunile „evaluare”, „audit”, care urmează a fi excluse). Astfel, deoarece noțiunea „țări eligibile” nu se regăsește în textul proiectului, considerăm oportună excluderea acesteia. Obiecția dată este valabilă și pentru sbp. 2.14 și 2.15.</w:t>
            </w:r>
          </w:p>
        </w:tc>
        <w:tc>
          <w:tcPr>
            <w:tcW w:w="6300" w:type="dxa"/>
            <w:tcMar>
              <w:top w:w="0" w:type="dxa"/>
              <w:left w:w="108" w:type="dxa"/>
              <w:bottom w:w="0" w:type="dxa"/>
              <w:right w:w="108" w:type="dxa"/>
            </w:tcMar>
          </w:tcPr>
          <w:p w14:paraId="28B7F996" w14:textId="77777777" w:rsidR="00681968" w:rsidRPr="001271CE" w:rsidRDefault="00681968" w:rsidP="009741E8">
            <w:pPr>
              <w:ind w:firstLine="0"/>
            </w:pPr>
            <w:r w:rsidRPr="001271CE">
              <w:t>Se acceptă.</w:t>
            </w:r>
          </w:p>
          <w:p w14:paraId="09877421" w14:textId="34EEA717" w:rsidR="00681968" w:rsidRPr="001271CE" w:rsidRDefault="00681968" w:rsidP="009741E8">
            <w:pPr>
              <w:ind w:firstLine="0"/>
            </w:pPr>
            <w:r w:rsidRPr="001271CE">
              <w:t>Proiectul a fost modificat corespunzător.</w:t>
            </w:r>
          </w:p>
        </w:tc>
      </w:tr>
      <w:tr w:rsidR="00681968" w:rsidRPr="001271CE" w14:paraId="78B78389" w14:textId="77777777" w:rsidTr="003411E9">
        <w:trPr>
          <w:trHeight w:val="300"/>
        </w:trPr>
        <w:tc>
          <w:tcPr>
            <w:tcW w:w="2166" w:type="dxa"/>
            <w:vMerge/>
            <w:tcMar>
              <w:top w:w="0" w:type="dxa"/>
              <w:left w:w="108" w:type="dxa"/>
              <w:bottom w:w="0" w:type="dxa"/>
              <w:right w:w="108" w:type="dxa"/>
            </w:tcMar>
          </w:tcPr>
          <w:p w14:paraId="65AA4D1D"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515D42AD"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01D3CB55" w14:textId="1FCFF3BB" w:rsidR="00681968" w:rsidRPr="001271CE" w:rsidRDefault="00681968" w:rsidP="009741E8">
            <w:pPr>
              <w:ind w:firstLine="0"/>
            </w:pPr>
            <w:r w:rsidRPr="001271CE">
              <w:t xml:space="preserve">La sbp. 2.3, se va revizui utilizarea termenului „strategie” în vederea evitării confuziilor, or, acest termen nu poate reprezenta un document cu caracter tehnic și operațional, fără a constitui document de planificare strategică, mai ales în contextul în care se îmbină cu cuvântul „de țară”. Sintagma „Strategie de țară” ar presupune un </w:t>
            </w:r>
            <w:r w:rsidRPr="001271CE">
              <w:lastRenderedPageBreak/>
              <w:t xml:space="preserve">document oficial de planificare strategică, prin care o țară își stabilește direcțiile majore de dezvoltare și acțiune, în conformitate cu interesele naționale. De asemenea, amintim că terminologia utilizată în textul proiectului actului normativ trebuie să fie constantă, uniformă și să corespundă celei utilizate în alte acte normative </w:t>
            </w:r>
            <w:r w:rsidRPr="001271CE">
              <w:rPr>
                <w:i/>
                <w:iCs/>
              </w:rPr>
              <w:t>(ex: Hotărârea Guvernului nr. 386/2020 cu privire la planificarea strategică).</w:t>
            </w:r>
          </w:p>
        </w:tc>
        <w:tc>
          <w:tcPr>
            <w:tcW w:w="6300" w:type="dxa"/>
            <w:tcMar>
              <w:top w:w="0" w:type="dxa"/>
              <w:left w:w="108" w:type="dxa"/>
              <w:bottom w:w="0" w:type="dxa"/>
              <w:right w:w="108" w:type="dxa"/>
            </w:tcMar>
          </w:tcPr>
          <w:p w14:paraId="5336DB80" w14:textId="77777777" w:rsidR="00681968" w:rsidRPr="001271CE" w:rsidRDefault="00681968" w:rsidP="009741E8">
            <w:pPr>
              <w:ind w:firstLine="0"/>
            </w:pPr>
            <w:r w:rsidRPr="001271CE">
              <w:lastRenderedPageBreak/>
              <w:t>Se acceptă.</w:t>
            </w:r>
          </w:p>
          <w:p w14:paraId="352C1F3F" w14:textId="77D48B7D" w:rsidR="00681968" w:rsidRPr="001271CE" w:rsidRDefault="00681968" w:rsidP="009741E8">
            <w:pPr>
              <w:ind w:firstLine="0"/>
            </w:pPr>
            <w:r w:rsidRPr="001271CE">
              <w:t>Noțiunea „strategie de țară” a fost înlocuită cu „program indicativ de țară”, iar definiția a fost modificată având în vedere caracterul de implementare al documentului.</w:t>
            </w:r>
          </w:p>
        </w:tc>
      </w:tr>
      <w:tr w:rsidR="00681968" w:rsidRPr="001271CE" w14:paraId="79A5CD68" w14:textId="77777777" w:rsidTr="003411E9">
        <w:trPr>
          <w:trHeight w:val="300"/>
        </w:trPr>
        <w:tc>
          <w:tcPr>
            <w:tcW w:w="2166" w:type="dxa"/>
            <w:vMerge/>
            <w:tcMar>
              <w:top w:w="0" w:type="dxa"/>
              <w:left w:w="108" w:type="dxa"/>
              <w:bottom w:w="0" w:type="dxa"/>
              <w:right w:w="108" w:type="dxa"/>
            </w:tcMar>
          </w:tcPr>
          <w:p w14:paraId="333E12D6"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6F655D27"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1EB390F7" w14:textId="52B1A80B" w:rsidR="00681968" w:rsidRPr="001271CE" w:rsidRDefault="00681968" w:rsidP="009741E8">
            <w:pPr>
              <w:ind w:firstLine="0"/>
            </w:pPr>
            <w:r w:rsidRPr="001271CE">
              <w:t>La sbp. 2.7 și 2.8 observăm că, definirea termenilor „cheltuieli eligibile directe” și „cheltuielile eligibile indirecte” este inutilă, deoarece pct. 35 și 36 din proiect explică sensul și condițiile pe care trebuie să le întrunească aceste cheltuieli.</w:t>
            </w:r>
          </w:p>
        </w:tc>
        <w:tc>
          <w:tcPr>
            <w:tcW w:w="6300" w:type="dxa"/>
            <w:tcMar>
              <w:top w:w="0" w:type="dxa"/>
              <w:left w:w="108" w:type="dxa"/>
              <w:bottom w:w="0" w:type="dxa"/>
              <w:right w:w="108" w:type="dxa"/>
            </w:tcMar>
          </w:tcPr>
          <w:p w14:paraId="100BBA32" w14:textId="3120A929" w:rsidR="00681968" w:rsidRPr="001271CE" w:rsidRDefault="00681968" w:rsidP="00B35844">
            <w:pPr>
              <w:ind w:firstLine="0"/>
            </w:pPr>
            <w:r w:rsidRPr="001271CE">
              <w:t>Nu se acceptă.</w:t>
            </w:r>
          </w:p>
          <w:p w14:paraId="69CD0781" w14:textId="298D666C" w:rsidR="00681968" w:rsidRPr="001271CE" w:rsidRDefault="00681968" w:rsidP="00B35844">
            <w:pPr>
              <w:ind w:firstLine="0"/>
            </w:pPr>
            <w:r w:rsidRPr="001271CE">
              <w:t>Noțiunile „cheltuieli eligibile directe” și „cheltuieli eligibile indirecte” nu au caracter explicativ, ci sunt utilizate ca termeni de operare financiară în cadrul mecanismului de implementare a activităților, inclusiv în acordurile de finanțare, bugetele proiectelor, raportarea financiară și audit. Punctele relevante din capitolul privind granturile stabilesc condițiile de eligibilitate ale acestor cheltuieli, însă nu substituie necesitatea utilizării unor noțiuni uniforme în întregul Regulament, în vederea asigurării coerenței terminologice și a aplicării unitare a normei de către beneficiari și parteneri de implementare. Eliminarea acestor noțiuni ar genera utilizarea unor termeni fără referință normativă explicită în instrumentele juridice subsecvente, inclusiv acordurile de finanțare, cu risc de interpretare neuniformă în procesul de implementare și verificare a utilizării mijloacelor financiare.</w:t>
            </w:r>
          </w:p>
        </w:tc>
      </w:tr>
      <w:tr w:rsidR="00681968" w:rsidRPr="001271CE" w14:paraId="00DC1D3F" w14:textId="77777777" w:rsidTr="003411E9">
        <w:trPr>
          <w:trHeight w:val="300"/>
        </w:trPr>
        <w:tc>
          <w:tcPr>
            <w:tcW w:w="2166" w:type="dxa"/>
            <w:vMerge/>
            <w:tcMar>
              <w:top w:w="0" w:type="dxa"/>
              <w:left w:w="108" w:type="dxa"/>
              <w:bottom w:w="0" w:type="dxa"/>
              <w:right w:w="108" w:type="dxa"/>
            </w:tcMar>
          </w:tcPr>
          <w:p w14:paraId="68C5FE0C"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0EB00886"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1243C151" w14:textId="621956CB" w:rsidR="00681968" w:rsidRPr="001271CE" w:rsidRDefault="00681968" w:rsidP="009741E8">
            <w:pPr>
              <w:ind w:firstLine="0"/>
            </w:pPr>
            <w:r w:rsidRPr="001271CE">
              <w:t xml:space="preserve">La sbp. 2.11 semnalăm că, cadru juridic de funcționare a mecanismului de evaluare a impactului asupra mediului al unor genuri de activitate planificate publice și private și a mecanismului de evaluare a biodiversității pentru asigurarea prevenirii sau minimizării, la etapele inițiale, a impactului semnificativ asupra mediului și sănătății populației, precum și pentru implementarea obligațiilor asumate de Republica Moldova pe plan internațional este reglementat prin </w:t>
            </w:r>
            <w:r w:rsidRPr="001271CE">
              <w:rPr>
                <w:i/>
                <w:iCs/>
              </w:rPr>
              <w:t>Legea nr. 86/2014 privind evaluarea impactului asupra mediului.</w:t>
            </w:r>
            <w:r w:rsidRPr="001271CE">
              <w:t xml:space="preserve"> Astfel, se va asigura încadrarea dispozițiilor proiectului în cadrul normativ în vigoare. Obiecția dată este valabilă și pentru sbp. 2.17.</w:t>
            </w:r>
          </w:p>
        </w:tc>
        <w:tc>
          <w:tcPr>
            <w:tcW w:w="6300" w:type="dxa"/>
            <w:tcMar>
              <w:top w:w="0" w:type="dxa"/>
              <w:left w:w="108" w:type="dxa"/>
              <w:bottom w:w="0" w:type="dxa"/>
              <w:right w:w="108" w:type="dxa"/>
            </w:tcMar>
          </w:tcPr>
          <w:p w14:paraId="57B5A430" w14:textId="2BC32E6E" w:rsidR="00681968" w:rsidRPr="001271CE" w:rsidRDefault="00681968" w:rsidP="009741E8">
            <w:pPr>
              <w:ind w:firstLine="0"/>
            </w:pPr>
            <w:r w:rsidRPr="001271CE">
              <w:t>Se acceptă parțial.</w:t>
            </w:r>
          </w:p>
          <w:p w14:paraId="4C5C0296" w14:textId="7215190F" w:rsidR="00681968" w:rsidRPr="001271CE" w:rsidRDefault="00681968" w:rsidP="009741E8">
            <w:pPr>
              <w:ind w:firstLine="0"/>
            </w:pPr>
            <w:r w:rsidRPr="001271CE">
              <w:t>Noțiunea „.</w:t>
            </w:r>
            <w:r w:rsidRPr="001271CE">
              <w:rPr>
                <w:i/>
                <w:iCs/>
              </w:rPr>
              <w:t xml:space="preserve"> evaluarea impactului de mediu</w:t>
            </w:r>
            <w:r w:rsidRPr="001271CE">
              <w:t>” a fost exclusă.</w:t>
            </w:r>
          </w:p>
        </w:tc>
      </w:tr>
      <w:tr w:rsidR="00681968" w:rsidRPr="001271CE" w14:paraId="7D18264B" w14:textId="77777777" w:rsidTr="003411E9">
        <w:trPr>
          <w:trHeight w:val="300"/>
        </w:trPr>
        <w:tc>
          <w:tcPr>
            <w:tcW w:w="2166" w:type="dxa"/>
            <w:vMerge/>
            <w:tcMar>
              <w:top w:w="0" w:type="dxa"/>
              <w:left w:w="108" w:type="dxa"/>
              <w:bottom w:w="0" w:type="dxa"/>
              <w:right w:w="108" w:type="dxa"/>
            </w:tcMar>
          </w:tcPr>
          <w:p w14:paraId="175AAAD1"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0C57DEDC"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220D4F1D" w14:textId="7FF48BAB" w:rsidR="00681968" w:rsidRPr="001271CE" w:rsidRDefault="00681968" w:rsidP="009473E8">
            <w:pPr>
              <w:ind w:firstLine="0"/>
            </w:pPr>
            <w:r w:rsidRPr="001271CE">
              <w:t>La sbp. 2.12, noțiunea urmează a fi adusă în concordanță cu textul proiectului (ex: pct. 101).</w:t>
            </w:r>
          </w:p>
        </w:tc>
        <w:tc>
          <w:tcPr>
            <w:tcW w:w="6300" w:type="dxa"/>
            <w:tcMar>
              <w:top w:w="0" w:type="dxa"/>
              <w:left w:w="108" w:type="dxa"/>
              <w:bottom w:w="0" w:type="dxa"/>
              <w:right w:w="108" w:type="dxa"/>
            </w:tcMar>
          </w:tcPr>
          <w:p w14:paraId="5AD75D8C" w14:textId="77777777" w:rsidR="00681968" w:rsidRPr="001271CE" w:rsidRDefault="00681968" w:rsidP="009741E8">
            <w:pPr>
              <w:ind w:firstLine="0"/>
            </w:pPr>
            <w:r w:rsidRPr="001271CE">
              <w:t>Se acceptă parțial.</w:t>
            </w:r>
          </w:p>
          <w:p w14:paraId="73A0DBAB" w14:textId="15ABBACE" w:rsidR="00681968" w:rsidRPr="001271CE" w:rsidRDefault="00681968" w:rsidP="009741E8">
            <w:pPr>
              <w:ind w:firstLine="0"/>
            </w:pPr>
            <w:r w:rsidRPr="001271CE">
              <w:t>Pct. 101 a fost modificat, conform avizului suplimentar al MAI.</w:t>
            </w:r>
          </w:p>
        </w:tc>
      </w:tr>
      <w:tr w:rsidR="00681968" w:rsidRPr="001271CE" w14:paraId="7A2372CC" w14:textId="77777777" w:rsidTr="003411E9">
        <w:trPr>
          <w:trHeight w:val="300"/>
        </w:trPr>
        <w:tc>
          <w:tcPr>
            <w:tcW w:w="2166" w:type="dxa"/>
            <w:vMerge/>
            <w:tcMar>
              <w:top w:w="0" w:type="dxa"/>
              <w:left w:w="108" w:type="dxa"/>
              <w:bottom w:w="0" w:type="dxa"/>
              <w:right w:w="108" w:type="dxa"/>
            </w:tcMar>
          </w:tcPr>
          <w:p w14:paraId="0B061F5F"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04EE44D3"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43D306CD" w14:textId="504F848D" w:rsidR="00681968" w:rsidRPr="001271CE" w:rsidRDefault="00681968" w:rsidP="009473E8">
            <w:pPr>
              <w:ind w:firstLine="0"/>
            </w:pPr>
            <w:r w:rsidRPr="001271CE">
              <w:t xml:space="preserve">Cu referire la capitolul II, semnalăm că acesta depășește obiectul de reglementare al </w:t>
            </w:r>
            <w:r w:rsidRPr="001271CE">
              <w:rPr>
                <w:i/>
                <w:iCs/>
              </w:rPr>
              <w:t>Regulamentului</w:t>
            </w:r>
            <w:r w:rsidRPr="001271CE">
              <w:t xml:space="preserve">. Totodată, atât cadrul instituțional, cât și cel programatic a cooperării internaționale pentru dezvoltare și asistență umanitară sunt deja reglementate în capitolele II și III din </w:t>
            </w:r>
            <w:r w:rsidRPr="001271CE">
              <w:rPr>
                <w:i/>
                <w:iCs/>
              </w:rPr>
              <w:t>Legea nr. 149/2025.</w:t>
            </w:r>
          </w:p>
        </w:tc>
        <w:tc>
          <w:tcPr>
            <w:tcW w:w="6300" w:type="dxa"/>
            <w:tcMar>
              <w:top w:w="0" w:type="dxa"/>
              <w:left w:w="108" w:type="dxa"/>
              <w:bottom w:w="0" w:type="dxa"/>
              <w:right w:w="108" w:type="dxa"/>
            </w:tcMar>
          </w:tcPr>
          <w:p w14:paraId="4BFBABE2" w14:textId="77777777" w:rsidR="00681968" w:rsidRPr="001271CE" w:rsidRDefault="00681968" w:rsidP="009741E8">
            <w:pPr>
              <w:ind w:firstLine="0"/>
            </w:pPr>
            <w:r w:rsidRPr="001271CE">
              <w:t>Se acceptă.</w:t>
            </w:r>
          </w:p>
          <w:p w14:paraId="11B8D080" w14:textId="25EB03C7" w:rsidR="00681968" w:rsidRPr="001271CE" w:rsidRDefault="00681968" w:rsidP="009741E8">
            <w:pPr>
              <w:ind w:firstLine="0"/>
            </w:pPr>
            <w:r w:rsidRPr="001271CE">
              <w:t>Titlul capitolului a fost modificat corespunzător, iar conținutul adus în conformitate cu acesta.</w:t>
            </w:r>
          </w:p>
        </w:tc>
      </w:tr>
      <w:tr w:rsidR="00681968" w:rsidRPr="001271CE" w14:paraId="097D41A1" w14:textId="77777777" w:rsidTr="003411E9">
        <w:trPr>
          <w:trHeight w:val="300"/>
        </w:trPr>
        <w:tc>
          <w:tcPr>
            <w:tcW w:w="2166" w:type="dxa"/>
            <w:vMerge/>
            <w:tcMar>
              <w:top w:w="0" w:type="dxa"/>
              <w:left w:w="108" w:type="dxa"/>
              <w:bottom w:w="0" w:type="dxa"/>
              <w:right w:w="108" w:type="dxa"/>
            </w:tcMar>
          </w:tcPr>
          <w:p w14:paraId="3CF7F412"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0F5B290A"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773FB85F" w14:textId="77777777" w:rsidR="00681968" w:rsidRPr="001271CE" w:rsidRDefault="00681968" w:rsidP="009043C3">
            <w:pPr>
              <w:ind w:firstLine="0"/>
            </w:pPr>
            <w:r w:rsidRPr="001271CE">
              <w:t xml:space="preserve">La capitolul III, se va revizui gruparea elementelor structurale, astfel încât să </w:t>
            </w:r>
          </w:p>
          <w:p w14:paraId="37421796" w14:textId="62910DE5" w:rsidR="00681968" w:rsidRPr="001271CE" w:rsidRDefault="00681968" w:rsidP="009043C3">
            <w:pPr>
              <w:ind w:firstLine="0"/>
            </w:pPr>
            <w:r w:rsidRPr="001271CE">
              <w:lastRenderedPageBreak/>
              <w:t>corespundă cerințelor art. 53 din Legea nr. 100/2017 cu privire la actele normative.</w:t>
            </w:r>
          </w:p>
        </w:tc>
        <w:tc>
          <w:tcPr>
            <w:tcW w:w="6300" w:type="dxa"/>
            <w:tcMar>
              <w:top w:w="0" w:type="dxa"/>
              <w:left w:w="108" w:type="dxa"/>
              <w:bottom w:w="0" w:type="dxa"/>
              <w:right w:w="108" w:type="dxa"/>
            </w:tcMar>
          </w:tcPr>
          <w:p w14:paraId="46C4D236" w14:textId="77777777" w:rsidR="00681968" w:rsidRPr="001271CE" w:rsidRDefault="00681968" w:rsidP="009741E8">
            <w:pPr>
              <w:ind w:firstLine="0"/>
            </w:pPr>
            <w:r w:rsidRPr="001271CE">
              <w:lastRenderedPageBreak/>
              <w:t>Nu se acceptă.</w:t>
            </w:r>
          </w:p>
          <w:p w14:paraId="7D8F9CBF" w14:textId="694BE790" w:rsidR="00681968" w:rsidRPr="001271CE" w:rsidRDefault="00681968" w:rsidP="009741E8">
            <w:pPr>
              <w:ind w:firstLine="0"/>
            </w:pPr>
            <w:r w:rsidRPr="001271CE">
              <w:lastRenderedPageBreak/>
              <w:t>Capitolul III este structurat conform art. 53 din Legea nr. 100/2017, prin utilizarea elementelor structurale ierarhice aplicabile Regulamentelor (capitol–secțiune–subsecțiune–puncte). Textul nu instituie elemente structurale improprii și nu contravine cerințelor privind sistematizarea actului normativ.</w:t>
            </w:r>
          </w:p>
        </w:tc>
      </w:tr>
      <w:tr w:rsidR="00681968" w:rsidRPr="001271CE" w14:paraId="51A0BFFA" w14:textId="77777777" w:rsidTr="003411E9">
        <w:trPr>
          <w:trHeight w:val="300"/>
        </w:trPr>
        <w:tc>
          <w:tcPr>
            <w:tcW w:w="2166" w:type="dxa"/>
            <w:vMerge/>
            <w:tcMar>
              <w:top w:w="0" w:type="dxa"/>
              <w:left w:w="108" w:type="dxa"/>
              <w:bottom w:w="0" w:type="dxa"/>
              <w:right w:w="108" w:type="dxa"/>
            </w:tcMar>
          </w:tcPr>
          <w:p w14:paraId="254B62E1"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581D1DB7"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7009D65C" w14:textId="6845F3A2" w:rsidR="00681968" w:rsidRPr="001271CE" w:rsidRDefault="00681968" w:rsidP="009473E8">
            <w:pPr>
              <w:ind w:firstLine="0"/>
            </w:pPr>
            <w:r w:rsidRPr="001271CE">
              <w:t>La pct. 10, norma este confuză, fapt pentru care se va verifica suplimentar.</w:t>
            </w:r>
          </w:p>
        </w:tc>
        <w:tc>
          <w:tcPr>
            <w:tcW w:w="6300" w:type="dxa"/>
            <w:tcMar>
              <w:top w:w="0" w:type="dxa"/>
              <w:left w:w="108" w:type="dxa"/>
              <w:bottom w:w="0" w:type="dxa"/>
              <w:right w:w="108" w:type="dxa"/>
            </w:tcMar>
          </w:tcPr>
          <w:p w14:paraId="5A35D5B2" w14:textId="77777777" w:rsidR="00681968" w:rsidRPr="001271CE" w:rsidRDefault="00681968" w:rsidP="009741E8">
            <w:pPr>
              <w:ind w:firstLine="0"/>
            </w:pPr>
            <w:r w:rsidRPr="001271CE">
              <w:t>Se acceptă.</w:t>
            </w:r>
          </w:p>
          <w:p w14:paraId="4471824E" w14:textId="3372AACC" w:rsidR="00681968" w:rsidRPr="001271CE" w:rsidRDefault="00681968" w:rsidP="009741E8">
            <w:pPr>
              <w:ind w:firstLine="0"/>
            </w:pPr>
            <w:r w:rsidRPr="001271CE">
              <w:t>Norma a fost modificată.</w:t>
            </w:r>
          </w:p>
        </w:tc>
      </w:tr>
      <w:tr w:rsidR="00681968" w:rsidRPr="001271CE" w14:paraId="6C79FBE7" w14:textId="77777777" w:rsidTr="003411E9">
        <w:trPr>
          <w:trHeight w:val="300"/>
        </w:trPr>
        <w:tc>
          <w:tcPr>
            <w:tcW w:w="2166" w:type="dxa"/>
            <w:vMerge/>
            <w:tcMar>
              <w:top w:w="0" w:type="dxa"/>
              <w:left w:w="108" w:type="dxa"/>
              <w:bottom w:w="0" w:type="dxa"/>
              <w:right w:w="108" w:type="dxa"/>
            </w:tcMar>
          </w:tcPr>
          <w:p w14:paraId="1EF1CB44"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3D0FA354"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1BF9AD20" w14:textId="6662EEEB" w:rsidR="00681968" w:rsidRPr="001271CE" w:rsidRDefault="00681968" w:rsidP="009473E8">
            <w:pPr>
              <w:ind w:firstLine="0"/>
            </w:pPr>
            <w:r w:rsidRPr="001271CE">
              <w:t>La pct. 15, sintagma „calificarea necesară” urmează a fi detaliată în scopul expunerii clare.</w:t>
            </w:r>
          </w:p>
        </w:tc>
        <w:tc>
          <w:tcPr>
            <w:tcW w:w="6300" w:type="dxa"/>
            <w:tcMar>
              <w:top w:w="0" w:type="dxa"/>
              <w:left w:w="108" w:type="dxa"/>
              <w:bottom w:w="0" w:type="dxa"/>
              <w:right w:w="108" w:type="dxa"/>
            </w:tcMar>
          </w:tcPr>
          <w:p w14:paraId="606EFFA5" w14:textId="77777777" w:rsidR="00681968" w:rsidRPr="001271CE" w:rsidRDefault="00681968" w:rsidP="009741E8">
            <w:pPr>
              <w:ind w:firstLine="0"/>
            </w:pPr>
            <w:r w:rsidRPr="001271CE">
              <w:t>Se acceptă parțial.</w:t>
            </w:r>
          </w:p>
          <w:p w14:paraId="547375C5" w14:textId="66786131" w:rsidR="00681968" w:rsidRPr="001271CE" w:rsidRDefault="00681968" w:rsidP="008F02DF">
            <w:pPr>
              <w:ind w:firstLine="0"/>
            </w:pPr>
            <w:r w:rsidRPr="001271CE">
              <w:t>Sintagma a fost înlocuită cu „dețin competențe profesionale relevante”. Totodată, detalierea  nu poate avea loc, deoarece conform practicii internaționale (Banca Mondială, OECD DAC), asistența tehnică este: transferul de idei, cunoștințe, practici, tehnologii sau competențe pentru dezvoltarea capacității instituționale și este realizată prin: consilieri tehnici; experți în politici publice; formatori; mentori; facilitatori; peer-to-peer learning; embedding externals în instituții publice etc.</w:t>
            </w:r>
          </w:p>
        </w:tc>
      </w:tr>
      <w:tr w:rsidR="00681968" w:rsidRPr="001271CE" w14:paraId="526BC8F7" w14:textId="77777777" w:rsidTr="003411E9">
        <w:trPr>
          <w:trHeight w:val="300"/>
        </w:trPr>
        <w:tc>
          <w:tcPr>
            <w:tcW w:w="2166" w:type="dxa"/>
            <w:vMerge/>
            <w:tcMar>
              <w:top w:w="0" w:type="dxa"/>
              <w:left w:w="108" w:type="dxa"/>
              <w:bottom w:w="0" w:type="dxa"/>
              <w:right w:w="108" w:type="dxa"/>
            </w:tcMar>
          </w:tcPr>
          <w:p w14:paraId="377B939D"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1ADAAC87"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52197D40" w14:textId="03968465" w:rsidR="00681968" w:rsidRPr="001271CE" w:rsidRDefault="00681968" w:rsidP="009473E8">
            <w:pPr>
              <w:ind w:firstLine="0"/>
            </w:pPr>
            <w:r w:rsidRPr="001271CE">
              <w:t>La pct. 17, sintagma „fără a se limita la” se va exclude ca fiind inutilă, totodată amintim că aceasta nu este specifică limbajului actelor normative.</w:t>
            </w:r>
          </w:p>
        </w:tc>
        <w:tc>
          <w:tcPr>
            <w:tcW w:w="6300" w:type="dxa"/>
            <w:tcMar>
              <w:top w:w="0" w:type="dxa"/>
              <w:left w:w="108" w:type="dxa"/>
              <w:bottom w:w="0" w:type="dxa"/>
              <w:right w:w="108" w:type="dxa"/>
            </w:tcMar>
          </w:tcPr>
          <w:p w14:paraId="19A14E6A" w14:textId="77777777" w:rsidR="00681968" w:rsidRPr="001271CE" w:rsidRDefault="00681968" w:rsidP="009741E8">
            <w:pPr>
              <w:ind w:firstLine="0"/>
            </w:pPr>
            <w:r w:rsidRPr="001271CE">
              <w:t>Se acceptă.</w:t>
            </w:r>
          </w:p>
          <w:p w14:paraId="36E6E1A8" w14:textId="287AF607" w:rsidR="00681968" w:rsidRPr="001271CE" w:rsidRDefault="00681968" w:rsidP="009741E8">
            <w:pPr>
              <w:ind w:firstLine="0"/>
            </w:pPr>
            <w:r w:rsidRPr="001271CE">
              <w:t>Sintagma „fără a se limita la” a fost înlocuită cu „în special”.</w:t>
            </w:r>
          </w:p>
        </w:tc>
      </w:tr>
      <w:tr w:rsidR="00681968" w:rsidRPr="001271CE" w14:paraId="4AB3D417" w14:textId="77777777" w:rsidTr="003411E9">
        <w:trPr>
          <w:trHeight w:val="300"/>
        </w:trPr>
        <w:tc>
          <w:tcPr>
            <w:tcW w:w="2166" w:type="dxa"/>
            <w:vMerge/>
            <w:tcMar>
              <w:top w:w="0" w:type="dxa"/>
              <w:left w:w="108" w:type="dxa"/>
              <w:bottom w:w="0" w:type="dxa"/>
              <w:right w:w="108" w:type="dxa"/>
            </w:tcMar>
          </w:tcPr>
          <w:p w14:paraId="0C098AE5"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65221A87"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686094BE" w14:textId="67E2BF92" w:rsidR="00681968" w:rsidRPr="001271CE" w:rsidRDefault="00681968" w:rsidP="009473E8">
            <w:pPr>
              <w:ind w:firstLine="0"/>
            </w:pPr>
            <w:r w:rsidRPr="001271CE">
              <w:t>La pct. 20 și 22, considerăm necesară includerea criteriilor de eligibilitate în proiect, în vederea excluderii unor abuzuri, or, în lipsa unor norme clare și a unui mecanism de control, pot apărea decizii subiective, ceea ce afectează principiul legalității, egalității și transparenței.</w:t>
            </w:r>
          </w:p>
        </w:tc>
        <w:tc>
          <w:tcPr>
            <w:tcW w:w="6300" w:type="dxa"/>
            <w:tcMar>
              <w:top w:w="0" w:type="dxa"/>
              <w:left w:w="108" w:type="dxa"/>
              <w:bottom w:w="0" w:type="dxa"/>
              <w:right w:w="108" w:type="dxa"/>
            </w:tcMar>
          </w:tcPr>
          <w:p w14:paraId="01419694" w14:textId="77777777" w:rsidR="00681968" w:rsidRPr="001271CE" w:rsidRDefault="00681968" w:rsidP="009741E8">
            <w:pPr>
              <w:ind w:firstLine="0"/>
            </w:pPr>
            <w:r w:rsidRPr="001271CE">
              <w:t>Nu se acceptă.</w:t>
            </w:r>
          </w:p>
          <w:p w14:paraId="5C3725D9" w14:textId="3360E876" w:rsidR="00681968" w:rsidRPr="001271CE" w:rsidRDefault="00681968" w:rsidP="00117E02">
            <w:pPr>
              <w:ind w:firstLine="0"/>
            </w:pPr>
            <w:r w:rsidRPr="001271CE">
              <w:t>Bursele acordate potrivit prezentului Regulament constituie instrumente de implementare a activităților de cooperare internațională pentru dezvoltare și nu prestații individuale acordate în temeiul unui drept de acces general. Stabilirea criteriilor de eligibilitate la nivelul actului normativ ar rigidiza mecanismul de implementare și ar limita capacitatea MAE de a adapta intervențiile la obiectivele specifice ale cooperării și la contextul statului beneficiar. În acest sens, criteriile de eligibilitate și selecție sunt stabilite prin termenii de referință ai fiecărei activități, în funcție de obiectivele urmărite, asigurând astfel caracterul operațional și adaptativ al instrumentelor de cooperare, în concordanță cu prevederile Legii nr. 149/2025.</w:t>
            </w:r>
          </w:p>
        </w:tc>
      </w:tr>
      <w:tr w:rsidR="00681968" w:rsidRPr="001271CE" w14:paraId="14D1D298" w14:textId="77777777" w:rsidTr="003411E9">
        <w:trPr>
          <w:trHeight w:val="300"/>
        </w:trPr>
        <w:tc>
          <w:tcPr>
            <w:tcW w:w="2166" w:type="dxa"/>
            <w:vMerge/>
            <w:tcMar>
              <w:top w:w="0" w:type="dxa"/>
              <w:left w:w="108" w:type="dxa"/>
              <w:bottom w:w="0" w:type="dxa"/>
              <w:right w:w="108" w:type="dxa"/>
            </w:tcMar>
          </w:tcPr>
          <w:p w14:paraId="6FDC6386"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74E2FE78"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434925EC" w14:textId="3A60635B" w:rsidR="00681968" w:rsidRPr="001271CE" w:rsidRDefault="00681968" w:rsidP="009473E8">
            <w:pPr>
              <w:ind w:firstLine="0"/>
            </w:pPr>
            <w:r w:rsidRPr="001271CE">
              <w:t>De asemenea, la pct. 23, cuvintele „poate” și „după caz” sunt periculoase sub aspectul interpretării. Astfel, norma se va revizui, or, aplicarea discreționară a normelor afectează securitatea juridică, încalcă egalitatea de șanse și creează premise pentru abuz de putere.</w:t>
            </w:r>
          </w:p>
        </w:tc>
        <w:tc>
          <w:tcPr>
            <w:tcW w:w="6300" w:type="dxa"/>
            <w:tcMar>
              <w:top w:w="0" w:type="dxa"/>
              <w:left w:w="108" w:type="dxa"/>
              <w:bottom w:w="0" w:type="dxa"/>
              <w:right w:w="108" w:type="dxa"/>
            </w:tcMar>
          </w:tcPr>
          <w:p w14:paraId="4C7F46A1" w14:textId="77777777" w:rsidR="00681968" w:rsidRPr="001271CE" w:rsidRDefault="00681968" w:rsidP="009741E8">
            <w:pPr>
              <w:ind w:firstLine="0"/>
            </w:pPr>
            <w:r w:rsidRPr="001271CE">
              <w:t>Nu se acceptă.</w:t>
            </w:r>
          </w:p>
          <w:p w14:paraId="6840B0F7" w14:textId="2A631226" w:rsidR="00681968" w:rsidRPr="001271CE" w:rsidRDefault="00681968" w:rsidP="00117E02">
            <w:pPr>
              <w:ind w:firstLine="0"/>
            </w:pPr>
            <w:r w:rsidRPr="001271CE">
              <w:t xml:space="preserve">Norma de la pct. 23 nu reglementează un drept subiectiv la bursă și nici accesul general la o prestație individuală, ci stabilește conținutul posibil al unui instrument de implementare utilizat în domeniul cooperării internaționale pentru dezvoltare, în temeiul Legii nr. 149/2025. În acest context, utilizarea termenilor „poate” și „după caz” nu creează o marjă discreționară nepermisă, întrucât aceștia reflectă necesitatea adaptării conținutului bursei la obiectivele activității de cooperare și la specificul programului de studii sau cercetare pentru care aceasta este acordată. Eliminarea acestor termeni ar avea ca efect rigidizarea normei și ar impune un conținut uniform al burselor, independent de natura activităților de </w:t>
            </w:r>
            <w:r w:rsidRPr="001271CE">
              <w:lastRenderedPageBreak/>
              <w:t>cooperare internațională pentru dezvoltare, contrar caracterului operațional al acestui instrument.</w:t>
            </w:r>
          </w:p>
        </w:tc>
      </w:tr>
      <w:tr w:rsidR="00681968" w:rsidRPr="001271CE" w14:paraId="748DFFE6" w14:textId="77777777" w:rsidTr="003411E9">
        <w:trPr>
          <w:trHeight w:val="300"/>
        </w:trPr>
        <w:tc>
          <w:tcPr>
            <w:tcW w:w="2166" w:type="dxa"/>
            <w:vMerge/>
            <w:tcMar>
              <w:top w:w="0" w:type="dxa"/>
              <w:left w:w="108" w:type="dxa"/>
              <w:bottom w:w="0" w:type="dxa"/>
              <w:right w:w="108" w:type="dxa"/>
            </w:tcMar>
          </w:tcPr>
          <w:p w14:paraId="5088C30C"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29AF752F"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4B2F4D09" w14:textId="0415C83B" w:rsidR="00681968" w:rsidRPr="001271CE" w:rsidRDefault="00681968" w:rsidP="009473E8">
            <w:pPr>
              <w:ind w:firstLine="0"/>
            </w:pPr>
            <w:r w:rsidRPr="001271CE">
              <w:t>La sbp. 27.2, cuvântul „Regulament” se va substitui cu cuvintele „prezentul Regulament”.</w:t>
            </w:r>
          </w:p>
        </w:tc>
        <w:tc>
          <w:tcPr>
            <w:tcW w:w="6300" w:type="dxa"/>
            <w:tcMar>
              <w:top w:w="0" w:type="dxa"/>
              <w:left w:w="108" w:type="dxa"/>
              <w:bottom w:w="0" w:type="dxa"/>
              <w:right w:w="108" w:type="dxa"/>
            </w:tcMar>
          </w:tcPr>
          <w:p w14:paraId="114D38B2" w14:textId="77777777" w:rsidR="00681968" w:rsidRPr="001271CE" w:rsidRDefault="00681968" w:rsidP="009741E8">
            <w:pPr>
              <w:ind w:firstLine="0"/>
            </w:pPr>
            <w:r w:rsidRPr="001271CE">
              <w:t>Se acceptă.</w:t>
            </w:r>
          </w:p>
          <w:p w14:paraId="70AB3E9D" w14:textId="2768EDD1" w:rsidR="00681968" w:rsidRPr="001271CE" w:rsidRDefault="00681968" w:rsidP="009741E8">
            <w:pPr>
              <w:ind w:firstLine="0"/>
            </w:pPr>
            <w:r w:rsidRPr="001271CE">
              <w:t>Proiectul a fost modificat corespunzător.</w:t>
            </w:r>
          </w:p>
        </w:tc>
      </w:tr>
      <w:tr w:rsidR="00681968" w:rsidRPr="001271CE" w14:paraId="45DFA4C7" w14:textId="77777777" w:rsidTr="003411E9">
        <w:trPr>
          <w:trHeight w:val="300"/>
        </w:trPr>
        <w:tc>
          <w:tcPr>
            <w:tcW w:w="2166" w:type="dxa"/>
            <w:vMerge/>
            <w:tcMar>
              <w:top w:w="0" w:type="dxa"/>
              <w:left w:w="108" w:type="dxa"/>
              <w:bottom w:w="0" w:type="dxa"/>
              <w:right w:w="108" w:type="dxa"/>
            </w:tcMar>
          </w:tcPr>
          <w:p w14:paraId="069F05EE"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1DB33A2E"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7FCBAB75" w14:textId="52F279E2" w:rsidR="00681968" w:rsidRPr="001271CE" w:rsidRDefault="00681968" w:rsidP="00472226">
            <w:pPr>
              <w:ind w:firstLine="0"/>
            </w:pPr>
            <w:r w:rsidRPr="001271CE">
              <w:t>La sbp. 30.6 amintim că, trimiterile la alte norme se realizează în conformitate cu prevederile art. 55 alin. (3) din Legea nr. 100/2017.</w:t>
            </w:r>
          </w:p>
        </w:tc>
        <w:tc>
          <w:tcPr>
            <w:tcW w:w="6300" w:type="dxa"/>
            <w:tcMar>
              <w:top w:w="0" w:type="dxa"/>
              <w:left w:w="108" w:type="dxa"/>
              <w:bottom w:w="0" w:type="dxa"/>
              <w:right w:w="108" w:type="dxa"/>
            </w:tcMar>
          </w:tcPr>
          <w:p w14:paraId="1A87F414" w14:textId="77777777" w:rsidR="00681968" w:rsidRPr="001271CE" w:rsidRDefault="00681968" w:rsidP="00BD6438">
            <w:pPr>
              <w:ind w:firstLine="0"/>
            </w:pPr>
            <w:r w:rsidRPr="001271CE">
              <w:t>Se acceptă.</w:t>
            </w:r>
          </w:p>
          <w:p w14:paraId="437DA2E9" w14:textId="6EDF685C" w:rsidR="00681968" w:rsidRPr="001271CE" w:rsidRDefault="00681968" w:rsidP="00BD6438">
            <w:pPr>
              <w:ind w:firstLine="0"/>
            </w:pPr>
            <w:r w:rsidRPr="001271CE">
              <w:t>Trimiterea a fost exclusă.</w:t>
            </w:r>
          </w:p>
        </w:tc>
      </w:tr>
      <w:tr w:rsidR="00681968" w:rsidRPr="001271CE" w14:paraId="3B9AB205" w14:textId="77777777" w:rsidTr="003411E9">
        <w:trPr>
          <w:trHeight w:val="300"/>
        </w:trPr>
        <w:tc>
          <w:tcPr>
            <w:tcW w:w="2166" w:type="dxa"/>
            <w:vMerge/>
            <w:tcMar>
              <w:top w:w="0" w:type="dxa"/>
              <w:left w:w="108" w:type="dxa"/>
              <w:bottom w:w="0" w:type="dxa"/>
              <w:right w:w="108" w:type="dxa"/>
            </w:tcMar>
          </w:tcPr>
          <w:p w14:paraId="2FC141DB"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2408470D"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6C9A850D" w14:textId="1A363B72" w:rsidR="00681968" w:rsidRPr="001271CE" w:rsidRDefault="00681968" w:rsidP="009473E8">
            <w:pPr>
              <w:ind w:firstLine="0"/>
            </w:pPr>
            <w:r w:rsidRPr="001271CE">
              <w:t>La pct. 33, sintagma „avizul prealabil” urmează a fi clarificată, deoarece poate genera dubii la aplicarea normei.</w:t>
            </w:r>
          </w:p>
        </w:tc>
        <w:tc>
          <w:tcPr>
            <w:tcW w:w="6300" w:type="dxa"/>
            <w:tcMar>
              <w:top w:w="0" w:type="dxa"/>
              <w:left w:w="108" w:type="dxa"/>
              <w:bottom w:w="0" w:type="dxa"/>
              <w:right w:w="108" w:type="dxa"/>
            </w:tcMar>
          </w:tcPr>
          <w:p w14:paraId="16C9408B" w14:textId="77777777" w:rsidR="00681968" w:rsidRPr="001271CE" w:rsidRDefault="00681968" w:rsidP="009741E8">
            <w:pPr>
              <w:ind w:firstLine="0"/>
            </w:pPr>
            <w:r w:rsidRPr="001271CE">
              <w:t>Se acceptă.</w:t>
            </w:r>
          </w:p>
          <w:p w14:paraId="7EEF40ED" w14:textId="707A705A" w:rsidR="00681968" w:rsidRPr="001271CE" w:rsidRDefault="00681968" w:rsidP="009741E8">
            <w:pPr>
              <w:ind w:firstLine="0"/>
            </w:pPr>
            <w:r w:rsidRPr="001271CE">
              <w:t>Sintagma a fost clarificată.</w:t>
            </w:r>
          </w:p>
        </w:tc>
      </w:tr>
      <w:tr w:rsidR="00681968" w:rsidRPr="001271CE" w14:paraId="16725171" w14:textId="77777777" w:rsidTr="003411E9">
        <w:trPr>
          <w:trHeight w:val="300"/>
        </w:trPr>
        <w:tc>
          <w:tcPr>
            <w:tcW w:w="2166" w:type="dxa"/>
            <w:vMerge/>
            <w:tcMar>
              <w:top w:w="0" w:type="dxa"/>
              <w:left w:w="108" w:type="dxa"/>
              <w:bottom w:w="0" w:type="dxa"/>
              <w:right w:w="108" w:type="dxa"/>
            </w:tcMar>
          </w:tcPr>
          <w:p w14:paraId="22A7AF30"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15F87D29"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78E654A0" w14:textId="3BDE61E2" w:rsidR="00681968" w:rsidRPr="001271CE" w:rsidRDefault="00681968" w:rsidP="009473E8">
            <w:pPr>
              <w:ind w:firstLine="0"/>
            </w:pPr>
            <w:r w:rsidRPr="001271CE">
              <w:t>La pct. 34, cuvintele „în mod exclusiv” se vor exclude ca fiind inutile.</w:t>
            </w:r>
          </w:p>
        </w:tc>
        <w:tc>
          <w:tcPr>
            <w:tcW w:w="6300" w:type="dxa"/>
            <w:tcMar>
              <w:top w:w="0" w:type="dxa"/>
              <w:left w:w="108" w:type="dxa"/>
              <w:bottom w:w="0" w:type="dxa"/>
              <w:right w:w="108" w:type="dxa"/>
            </w:tcMar>
          </w:tcPr>
          <w:p w14:paraId="7DB392D9" w14:textId="77777777" w:rsidR="00681968" w:rsidRPr="001271CE" w:rsidRDefault="00681968" w:rsidP="009741E8">
            <w:pPr>
              <w:ind w:firstLine="0"/>
            </w:pPr>
            <w:r w:rsidRPr="001271CE">
              <w:t>Nu se acceptă.</w:t>
            </w:r>
          </w:p>
          <w:p w14:paraId="374969F3" w14:textId="5134EA8A" w:rsidR="00681968" w:rsidRPr="001271CE" w:rsidRDefault="00681968" w:rsidP="00BD6438">
            <w:pPr>
              <w:ind w:firstLine="0"/>
            </w:pPr>
            <w:r w:rsidRPr="001271CE">
              <w:t>Sintagma „în mod exclusiv” are rolul de a stabili caracterul limitativ al utilizării mijloacelor financiare acordate prin grant, asigurând finanțarea doar a cheltuielilor eligibile, directe și indirecte, prevăzute în acordul de finanțare. Eliminarea acesteia ar permite interpretarea extensivă a normei și ar afecta aplicarea principiului utilizării fondurilor potrivit destinației stabilite, precum și controlul asupra cheltuielilor efectuate în cadrul proiectului.</w:t>
            </w:r>
          </w:p>
        </w:tc>
      </w:tr>
      <w:tr w:rsidR="00681968" w:rsidRPr="001271CE" w14:paraId="5CA2B757" w14:textId="77777777" w:rsidTr="003411E9">
        <w:trPr>
          <w:trHeight w:val="300"/>
        </w:trPr>
        <w:tc>
          <w:tcPr>
            <w:tcW w:w="2166" w:type="dxa"/>
            <w:vMerge/>
            <w:tcMar>
              <w:top w:w="0" w:type="dxa"/>
              <w:left w:w="108" w:type="dxa"/>
              <w:bottom w:w="0" w:type="dxa"/>
              <w:right w:w="108" w:type="dxa"/>
            </w:tcMar>
          </w:tcPr>
          <w:p w14:paraId="3AAB1E70"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51BB85FA"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220FB91D" w14:textId="37F93662" w:rsidR="00681968" w:rsidRPr="001271CE" w:rsidRDefault="00681968" w:rsidP="009473E8">
            <w:pPr>
              <w:ind w:firstLine="0"/>
            </w:pPr>
            <w:r w:rsidRPr="001271CE">
              <w:t>La pct. 38, cuvintele „în mod obligatoriu” și „cel puțin următoarele” se vor examina în vederea excluderii tautologiilor.</w:t>
            </w:r>
          </w:p>
        </w:tc>
        <w:tc>
          <w:tcPr>
            <w:tcW w:w="6300" w:type="dxa"/>
            <w:tcMar>
              <w:top w:w="0" w:type="dxa"/>
              <w:left w:w="108" w:type="dxa"/>
              <w:bottom w:w="0" w:type="dxa"/>
              <w:right w:w="108" w:type="dxa"/>
            </w:tcMar>
          </w:tcPr>
          <w:p w14:paraId="554B0AA0" w14:textId="77777777" w:rsidR="00681968" w:rsidRPr="001271CE" w:rsidRDefault="00681968" w:rsidP="007675BD">
            <w:pPr>
              <w:ind w:firstLine="0"/>
            </w:pPr>
            <w:r w:rsidRPr="001271CE">
              <w:t>Nu se acceptă.</w:t>
            </w:r>
          </w:p>
          <w:p w14:paraId="503D5996" w14:textId="157BBD75" w:rsidR="00681968" w:rsidRPr="001271CE" w:rsidRDefault="00681968" w:rsidP="007675BD">
            <w:pPr>
              <w:ind w:firstLine="0"/>
            </w:pPr>
            <w:r w:rsidRPr="001271CE">
              <w:t>Sintagmele „în mod obligatoriu” și „cel puțin următoarele” nu sunt tautologice, întrucât acestea au funcții normative distincte: prima instituie obligația de includere a elementelor respective în anunț, iar cea de-a doua stabilește caracterul neexhaustiv al enumerării. Eliminarea uneia dintre acestea ar afecta fie caracterul imperativ al conținutului minim al anunțului, fie posibilitatea completării acestuia cu alte elemente relevante pentru obiectivele apelului.</w:t>
            </w:r>
          </w:p>
        </w:tc>
      </w:tr>
      <w:tr w:rsidR="00681968" w:rsidRPr="001271CE" w14:paraId="23C60434" w14:textId="77777777" w:rsidTr="003411E9">
        <w:trPr>
          <w:trHeight w:val="300"/>
        </w:trPr>
        <w:tc>
          <w:tcPr>
            <w:tcW w:w="2166" w:type="dxa"/>
            <w:vMerge/>
            <w:tcMar>
              <w:top w:w="0" w:type="dxa"/>
              <w:left w:w="108" w:type="dxa"/>
              <w:bottom w:w="0" w:type="dxa"/>
              <w:right w:w="108" w:type="dxa"/>
            </w:tcMar>
          </w:tcPr>
          <w:p w14:paraId="69607B5D" w14:textId="77777777" w:rsidR="00681968" w:rsidRPr="001271CE" w:rsidRDefault="00681968" w:rsidP="009741E8">
            <w:pPr>
              <w:ind w:firstLine="0"/>
              <w:jc w:val="left"/>
              <w:rPr>
                <w:b/>
                <w:bCs/>
              </w:rPr>
            </w:pPr>
          </w:p>
        </w:tc>
        <w:tc>
          <w:tcPr>
            <w:tcW w:w="516" w:type="dxa"/>
            <w:tcMar>
              <w:top w:w="0" w:type="dxa"/>
              <w:left w:w="108" w:type="dxa"/>
              <w:bottom w:w="0" w:type="dxa"/>
              <w:right w:w="108" w:type="dxa"/>
            </w:tcMar>
          </w:tcPr>
          <w:p w14:paraId="35699B2B" w14:textId="77777777" w:rsidR="00681968" w:rsidRPr="001271CE" w:rsidRDefault="00681968" w:rsidP="009A7C2F">
            <w:pPr>
              <w:pStyle w:val="ListParagraph"/>
              <w:numPr>
                <w:ilvl w:val="0"/>
                <w:numId w:val="1"/>
              </w:numPr>
              <w:ind w:right="76"/>
              <w:jc w:val="left"/>
            </w:pPr>
          </w:p>
        </w:tc>
        <w:tc>
          <w:tcPr>
            <w:tcW w:w="5706" w:type="dxa"/>
            <w:tcMar>
              <w:top w:w="0" w:type="dxa"/>
              <w:left w:w="108" w:type="dxa"/>
              <w:bottom w:w="0" w:type="dxa"/>
              <w:right w:w="108" w:type="dxa"/>
            </w:tcMar>
          </w:tcPr>
          <w:p w14:paraId="2F72882E" w14:textId="70D79F0D" w:rsidR="00681968" w:rsidRPr="001271CE" w:rsidRDefault="00681968" w:rsidP="009473E8">
            <w:pPr>
              <w:ind w:firstLine="0"/>
            </w:pPr>
            <w:r w:rsidRPr="001271CE">
              <w:t>La pct. 41, sintagma „își rezervă dreptul” este improprie limbajului actelor normative și se va revizui.</w:t>
            </w:r>
          </w:p>
        </w:tc>
        <w:tc>
          <w:tcPr>
            <w:tcW w:w="6300" w:type="dxa"/>
            <w:tcMar>
              <w:top w:w="0" w:type="dxa"/>
              <w:left w:w="108" w:type="dxa"/>
              <w:bottom w:w="0" w:type="dxa"/>
              <w:right w:w="108" w:type="dxa"/>
            </w:tcMar>
          </w:tcPr>
          <w:p w14:paraId="4EDC8D80" w14:textId="77777777" w:rsidR="00681968" w:rsidRPr="001271CE" w:rsidRDefault="00681968" w:rsidP="009741E8">
            <w:pPr>
              <w:ind w:firstLine="0"/>
            </w:pPr>
            <w:r w:rsidRPr="001271CE">
              <w:t>Se acceptă.</w:t>
            </w:r>
          </w:p>
          <w:p w14:paraId="57DF1218" w14:textId="59B34833" w:rsidR="00681968" w:rsidRPr="001271CE" w:rsidRDefault="00681968" w:rsidP="009741E8">
            <w:pPr>
              <w:ind w:firstLine="0"/>
            </w:pPr>
            <w:r w:rsidRPr="001271CE">
              <w:t>Proiectul a fost modificat corespunzător.</w:t>
            </w:r>
          </w:p>
        </w:tc>
      </w:tr>
      <w:tr w:rsidR="00681968" w:rsidRPr="001271CE" w14:paraId="2056DBBE" w14:textId="77777777" w:rsidTr="003411E9">
        <w:trPr>
          <w:trHeight w:val="300"/>
        </w:trPr>
        <w:tc>
          <w:tcPr>
            <w:tcW w:w="2166" w:type="dxa"/>
            <w:vMerge/>
            <w:tcMar>
              <w:top w:w="0" w:type="dxa"/>
              <w:left w:w="108" w:type="dxa"/>
              <w:bottom w:w="0" w:type="dxa"/>
              <w:right w:w="108" w:type="dxa"/>
            </w:tcMar>
          </w:tcPr>
          <w:p w14:paraId="7E9BFE6D"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417C9D00"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649FD726" w14:textId="00C5FB63" w:rsidR="00681968" w:rsidRPr="001271CE" w:rsidRDefault="00681968" w:rsidP="00932173">
            <w:pPr>
              <w:ind w:firstLine="0"/>
            </w:pPr>
            <w:r w:rsidRPr="001271CE">
              <w:t>Pct. 66 se va revizui în sensul expunerii clare a normei.</w:t>
            </w:r>
          </w:p>
        </w:tc>
        <w:tc>
          <w:tcPr>
            <w:tcW w:w="6300" w:type="dxa"/>
            <w:tcMar>
              <w:top w:w="0" w:type="dxa"/>
              <w:left w:w="108" w:type="dxa"/>
              <w:bottom w:w="0" w:type="dxa"/>
              <w:right w:w="108" w:type="dxa"/>
            </w:tcMar>
          </w:tcPr>
          <w:p w14:paraId="5B9DEC72" w14:textId="77777777" w:rsidR="00681968" w:rsidRPr="001271CE" w:rsidRDefault="00681968" w:rsidP="00932173">
            <w:pPr>
              <w:ind w:firstLine="0"/>
            </w:pPr>
            <w:r w:rsidRPr="001271CE">
              <w:t>Se acceptă.</w:t>
            </w:r>
          </w:p>
          <w:p w14:paraId="630DB7F3" w14:textId="6AF73726" w:rsidR="00681968" w:rsidRPr="001271CE" w:rsidRDefault="00681968" w:rsidP="00932173">
            <w:pPr>
              <w:ind w:firstLine="0"/>
            </w:pPr>
            <w:r w:rsidRPr="001271CE">
              <w:t>Pct. 69 în redacția finală a fost modificat corespunzător.</w:t>
            </w:r>
          </w:p>
        </w:tc>
      </w:tr>
      <w:tr w:rsidR="00681968" w:rsidRPr="001271CE" w14:paraId="0F0681C8" w14:textId="77777777" w:rsidTr="003411E9">
        <w:trPr>
          <w:trHeight w:val="300"/>
        </w:trPr>
        <w:tc>
          <w:tcPr>
            <w:tcW w:w="2166" w:type="dxa"/>
            <w:vMerge/>
            <w:tcMar>
              <w:top w:w="0" w:type="dxa"/>
              <w:left w:w="108" w:type="dxa"/>
              <w:bottom w:w="0" w:type="dxa"/>
              <w:right w:w="108" w:type="dxa"/>
            </w:tcMar>
          </w:tcPr>
          <w:p w14:paraId="3F38C22B"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7F7DC3A9"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16C814A5" w14:textId="34C51871" w:rsidR="00681968" w:rsidRPr="001271CE" w:rsidRDefault="00681968" w:rsidP="00932173">
            <w:pPr>
              <w:ind w:firstLine="0"/>
            </w:pPr>
            <w:r w:rsidRPr="001271CE">
              <w:t>Pct. 69 și 71 se vor revizui în scopul evitării dublajelor normative.</w:t>
            </w:r>
          </w:p>
        </w:tc>
        <w:tc>
          <w:tcPr>
            <w:tcW w:w="6300" w:type="dxa"/>
            <w:tcMar>
              <w:top w:w="0" w:type="dxa"/>
              <w:left w:w="108" w:type="dxa"/>
              <w:bottom w:w="0" w:type="dxa"/>
              <w:right w:w="108" w:type="dxa"/>
            </w:tcMar>
          </w:tcPr>
          <w:p w14:paraId="2C9D6915" w14:textId="77777777" w:rsidR="00681968" w:rsidRPr="001271CE" w:rsidRDefault="00681968" w:rsidP="00932173">
            <w:pPr>
              <w:ind w:firstLine="0"/>
            </w:pPr>
            <w:r w:rsidRPr="001271CE">
              <w:t>Se acceptă.</w:t>
            </w:r>
          </w:p>
          <w:p w14:paraId="14CCC74D" w14:textId="0587A973" w:rsidR="00681968" w:rsidRPr="001271CE" w:rsidRDefault="00681968" w:rsidP="00932173">
            <w:pPr>
              <w:ind w:firstLine="0"/>
            </w:pPr>
            <w:r w:rsidRPr="001271CE">
              <w:t>Proiectul a fost modificat corespunzător.</w:t>
            </w:r>
          </w:p>
        </w:tc>
      </w:tr>
      <w:tr w:rsidR="00681968" w:rsidRPr="001271CE" w14:paraId="709F32F5" w14:textId="77777777" w:rsidTr="003411E9">
        <w:trPr>
          <w:trHeight w:val="300"/>
        </w:trPr>
        <w:tc>
          <w:tcPr>
            <w:tcW w:w="2166" w:type="dxa"/>
            <w:vMerge/>
            <w:tcMar>
              <w:top w:w="0" w:type="dxa"/>
              <w:left w:w="108" w:type="dxa"/>
              <w:bottom w:w="0" w:type="dxa"/>
              <w:right w:w="108" w:type="dxa"/>
            </w:tcMar>
          </w:tcPr>
          <w:p w14:paraId="11D27534"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51E6FD58"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2591EE50" w14:textId="2DD76572" w:rsidR="00681968" w:rsidRPr="001271CE" w:rsidRDefault="00681968" w:rsidP="00932173">
            <w:pPr>
              <w:ind w:firstLine="0"/>
            </w:pPr>
            <w:r w:rsidRPr="001271CE">
              <w:t>Pct. 72 se va revedea prin prisma clarității și în scopul evitării prevederilor contradictorii. Obiecția dată este valabilă și pentru pct. 73.</w:t>
            </w:r>
          </w:p>
        </w:tc>
        <w:tc>
          <w:tcPr>
            <w:tcW w:w="6300" w:type="dxa"/>
            <w:tcMar>
              <w:top w:w="0" w:type="dxa"/>
              <w:left w:w="108" w:type="dxa"/>
              <w:bottom w:w="0" w:type="dxa"/>
              <w:right w:w="108" w:type="dxa"/>
            </w:tcMar>
          </w:tcPr>
          <w:p w14:paraId="1F967C4D" w14:textId="210F899B" w:rsidR="00681968" w:rsidRPr="001271CE" w:rsidRDefault="00681968" w:rsidP="00932173">
            <w:pPr>
              <w:ind w:firstLine="0"/>
            </w:pPr>
            <w:r w:rsidRPr="001271CE">
              <w:t>Se acceptă parțial.</w:t>
            </w:r>
          </w:p>
          <w:p w14:paraId="6A7048A1" w14:textId="40030F70" w:rsidR="00681968" w:rsidRPr="001271CE" w:rsidRDefault="00681968" w:rsidP="00932173">
            <w:pPr>
              <w:ind w:firstLine="0"/>
            </w:pPr>
            <w:r w:rsidRPr="001271CE">
              <w:t>Pct. 72 (74 în redacție actuală) a fost modificat. Totodată, pct. 73 nu conține prevederi contradictorii.</w:t>
            </w:r>
          </w:p>
        </w:tc>
      </w:tr>
      <w:tr w:rsidR="00681968" w:rsidRPr="001271CE" w14:paraId="6FAA7213" w14:textId="77777777" w:rsidTr="003411E9">
        <w:trPr>
          <w:trHeight w:val="300"/>
        </w:trPr>
        <w:tc>
          <w:tcPr>
            <w:tcW w:w="2166" w:type="dxa"/>
            <w:vMerge/>
            <w:tcMar>
              <w:top w:w="0" w:type="dxa"/>
              <w:left w:w="108" w:type="dxa"/>
              <w:bottom w:w="0" w:type="dxa"/>
              <w:right w:w="108" w:type="dxa"/>
            </w:tcMar>
          </w:tcPr>
          <w:p w14:paraId="2672E57B"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20DA588E"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73841441" w14:textId="032E1D4C" w:rsidR="00681968" w:rsidRPr="001271CE" w:rsidRDefault="00681968" w:rsidP="00932173">
            <w:pPr>
              <w:ind w:firstLine="0"/>
            </w:pPr>
            <w:r w:rsidRPr="001271CE">
              <w:t>La pct. 75 amintim că, expunerea dispozițiilor de conținut trebuie să fie sistematizată într-o succesiune logică, fapt pentru care norma se va revizui.</w:t>
            </w:r>
          </w:p>
        </w:tc>
        <w:tc>
          <w:tcPr>
            <w:tcW w:w="6300" w:type="dxa"/>
            <w:tcMar>
              <w:top w:w="0" w:type="dxa"/>
              <w:left w:w="108" w:type="dxa"/>
              <w:bottom w:w="0" w:type="dxa"/>
              <w:right w:w="108" w:type="dxa"/>
            </w:tcMar>
          </w:tcPr>
          <w:p w14:paraId="1110F93C" w14:textId="77777777" w:rsidR="00681968" w:rsidRPr="001271CE" w:rsidRDefault="00681968" w:rsidP="00A2662A">
            <w:pPr>
              <w:ind w:firstLine="0"/>
            </w:pPr>
            <w:r w:rsidRPr="001271CE">
              <w:t>Nu se acceptă.</w:t>
            </w:r>
          </w:p>
          <w:p w14:paraId="2D09E532" w14:textId="4C1A18FE" w:rsidR="00681968" w:rsidRPr="001271CE" w:rsidRDefault="00681968" w:rsidP="004340AD">
            <w:pPr>
              <w:ind w:firstLine="0"/>
            </w:pPr>
            <w:r w:rsidRPr="001271CE">
              <w:t xml:space="preserve">Norma reglementează un aspect distinct al executării financiare a grantului. Pct. 38 stabilește plafonul maxim al cheltuielilor indirecte în faza de eligibilitate și planificare bugetară, respectiv limita de 25% raportată la cheltuielile directe. Pct. 75 (76 redacție actuală) reglementează modalitatea de calcul în faza de implementare și raportare financiară, clarificând că procentul se aplică la cheltuielile realizate efectiv. Reiterarea plafonului nu constituie un dublaj normativ, ci asigură coerența între etapa de aprobare a </w:t>
            </w:r>
            <w:r w:rsidRPr="001271CE">
              <w:lastRenderedPageBreak/>
              <w:t>grantului și etapa de execuție, prevenind interpretări divergente privind baza de calcul aplicabilă în practică.</w:t>
            </w:r>
          </w:p>
        </w:tc>
      </w:tr>
      <w:tr w:rsidR="00681968" w:rsidRPr="001271CE" w14:paraId="3E91F773" w14:textId="77777777" w:rsidTr="003411E9">
        <w:trPr>
          <w:trHeight w:val="300"/>
        </w:trPr>
        <w:tc>
          <w:tcPr>
            <w:tcW w:w="2166" w:type="dxa"/>
            <w:vMerge/>
            <w:tcMar>
              <w:top w:w="0" w:type="dxa"/>
              <w:left w:w="108" w:type="dxa"/>
              <w:bottom w:w="0" w:type="dxa"/>
              <w:right w:w="108" w:type="dxa"/>
            </w:tcMar>
          </w:tcPr>
          <w:p w14:paraId="78E7249B"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5674491D"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4625D2A6" w14:textId="72DA8A11" w:rsidR="00681968" w:rsidRPr="001271CE" w:rsidRDefault="00681968" w:rsidP="00932173">
            <w:pPr>
              <w:ind w:firstLine="0"/>
            </w:pPr>
            <w:r w:rsidRPr="001271CE">
              <w:t>La pct. 78 este de remarcat că, cuvântul „calendaristice” este nepotrivit pentru determinarea curgerii și calculării termenilor, or, aceasta este regula generală de curgere a termenului. În caz contrar, apare incertitudinea în privința modului de calculare a termenului în cazurile în care nu s-a specificat tipul zilelor avute în vedere (a se vedea pct. 29, 76, și 86). Obiecția dată este valabilă pentru toate cazurile similare din proiect.</w:t>
            </w:r>
          </w:p>
        </w:tc>
        <w:tc>
          <w:tcPr>
            <w:tcW w:w="6300" w:type="dxa"/>
            <w:tcMar>
              <w:top w:w="0" w:type="dxa"/>
              <w:left w:w="108" w:type="dxa"/>
              <w:bottom w:w="0" w:type="dxa"/>
              <w:right w:w="108" w:type="dxa"/>
            </w:tcMar>
          </w:tcPr>
          <w:p w14:paraId="588004A0" w14:textId="77777777" w:rsidR="00681968" w:rsidRPr="001271CE" w:rsidRDefault="00681968" w:rsidP="00932173">
            <w:pPr>
              <w:ind w:firstLine="0"/>
            </w:pPr>
            <w:r w:rsidRPr="001271CE">
              <w:t>Se acceptă.</w:t>
            </w:r>
          </w:p>
          <w:p w14:paraId="340F0079" w14:textId="5C3A7984" w:rsidR="00681968" w:rsidRPr="001271CE" w:rsidRDefault="00681968" w:rsidP="00932173">
            <w:pPr>
              <w:ind w:firstLine="0"/>
            </w:pPr>
            <w:r w:rsidRPr="001271CE">
              <w:t>Proiectul a fost modificat corespunzător.</w:t>
            </w:r>
          </w:p>
        </w:tc>
      </w:tr>
      <w:tr w:rsidR="00681968" w:rsidRPr="001271CE" w14:paraId="0AA1F48E" w14:textId="77777777" w:rsidTr="003411E9">
        <w:trPr>
          <w:trHeight w:val="300"/>
        </w:trPr>
        <w:tc>
          <w:tcPr>
            <w:tcW w:w="2166" w:type="dxa"/>
            <w:vMerge/>
            <w:tcMar>
              <w:top w:w="0" w:type="dxa"/>
              <w:left w:w="108" w:type="dxa"/>
              <w:bottom w:w="0" w:type="dxa"/>
              <w:right w:w="108" w:type="dxa"/>
            </w:tcMar>
          </w:tcPr>
          <w:p w14:paraId="00CEDA49"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1A98DE64"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75985AD3" w14:textId="5AB06D88" w:rsidR="00681968" w:rsidRPr="001271CE" w:rsidRDefault="00681968" w:rsidP="00932173">
            <w:pPr>
              <w:ind w:firstLine="0"/>
            </w:pPr>
            <w:r w:rsidRPr="001271CE">
              <w:t>Pct. 82 se va revizui în sensul expunerii clare a normei.</w:t>
            </w:r>
          </w:p>
        </w:tc>
        <w:tc>
          <w:tcPr>
            <w:tcW w:w="6300" w:type="dxa"/>
            <w:tcMar>
              <w:top w:w="0" w:type="dxa"/>
              <w:left w:w="108" w:type="dxa"/>
              <w:bottom w:w="0" w:type="dxa"/>
              <w:right w:w="108" w:type="dxa"/>
            </w:tcMar>
          </w:tcPr>
          <w:p w14:paraId="44189AC1" w14:textId="77777777" w:rsidR="00681968" w:rsidRPr="001271CE" w:rsidRDefault="00681968" w:rsidP="00932173">
            <w:pPr>
              <w:ind w:firstLine="0"/>
            </w:pPr>
            <w:r w:rsidRPr="001271CE">
              <w:t xml:space="preserve">Nu se acceptă. </w:t>
            </w:r>
          </w:p>
          <w:p w14:paraId="70E13457" w14:textId="0CD1E66E" w:rsidR="00681968" w:rsidRPr="001271CE" w:rsidRDefault="00681968" w:rsidP="00932173">
            <w:pPr>
              <w:ind w:firstLine="0"/>
            </w:pPr>
            <w:r w:rsidRPr="001271CE">
              <w:t>Norma este clară în contextul contribuțiilor la bugetul general al unor organisme de drept public sau privat și nu generează ambiguități în aplicare. Formularea este utilizată constant în practica cooperării internaționale și reflectă natura juridică a contribuțiilor respective, fără a necesita detaliere suplimentară.</w:t>
            </w:r>
          </w:p>
        </w:tc>
      </w:tr>
      <w:tr w:rsidR="00681968" w:rsidRPr="001271CE" w14:paraId="4FA1F6E3" w14:textId="77777777" w:rsidTr="003411E9">
        <w:trPr>
          <w:trHeight w:val="300"/>
        </w:trPr>
        <w:tc>
          <w:tcPr>
            <w:tcW w:w="2166" w:type="dxa"/>
            <w:vMerge/>
            <w:tcMar>
              <w:top w:w="0" w:type="dxa"/>
              <w:left w:w="108" w:type="dxa"/>
              <w:bottom w:w="0" w:type="dxa"/>
              <w:right w:w="108" w:type="dxa"/>
            </w:tcMar>
          </w:tcPr>
          <w:p w14:paraId="022FA450"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78BF316E"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56981817" w14:textId="4737A186" w:rsidR="00681968" w:rsidRPr="001271CE" w:rsidRDefault="00681968" w:rsidP="00932173">
            <w:pPr>
              <w:ind w:firstLine="0"/>
            </w:pPr>
            <w:r w:rsidRPr="001271CE">
              <w:t xml:space="preserve">Pct. 83 se va examina suplimentar prin prisma pct. 9 din Regulamentul cu privire la organizarea și funcționarea Ministerului Afacerilor Externe, aprobat prin Hotărârea </w:t>
            </w:r>
          </w:p>
          <w:p w14:paraId="59D834C9" w14:textId="23E115F4" w:rsidR="00681968" w:rsidRPr="001271CE" w:rsidRDefault="00681968" w:rsidP="00932173">
            <w:pPr>
              <w:ind w:firstLine="0"/>
            </w:pPr>
            <w:r w:rsidRPr="001271CE">
              <w:t>Guvernului nr. 697/2017.</w:t>
            </w:r>
          </w:p>
        </w:tc>
        <w:tc>
          <w:tcPr>
            <w:tcW w:w="6300" w:type="dxa"/>
            <w:tcMar>
              <w:top w:w="0" w:type="dxa"/>
              <w:left w:w="108" w:type="dxa"/>
              <w:bottom w:w="0" w:type="dxa"/>
              <w:right w:w="108" w:type="dxa"/>
            </w:tcMar>
          </w:tcPr>
          <w:p w14:paraId="3C17F980" w14:textId="4E3F7540" w:rsidR="00681968" w:rsidRPr="001271CE" w:rsidRDefault="00681968" w:rsidP="0041574B">
            <w:pPr>
              <w:ind w:firstLine="0"/>
            </w:pPr>
            <w:r w:rsidRPr="001271CE">
              <w:t>Nu se acceptă.</w:t>
            </w:r>
          </w:p>
          <w:p w14:paraId="566DDC1C" w14:textId="7896B117" w:rsidR="00681968" w:rsidRPr="001271CE" w:rsidRDefault="00681968" w:rsidP="00415CF2">
            <w:pPr>
              <w:ind w:firstLine="0"/>
            </w:pPr>
            <w:r w:rsidRPr="001271CE">
              <w:t xml:space="preserve">Norma nu instituie competențe noi pentru ministru și nu contravine pct. 9 din Regulamentul privind organizarea și funcționarea Ministerului Afacerilor Externe, aprobat prin Hotărârea Guvernului nr. 697/2017. Norma detaliază mecanismul de exercitare a atribuțiilor Ministerului în domeniul cooperării internaționale pentru dezvoltare, în temeiul Legii nr. 149/2025, fără a modifica sau extinde competențele stabilite prin actul de organizare. </w:t>
            </w:r>
          </w:p>
        </w:tc>
      </w:tr>
      <w:tr w:rsidR="00681968" w:rsidRPr="001271CE" w14:paraId="1F7CD830" w14:textId="77777777" w:rsidTr="003411E9">
        <w:trPr>
          <w:trHeight w:val="300"/>
        </w:trPr>
        <w:tc>
          <w:tcPr>
            <w:tcW w:w="2166" w:type="dxa"/>
            <w:vMerge/>
            <w:tcMar>
              <w:top w:w="0" w:type="dxa"/>
              <w:left w:w="108" w:type="dxa"/>
              <w:bottom w:w="0" w:type="dxa"/>
              <w:right w:w="108" w:type="dxa"/>
            </w:tcMar>
          </w:tcPr>
          <w:p w14:paraId="13893EB4"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133749DF"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4B19B89E" w14:textId="46BEC7E3" w:rsidR="00681968" w:rsidRPr="001271CE" w:rsidRDefault="00681968" w:rsidP="00932173">
            <w:pPr>
              <w:ind w:firstLine="0"/>
            </w:pPr>
            <w:r w:rsidRPr="001271CE">
              <w:t>La pct. 86, textul „prin derogare de la pct. 29” este inutil, or, normele derogatorii sunt diferite în raport cu reglementarea-cadru în materie şi sunt aplicabile unei situaţii determinate. Termenul de 15 zile se referă la lansarea apelurilor de proiecte în regim simplificat. Totodată, la pct. 86 se va specifica că este vorba de lansarea apelurilor de proiecte în regim simplificat.</w:t>
            </w:r>
          </w:p>
        </w:tc>
        <w:tc>
          <w:tcPr>
            <w:tcW w:w="6300" w:type="dxa"/>
            <w:tcMar>
              <w:top w:w="0" w:type="dxa"/>
              <w:left w:w="108" w:type="dxa"/>
              <w:bottom w:w="0" w:type="dxa"/>
              <w:right w:w="108" w:type="dxa"/>
            </w:tcMar>
          </w:tcPr>
          <w:p w14:paraId="3C115441" w14:textId="77777777" w:rsidR="00681968" w:rsidRPr="001271CE" w:rsidRDefault="00681968" w:rsidP="00932173">
            <w:pPr>
              <w:ind w:firstLine="0"/>
            </w:pPr>
            <w:r w:rsidRPr="001271CE">
              <w:t>Se acceptă.</w:t>
            </w:r>
          </w:p>
          <w:p w14:paraId="34CC5F9D" w14:textId="52DA2CB3" w:rsidR="00681968" w:rsidRPr="001271CE" w:rsidRDefault="00681968" w:rsidP="00932173">
            <w:pPr>
              <w:ind w:firstLine="0"/>
            </w:pPr>
            <w:r w:rsidRPr="001271CE">
              <w:t>Pct. 86 a fost eliminat.</w:t>
            </w:r>
          </w:p>
        </w:tc>
      </w:tr>
      <w:tr w:rsidR="00681968" w:rsidRPr="001271CE" w14:paraId="5F42A5F9" w14:textId="77777777" w:rsidTr="003411E9">
        <w:trPr>
          <w:trHeight w:val="300"/>
        </w:trPr>
        <w:tc>
          <w:tcPr>
            <w:tcW w:w="2166" w:type="dxa"/>
            <w:vMerge/>
            <w:tcMar>
              <w:top w:w="0" w:type="dxa"/>
              <w:left w:w="108" w:type="dxa"/>
              <w:bottom w:w="0" w:type="dxa"/>
              <w:right w:w="108" w:type="dxa"/>
            </w:tcMar>
          </w:tcPr>
          <w:p w14:paraId="137E6E3A"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745750CD"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54C3CF58" w14:textId="17988846" w:rsidR="00681968" w:rsidRPr="001271CE" w:rsidRDefault="00681968" w:rsidP="00932173">
            <w:pPr>
              <w:ind w:firstLine="0"/>
            </w:pPr>
            <w:r w:rsidRPr="001271CE">
              <w:t>La pct. 97 se va înlătura neclaritatea cu privire la norma de trimitere, deoarece se consideră a fi eronată.</w:t>
            </w:r>
          </w:p>
        </w:tc>
        <w:tc>
          <w:tcPr>
            <w:tcW w:w="6300" w:type="dxa"/>
            <w:tcMar>
              <w:top w:w="0" w:type="dxa"/>
              <w:left w:w="108" w:type="dxa"/>
              <w:bottom w:w="0" w:type="dxa"/>
              <w:right w:w="108" w:type="dxa"/>
            </w:tcMar>
          </w:tcPr>
          <w:p w14:paraId="64327BC3" w14:textId="77777777" w:rsidR="00681968" w:rsidRPr="001271CE" w:rsidRDefault="00681968" w:rsidP="0099339C">
            <w:pPr>
              <w:ind w:firstLine="0"/>
            </w:pPr>
            <w:r w:rsidRPr="001271CE">
              <w:t>Se acceptă.</w:t>
            </w:r>
          </w:p>
          <w:p w14:paraId="76F63B02" w14:textId="7FC2CC17" w:rsidR="00681968" w:rsidRPr="001271CE" w:rsidRDefault="00681968" w:rsidP="0099339C">
            <w:pPr>
              <w:ind w:firstLine="0"/>
            </w:pPr>
            <w:r w:rsidRPr="001271CE">
              <w:t>Proiectul a fost modificat corespunzător.</w:t>
            </w:r>
          </w:p>
        </w:tc>
      </w:tr>
      <w:tr w:rsidR="00681968" w:rsidRPr="001271CE" w14:paraId="6A21D37D" w14:textId="77777777" w:rsidTr="003411E9">
        <w:trPr>
          <w:trHeight w:val="300"/>
        </w:trPr>
        <w:tc>
          <w:tcPr>
            <w:tcW w:w="2166" w:type="dxa"/>
            <w:vMerge/>
            <w:tcMar>
              <w:top w:w="0" w:type="dxa"/>
              <w:left w:w="108" w:type="dxa"/>
              <w:bottom w:w="0" w:type="dxa"/>
              <w:right w:w="108" w:type="dxa"/>
            </w:tcMar>
          </w:tcPr>
          <w:p w14:paraId="1AE6312D" w14:textId="77777777" w:rsidR="00681968" w:rsidRPr="001271CE" w:rsidRDefault="00681968" w:rsidP="00932173">
            <w:pPr>
              <w:ind w:firstLine="0"/>
              <w:jc w:val="left"/>
              <w:rPr>
                <w:b/>
                <w:bCs/>
              </w:rPr>
            </w:pPr>
          </w:p>
        </w:tc>
        <w:tc>
          <w:tcPr>
            <w:tcW w:w="516" w:type="dxa"/>
            <w:tcMar>
              <w:top w:w="0" w:type="dxa"/>
              <w:left w:w="108" w:type="dxa"/>
              <w:bottom w:w="0" w:type="dxa"/>
              <w:right w:w="108" w:type="dxa"/>
            </w:tcMar>
          </w:tcPr>
          <w:p w14:paraId="0BF95E86" w14:textId="77777777" w:rsidR="00681968" w:rsidRPr="001271CE" w:rsidRDefault="00681968" w:rsidP="00932173">
            <w:pPr>
              <w:pStyle w:val="ListParagraph"/>
              <w:numPr>
                <w:ilvl w:val="0"/>
                <w:numId w:val="1"/>
              </w:numPr>
              <w:ind w:right="76"/>
              <w:jc w:val="left"/>
            </w:pPr>
          </w:p>
        </w:tc>
        <w:tc>
          <w:tcPr>
            <w:tcW w:w="5706" w:type="dxa"/>
            <w:tcMar>
              <w:top w:w="0" w:type="dxa"/>
              <w:left w:w="108" w:type="dxa"/>
              <w:bottom w:w="0" w:type="dxa"/>
              <w:right w:w="108" w:type="dxa"/>
            </w:tcMar>
          </w:tcPr>
          <w:p w14:paraId="78ABDF9E" w14:textId="7D3374B6" w:rsidR="00681968" w:rsidRPr="001271CE" w:rsidRDefault="00681968" w:rsidP="00932173">
            <w:pPr>
              <w:ind w:firstLine="0"/>
            </w:pPr>
            <w:r w:rsidRPr="001271CE">
              <w:t>Pct. 104 se va exclude ca fiind inutil.</w:t>
            </w:r>
          </w:p>
        </w:tc>
        <w:tc>
          <w:tcPr>
            <w:tcW w:w="6300" w:type="dxa"/>
            <w:tcMar>
              <w:top w:w="0" w:type="dxa"/>
              <w:left w:w="108" w:type="dxa"/>
              <w:bottom w:w="0" w:type="dxa"/>
              <w:right w:w="108" w:type="dxa"/>
            </w:tcMar>
          </w:tcPr>
          <w:p w14:paraId="09A0114B" w14:textId="726C8322" w:rsidR="00681968" w:rsidRPr="001271CE" w:rsidRDefault="00681968" w:rsidP="001F0989">
            <w:pPr>
              <w:ind w:firstLine="0"/>
            </w:pPr>
            <w:r w:rsidRPr="001271CE">
              <w:t>Nu se acceptă.</w:t>
            </w:r>
          </w:p>
          <w:p w14:paraId="74AE9F4A" w14:textId="2406A4FE" w:rsidR="00681968" w:rsidRPr="001271CE" w:rsidRDefault="00681968" w:rsidP="001F0989">
            <w:pPr>
              <w:ind w:firstLine="0"/>
            </w:pPr>
            <w:r w:rsidRPr="001271CE">
              <w:t>Pct. 107 nou nu reprezintă un dublaj normativ, ci stabilește aplicarea expresă a principiului DNSH în procesul de aprobare și implementare a finanțărilor acordate potrivit Regulamentului, constituind norma-cadru a Capitolului V.</w:t>
            </w:r>
          </w:p>
        </w:tc>
      </w:tr>
      <w:tr w:rsidR="00681968" w:rsidRPr="001271CE" w14:paraId="6F48DAF9" w14:textId="77777777" w:rsidTr="003411E9">
        <w:trPr>
          <w:trHeight w:val="300"/>
        </w:trPr>
        <w:tc>
          <w:tcPr>
            <w:tcW w:w="2166" w:type="dxa"/>
            <w:vMerge/>
            <w:tcMar>
              <w:top w:w="0" w:type="dxa"/>
              <w:left w:w="108" w:type="dxa"/>
              <w:bottom w:w="0" w:type="dxa"/>
              <w:right w:w="108" w:type="dxa"/>
            </w:tcMar>
          </w:tcPr>
          <w:p w14:paraId="2EBB5B1F" w14:textId="77777777" w:rsidR="00681968" w:rsidRPr="001271CE" w:rsidRDefault="00681968" w:rsidP="001F0989">
            <w:pPr>
              <w:ind w:firstLine="0"/>
              <w:jc w:val="left"/>
              <w:rPr>
                <w:b/>
                <w:bCs/>
              </w:rPr>
            </w:pPr>
          </w:p>
        </w:tc>
        <w:tc>
          <w:tcPr>
            <w:tcW w:w="516" w:type="dxa"/>
            <w:tcMar>
              <w:top w:w="0" w:type="dxa"/>
              <w:left w:w="108" w:type="dxa"/>
              <w:bottom w:w="0" w:type="dxa"/>
              <w:right w:w="108" w:type="dxa"/>
            </w:tcMar>
          </w:tcPr>
          <w:p w14:paraId="64A37FA3" w14:textId="77777777" w:rsidR="00681968" w:rsidRPr="001271CE" w:rsidRDefault="00681968" w:rsidP="001F0989">
            <w:pPr>
              <w:pStyle w:val="ListParagraph"/>
              <w:numPr>
                <w:ilvl w:val="0"/>
                <w:numId w:val="1"/>
              </w:numPr>
              <w:ind w:right="76"/>
              <w:jc w:val="left"/>
            </w:pPr>
          </w:p>
        </w:tc>
        <w:tc>
          <w:tcPr>
            <w:tcW w:w="5706" w:type="dxa"/>
            <w:tcMar>
              <w:top w:w="0" w:type="dxa"/>
              <w:left w:w="108" w:type="dxa"/>
              <w:bottom w:w="0" w:type="dxa"/>
              <w:right w:w="108" w:type="dxa"/>
            </w:tcMar>
          </w:tcPr>
          <w:p w14:paraId="6F648613" w14:textId="59E39FB3" w:rsidR="00681968" w:rsidRPr="001271CE" w:rsidRDefault="00681968" w:rsidP="001F0989">
            <w:pPr>
              <w:ind w:firstLine="0"/>
            </w:pPr>
            <w:r w:rsidRPr="001271CE">
              <w:t>Suplimentar, proiectul se va revizui prin prisma cerințelor de limbaj, ortografie și punctuație, consacrate în art. 54 din Legea nr. 100/2017.</w:t>
            </w:r>
          </w:p>
        </w:tc>
        <w:tc>
          <w:tcPr>
            <w:tcW w:w="6300" w:type="dxa"/>
            <w:tcMar>
              <w:top w:w="0" w:type="dxa"/>
              <w:left w:w="108" w:type="dxa"/>
              <w:bottom w:w="0" w:type="dxa"/>
              <w:right w:w="108" w:type="dxa"/>
            </w:tcMar>
          </w:tcPr>
          <w:p w14:paraId="2EF5CCCC" w14:textId="77777777" w:rsidR="00681968" w:rsidRPr="001271CE" w:rsidRDefault="00681968" w:rsidP="001F0989">
            <w:pPr>
              <w:ind w:firstLine="0"/>
            </w:pPr>
            <w:r w:rsidRPr="001271CE">
              <w:t>Se acceptă.</w:t>
            </w:r>
          </w:p>
          <w:p w14:paraId="7E787C63" w14:textId="26BE80FB" w:rsidR="00681968" w:rsidRPr="001271CE" w:rsidRDefault="00681968" w:rsidP="001F0989">
            <w:pPr>
              <w:ind w:firstLine="0"/>
            </w:pPr>
            <w:r w:rsidRPr="001271CE">
              <w:t>Proiectul a fost modificat corespunzător.</w:t>
            </w:r>
          </w:p>
        </w:tc>
      </w:tr>
    </w:tbl>
    <w:p w14:paraId="24D8FE0E" w14:textId="25C9335A" w:rsidR="00582470" w:rsidRPr="001271CE" w:rsidRDefault="00582470" w:rsidP="00C6523E">
      <w:pPr>
        <w:pBdr>
          <w:top w:val="none" w:sz="4" w:space="0" w:color="000000"/>
          <w:left w:val="none" w:sz="4" w:space="0" w:color="000000"/>
          <w:bottom w:val="none" w:sz="4" w:space="0" w:color="000000"/>
          <w:right w:val="none" w:sz="4" w:space="0" w:color="000000"/>
        </w:pBdr>
        <w:tabs>
          <w:tab w:val="left" w:pos="884"/>
          <w:tab w:val="left" w:pos="1134"/>
          <w:tab w:val="left" w:pos="1196"/>
        </w:tabs>
        <w:ind w:firstLine="0"/>
      </w:pPr>
    </w:p>
    <w:sectPr w:rsidR="00582470" w:rsidRPr="001271CE" w:rsidSect="00207E57">
      <w:headerReference w:type="default" r:id="rId13"/>
      <w:footerReference w:type="default" r:id="rId14"/>
      <w:headerReference w:type="first" r:id="rId15"/>
      <w:footerReference w:type="first" r:id="rId16"/>
      <w:pgSz w:w="16840" w:h="11907" w:orient="landscape"/>
      <w:pgMar w:top="810" w:right="1360" w:bottom="567" w:left="1418"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FE96" w14:textId="77777777" w:rsidR="009C7988" w:rsidRDefault="009C7988">
      <w:r>
        <w:separator/>
      </w:r>
    </w:p>
  </w:endnote>
  <w:endnote w:type="continuationSeparator" w:id="0">
    <w:p w14:paraId="3F2B2FA0" w14:textId="77777777" w:rsidR="009C7988" w:rsidRDefault="009C7988">
      <w:r>
        <w:continuationSeparator/>
      </w:r>
    </w:p>
  </w:endnote>
  <w:endnote w:type="continuationNotice" w:id="1">
    <w:p w14:paraId="7B039D73" w14:textId="77777777" w:rsidR="009C7988" w:rsidRDefault="009C79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6779E8EF" w14:textId="77777777" w:rsidTr="3DD2A7CB">
      <w:trPr>
        <w:trHeight w:val="300"/>
      </w:trPr>
      <w:tc>
        <w:tcPr>
          <w:tcW w:w="3115" w:type="dxa"/>
        </w:tcPr>
        <w:p w14:paraId="6C282475" w14:textId="4BF0F781" w:rsidR="4CC30ECF" w:rsidRDefault="4CC30ECF" w:rsidP="4CC30ECF">
          <w:pPr>
            <w:pStyle w:val="Header"/>
            <w:ind w:left="-115"/>
            <w:jc w:val="left"/>
          </w:pPr>
        </w:p>
      </w:tc>
      <w:tc>
        <w:tcPr>
          <w:tcW w:w="3115" w:type="dxa"/>
        </w:tcPr>
        <w:p w14:paraId="16A5A57A" w14:textId="0E1BE6F3" w:rsidR="4CC30ECF" w:rsidRDefault="4CC30ECF" w:rsidP="4CC30ECF">
          <w:pPr>
            <w:pStyle w:val="Header"/>
            <w:jc w:val="center"/>
          </w:pPr>
        </w:p>
      </w:tc>
      <w:tc>
        <w:tcPr>
          <w:tcW w:w="3115" w:type="dxa"/>
        </w:tcPr>
        <w:p w14:paraId="07D85533" w14:textId="470B30A0" w:rsidR="4CC30ECF" w:rsidRDefault="4CC30ECF" w:rsidP="4CC30ECF">
          <w:pPr>
            <w:pStyle w:val="Header"/>
            <w:ind w:right="-115"/>
            <w:jc w:val="right"/>
          </w:pPr>
        </w:p>
      </w:tc>
    </w:tr>
  </w:tbl>
  <w:p w14:paraId="791EEA25" w14:textId="08ABBEBB" w:rsidR="4CC30ECF" w:rsidRDefault="4CC30ECF" w:rsidP="4CC30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4CC30ECF" w14:paraId="112EF3B3" w14:textId="77777777" w:rsidTr="3DD2A7CB">
      <w:trPr>
        <w:trHeight w:val="300"/>
      </w:trPr>
      <w:tc>
        <w:tcPr>
          <w:tcW w:w="3115" w:type="dxa"/>
        </w:tcPr>
        <w:p w14:paraId="413B3322" w14:textId="33724DC7" w:rsidR="4CC30ECF" w:rsidRDefault="4CC30ECF" w:rsidP="4CC30ECF">
          <w:pPr>
            <w:pStyle w:val="Header"/>
            <w:ind w:left="-115"/>
            <w:jc w:val="left"/>
          </w:pPr>
        </w:p>
      </w:tc>
      <w:tc>
        <w:tcPr>
          <w:tcW w:w="3115" w:type="dxa"/>
        </w:tcPr>
        <w:p w14:paraId="608810C0" w14:textId="148E4CF0" w:rsidR="4CC30ECF" w:rsidRDefault="4CC30ECF" w:rsidP="4CC30ECF">
          <w:pPr>
            <w:pStyle w:val="Header"/>
            <w:jc w:val="center"/>
          </w:pPr>
        </w:p>
      </w:tc>
      <w:tc>
        <w:tcPr>
          <w:tcW w:w="3115" w:type="dxa"/>
        </w:tcPr>
        <w:p w14:paraId="157E1D97" w14:textId="090159AE" w:rsidR="4CC30ECF" w:rsidRDefault="4CC30ECF" w:rsidP="4CC30ECF">
          <w:pPr>
            <w:pStyle w:val="Header"/>
            <w:ind w:right="-115"/>
            <w:jc w:val="right"/>
          </w:pPr>
        </w:p>
      </w:tc>
    </w:tr>
  </w:tbl>
  <w:p w14:paraId="035A0A14" w14:textId="777A96EF" w:rsidR="4CC30ECF" w:rsidRDefault="4CC30ECF" w:rsidP="4CC30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EE2CD" w14:textId="77777777" w:rsidR="009C7988" w:rsidRDefault="009C7988">
      <w:r>
        <w:separator/>
      </w:r>
    </w:p>
  </w:footnote>
  <w:footnote w:type="continuationSeparator" w:id="0">
    <w:p w14:paraId="6217D490" w14:textId="77777777" w:rsidR="009C7988" w:rsidRDefault="009C7988">
      <w:r>
        <w:continuationSeparator/>
      </w:r>
    </w:p>
  </w:footnote>
  <w:footnote w:type="continuationNotice" w:id="1">
    <w:p w14:paraId="5C08097E" w14:textId="77777777" w:rsidR="009C7988" w:rsidRDefault="009C7988"/>
  </w:footnote>
  <w:footnote w:id="2">
    <w:p w14:paraId="7C9A1B28" w14:textId="77777777" w:rsidR="009318CB" w:rsidRPr="0074751E" w:rsidRDefault="009318CB" w:rsidP="009318CB">
      <w:pPr>
        <w:pStyle w:val="FootnoteText"/>
        <w:rPr>
          <w:lang w:val="ro-MD"/>
        </w:rPr>
      </w:pPr>
      <w:r>
        <w:rPr>
          <w:rStyle w:val="FootnoteReference"/>
        </w:rPr>
        <w:footnoteRef/>
      </w:r>
      <w:r>
        <w:t xml:space="preserve"> </w:t>
      </w:r>
      <w:hyperlink r:id="rId1" w:history="1">
        <w:r w:rsidRPr="00955942">
          <w:rPr>
            <w:rStyle w:val="Hyperlink"/>
          </w:rPr>
          <w:t>Anunț privind inițierea elaborării proiectului Regulamentului privind mecanismul de realizare a activităților de cooperare internațională pentru dezvoltare și asistență umanitară (număr unic 895/MAE/2025)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77777777" w:rsidR="00D07A16" w:rsidRPr="00F37ED4" w:rsidRDefault="00D07A16" w:rsidP="009D4C0F">
    <w:pPr>
      <w:pStyle w:val="Header"/>
      <w:ind w:firstLine="0"/>
      <w:jc w:val="center"/>
      <w:rPr>
        <w:sz w:val="28"/>
        <w:szCs w:val="28"/>
      </w:rPr>
    </w:pPr>
    <w:r w:rsidRPr="3DD2A7CB">
      <w:rPr>
        <w:sz w:val="28"/>
        <w:szCs w:val="28"/>
      </w:rPr>
      <w:fldChar w:fldCharType="begin"/>
    </w:r>
    <w:r w:rsidRPr="3DD2A7CB">
      <w:rPr>
        <w:sz w:val="28"/>
        <w:szCs w:val="28"/>
      </w:rPr>
      <w:instrText>PAGE   \* MERGEFORMAT</w:instrText>
    </w:r>
    <w:r w:rsidRPr="3DD2A7CB">
      <w:rPr>
        <w:sz w:val="28"/>
        <w:szCs w:val="28"/>
      </w:rPr>
      <w:fldChar w:fldCharType="separate"/>
    </w:r>
    <w:r w:rsidR="3DD2A7CB" w:rsidRPr="3DD2A7CB">
      <w:rPr>
        <w:sz w:val="28"/>
        <w:szCs w:val="28"/>
      </w:rPr>
      <w:t>8</w:t>
    </w:r>
    <w:r w:rsidRPr="3DD2A7CB">
      <w:rPr>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Header"/>
      <w:ind w:firstLine="0"/>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A403C"/>
    <w:multiLevelType w:val="hybridMultilevel"/>
    <w:tmpl w:val="03D44B06"/>
    <w:lvl w:ilvl="0" w:tplc="F64441BE">
      <w:start w:val="1"/>
      <w:numFmt w:val="bullet"/>
      <w:lvlText w:val=""/>
      <w:lvlJc w:val="left"/>
      <w:pPr>
        <w:ind w:left="360" w:hanging="360"/>
      </w:pPr>
      <w:rPr>
        <w:rFonts w:ascii="Symbol" w:hAnsi="Symbol" w:hint="default"/>
      </w:rPr>
    </w:lvl>
    <w:lvl w:ilvl="1" w:tplc="08180003" w:tentative="1">
      <w:start w:val="1"/>
      <w:numFmt w:val="bullet"/>
      <w:lvlText w:val="o"/>
      <w:lvlJc w:val="left"/>
      <w:pPr>
        <w:ind w:left="1080" w:hanging="360"/>
      </w:pPr>
      <w:rPr>
        <w:rFonts w:ascii="Courier New" w:hAnsi="Courier New" w:cs="Courier New" w:hint="default"/>
      </w:rPr>
    </w:lvl>
    <w:lvl w:ilvl="2" w:tplc="08180005" w:tentative="1">
      <w:start w:val="1"/>
      <w:numFmt w:val="bullet"/>
      <w:lvlText w:val=""/>
      <w:lvlJc w:val="left"/>
      <w:pPr>
        <w:ind w:left="1800" w:hanging="360"/>
      </w:pPr>
      <w:rPr>
        <w:rFonts w:ascii="Wingdings" w:hAnsi="Wingdings" w:hint="default"/>
      </w:rPr>
    </w:lvl>
    <w:lvl w:ilvl="3" w:tplc="08180001" w:tentative="1">
      <w:start w:val="1"/>
      <w:numFmt w:val="bullet"/>
      <w:lvlText w:val=""/>
      <w:lvlJc w:val="left"/>
      <w:pPr>
        <w:ind w:left="2520" w:hanging="360"/>
      </w:pPr>
      <w:rPr>
        <w:rFonts w:ascii="Symbol" w:hAnsi="Symbol" w:hint="default"/>
      </w:rPr>
    </w:lvl>
    <w:lvl w:ilvl="4" w:tplc="08180003" w:tentative="1">
      <w:start w:val="1"/>
      <w:numFmt w:val="bullet"/>
      <w:lvlText w:val="o"/>
      <w:lvlJc w:val="left"/>
      <w:pPr>
        <w:ind w:left="3240" w:hanging="360"/>
      </w:pPr>
      <w:rPr>
        <w:rFonts w:ascii="Courier New" w:hAnsi="Courier New" w:cs="Courier New" w:hint="default"/>
      </w:rPr>
    </w:lvl>
    <w:lvl w:ilvl="5" w:tplc="08180005" w:tentative="1">
      <w:start w:val="1"/>
      <w:numFmt w:val="bullet"/>
      <w:lvlText w:val=""/>
      <w:lvlJc w:val="left"/>
      <w:pPr>
        <w:ind w:left="3960" w:hanging="360"/>
      </w:pPr>
      <w:rPr>
        <w:rFonts w:ascii="Wingdings" w:hAnsi="Wingdings" w:hint="default"/>
      </w:rPr>
    </w:lvl>
    <w:lvl w:ilvl="6" w:tplc="08180001" w:tentative="1">
      <w:start w:val="1"/>
      <w:numFmt w:val="bullet"/>
      <w:lvlText w:val=""/>
      <w:lvlJc w:val="left"/>
      <w:pPr>
        <w:ind w:left="4680" w:hanging="360"/>
      </w:pPr>
      <w:rPr>
        <w:rFonts w:ascii="Symbol" w:hAnsi="Symbol" w:hint="default"/>
      </w:rPr>
    </w:lvl>
    <w:lvl w:ilvl="7" w:tplc="08180003" w:tentative="1">
      <w:start w:val="1"/>
      <w:numFmt w:val="bullet"/>
      <w:lvlText w:val="o"/>
      <w:lvlJc w:val="left"/>
      <w:pPr>
        <w:ind w:left="5400" w:hanging="360"/>
      </w:pPr>
      <w:rPr>
        <w:rFonts w:ascii="Courier New" w:hAnsi="Courier New" w:cs="Courier New" w:hint="default"/>
      </w:rPr>
    </w:lvl>
    <w:lvl w:ilvl="8" w:tplc="08180005" w:tentative="1">
      <w:start w:val="1"/>
      <w:numFmt w:val="bullet"/>
      <w:lvlText w:val=""/>
      <w:lvlJc w:val="left"/>
      <w:pPr>
        <w:ind w:left="6120" w:hanging="360"/>
      </w:pPr>
      <w:rPr>
        <w:rFonts w:ascii="Wingdings" w:hAnsi="Wingdings" w:hint="default"/>
      </w:rPr>
    </w:lvl>
  </w:abstractNum>
  <w:abstractNum w:abstractNumId="1" w15:restartNumberingAfterBreak="0">
    <w:nsid w:val="2B757297"/>
    <w:multiLevelType w:val="hybridMultilevel"/>
    <w:tmpl w:val="B9846D8C"/>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 w15:restartNumberingAfterBreak="0">
    <w:nsid w:val="5C394068"/>
    <w:multiLevelType w:val="hybridMultilevel"/>
    <w:tmpl w:val="F8266E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FBF7F14"/>
    <w:multiLevelType w:val="hybridMultilevel"/>
    <w:tmpl w:val="BEAC4190"/>
    <w:lvl w:ilvl="0" w:tplc="0818000F">
      <w:start w:val="1"/>
      <w:numFmt w:val="decimal"/>
      <w:lvlText w:val="%1."/>
      <w:lvlJc w:val="left"/>
      <w:pPr>
        <w:ind w:left="360" w:hanging="360"/>
      </w:p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4" w15:restartNumberingAfterBreak="0">
    <w:nsid w:val="6EAF0F7A"/>
    <w:multiLevelType w:val="hybridMultilevel"/>
    <w:tmpl w:val="A17A5330"/>
    <w:lvl w:ilvl="0" w:tplc="0818000F">
      <w:start w:val="1"/>
      <w:numFmt w:val="decimal"/>
      <w:lvlText w:val="%1."/>
      <w:lvlJc w:val="left"/>
      <w:pPr>
        <w:ind w:left="360" w:hanging="360"/>
      </w:pPr>
    </w:lvl>
    <w:lvl w:ilvl="1" w:tplc="08180019">
      <w:start w:val="1"/>
      <w:numFmt w:val="lowerLetter"/>
      <w:lvlText w:val="%2."/>
      <w:lvlJc w:val="left"/>
      <w:pPr>
        <w:ind w:left="1080" w:hanging="360"/>
      </w:pPr>
    </w:lvl>
    <w:lvl w:ilvl="2" w:tplc="0818001B">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num w:numId="1" w16cid:durableId="2106461410">
    <w:abstractNumId w:val="3"/>
  </w:num>
  <w:num w:numId="2" w16cid:durableId="452024157">
    <w:abstractNumId w:val="1"/>
  </w:num>
  <w:num w:numId="3" w16cid:durableId="715934791">
    <w:abstractNumId w:val="0"/>
  </w:num>
  <w:num w:numId="4" w16cid:durableId="291516959">
    <w:abstractNumId w:val="2"/>
  </w:num>
  <w:num w:numId="5" w16cid:durableId="620962283">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BE6"/>
    <w:rsid w:val="00002B57"/>
    <w:rsid w:val="00002CA4"/>
    <w:rsid w:val="00003D48"/>
    <w:rsid w:val="000069EF"/>
    <w:rsid w:val="0000739B"/>
    <w:rsid w:val="00012509"/>
    <w:rsid w:val="00013460"/>
    <w:rsid w:val="0001365E"/>
    <w:rsid w:val="00013804"/>
    <w:rsid w:val="00013AC9"/>
    <w:rsid w:val="00014CE0"/>
    <w:rsid w:val="0001747F"/>
    <w:rsid w:val="00021FF6"/>
    <w:rsid w:val="00022C1C"/>
    <w:rsid w:val="0002334C"/>
    <w:rsid w:val="00023589"/>
    <w:rsid w:val="0002435C"/>
    <w:rsid w:val="00032B46"/>
    <w:rsid w:val="00033E4B"/>
    <w:rsid w:val="00034A00"/>
    <w:rsid w:val="00034C35"/>
    <w:rsid w:val="00036346"/>
    <w:rsid w:val="0004283A"/>
    <w:rsid w:val="0004289C"/>
    <w:rsid w:val="000430B6"/>
    <w:rsid w:val="00043AC7"/>
    <w:rsid w:val="000447D9"/>
    <w:rsid w:val="00044D19"/>
    <w:rsid w:val="00044E51"/>
    <w:rsid w:val="00045681"/>
    <w:rsid w:val="000515E7"/>
    <w:rsid w:val="00052045"/>
    <w:rsid w:val="00054810"/>
    <w:rsid w:val="0006038E"/>
    <w:rsid w:val="000618E8"/>
    <w:rsid w:val="00061B7C"/>
    <w:rsid w:val="00063EEA"/>
    <w:rsid w:val="000653A8"/>
    <w:rsid w:val="00070791"/>
    <w:rsid w:val="0007117B"/>
    <w:rsid w:val="000713DA"/>
    <w:rsid w:val="00071EAA"/>
    <w:rsid w:val="0007236F"/>
    <w:rsid w:val="00072EA8"/>
    <w:rsid w:val="00075A5F"/>
    <w:rsid w:val="00077408"/>
    <w:rsid w:val="00077BF5"/>
    <w:rsid w:val="00081267"/>
    <w:rsid w:val="000826E6"/>
    <w:rsid w:val="00085029"/>
    <w:rsid w:val="000915B3"/>
    <w:rsid w:val="00091AE1"/>
    <w:rsid w:val="00094B5F"/>
    <w:rsid w:val="000952AD"/>
    <w:rsid w:val="000A1D84"/>
    <w:rsid w:val="000A2AA8"/>
    <w:rsid w:val="000A3C32"/>
    <w:rsid w:val="000A6611"/>
    <w:rsid w:val="000A6BA5"/>
    <w:rsid w:val="000B0548"/>
    <w:rsid w:val="000B3072"/>
    <w:rsid w:val="000B3CAE"/>
    <w:rsid w:val="000B3D87"/>
    <w:rsid w:val="000B4610"/>
    <w:rsid w:val="000B50EE"/>
    <w:rsid w:val="000B5444"/>
    <w:rsid w:val="000C041B"/>
    <w:rsid w:val="000C2AB4"/>
    <w:rsid w:val="000C34B3"/>
    <w:rsid w:val="000C382F"/>
    <w:rsid w:val="000C405F"/>
    <w:rsid w:val="000C5D0D"/>
    <w:rsid w:val="000D0A19"/>
    <w:rsid w:val="000D22B4"/>
    <w:rsid w:val="000D2880"/>
    <w:rsid w:val="000D2BBB"/>
    <w:rsid w:val="000D51FE"/>
    <w:rsid w:val="000D5C74"/>
    <w:rsid w:val="000E0A73"/>
    <w:rsid w:val="000E1D40"/>
    <w:rsid w:val="000E2800"/>
    <w:rsid w:val="000E4321"/>
    <w:rsid w:val="000E543A"/>
    <w:rsid w:val="000F18D6"/>
    <w:rsid w:val="000F497A"/>
    <w:rsid w:val="000F57CF"/>
    <w:rsid w:val="000F6577"/>
    <w:rsid w:val="0010162B"/>
    <w:rsid w:val="00102A59"/>
    <w:rsid w:val="00102AD8"/>
    <w:rsid w:val="001030F0"/>
    <w:rsid w:val="001046E6"/>
    <w:rsid w:val="0010683F"/>
    <w:rsid w:val="00110AB5"/>
    <w:rsid w:val="0011131E"/>
    <w:rsid w:val="0011178C"/>
    <w:rsid w:val="00111B3C"/>
    <w:rsid w:val="00113956"/>
    <w:rsid w:val="00116035"/>
    <w:rsid w:val="00117E02"/>
    <w:rsid w:val="0012009E"/>
    <w:rsid w:val="001211EA"/>
    <w:rsid w:val="00121670"/>
    <w:rsid w:val="00121739"/>
    <w:rsid w:val="001249F8"/>
    <w:rsid w:val="001258BF"/>
    <w:rsid w:val="001271CE"/>
    <w:rsid w:val="00130025"/>
    <w:rsid w:val="00134775"/>
    <w:rsid w:val="0014014C"/>
    <w:rsid w:val="00140C59"/>
    <w:rsid w:val="00143389"/>
    <w:rsid w:val="00143CC4"/>
    <w:rsid w:val="00144BCA"/>
    <w:rsid w:val="00145B85"/>
    <w:rsid w:val="001470D7"/>
    <w:rsid w:val="0015146D"/>
    <w:rsid w:val="00156CE5"/>
    <w:rsid w:val="00157D40"/>
    <w:rsid w:val="00162BE7"/>
    <w:rsid w:val="001646D3"/>
    <w:rsid w:val="00165441"/>
    <w:rsid w:val="00165A3D"/>
    <w:rsid w:val="0016752C"/>
    <w:rsid w:val="00167FD7"/>
    <w:rsid w:val="0017006C"/>
    <w:rsid w:val="001715F7"/>
    <w:rsid w:val="00174E20"/>
    <w:rsid w:val="00177401"/>
    <w:rsid w:val="0018129B"/>
    <w:rsid w:val="00183E3A"/>
    <w:rsid w:val="00184334"/>
    <w:rsid w:val="00184391"/>
    <w:rsid w:val="00185AC8"/>
    <w:rsid w:val="00185F5E"/>
    <w:rsid w:val="00191428"/>
    <w:rsid w:val="00192F14"/>
    <w:rsid w:val="001A125D"/>
    <w:rsid w:val="001A21A6"/>
    <w:rsid w:val="001A25C3"/>
    <w:rsid w:val="001A27F5"/>
    <w:rsid w:val="001A2BF2"/>
    <w:rsid w:val="001A37C7"/>
    <w:rsid w:val="001A3BCC"/>
    <w:rsid w:val="001B03C0"/>
    <w:rsid w:val="001B3BE4"/>
    <w:rsid w:val="001B5818"/>
    <w:rsid w:val="001B66A4"/>
    <w:rsid w:val="001B6E6E"/>
    <w:rsid w:val="001C0020"/>
    <w:rsid w:val="001C3F21"/>
    <w:rsid w:val="001C4EEE"/>
    <w:rsid w:val="001C4FF4"/>
    <w:rsid w:val="001C67B3"/>
    <w:rsid w:val="001D2FA2"/>
    <w:rsid w:val="001D5224"/>
    <w:rsid w:val="001D5D18"/>
    <w:rsid w:val="001D6806"/>
    <w:rsid w:val="001E4497"/>
    <w:rsid w:val="001E68FA"/>
    <w:rsid w:val="001E789A"/>
    <w:rsid w:val="001F0570"/>
    <w:rsid w:val="001F0989"/>
    <w:rsid w:val="001F2097"/>
    <w:rsid w:val="002000EB"/>
    <w:rsid w:val="00200223"/>
    <w:rsid w:val="00200516"/>
    <w:rsid w:val="0020257F"/>
    <w:rsid w:val="00202C4D"/>
    <w:rsid w:val="002035B4"/>
    <w:rsid w:val="00205100"/>
    <w:rsid w:val="00206C11"/>
    <w:rsid w:val="0020753D"/>
    <w:rsid w:val="0020794F"/>
    <w:rsid w:val="00207A89"/>
    <w:rsid w:val="00207E57"/>
    <w:rsid w:val="002152B8"/>
    <w:rsid w:val="002164C9"/>
    <w:rsid w:val="00216DC5"/>
    <w:rsid w:val="002170A5"/>
    <w:rsid w:val="0022195D"/>
    <w:rsid w:val="0022251F"/>
    <w:rsid w:val="00222537"/>
    <w:rsid w:val="002266C1"/>
    <w:rsid w:val="00227D9A"/>
    <w:rsid w:val="00230761"/>
    <w:rsid w:val="002315F5"/>
    <w:rsid w:val="00231CCE"/>
    <w:rsid w:val="00236E65"/>
    <w:rsid w:val="0023702E"/>
    <w:rsid w:val="002372B8"/>
    <w:rsid w:val="00237CEB"/>
    <w:rsid w:val="00240AC0"/>
    <w:rsid w:val="002436DC"/>
    <w:rsid w:val="002453BD"/>
    <w:rsid w:val="00250891"/>
    <w:rsid w:val="002508FC"/>
    <w:rsid w:val="00257353"/>
    <w:rsid w:val="0025782A"/>
    <w:rsid w:val="00261A1E"/>
    <w:rsid w:val="002721D2"/>
    <w:rsid w:val="0027425A"/>
    <w:rsid w:val="00275819"/>
    <w:rsid w:val="0028093A"/>
    <w:rsid w:val="00281C80"/>
    <w:rsid w:val="00286C49"/>
    <w:rsid w:val="00286EF3"/>
    <w:rsid w:val="00287E70"/>
    <w:rsid w:val="002950E0"/>
    <w:rsid w:val="0029528A"/>
    <w:rsid w:val="002954C4"/>
    <w:rsid w:val="00297415"/>
    <w:rsid w:val="002A0F0D"/>
    <w:rsid w:val="002A2696"/>
    <w:rsid w:val="002A2E48"/>
    <w:rsid w:val="002A3C98"/>
    <w:rsid w:val="002A6327"/>
    <w:rsid w:val="002A6A76"/>
    <w:rsid w:val="002A74A3"/>
    <w:rsid w:val="002A7703"/>
    <w:rsid w:val="002B07BD"/>
    <w:rsid w:val="002B11E8"/>
    <w:rsid w:val="002B5444"/>
    <w:rsid w:val="002B547F"/>
    <w:rsid w:val="002B65B5"/>
    <w:rsid w:val="002B6E81"/>
    <w:rsid w:val="002B71FA"/>
    <w:rsid w:val="002B7384"/>
    <w:rsid w:val="002C21E9"/>
    <w:rsid w:val="002D38C5"/>
    <w:rsid w:val="002D7D8D"/>
    <w:rsid w:val="002E0499"/>
    <w:rsid w:val="002E1EC1"/>
    <w:rsid w:val="002E3513"/>
    <w:rsid w:val="002E4217"/>
    <w:rsid w:val="002E505B"/>
    <w:rsid w:val="002F30F7"/>
    <w:rsid w:val="002F3DAA"/>
    <w:rsid w:val="002F5F1E"/>
    <w:rsid w:val="002F72D7"/>
    <w:rsid w:val="002F7FB5"/>
    <w:rsid w:val="00300642"/>
    <w:rsid w:val="003013D1"/>
    <w:rsid w:val="00301D7D"/>
    <w:rsid w:val="0030435F"/>
    <w:rsid w:val="0030753B"/>
    <w:rsid w:val="0031219B"/>
    <w:rsid w:val="003133FA"/>
    <w:rsid w:val="0031555D"/>
    <w:rsid w:val="00315655"/>
    <w:rsid w:val="00315B32"/>
    <w:rsid w:val="00315BDC"/>
    <w:rsid w:val="003169D6"/>
    <w:rsid w:val="0032027F"/>
    <w:rsid w:val="00324559"/>
    <w:rsid w:val="003254A1"/>
    <w:rsid w:val="0032786C"/>
    <w:rsid w:val="00327C88"/>
    <w:rsid w:val="0033093B"/>
    <w:rsid w:val="00330BB8"/>
    <w:rsid w:val="00334BB0"/>
    <w:rsid w:val="00334C0F"/>
    <w:rsid w:val="00335075"/>
    <w:rsid w:val="003358FF"/>
    <w:rsid w:val="00336568"/>
    <w:rsid w:val="00337280"/>
    <w:rsid w:val="003411E9"/>
    <w:rsid w:val="00341CD5"/>
    <w:rsid w:val="00342629"/>
    <w:rsid w:val="00343A3C"/>
    <w:rsid w:val="003449D4"/>
    <w:rsid w:val="00347B79"/>
    <w:rsid w:val="003509A8"/>
    <w:rsid w:val="00352430"/>
    <w:rsid w:val="00354545"/>
    <w:rsid w:val="0036135C"/>
    <w:rsid w:val="0036167A"/>
    <w:rsid w:val="00362D0C"/>
    <w:rsid w:val="00363CA5"/>
    <w:rsid w:val="00364216"/>
    <w:rsid w:val="0036518F"/>
    <w:rsid w:val="00366667"/>
    <w:rsid w:val="0036768D"/>
    <w:rsid w:val="003727F7"/>
    <w:rsid w:val="00374362"/>
    <w:rsid w:val="00374834"/>
    <w:rsid w:val="00377425"/>
    <w:rsid w:val="00377B12"/>
    <w:rsid w:val="00380147"/>
    <w:rsid w:val="00381C7D"/>
    <w:rsid w:val="00383105"/>
    <w:rsid w:val="00384F18"/>
    <w:rsid w:val="00385C9B"/>
    <w:rsid w:val="003872BA"/>
    <w:rsid w:val="00387D77"/>
    <w:rsid w:val="003922EF"/>
    <w:rsid w:val="00393198"/>
    <w:rsid w:val="00394A57"/>
    <w:rsid w:val="00397415"/>
    <w:rsid w:val="003977E0"/>
    <w:rsid w:val="003A2CB2"/>
    <w:rsid w:val="003A4D1C"/>
    <w:rsid w:val="003B16FE"/>
    <w:rsid w:val="003B257A"/>
    <w:rsid w:val="003B7521"/>
    <w:rsid w:val="003C0956"/>
    <w:rsid w:val="003C0C4D"/>
    <w:rsid w:val="003C11CC"/>
    <w:rsid w:val="003C2EAE"/>
    <w:rsid w:val="003C314E"/>
    <w:rsid w:val="003C3DB4"/>
    <w:rsid w:val="003C3EB9"/>
    <w:rsid w:val="003C6B07"/>
    <w:rsid w:val="003D5B58"/>
    <w:rsid w:val="003D5E8B"/>
    <w:rsid w:val="003E03AD"/>
    <w:rsid w:val="003E3748"/>
    <w:rsid w:val="003E4DA7"/>
    <w:rsid w:val="003E559A"/>
    <w:rsid w:val="003E757B"/>
    <w:rsid w:val="003F0331"/>
    <w:rsid w:val="003F0C3A"/>
    <w:rsid w:val="003F0CD8"/>
    <w:rsid w:val="003F1602"/>
    <w:rsid w:val="003F7113"/>
    <w:rsid w:val="00401CFC"/>
    <w:rsid w:val="00403F0B"/>
    <w:rsid w:val="00404371"/>
    <w:rsid w:val="00405019"/>
    <w:rsid w:val="00406BA9"/>
    <w:rsid w:val="00410C9A"/>
    <w:rsid w:val="00411D73"/>
    <w:rsid w:val="00412A2F"/>
    <w:rsid w:val="00413754"/>
    <w:rsid w:val="004143A4"/>
    <w:rsid w:val="0041574B"/>
    <w:rsid w:val="00415CF2"/>
    <w:rsid w:val="004167E4"/>
    <w:rsid w:val="004219AB"/>
    <w:rsid w:val="00421AB5"/>
    <w:rsid w:val="00424212"/>
    <w:rsid w:val="00424CF9"/>
    <w:rsid w:val="00431B02"/>
    <w:rsid w:val="0043208D"/>
    <w:rsid w:val="004333B4"/>
    <w:rsid w:val="0043405E"/>
    <w:rsid w:val="004340AD"/>
    <w:rsid w:val="00434203"/>
    <w:rsid w:val="0044396B"/>
    <w:rsid w:val="00445007"/>
    <w:rsid w:val="004479DA"/>
    <w:rsid w:val="00447C54"/>
    <w:rsid w:val="00451784"/>
    <w:rsid w:val="00452C3E"/>
    <w:rsid w:val="00452C6C"/>
    <w:rsid w:val="0045451B"/>
    <w:rsid w:val="004568E5"/>
    <w:rsid w:val="00457B36"/>
    <w:rsid w:val="00464294"/>
    <w:rsid w:val="004644E7"/>
    <w:rsid w:val="004677E2"/>
    <w:rsid w:val="00471831"/>
    <w:rsid w:val="00472226"/>
    <w:rsid w:val="004722E8"/>
    <w:rsid w:val="004735CE"/>
    <w:rsid w:val="00474437"/>
    <w:rsid w:val="00474658"/>
    <w:rsid w:val="0047797E"/>
    <w:rsid w:val="004802F9"/>
    <w:rsid w:val="004861BE"/>
    <w:rsid w:val="00487451"/>
    <w:rsid w:val="00494A95"/>
    <w:rsid w:val="004958AB"/>
    <w:rsid w:val="00497F06"/>
    <w:rsid w:val="004A0468"/>
    <w:rsid w:val="004A071D"/>
    <w:rsid w:val="004A3757"/>
    <w:rsid w:val="004A3A5E"/>
    <w:rsid w:val="004A4B59"/>
    <w:rsid w:val="004A7426"/>
    <w:rsid w:val="004B0237"/>
    <w:rsid w:val="004B1283"/>
    <w:rsid w:val="004B4114"/>
    <w:rsid w:val="004B56B4"/>
    <w:rsid w:val="004B5F36"/>
    <w:rsid w:val="004C19B1"/>
    <w:rsid w:val="004C2598"/>
    <w:rsid w:val="004C6034"/>
    <w:rsid w:val="004C6B57"/>
    <w:rsid w:val="004C6E7E"/>
    <w:rsid w:val="004D04ED"/>
    <w:rsid w:val="004D15EB"/>
    <w:rsid w:val="004D1691"/>
    <w:rsid w:val="004D2786"/>
    <w:rsid w:val="004D3941"/>
    <w:rsid w:val="004E2421"/>
    <w:rsid w:val="004E6489"/>
    <w:rsid w:val="004E6662"/>
    <w:rsid w:val="004F2054"/>
    <w:rsid w:val="004F2822"/>
    <w:rsid w:val="004F2D25"/>
    <w:rsid w:val="004F568A"/>
    <w:rsid w:val="005020EC"/>
    <w:rsid w:val="00503024"/>
    <w:rsid w:val="0050509C"/>
    <w:rsid w:val="0051036B"/>
    <w:rsid w:val="00512463"/>
    <w:rsid w:val="005143E4"/>
    <w:rsid w:val="00514F63"/>
    <w:rsid w:val="0051593A"/>
    <w:rsid w:val="00516555"/>
    <w:rsid w:val="005172D6"/>
    <w:rsid w:val="00522323"/>
    <w:rsid w:val="00523CE9"/>
    <w:rsid w:val="0052517B"/>
    <w:rsid w:val="005256CF"/>
    <w:rsid w:val="005257C6"/>
    <w:rsid w:val="00533E62"/>
    <w:rsid w:val="00534517"/>
    <w:rsid w:val="00542C43"/>
    <w:rsid w:val="00542D95"/>
    <w:rsid w:val="00547022"/>
    <w:rsid w:val="00551299"/>
    <w:rsid w:val="00552150"/>
    <w:rsid w:val="00555DF5"/>
    <w:rsid w:val="00556FCD"/>
    <w:rsid w:val="00560C1D"/>
    <w:rsid w:val="00563D0E"/>
    <w:rsid w:val="005654F7"/>
    <w:rsid w:val="005666DF"/>
    <w:rsid w:val="00572006"/>
    <w:rsid w:val="00573AC4"/>
    <w:rsid w:val="00573E74"/>
    <w:rsid w:val="00574881"/>
    <w:rsid w:val="0057790F"/>
    <w:rsid w:val="00580E99"/>
    <w:rsid w:val="00582470"/>
    <w:rsid w:val="0058380C"/>
    <w:rsid w:val="00584DD9"/>
    <w:rsid w:val="00584DE8"/>
    <w:rsid w:val="00585FB5"/>
    <w:rsid w:val="0058788D"/>
    <w:rsid w:val="00594DE5"/>
    <w:rsid w:val="00594E27"/>
    <w:rsid w:val="00597701"/>
    <w:rsid w:val="00597B90"/>
    <w:rsid w:val="005A08A5"/>
    <w:rsid w:val="005A12D7"/>
    <w:rsid w:val="005A213A"/>
    <w:rsid w:val="005A29D6"/>
    <w:rsid w:val="005A4563"/>
    <w:rsid w:val="005A7576"/>
    <w:rsid w:val="005B092D"/>
    <w:rsid w:val="005B0C92"/>
    <w:rsid w:val="005B5B37"/>
    <w:rsid w:val="005B6102"/>
    <w:rsid w:val="005B7E20"/>
    <w:rsid w:val="005C1D42"/>
    <w:rsid w:val="005C412B"/>
    <w:rsid w:val="005C4835"/>
    <w:rsid w:val="005C5A53"/>
    <w:rsid w:val="005C672F"/>
    <w:rsid w:val="005C7769"/>
    <w:rsid w:val="005C7D61"/>
    <w:rsid w:val="005D5E3C"/>
    <w:rsid w:val="005D5F1D"/>
    <w:rsid w:val="005E2E70"/>
    <w:rsid w:val="005E31A8"/>
    <w:rsid w:val="005E37E8"/>
    <w:rsid w:val="005E463D"/>
    <w:rsid w:val="005E48AB"/>
    <w:rsid w:val="005E4A78"/>
    <w:rsid w:val="005E7C96"/>
    <w:rsid w:val="005F0F53"/>
    <w:rsid w:val="005F584A"/>
    <w:rsid w:val="005F6CAB"/>
    <w:rsid w:val="0060625D"/>
    <w:rsid w:val="00607526"/>
    <w:rsid w:val="00607AD6"/>
    <w:rsid w:val="00611BAA"/>
    <w:rsid w:val="00612D18"/>
    <w:rsid w:val="00615BB7"/>
    <w:rsid w:val="00616A16"/>
    <w:rsid w:val="00617040"/>
    <w:rsid w:val="006204D3"/>
    <w:rsid w:val="00621954"/>
    <w:rsid w:val="0062239C"/>
    <w:rsid w:val="00623361"/>
    <w:rsid w:val="00624BA9"/>
    <w:rsid w:val="0062575C"/>
    <w:rsid w:val="00630362"/>
    <w:rsid w:val="00631BEB"/>
    <w:rsid w:val="006339EB"/>
    <w:rsid w:val="00634A80"/>
    <w:rsid w:val="0063522F"/>
    <w:rsid w:val="0064248D"/>
    <w:rsid w:val="006436C6"/>
    <w:rsid w:val="006452F7"/>
    <w:rsid w:val="00646671"/>
    <w:rsid w:val="006467BC"/>
    <w:rsid w:val="00650804"/>
    <w:rsid w:val="00652352"/>
    <w:rsid w:val="006523B2"/>
    <w:rsid w:val="006559E3"/>
    <w:rsid w:val="0065722E"/>
    <w:rsid w:val="00657577"/>
    <w:rsid w:val="00660417"/>
    <w:rsid w:val="00665972"/>
    <w:rsid w:val="006660B2"/>
    <w:rsid w:val="00666178"/>
    <w:rsid w:val="0067031D"/>
    <w:rsid w:val="0067056E"/>
    <w:rsid w:val="0067084D"/>
    <w:rsid w:val="0067284C"/>
    <w:rsid w:val="006739CA"/>
    <w:rsid w:val="00677F42"/>
    <w:rsid w:val="00681968"/>
    <w:rsid w:val="00681EC0"/>
    <w:rsid w:val="0068258E"/>
    <w:rsid w:val="006849AA"/>
    <w:rsid w:val="00684F55"/>
    <w:rsid w:val="006855AC"/>
    <w:rsid w:val="00690844"/>
    <w:rsid w:val="00691790"/>
    <w:rsid w:val="006933C3"/>
    <w:rsid w:val="0069367C"/>
    <w:rsid w:val="0069452B"/>
    <w:rsid w:val="006956E6"/>
    <w:rsid w:val="00697045"/>
    <w:rsid w:val="00697DF6"/>
    <w:rsid w:val="006A1881"/>
    <w:rsid w:val="006A27BD"/>
    <w:rsid w:val="006A2CF6"/>
    <w:rsid w:val="006A337B"/>
    <w:rsid w:val="006A36EA"/>
    <w:rsid w:val="006A4E08"/>
    <w:rsid w:val="006A57D6"/>
    <w:rsid w:val="006A58BC"/>
    <w:rsid w:val="006A7C66"/>
    <w:rsid w:val="006B54B8"/>
    <w:rsid w:val="006B5D59"/>
    <w:rsid w:val="006B6101"/>
    <w:rsid w:val="006C0E2C"/>
    <w:rsid w:val="006C40C7"/>
    <w:rsid w:val="006C4E2A"/>
    <w:rsid w:val="006C6C02"/>
    <w:rsid w:val="006D2506"/>
    <w:rsid w:val="006D3EB7"/>
    <w:rsid w:val="006D7B49"/>
    <w:rsid w:val="006E0A2E"/>
    <w:rsid w:val="006E0EAF"/>
    <w:rsid w:val="006E1269"/>
    <w:rsid w:val="006E2238"/>
    <w:rsid w:val="006E7D38"/>
    <w:rsid w:val="006F0003"/>
    <w:rsid w:val="006F02CB"/>
    <w:rsid w:val="006F0870"/>
    <w:rsid w:val="006F2B10"/>
    <w:rsid w:val="006F2D83"/>
    <w:rsid w:val="006F4099"/>
    <w:rsid w:val="006F43CA"/>
    <w:rsid w:val="006F699C"/>
    <w:rsid w:val="006F73E7"/>
    <w:rsid w:val="006F7EF4"/>
    <w:rsid w:val="00701914"/>
    <w:rsid w:val="007026DD"/>
    <w:rsid w:val="00702770"/>
    <w:rsid w:val="00703EFD"/>
    <w:rsid w:val="00703FCE"/>
    <w:rsid w:val="0070665A"/>
    <w:rsid w:val="00707B68"/>
    <w:rsid w:val="007126C4"/>
    <w:rsid w:val="00716728"/>
    <w:rsid w:val="0072520D"/>
    <w:rsid w:val="007258CF"/>
    <w:rsid w:val="00726759"/>
    <w:rsid w:val="00726B5F"/>
    <w:rsid w:val="00727769"/>
    <w:rsid w:val="00730C1B"/>
    <w:rsid w:val="00731BD6"/>
    <w:rsid w:val="00732F01"/>
    <w:rsid w:val="007352F0"/>
    <w:rsid w:val="00735AA1"/>
    <w:rsid w:val="00737731"/>
    <w:rsid w:val="00740210"/>
    <w:rsid w:val="007409BA"/>
    <w:rsid w:val="007411D5"/>
    <w:rsid w:val="00743B0B"/>
    <w:rsid w:val="0074751E"/>
    <w:rsid w:val="007477E7"/>
    <w:rsid w:val="00751EFB"/>
    <w:rsid w:val="0075391A"/>
    <w:rsid w:val="00756648"/>
    <w:rsid w:val="0076295F"/>
    <w:rsid w:val="00764F99"/>
    <w:rsid w:val="007675BD"/>
    <w:rsid w:val="007724CE"/>
    <w:rsid w:val="00774D34"/>
    <w:rsid w:val="007768D9"/>
    <w:rsid w:val="00776B2F"/>
    <w:rsid w:val="00777FA9"/>
    <w:rsid w:val="00780C21"/>
    <w:rsid w:val="00781B7F"/>
    <w:rsid w:val="00781D69"/>
    <w:rsid w:val="00783A11"/>
    <w:rsid w:val="00785533"/>
    <w:rsid w:val="0079167D"/>
    <w:rsid w:val="00793751"/>
    <w:rsid w:val="00796AE9"/>
    <w:rsid w:val="00797E44"/>
    <w:rsid w:val="007A0512"/>
    <w:rsid w:val="007A0931"/>
    <w:rsid w:val="007A17F7"/>
    <w:rsid w:val="007A4309"/>
    <w:rsid w:val="007A4EC3"/>
    <w:rsid w:val="007A59E0"/>
    <w:rsid w:val="007B0644"/>
    <w:rsid w:val="007B44D7"/>
    <w:rsid w:val="007B627D"/>
    <w:rsid w:val="007B6E7F"/>
    <w:rsid w:val="007C127C"/>
    <w:rsid w:val="007C1431"/>
    <w:rsid w:val="007C53A1"/>
    <w:rsid w:val="007C58BD"/>
    <w:rsid w:val="007C5D4B"/>
    <w:rsid w:val="007D00B1"/>
    <w:rsid w:val="007D0E36"/>
    <w:rsid w:val="007D474B"/>
    <w:rsid w:val="007E13FA"/>
    <w:rsid w:val="007E3F69"/>
    <w:rsid w:val="007E4FC8"/>
    <w:rsid w:val="007E7735"/>
    <w:rsid w:val="007F1254"/>
    <w:rsid w:val="007F1374"/>
    <w:rsid w:val="007F2784"/>
    <w:rsid w:val="007F484D"/>
    <w:rsid w:val="007F7031"/>
    <w:rsid w:val="007F788F"/>
    <w:rsid w:val="0080085D"/>
    <w:rsid w:val="00800EE1"/>
    <w:rsid w:val="00802DE8"/>
    <w:rsid w:val="00803AF2"/>
    <w:rsid w:val="008100F2"/>
    <w:rsid w:val="00811CAE"/>
    <w:rsid w:val="0081350F"/>
    <w:rsid w:val="00813DAE"/>
    <w:rsid w:val="00817546"/>
    <w:rsid w:val="00821C5D"/>
    <w:rsid w:val="00825DC9"/>
    <w:rsid w:val="00831DF3"/>
    <w:rsid w:val="008326E7"/>
    <w:rsid w:val="00835F56"/>
    <w:rsid w:val="00836C18"/>
    <w:rsid w:val="0084241F"/>
    <w:rsid w:val="0084434E"/>
    <w:rsid w:val="00847F0C"/>
    <w:rsid w:val="008506B1"/>
    <w:rsid w:val="008510CC"/>
    <w:rsid w:val="00855C40"/>
    <w:rsid w:val="00856190"/>
    <w:rsid w:val="00857DBA"/>
    <w:rsid w:val="00860C47"/>
    <w:rsid w:val="00860CC3"/>
    <w:rsid w:val="00863417"/>
    <w:rsid w:val="0086343C"/>
    <w:rsid w:val="00863D76"/>
    <w:rsid w:val="0086509B"/>
    <w:rsid w:val="0087296A"/>
    <w:rsid w:val="00876262"/>
    <w:rsid w:val="00876705"/>
    <w:rsid w:val="00880A77"/>
    <w:rsid w:val="0088201D"/>
    <w:rsid w:val="008832E5"/>
    <w:rsid w:val="00887788"/>
    <w:rsid w:val="008877AF"/>
    <w:rsid w:val="00890C58"/>
    <w:rsid w:val="00891049"/>
    <w:rsid w:val="00893A87"/>
    <w:rsid w:val="00897403"/>
    <w:rsid w:val="008A0C6E"/>
    <w:rsid w:val="008A1EF6"/>
    <w:rsid w:val="008A228C"/>
    <w:rsid w:val="008A40C0"/>
    <w:rsid w:val="008A45AB"/>
    <w:rsid w:val="008A5923"/>
    <w:rsid w:val="008A5E9D"/>
    <w:rsid w:val="008B1120"/>
    <w:rsid w:val="008B164C"/>
    <w:rsid w:val="008B1A16"/>
    <w:rsid w:val="008B1AA1"/>
    <w:rsid w:val="008B1BFF"/>
    <w:rsid w:val="008B329A"/>
    <w:rsid w:val="008B47FB"/>
    <w:rsid w:val="008B4BE6"/>
    <w:rsid w:val="008B5C9B"/>
    <w:rsid w:val="008C0FE2"/>
    <w:rsid w:val="008C2DD5"/>
    <w:rsid w:val="008D2EB0"/>
    <w:rsid w:val="008D350D"/>
    <w:rsid w:val="008D3AE8"/>
    <w:rsid w:val="008D7B3B"/>
    <w:rsid w:val="008E526D"/>
    <w:rsid w:val="008E66E6"/>
    <w:rsid w:val="008F02DF"/>
    <w:rsid w:val="008F129B"/>
    <w:rsid w:val="008F12A1"/>
    <w:rsid w:val="008F2C50"/>
    <w:rsid w:val="008F3624"/>
    <w:rsid w:val="008F514E"/>
    <w:rsid w:val="008F73D1"/>
    <w:rsid w:val="009002CA"/>
    <w:rsid w:val="00903823"/>
    <w:rsid w:val="00903AF9"/>
    <w:rsid w:val="009043C3"/>
    <w:rsid w:val="00904CBF"/>
    <w:rsid w:val="0090579F"/>
    <w:rsid w:val="00905E04"/>
    <w:rsid w:val="00912814"/>
    <w:rsid w:val="009143C9"/>
    <w:rsid w:val="00915A40"/>
    <w:rsid w:val="009201C9"/>
    <w:rsid w:val="009206DF"/>
    <w:rsid w:val="00920941"/>
    <w:rsid w:val="009256C6"/>
    <w:rsid w:val="00930424"/>
    <w:rsid w:val="009318CB"/>
    <w:rsid w:val="00932173"/>
    <w:rsid w:val="00932FB2"/>
    <w:rsid w:val="00933E2F"/>
    <w:rsid w:val="00934F5C"/>
    <w:rsid w:val="009410EE"/>
    <w:rsid w:val="00942BCB"/>
    <w:rsid w:val="00942F03"/>
    <w:rsid w:val="00943EA8"/>
    <w:rsid w:val="00946CDC"/>
    <w:rsid w:val="009473E8"/>
    <w:rsid w:val="00953155"/>
    <w:rsid w:val="00953450"/>
    <w:rsid w:val="00955942"/>
    <w:rsid w:val="009608E7"/>
    <w:rsid w:val="00960E30"/>
    <w:rsid w:val="00961B81"/>
    <w:rsid w:val="00962ED5"/>
    <w:rsid w:val="00963000"/>
    <w:rsid w:val="00965C83"/>
    <w:rsid w:val="00971561"/>
    <w:rsid w:val="00972DF0"/>
    <w:rsid w:val="00973CC0"/>
    <w:rsid w:val="009741E8"/>
    <w:rsid w:val="009761DA"/>
    <w:rsid w:val="009815FB"/>
    <w:rsid w:val="009858FE"/>
    <w:rsid w:val="009860EA"/>
    <w:rsid w:val="009866C6"/>
    <w:rsid w:val="00990719"/>
    <w:rsid w:val="00991A3F"/>
    <w:rsid w:val="00991FD7"/>
    <w:rsid w:val="0099315C"/>
    <w:rsid w:val="0099339C"/>
    <w:rsid w:val="00995736"/>
    <w:rsid w:val="009A02DE"/>
    <w:rsid w:val="009A164A"/>
    <w:rsid w:val="009A2122"/>
    <w:rsid w:val="009A3CE1"/>
    <w:rsid w:val="009A51EF"/>
    <w:rsid w:val="009A7C2F"/>
    <w:rsid w:val="009B234D"/>
    <w:rsid w:val="009B4260"/>
    <w:rsid w:val="009B5AE4"/>
    <w:rsid w:val="009B7266"/>
    <w:rsid w:val="009C02E5"/>
    <w:rsid w:val="009C0E0E"/>
    <w:rsid w:val="009C26E3"/>
    <w:rsid w:val="009C2896"/>
    <w:rsid w:val="009C29F2"/>
    <w:rsid w:val="009C37D9"/>
    <w:rsid w:val="009C4D95"/>
    <w:rsid w:val="009C6DD1"/>
    <w:rsid w:val="009C7988"/>
    <w:rsid w:val="009C7BE6"/>
    <w:rsid w:val="009C7CD6"/>
    <w:rsid w:val="009D0EC3"/>
    <w:rsid w:val="009D2433"/>
    <w:rsid w:val="009D2789"/>
    <w:rsid w:val="009D4C0F"/>
    <w:rsid w:val="009D75F0"/>
    <w:rsid w:val="009D7C44"/>
    <w:rsid w:val="009E203D"/>
    <w:rsid w:val="009E22A7"/>
    <w:rsid w:val="009E47ED"/>
    <w:rsid w:val="009E4AFA"/>
    <w:rsid w:val="009E7B86"/>
    <w:rsid w:val="009F366D"/>
    <w:rsid w:val="009F45EC"/>
    <w:rsid w:val="009F6590"/>
    <w:rsid w:val="00A0100A"/>
    <w:rsid w:val="00A01261"/>
    <w:rsid w:val="00A018A1"/>
    <w:rsid w:val="00A026D3"/>
    <w:rsid w:val="00A04641"/>
    <w:rsid w:val="00A051F7"/>
    <w:rsid w:val="00A06362"/>
    <w:rsid w:val="00A06927"/>
    <w:rsid w:val="00A1043B"/>
    <w:rsid w:val="00A11A15"/>
    <w:rsid w:val="00A13D8B"/>
    <w:rsid w:val="00A1486F"/>
    <w:rsid w:val="00A15259"/>
    <w:rsid w:val="00A15B65"/>
    <w:rsid w:val="00A15FE4"/>
    <w:rsid w:val="00A1780F"/>
    <w:rsid w:val="00A2390C"/>
    <w:rsid w:val="00A23CF4"/>
    <w:rsid w:val="00A244A2"/>
    <w:rsid w:val="00A24A81"/>
    <w:rsid w:val="00A2598F"/>
    <w:rsid w:val="00A263E6"/>
    <w:rsid w:val="00A2662A"/>
    <w:rsid w:val="00A34443"/>
    <w:rsid w:val="00A345F7"/>
    <w:rsid w:val="00A34710"/>
    <w:rsid w:val="00A404F7"/>
    <w:rsid w:val="00A424E0"/>
    <w:rsid w:val="00A42581"/>
    <w:rsid w:val="00A50295"/>
    <w:rsid w:val="00A51447"/>
    <w:rsid w:val="00A52C75"/>
    <w:rsid w:val="00A53F34"/>
    <w:rsid w:val="00A540EB"/>
    <w:rsid w:val="00A546D2"/>
    <w:rsid w:val="00A5539A"/>
    <w:rsid w:val="00A557C7"/>
    <w:rsid w:val="00A565F4"/>
    <w:rsid w:val="00A60B97"/>
    <w:rsid w:val="00A612DA"/>
    <w:rsid w:val="00A61C87"/>
    <w:rsid w:val="00A61DB8"/>
    <w:rsid w:val="00A6262B"/>
    <w:rsid w:val="00A63A9A"/>
    <w:rsid w:val="00A71C54"/>
    <w:rsid w:val="00A71E51"/>
    <w:rsid w:val="00A71E68"/>
    <w:rsid w:val="00A764E4"/>
    <w:rsid w:val="00A774A4"/>
    <w:rsid w:val="00A77974"/>
    <w:rsid w:val="00A77F56"/>
    <w:rsid w:val="00A8338E"/>
    <w:rsid w:val="00A8390E"/>
    <w:rsid w:val="00A87EF5"/>
    <w:rsid w:val="00A954D1"/>
    <w:rsid w:val="00A95A2D"/>
    <w:rsid w:val="00A95D1E"/>
    <w:rsid w:val="00A9645C"/>
    <w:rsid w:val="00A96538"/>
    <w:rsid w:val="00AA2DD9"/>
    <w:rsid w:val="00AA34B1"/>
    <w:rsid w:val="00AA34D5"/>
    <w:rsid w:val="00AA3CB2"/>
    <w:rsid w:val="00AA719D"/>
    <w:rsid w:val="00AB06B2"/>
    <w:rsid w:val="00AB1C3D"/>
    <w:rsid w:val="00AB1CDF"/>
    <w:rsid w:val="00AB29A8"/>
    <w:rsid w:val="00AB30D2"/>
    <w:rsid w:val="00AB539D"/>
    <w:rsid w:val="00AB572A"/>
    <w:rsid w:val="00AB5950"/>
    <w:rsid w:val="00AB5F87"/>
    <w:rsid w:val="00AB6AE3"/>
    <w:rsid w:val="00AB7D22"/>
    <w:rsid w:val="00AC22A5"/>
    <w:rsid w:val="00AC23BD"/>
    <w:rsid w:val="00AC2670"/>
    <w:rsid w:val="00AC661F"/>
    <w:rsid w:val="00AD0A47"/>
    <w:rsid w:val="00AD57FA"/>
    <w:rsid w:val="00AE1C50"/>
    <w:rsid w:val="00AE1F78"/>
    <w:rsid w:val="00AE37EB"/>
    <w:rsid w:val="00AE3EAD"/>
    <w:rsid w:val="00AE419B"/>
    <w:rsid w:val="00AE6F65"/>
    <w:rsid w:val="00AE7E8C"/>
    <w:rsid w:val="00AF1F50"/>
    <w:rsid w:val="00AF23AF"/>
    <w:rsid w:val="00AF4E3A"/>
    <w:rsid w:val="00AF625C"/>
    <w:rsid w:val="00AF6A53"/>
    <w:rsid w:val="00B00257"/>
    <w:rsid w:val="00B00C47"/>
    <w:rsid w:val="00B018E4"/>
    <w:rsid w:val="00B035BC"/>
    <w:rsid w:val="00B039D7"/>
    <w:rsid w:val="00B07F61"/>
    <w:rsid w:val="00B11EFC"/>
    <w:rsid w:val="00B135C9"/>
    <w:rsid w:val="00B137C8"/>
    <w:rsid w:val="00B15210"/>
    <w:rsid w:val="00B1623B"/>
    <w:rsid w:val="00B17D6C"/>
    <w:rsid w:val="00B2105B"/>
    <w:rsid w:val="00B243C2"/>
    <w:rsid w:val="00B24403"/>
    <w:rsid w:val="00B25206"/>
    <w:rsid w:val="00B310BC"/>
    <w:rsid w:val="00B32239"/>
    <w:rsid w:val="00B35667"/>
    <w:rsid w:val="00B35844"/>
    <w:rsid w:val="00B36EE6"/>
    <w:rsid w:val="00B42DDB"/>
    <w:rsid w:val="00B435C5"/>
    <w:rsid w:val="00B44693"/>
    <w:rsid w:val="00B472D0"/>
    <w:rsid w:val="00B52883"/>
    <w:rsid w:val="00B6145A"/>
    <w:rsid w:val="00B61570"/>
    <w:rsid w:val="00B61705"/>
    <w:rsid w:val="00B61B77"/>
    <w:rsid w:val="00B62187"/>
    <w:rsid w:val="00B625A7"/>
    <w:rsid w:val="00B6585E"/>
    <w:rsid w:val="00B66BEC"/>
    <w:rsid w:val="00B67D12"/>
    <w:rsid w:val="00B7054A"/>
    <w:rsid w:val="00B7247A"/>
    <w:rsid w:val="00B72578"/>
    <w:rsid w:val="00B73845"/>
    <w:rsid w:val="00B744FB"/>
    <w:rsid w:val="00B7497E"/>
    <w:rsid w:val="00B75637"/>
    <w:rsid w:val="00B75693"/>
    <w:rsid w:val="00B75D68"/>
    <w:rsid w:val="00B8207D"/>
    <w:rsid w:val="00B83E3E"/>
    <w:rsid w:val="00B84A8E"/>
    <w:rsid w:val="00B84D04"/>
    <w:rsid w:val="00B85252"/>
    <w:rsid w:val="00B876BE"/>
    <w:rsid w:val="00B90CD4"/>
    <w:rsid w:val="00B92D67"/>
    <w:rsid w:val="00B92F9C"/>
    <w:rsid w:val="00B952D8"/>
    <w:rsid w:val="00B9615A"/>
    <w:rsid w:val="00B9728B"/>
    <w:rsid w:val="00BA1550"/>
    <w:rsid w:val="00BA1CBE"/>
    <w:rsid w:val="00BA2282"/>
    <w:rsid w:val="00BA3196"/>
    <w:rsid w:val="00BA3831"/>
    <w:rsid w:val="00BA500B"/>
    <w:rsid w:val="00BA5B5B"/>
    <w:rsid w:val="00BA5BC1"/>
    <w:rsid w:val="00BA6823"/>
    <w:rsid w:val="00BA6A5C"/>
    <w:rsid w:val="00BA791E"/>
    <w:rsid w:val="00BB008B"/>
    <w:rsid w:val="00BB0093"/>
    <w:rsid w:val="00BB03CC"/>
    <w:rsid w:val="00BB1B4E"/>
    <w:rsid w:val="00BB2181"/>
    <w:rsid w:val="00BB2DE3"/>
    <w:rsid w:val="00BB3B9F"/>
    <w:rsid w:val="00BB3C82"/>
    <w:rsid w:val="00BB57F6"/>
    <w:rsid w:val="00BB5E67"/>
    <w:rsid w:val="00BC1915"/>
    <w:rsid w:val="00BC2684"/>
    <w:rsid w:val="00BC35AA"/>
    <w:rsid w:val="00BC5BB3"/>
    <w:rsid w:val="00BC72D6"/>
    <w:rsid w:val="00BC7AF4"/>
    <w:rsid w:val="00BD2F0F"/>
    <w:rsid w:val="00BD53BD"/>
    <w:rsid w:val="00BD5DEF"/>
    <w:rsid w:val="00BD6438"/>
    <w:rsid w:val="00BD6E68"/>
    <w:rsid w:val="00BE18FF"/>
    <w:rsid w:val="00BE4802"/>
    <w:rsid w:val="00BF072D"/>
    <w:rsid w:val="00BF127E"/>
    <w:rsid w:val="00BF170E"/>
    <w:rsid w:val="00BF1CB5"/>
    <w:rsid w:val="00BF44A9"/>
    <w:rsid w:val="00BF509C"/>
    <w:rsid w:val="00BF622A"/>
    <w:rsid w:val="00BF6754"/>
    <w:rsid w:val="00BF75A3"/>
    <w:rsid w:val="00BF7CF6"/>
    <w:rsid w:val="00C01B8D"/>
    <w:rsid w:val="00C02340"/>
    <w:rsid w:val="00C069DB"/>
    <w:rsid w:val="00C06F6D"/>
    <w:rsid w:val="00C119D6"/>
    <w:rsid w:val="00C141D0"/>
    <w:rsid w:val="00C20F98"/>
    <w:rsid w:val="00C21F77"/>
    <w:rsid w:val="00C249C9"/>
    <w:rsid w:val="00C2676F"/>
    <w:rsid w:val="00C27BEF"/>
    <w:rsid w:val="00C31370"/>
    <w:rsid w:val="00C32A74"/>
    <w:rsid w:val="00C33BEA"/>
    <w:rsid w:val="00C3516D"/>
    <w:rsid w:val="00C42313"/>
    <w:rsid w:val="00C424F1"/>
    <w:rsid w:val="00C4411F"/>
    <w:rsid w:val="00C4424F"/>
    <w:rsid w:val="00C445CC"/>
    <w:rsid w:val="00C4599F"/>
    <w:rsid w:val="00C45F82"/>
    <w:rsid w:val="00C475DA"/>
    <w:rsid w:val="00C475F7"/>
    <w:rsid w:val="00C53CD6"/>
    <w:rsid w:val="00C53E01"/>
    <w:rsid w:val="00C561C9"/>
    <w:rsid w:val="00C60450"/>
    <w:rsid w:val="00C62C3C"/>
    <w:rsid w:val="00C65151"/>
    <w:rsid w:val="00C6523E"/>
    <w:rsid w:val="00C67258"/>
    <w:rsid w:val="00C71E68"/>
    <w:rsid w:val="00C76D3A"/>
    <w:rsid w:val="00C81CDA"/>
    <w:rsid w:val="00C83148"/>
    <w:rsid w:val="00C83F3F"/>
    <w:rsid w:val="00C846A9"/>
    <w:rsid w:val="00C86EFD"/>
    <w:rsid w:val="00C87B56"/>
    <w:rsid w:val="00C87E47"/>
    <w:rsid w:val="00C92404"/>
    <w:rsid w:val="00C95A6D"/>
    <w:rsid w:val="00C96405"/>
    <w:rsid w:val="00C97610"/>
    <w:rsid w:val="00CA0D67"/>
    <w:rsid w:val="00CA1544"/>
    <w:rsid w:val="00CA2822"/>
    <w:rsid w:val="00CA620C"/>
    <w:rsid w:val="00CB128D"/>
    <w:rsid w:val="00CB18AC"/>
    <w:rsid w:val="00CB2679"/>
    <w:rsid w:val="00CB43F1"/>
    <w:rsid w:val="00CB4F76"/>
    <w:rsid w:val="00CB63C4"/>
    <w:rsid w:val="00CB6841"/>
    <w:rsid w:val="00CC1DE7"/>
    <w:rsid w:val="00CC23AB"/>
    <w:rsid w:val="00CC2646"/>
    <w:rsid w:val="00CC301B"/>
    <w:rsid w:val="00CC52B1"/>
    <w:rsid w:val="00CC60D9"/>
    <w:rsid w:val="00CC678A"/>
    <w:rsid w:val="00CC74E0"/>
    <w:rsid w:val="00CC7AC8"/>
    <w:rsid w:val="00CD0459"/>
    <w:rsid w:val="00CD13D3"/>
    <w:rsid w:val="00CD1F68"/>
    <w:rsid w:val="00CD3D4E"/>
    <w:rsid w:val="00CD3E6A"/>
    <w:rsid w:val="00CD4099"/>
    <w:rsid w:val="00CD5B29"/>
    <w:rsid w:val="00CD67DF"/>
    <w:rsid w:val="00CE13D1"/>
    <w:rsid w:val="00CE1506"/>
    <w:rsid w:val="00CE1C4A"/>
    <w:rsid w:val="00CE224F"/>
    <w:rsid w:val="00CE3A51"/>
    <w:rsid w:val="00CF1BF6"/>
    <w:rsid w:val="00CF5D27"/>
    <w:rsid w:val="00CF5E6F"/>
    <w:rsid w:val="00CF6CCE"/>
    <w:rsid w:val="00D00C36"/>
    <w:rsid w:val="00D0145D"/>
    <w:rsid w:val="00D02424"/>
    <w:rsid w:val="00D02B96"/>
    <w:rsid w:val="00D02C55"/>
    <w:rsid w:val="00D02E4C"/>
    <w:rsid w:val="00D07A16"/>
    <w:rsid w:val="00D107FD"/>
    <w:rsid w:val="00D12DE0"/>
    <w:rsid w:val="00D14E81"/>
    <w:rsid w:val="00D1647F"/>
    <w:rsid w:val="00D165BD"/>
    <w:rsid w:val="00D16C96"/>
    <w:rsid w:val="00D20E50"/>
    <w:rsid w:val="00D20F61"/>
    <w:rsid w:val="00D20F95"/>
    <w:rsid w:val="00D224A8"/>
    <w:rsid w:val="00D24875"/>
    <w:rsid w:val="00D323E8"/>
    <w:rsid w:val="00D3335B"/>
    <w:rsid w:val="00D3779C"/>
    <w:rsid w:val="00D37DCA"/>
    <w:rsid w:val="00D409A4"/>
    <w:rsid w:val="00D409C0"/>
    <w:rsid w:val="00D46C27"/>
    <w:rsid w:val="00D54373"/>
    <w:rsid w:val="00D6074D"/>
    <w:rsid w:val="00D62225"/>
    <w:rsid w:val="00D63F70"/>
    <w:rsid w:val="00D65283"/>
    <w:rsid w:val="00D65D20"/>
    <w:rsid w:val="00D70444"/>
    <w:rsid w:val="00D745DA"/>
    <w:rsid w:val="00D74CB2"/>
    <w:rsid w:val="00D75997"/>
    <w:rsid w:val="00D76AA1"/>
    <w:rsid w:val="00D77DA5"/>
    <w:rsid w:val="00D8370C"/>
    <w:rsid w:val="00D837A4"/>
    <w:rsid w:val="00D84420"/>
    <w:rsid w:val="00D85438"/>
    <w:rsid w:val="00D867C1"/>
    <w:rsid w:val="00D8732D"/>
    <w:rsid w:val="00D927DB"/>
    <w:rsid w:val="00D971D4"/>
    <w:rsid w:val="00DA0048"/>
    <w:rsid w:val="00DA0D76"/>
    <w:rsid w:val="00DA1274"/>
    <w:rsid w:val="00DA133C"/>
    <w:rsid w:val="00DA1AC7"/>
    <w:rsid w:val="00DA2B1D"/>
    <w:rsid w:val="00DA30A3"/>
    <w:rsid w:val="00DA512A"/>
    <w:rsid w:val="00DA5E9D"/>
    <w:rsid w:val="00DA7A9A"/>
    <w:rsid w:val="00DB415A"/>
    <w:rsid w:val="00DB7EE7"/>
    <w:rsid w:val="00DC0474"/>
    <w:rsid w:val="00DC061B"/>
    <w:rsid w:val="00DC080D"/>
    <w:rsid w:val="00DC3E82"/>
    <w:rsid w:val="00DC44E0"/>
    <w:rsid w:val="00DC529B"/>
    <w:rsid w:val="00DD44F3"/>
    <w:rsid w:val="00DD563C"/>
    <w:rsid w:val="00DD6E66"/>
    <w:rsid w:val="00DE06EE"/>
    <w:rsid w:val="00DE08D7"/>
    <w:rsid w:val="00DE2BC9"/>
    <w:rsid w:val="00DE4A1A"/>
    <w:rsid w:val="00DF0141"/>
    <w:rsid w:val="00DF0807"/>
    <w:rsid w:val="00DF0BDE"/>
    <w:rsid w:val="00DF1EFD"/>
    <w:rsid w:val="00DF513B"/>
    <w:rsid w:val="00DF59B0"/>
    <w:rsid w:val="00DF6CB8"/>
    <w:rsid w:val="00DF71E8"/>
    <w:rsid w:val="00DF7B01"/>
    <w:rsid w:val="00E028B5"/>
    <w:rsid w:val="00E0352C"/>
    <w:rsid w:val="00E0451D"/>
    <w:rsid w:val="00E06437"/>
    <w:rsid w:val="00E07BB2"/>
    <w:rsid w:val="00E11E1A"/>
    <w:rsid w:val="00E12C95"/>
    <w:rsid w:val="00E138D4"/>
    <w:rsid w:val="00E14566"/>
    <w:rsid w:val="00E14911"/>
    <w:rsid w:val="00E16C57"/>
    <w:rsid w:val="00E17E66"/>
    <w:rsid w:val="00E22660"/>
    <w:rsid w:val="00E232E0"/>
    <w:rsid w:val="00E23A5B"/>
    <w:rsid w:val="00E24245"/>
    <w:rsid w:val="00E3008E"/>
    <w:rsid w:val="00E3023F"/>
    <w:rsid w:val="00E3030C"/>
    <w:rsid w:val="00E31005"/>
    <w:rsid w:val="00E32EAF"/>
    <w:rsid w:val="00E34BF8"/>
    <w:rsid w:val="00E44F7F"/>
    <w:rsid w:val="00E453D2"/>
    <w:rsid w:val="00E46372"/>
    <w:rsid w:val="00E4766E"/>
    <w:rsid w:val="00E50CC8"/>
    <w:rsid w:val="00E51FE8"/>
    <w:rsid w:val="00E5244F"/>
    <w:rsid w:val="00E55E57"/>
    <w:rsid w:val="00E56249"/>
    <w:rsid w:val="00E57E40"/>
    <w:rsid w:val="00E63C74"/>
    <w:rsid w:val="00E63F3F"/>
    <w:rsid w:val="00E67ACE"/>
    <w:rsid w:val="00E67BA7"/>
    <w:rsid w:val="00E70B39"/>
    <w:rsid w:val="00E71100"/>
    <w:rsid w:val="00E7248E"/>
    <w:rsid w:val="00E730A5"/>
    <w:rsid w:val="00E74F40"/>
    <w:rsid w:val="00E755C6"/>
    <w:rsid w:val="00E757FD"/>
    <w:rsid w:val="00E84140"/>
    <w:rsid w:val="00E90C7B"/>
    <w:rsid w:val="00E93570"/>
    <w:rsid w:val="00E93D69"/>
    <w:rsid w:val="00E948B4"/>
    <w:rsid w:val="00E94FA8"/>
    <w:rsid w:val="00E95609"/>
    <w:rsid w:val="00EA5B29"/>
    <w:rsid w:val="00EA7DF4"/>
    <w:rsid w:val="00EB10A2"/>
    <w:rsid w:val="00EB4957"/>
    <w:rsid w:val="00EB4FD7"/>
    <w:rsid w:val="00EB6B1C"/>
    <w:rsid w:val="00EB7EA8"/>
    <w:rsid w:val="00EC0C04"/>
    <w:rsid w:val="00EC21F8"/>
    <w:rsid w:val="00EC564B"/>
    <w:rsid w:val="00EC6F58"/>
    <w:rsid w:val="00ED02AB"/>
    <w:rsid w:val="00ED1521"/>
    <w:rsid w:val="00ED4634"/>
    <w:rsid w:val="00ED6722"/>
    <w:rsid w:val="00ED68E6"/>
    <w:rsid w:val="00ED7CB3"/>
    <w:rsid w:val="00EE1123"/>
    <w:rsid w:val="00EE1706"/>
    <w:rsid w:val="00EE3A4F"/>
    <w:rsid w:val="00EE4434"/>
    <w:rsid w:val="00EE6C2E"/>
    <w:rsid w:val="00EF0C91"/>
    <w:rsid w:val="00EF153A"/>
    <w:rsid w:val="00EF1E38"/>
    <w:rsid w:val="00EF2660"/>
    <w:rsid w:val="00EF26A2"/>
    <w:rsid w:val="00EF2994"/>
    <w:rsid w:val="00EF347E"/>
    <w:rsid w:val="00F02044"/>
    <w:rsid w:val="00F06892"/>
    <w:rsid w:val="00F079E9"/>
    <w:rsid w:val="00F07E80"/>
    <w:rsid w:val="00F102A1"/>
    <w:rsid w:val="00F126DC"/>
    <w:rsid w:val="00F12F60"/>
    <w:rsid w:val="00F13BE8"/>
    <w:rsid w:val="00F14072"/>
    <w:rsid w:val="00F140EA"/>
    <w:rsid w:val="00F15B2B"/>
    <w:rsid w:val="00F1668A"/>
    <w:rsid w:val="00F2192E"/>
    <w:rsid w:val="00F25DDA"/>
    <w:rsid w:val="00F269DE"/>
    <w:rsid w:val="00F26A4B"/>
    <w:rsid w:val="00F31636"/>
    <w:rsid w:val="00F3262B"/>
    <w:rsid w:val="00F376E3"/>
    <w:rsid w:val="00F37ED4"/>
    <w:rsid w:val="00F40A46"/>
    <w:rsid w:val="00F41D12"/>
    <w:rsid w:val="00F42B97"/>
    <w:rsid w:val="00F42E1B"/>
    <w:rsid w:val="00F44A07"/>
    <w:rsid w:val="00F45235"/>
    <w:rsid w:val="00F45C5B"/>
    <w:rsid w:val="00F47681"/>
    <w:rsid w:val="00F502D9"/>
    <w:rsid w:val="00F50B3C"/>
    <w:rsid w:val="00F516CA"/>
    <w:rsid w:val="00F5297C"/>
    <w:rsid w:val="00F5592A"/>
    <w:rsid w:val="00F57E9D"/>
    <w:rsid w:val="00F61B44"/>
    <w:rsid w:val="00F66E1A"/>
    <w:rsid w:val="00F6779E"/>
    <w:rsid w:val="00F67D86"/>
    <w:rsid w:val="00F71EBB"/>
    <w:rsid w:val="00F728DA"/>
    <w:rsid w:val="00F75558"/>
    <w:rsid w:val="00F76715"/>
    <w:rsid w:val="00F76FC7"/>
    <w:rsid w:val="00F77740"/>
    <w:rsid w:val="00F803D7"/>
    <w:rsid w:val="00F8554D"/>
    <w:rsid w:val="00F855E2"/>
    <w:rsid w:val="00F85FFE"/>
    <w:rsid w:val="00F90DCE"/>
    <w:rsid w:val="00F952B5"/>
    <w:rsid w:val="00F96876"/>
    <w:rsid w:val="00FA13BA"/>
    <w:rsid w:val="00FA1E7C"/>
    <w:rsid w:val="00FA2EB0"/>
    <w:rsid w:val="00FA53C8"/>
    <w:rsid w:val="00FA619D"/>
    <w:rsid w:val="00FA6589"/>
    <w:rsid w:val="00FA6ABC"/>
    <w:rsid w:val="00FA6F4C"/>
    <w:rsid w:val="00FB0040"/>
    <w:rsid w:val="00FB1EFC"/>
    <w:rsid w:val="00FB2494"/>
    <w:rsid w:val="00FB31C3"/>
    <w:rsid w:val="00FB3AAA"/>
    <w:rsid w:val="00FB4E60"/>
    <w:rsid w:val="00FB6C47"/>
    <w:rsid w:val="00FC1085"/>
    <w:rsid w:val="00FC3F6C"/>
    <w:rsid w:val="00FC4ACC"/>
    <w:rsid w:val="00FC56DB"/>
    <w:rsid w:val="00FC73A3"/>
    <w:rsid w:val="00FC781B"/>
    <w:rsid w:val="00FD0892"/>
    <w:rsid w:val="00FD23B4"/>
    <w:rsid w:val="00FD256E"/>
    <w:rsid w:val="00FD2CDF"/>
    <w:rsid w:val="00FD57B0"/>
    <w:rsid w:val="00FD66E6"/>
    <w:rsid w:val="00FD6782"/>
    <w:rsid w:val="00FD6951"/>
    <w:rsid w:val="00FD6ECF"/>
    <w:rsid w:val="00FE4D1D"/>
    <w:rsid w:val="00FF3986"/>
    <w:rsid w:val="00FFF8D8"/>
    <w:rsid w:val="011AB3CC"/>
    <w:rsid w:val="016501B9"/>
    <w:rsid w:val="016ECC7E"/>
    <w:rsid w:val="017CACDD"/>
    <w:rsid w:val="01B4927B"/>
    <w:rsid w:val="01B62CBF"/>
    <w:rsid w:val="0244FA7E"/>
    <w:rsid w:val="02AB1D2E"/>
    <w:rsid w:val="032F5B72"/>
    <w:rsid w:val="03600BEF"/>
    <w:rsid w:val="0385A2B1"/>
    <w:rsid w:val="03E1E601"/>
    <w:rsid w:val="042FBC9E"/>
    <w:rsid w:val="04C5761F"/>
    <w:rsid w:val="04D5C1A2"/>
    <w:rsid w:val="0523D516"/>
    <w:rsid w:val="0524E670"/>
    <w:rsid w:val="0550D90F"/>
    <w:rsid w:val="05C222BD"/>
    <w:rsid w:val="05FC4720"/>
    <w:rsid w:val="06674DEE"/>
    <w:rsid w:val="0690AA2C"/>
    <w:rsid w:val="07115355"/>
    <w:rsid w:val="0717C12D"/>
    <w:rsid w:val="076D31D6"/>
    <w:rsid w:val="0774D847"/>
    <w:rsid w:val="07A24C98"/>
    <w:rsid w:val="080493AE"/>
    <w:rsid w:val="081285D4"/>
    <w:rsid w:val="08ACED20"/>
    <w:rsid w:val="08B5241B"/>
    <w:rsid w:val="08C6E28E"/>
    <w:rsid w:val="08D6DD0A"/>
    <w:rsid w:val="0901026B"/>
    <w:rsid w:val="0918D47A"/>
    <w:rsid w:val="0965BE6C"/>
    <w:rsid w:val="09673C28"/>
    <w:rsid w:val="0977FB32"/>
    <w:rsid w:val="09FC5DEB"/>
    <w:rsid w:val="0A6016FF"/>
    <w:rsid w:val="0A7D8530"/>
    <w:rsid w:val="0AA4F81E"/>
    <w:rsid w:val="0AB4657D"/>
    <w:rsid w:val="0AD4606A"/>
    <w:rsid w:val="0AF6F581"/>
    <w:rsid w:val="0B52CF1F"/>
    <w:rsid w:val="0B93172D"/>
    <w:rsid w:val="0BD7D387"/>
    <w:rsid w:val="0C0491F0"/>
    <w:rsid w:val="0C07DF84"/>
    <w:rsid w:val="0C67A085"/>
    <w:rsid w:val="0C76CEFD"/>
    <w:rsid w:val="0C97F00B"/>
    <w:rsid w:val="0D35263A"/>
    <w:rsid w:val="0D77E7E8"/>
    <w:rsid w:val="0D8CC9A9"/>
    <w:rsid w:val="0DBBF40E"/>
    <w:rsid w:val="0DC56329"/>
    <w:rsid w:val="0E38ADED"/>
    <w:rsid w:val="0EDD3A24"/>
    <w:rsid w:val="0EF9447F"/>
    <w:rsid w:val="0F1DE9AE"/>
    <w:rsid w:val="0F412E30"/>
    <w:rsid w:val="0F559946"/>
    <w:rsid w:val="0F6C70AB"/>
    <w:rsid w:val="0FAF829C"/>
    <w:rsid w:val="0FDB84BB"/>
    <w:rsid w:val="0FE4F849"/>
    <w:rsid w:val="10424CFC"/>
    <w:rsid w:val="1044A1D4"/>
    <w:rsid w:val="106C6632"/>
    <w:rsid w:val="1097B42B"/>
    <w:rsid w:val="10A527FA"/>
    <w:rsid w:val="10B76D0F"/>
    <w:rsid w:val="1101B873"/>
    <w:rsid w:val="1174A0E5"/>
    <w:rsid w:val="119F7E52"/>
    <w:rsid w:val="11C6C923"/>
    <w:rsid w:val="11EBDBFE"/>
    <w:rsid w:val="11EDF315"/>
    <w:rsid w:val="1203C9A6"/>
    <w:rsid w:val="1257F471"/>
    <w:rsid w:val="12A3229C"/>
    <w:rsid w:val="130919B0"/>
    <w:rsid w:val="130B7A7D"/>
    <w:rsid w:val="13206685"/>
    <w:rsid w:val="139E751E"/>
    <w:rsid w:val="13AFE440"/>
    <w:rsid w:val="13D5D483"/>
    <w:rsid w:val="141FE3B2"/>
    <w:rsid w:val="144C38E4"/>
    <w:rsid w:val="14810D83"/>
    <w:rsid w:val="14865C18"/>
    <w:rsid w:val="14A3FD57"/>
    <w:rsid w:val="14A4DAAC"/>
    <w:rsid w:val="14FA18FF"/>
    <w:rsid w:val="154E5741"/>
    <w:rsid w:val="15875A1D"/>
    <w:rsid w:val="15920E0D"/>
    <w:rsid w:val="15B0AC6C"/>
    <w:rsid w:val="160D5684"/>
    <w:rsid w:val="164878B0"/>
    <w:rsid w:val="168CDBBF"/>
    <w:rsid w:val="16B16FC7"/>
    <w:rsid w:val="171748B2"/>
    <w:rsid w:val="1766F567"/>
    <w:rsid w:val="17769885"/>
    <w:rsid w:val="17E18D87"/>
    <w:rsid w:val="180E7B24"/>
    <w:rsid w:val="1837F98E"/>
    <w:rsid w:val="184B80CE"/>
    <w:rsid w:val="18955842"/>
    <w:rsid w:val="18F5A91F"/>
    <w:rsid w:val="1913D9C9"/>
    <w:rsid w:val="1949D363"/>
    <w:rsid w:val="199C7EF3"/>
    <w:rsid w:val="199E5AE9"/>
    <w:rsid w:val="19AC83F5"/>
    <w:rsid w:val="19AFDF18"/>
    <w:rsid w:val="19D2D707"/>
    <w:rsid w:val="1A5ACBB0"/>
    <w:rsid w:val="1A8C345B"/>
    <w:rsid w:val="1AC51E72"/>
    <w:rsid w:val="1ACE1217"/>
    <w:rsid w:val="1B277695"/>
    <w:rsid w:val="1B759236"/>
    <w:rsid w:val="1B807DB5"/>
    <w:rsid w:val="1B848752"/>
    <w:rsid w:val="1B9B323B"/>
    <w:rsid w:val="1BB7B24B"/>
    <w:rsid w:val="1BFABB67"/>
    <w:rsid w:val="1C1956E6"/>
    <w:rsid w:val="1C2A08E2"/>
    <w:rsid w:val="1C2EFD9C"/>
    <w:rsid w:val="1C6943A8"/>
    <w:rsid w:val="1CA5687F"/>
    <w:rsid w:val="1CAF89A3"/>
    <w:rsid w:val="1CBE4B1C"/>
    <w:rsid w:val="1CD3E91C"/>
    <w:rsid w:val="1CEE61DC"/>
    <w:rsid w:val="1D050B7C"/>
    <w:rsid w:val="1D19E7F9"/>
    <w:rsid w:val="1D45C9E3"/>
    <w:rsid w:val="1D47486C"/>
    <w:rsid w:val="1DD8F636"/>
    <w:rsid w:val="1E02235F"/>
    <w:rsid w:val="1E7B354A"/>
    <w:rsid w:val="1E9AAD07"/>
    <w:rsid w:val="1ED98F04"/>
    <w:rsid w:val="1EE48107"/>
    <w:rsid w:val="1F3A2D4C"/>
    <w:rsid w:val="1F6220A4"/>
    <w:rsid w:val="1F6A38C1"/>
    <w:rsid w:val="1F7B70D6"/>
    <w:rsid w:val="1FE152DA"/>
    <w:rsid w:val="1FF9DE45"/>
    <w:rsid w:val="200EB28E"/>
    <w:rsid w:val="203038E3"/>
    <w:rsid w:val="203070DF"/>
    <w:rsid w:val="206580FB"/>
    <w:rsid w:val="20809492"/>
    <w:rsid w:val="20EA1AAA"/>
    <w:rsid w:val="20F996D2"/>
    <w:rsid w:val="21B8F554"/>
    <w:rsid w:val="21D61AFE"/>
    <w:rsid w:val="226D491D"/>
    <w:rsid w:val="22711B3F"/>
    <w:rsid w:val="22DD5E03"/>
    <w:rsid w:val="2312394D"/>
    <w:rsid w:val="2318517C"/>
    <w:rsid w:val="2327031D"/>
    <w:rsid w:val="23883361"/>
    <w:rsid w:val="23959C4B"/>
    <w:rsid w:val="2397B53D"/>
    <w:rsid w:val="23FC4EE7"/>
    <w:rsid w:val="24812B81"/>
    <w:rsid w:val="248D4022"/>
    <w:rsid w:val="2498F86E"/>
    <w:rsid w:val="24AD3614"/>
    <w:rsid w:val="24CAFEC9"/>
    <w:rsid w:val="251ADDBD"/>
    <w:rsid w:val="254DD8CC"/>
    <w:rsid w:val="256FC609"/>
    <w:rsid w:val="25BA0534"/>
    <w:rsid w:val="25EEB893"/>
    <w:rsid w:val="2624F656"/>
    <w:rsid w:val="26C42E2D"/>
    <w:rsid w:val="26C6C159"/>
    <w:rsid w:val="26F94BD9"/>
    <w:rsid w:val="2709C58E"/>
    <w:rsid w:val="2770BFFA"/>
    <w:rsid w:val="27C5A9FC"/>
    <w:rsid w:val="27D6305F"/>
    <w:rsid w:val="28427029"/>
    <w:rsid w:val="2884358C"/>
    <w:rsid w:val="2887CB5E"/>
    <w:rsid w:val="28CE1D7E"/>
    <w:rsid w:val="28DAFF7F"/>
    <w:rsid w:val="290366F3"/>
    <w:rsid w:val="2911D882"/>
    <w:rsid w:val="29331127"/>
    <w:rsid w:val="29DA1CBE"/>
    <w:rsid w:val="29F2A10E"/>
    <w:rsid w:val="2A06C9AF"/>
    <w:rsid w:val="2A18E30B"/>
    <w:rsid w:val="2A8933CB"/>
    <w:rsid w:val="2AB05318"/>
    <w:rsid w:val="2AC39A05"/>
    <w:rsid w:val="2B6CF6E1"/>
    <w:rsid w:val="2BC7882B"/>
    <w:rsid w:val="2BDEA1C4"/>
    <w:rsid w:val="2C22D4C3"/>
    <w:rsid w:val="2D07AF09"/>
    <w:rsid w:val="2DC17CD3"/>
    <w:rsid w:val="2DDAD532"/>
    <w:rsid w:val="2E40EF1B"/>
    <w:rsid w:val="2ECE48E8"/>
    <w:rsid w:val="2EFA9EC9"/>
    <w:rsid w:val="2F2105BB"/>
    <w:rsid w:val="2F3FFC15"/>
    <w:rsid w:val="2FA236F4"/>
    <w:rsid w:val="2FAE3C6E"/>
    <w:rsid w:val="2FBF427F"/>
    <w:rsid w:val="2FDDD289"/>
    <w:rsid w:val="2FE01F9E"/>
    <w:rsid w:val="30307D0E"/>
    <w:rsid w:val="30535C1F"/>
    <w:rsid w:val="306686DB"/>
    <w:rsid w:val="311AE86E"/>
    <w:rsid w:val="316C84E7"/>
    <w:rsid w:val="31776A5E"/>
    <w:rsid w:val="3198C9A4"/>
    <w:rsid w:val="31A74245"/>
    <w:rsid w:val="31DD67E1"/>
    <w:rsid w:val="323088C1"/>
    <w:rsid w:val="3231DC9B"/>
    <w:rsid w:val="324AF5F4"/>
    <w:rsid w:val="326D24AF"/>
    <w:rsid w:val="328A546E"/>
    <w:rsid w:val="32DF0617"/>
    <w:rsid w:val="33659261"/>
    <w:rsid w:val="33BE3FF7"/>
    <w:rsid w:val="33C453DD"/>
    <w:rsid w:val="3449673A"/>
    <w:rsid w:val="3449AA6C"/>
    <w:rsid w:val="345C684E"/>
    <w:rsid w:val="34B4162B"/>
    <w:rsid w:val="34C728A6"/>
    <w:rsid w:val="34F472F9"/>
    <w:rsid w:val="35C11C42"/>
    <w:rsid w:val="35ECFB61"/>
    <w:rsid w:val="3600AADF"/>
    <w:rsid w:val="361767C2"/>
    <w:rsid w:val="3617D95D"/>
    <w:rsid w:val="364930FC"/>
    <w:rsid w:val="369B4D33"/>
    <w:rsid w:val="36F697CC"/>
    <w:rsid w:val="3702530C"/>
    <w:rsid w:val="378C2E51"/>
    <w:rsid w:val="37BB7B3A"/>
    <w:rsid w:val="382BFC8A"/>
    <w:rsid w:val="384A5266"/>
    <w:rsid w:val="387A5703"/>
    <w:rsid w:val="38A0F991"/>
    <w:rsid w:val="38AEE170"/>
    <w:rsid w:val="38BEC5E0"/>
    <w:rsid w:val="38CBA117"/>
    <w:rsid w:val="38E6E5DB"/>
    <w:rsid w:val="38FFC2C7"/>
    <w:rsid w:val="39313C98"/>
    <w:rsid w:val="3970360F"/>
    <w:rsid w:val="39797092"/>
    <w:rsid w:val="397D125A"/>
    <w:rsid w:val="39961789"/>
    <w:rsid w:val="3A0096E8"/>
    <w:rsid w:val="3A0299CF"/>
    <w:rsid w:val="3A8DB701"/>
    <w:rsid w:val="3A98E7A2"/>
    <w:rsid w:val="3AD49DE1"/>
    <w:rsid w:val="3B060AC8"/>
    <w:rsid w:val="3B0DA404"/>
    <w:rsid w:val="3B1A178D"/>
    <w:rsid w:val="3B4D7B4D"/>
    <w:rsid w:val="3B580F8B"/>
    <w:rsid w:val="3B7DE72A"/>
    <w:rsid w:val="3B82997F"/>
    <w:rsid w:val="3B8A8C69"/>
    <w:rsid w:val="3BA16F71"/>
    <w:rsid w:val="3BD108B6"/>
    <w:rsid w:val="3C17A56A"/>
    <w:rsid w:val="3C41BCE1"/>
    <w:rsid w:val="3C430029"/>
    <w:rsid w:val="3C895263"/>
    <w:rsid w:val="3CC3710B"/>
    <w:rsid w:val="3D0849E9"/>
    <w:rsid w:val="3D1BDAD5"/>
    <w:rsid w:val="3D5D6BE3"/>
    <w:rsid w:val="3DA42B81"/>
    <w:rsid w:val="3DD2A7CB"/>
    <w:rsid w:val="3E4CC20D"/>
    <w:rsid w:val="3F055BB4"/>
    <w:rsid w:val="3F1C66AC"/>
    <w:rsid w:val="3F27C56F"/>
    <w:rsid w:val="3F50390E"/>
    <w:rsid w:val="3F60DE8F"/>
    <w:rsid w:val="3F89E448"/>
    <w:rsid w:val="3FDC543D"/>
    <w:rsid w:val="3FDF0BDB"/>
    <w:rsid w:val="3FFAABF2"/>
    <w:rsid w:val="403A90B3"/>
    <w:rsid w:val="40AABB93"/>
    <w:rsid w:val="40C123C9"/>
    <w:rsid w:val="40C3BDA1"/>
    <w:rsid w:val="40DBC75A"/>
    <w:rsid w:val="40E6271C"/>
    <w:rsid w:val="410A0088"/>
    <w:rsid w:val="4142DD9C"/>
    <w:rsid w:val="416E6AAD"/>
    <w:rsid w:val="41708D48"/>
    <w:rsid w:val="419E582E"/>
    <w:rsid w:val="41A1374C"/>
    <w:rsid w:val="41C83E51"/>
    <w:rsid w:val="41CBCF7B"/>
    <w:rsid w:val="41D5C4E4"/>
    <w:rsid w:val="423AAB40"/>
    <w:rsid w:val="4245A6BA"/>
    <w:rsid w:val="426B348E"/>
    <w:rsid w:val="428BD393"/>
    <w:rsid w:val="42A34FAC"/>
    <w:rsid w:val="42A96E81"/>
    <w:rsid w:val="4305277A"/>
    <w:rsid w:val="4345D3F8"/>
    <w:rsid w:val="435F0D2E"/>
    <w:rsid w:val="43A46ECB"/>
    <w:rsid w:val="43ACE6B4"/>
    <w:rsid w:val="4403C776"/>
    <w:rsid w:val="44421529"/>
    <w:rsid w:val="444C6128"/>
    <w:rsid w:val="448A0F5F"/>
    <w:rsid w:val="4497435E"/>
    <w:rsid w:val="44D7080B"/>
    <w:rsid w:val="44D8604D"/>
    <w:rsid w:val="44EDA72B"/>
    <w:rsid w:val="45445B55"/>
    <w:rsid w:val="454B2135"/>
    <w:rsid w:val="455909EF"/>
    <w:rsid w:val="455F5D30"/>
    <w:rsid w:val="4564ADC0"/>
    <w:rsid w:val="458D4149"/>
    <w:rsid w:val="458F4599"/>
    <w:rsid w:val="459E6E23"/>
    <w:rsid w:val="45C5562D"/>
    <w:rsid w:val="45F72A8B"/>
    <w:rsid w:val="4674AC6B"/>
    <w:rsid w:val="469475BC"/>
    <w:rsid w:val="4699602C"/>
    <w:rsid w:val="46C599AA"/>
    <w:rsid w:val="4738487E"/>
    <w:rsid w:val="47904EF1"/>
    <w:rsid w:val="47F83F91"/>
    <w:rsid w:val="4894B0D5"/>
    <w:rsid w:val="48C68826"/>
    <w:rsid w:val="48F3BC1D"/>
    <w:rsid w:val="4929FFDF"/>
    <w:rsid w:val="49479809"/>
    <w:rsid w:val="494FE1AB"/>
    <w:rsid w:val="496A01F2"/>
    <w:rsid w:val="49B7CEE8"/>
    <w:rsid w:val="49DC919F"/>
    <w:rsid w:val="49DCB621"/>
    <w:rsid w:val="49E3250D"/>
    <w:rsid w:val="49EE5E38"/>
    <w:rsid w:val="49F22F35"/>
    <w:rsid w:val="49FD3B56"/>
    <w:rsid w:val="4A0261DC"/>
    <w:rsid w:val="4A42A836"/>
    <w:rsid w:val="4AB313D3"/>
    <w:rsid w:val="4AD0FEED"/>
    <w:rsid w:val="4AD2EB9D"/>
    <w:rsid w:val="4B084D51"/>
    <w:rsid w:val="4B1ED646"/>
    <w:rsid w:val="4BCBA863"/>
    <w:rsid w:val="4BECB06B"/>
    <w:rsid w:val="4C62E07E"/>
    <w:rsid w:val="4CAB017A"/>
    <w:rsid w:val="4CC30ECF"/>
    <w:rsid w:val="4CFB0010"/>
    <w:rsid w:val="4D7AF805"/>
    <w:rsid w:val="4DB4A89C"/>
    <w:rsid w:val="4DB9C5F7"/>
    <w:rsid w:val="4DC1214D"/>
    <w:rsid w:val="4DE73EA3"/>
    <w:rsid w:val="4DE78897"/>
    <w:rsid w:val="4E01E2CE"/>
    <w:rsid w:val="4E2476C5"/>
    <w:rsid w:val="4E2D5C16"/>
    <w:rsid w:val="4E409667"/>
    <w:rsid w:val="4E65E0E5"/>
    <w:rsid w:val="4E9911FE"/>
    <w:rsid w:val="4EBDC293"/>
    <w:rsid w:val="4ECDC554"/>
    <w:rsid w:val="4EE75588"/>
    <w:rsid w:val="4F52050F"/>
    <w:rsid w:val="5029C841"/>
    <w:rsid w:val="5059FEB3"/>
    <w:rsid w:val="50EAECC7"/>
    <w:rsid w:val="518CA2A1"/>
    <w:rsid w:val="51993A90"/>
    <w:rsid w:val="51A8D1E2"/>
    <w:rsid w:val="51B4C246"/>
    <w:rsid w:val="51EA5650"/>
    <w:rsid w:val="52146470"/>
    <w:rsid w:val="52893444"/>
    <w:rsid w:val="52981498"/>
    <w:rsid w:val="52B27170"/>
    <w:rsid w:val="52D3F150"/>
    <w:rsid w:val="52EFB907"/>
    <w:rsid w:val="533244DC"/>
    <w:rsid w:val="539F746C"/>
    <w:rsid w:val="53C46A6B"/>
    <w:rsid w:val="53C518D4"/>
    <w:rsid w:val="53D8B9E1"/>
    <w:rsid w:val="53DD500B"/>
    <w:rsid w:val="53FAC7EE"/>
    <w:rsid w:val="541652E3"/>
    <w:rsid w:val="544C41CB"/>
    <w:rsid w:val="54BEAE89"/>
    <w:rsid w:val="54BED12B"/>
    <w:rsid w:val="54BED905"/>
    <w:rsid w:val="54DB5B42"/>
    <w:rsid w:val="554441BA"/>
    <w:rsid w:val="555A4A0F"/>
    <w:rsid w:val="55731605"/>
    <w:rsid w:val="566DCBB1"/>
    <w:rsid w:val="56FE005D"/>
    <w:rsid w:val="5781C961"/>
    <w:rsid w:val="57B093EE"/>
    <w:rsid w:val="582EC74F"/>
    <w:rsid w:val="58434BC8"/>
    <w:rsid w:val="58C6C5D5"/>
    <w:rsid w:val="594C4881"/>
    <w:rsid w:val="59D41222"/>
    <w:rsid w:val="59FFAFD5"/>
    <w:rsid w:val="5A26AAB5"/>
    <w:rsid w:val="5A3124AA"/>
    <w:rsid w:val="5A5BB069"/>
    <w:rsid w:val="5A78BF38"/>
    <w:rsid w:val="5A99A1AD"/>
    <w:rsid w:val="5AC73AC9"/>
    <w:rsid w:val="5AF88D2B"/>
    <w:rsid w:val="5B56285D"/>
    <w:rsid w:val="5B759B29"/>
    <w:rsid w:val="5B810D38"/>
    <w:rsid w:val="5BE3FA18"/>
    <w:rsid w:val="5BF187B6"/>
    <w:rsid w:val="5C47E4A8"/>
    <w:rsid w:val="5C6812D1"/>
    <w:rsid w:val="5D5DD052"/>
    <w:rsid w:val="5E8AC11E"/>
    <w:rsid w:val="5EC30ACD"/>
    <w:rsid w:val="5EE672D2"/>
    <w:rsid w:val="5F101251"/>
    <w:rsid w:val="5F499F47"/>
    <w:rsid w:val="5F9666D0"/>
    <w:rsid w:val="5FCF975A"/>
    <w:rsid w:val="5FE1D715"/>
    <w:rsid w:val="605123E5"/>
    <w:rsid w:val="607F0CC4"/>
    <w:rsid w:val="608FC1A5"/>
    <w:rsid w:val="60D7DE34"/>
    <w:rsid w:val="60FBCDA5"/>
    <w:rsid w:val="610BC4E5"/>
    <w:rsid w:val="617F7F9C"/>
    <w:rsid w:val="618F9090"/>
    <w:rsid w:val="61AA31C1"/>
    <w:rsid w:val="61D69F36"/>
    <w:rsid w:val="61E86CF4"/>
    <w:rsid w:val="6239AC71"/>
    <w:rsid w:val="6239C072"/>
    <w:rsid w:val="623A5F47"/>
    <w:rsid w:val="626AA3B2"/>
    <w:rsid w:val="62989817"/>
    <w:rsid w:val="62E4BA38"/>
    <w:rsid w:val="6336FB2D"/>
    <w:rsid w:val="635C106F"/>
    <w:rsid w:val="63DDDD5E"/>
    <w:rsid w:val="63E8B208"/>
    <w:rsid w:val="643AD9A1"/>
    <w:rsid w:val="64414B39"/>
    <w:rsid w:val="6474C337"/>
    <w:rsid w:val="64A9DE8B"/>
    <w:rsid w:val="64E00F38"/>
    <w:rsid w:val="64F18551"/>
    <w:rsid w:val="651EBF3A"/>
    <w:rsid w:val="65200D6A"/>
    <w:rsid w:val="6557BB51"/>
    <w:rsid w:val="6565F82D"/>
    <w:rsid w:val="65C1D78A"/>
    <w:rsid w:val="65C67343"/>
    <w:rsid w:val="6711313C"/>
    <w:rsid w:val="6745B8EC"/>
    <w:rsid w:val="677E76E1"/>
    <w:rsid w:val="6797DC53"/>
    <w:rsid w:val="67C5C8B0"/>
    <w:rsid w:val="67C917F7"/>
    <w:rsid w:val="67CABEC6"/>
    <w:rsid w:val="680B7042"/>
    <w:rsid w:val="6816C85D"/>
    <w:rsid w:val="68E9F06A"/>
    <w:rsid w:val="6A348EA3"/>
    <w:rsid w:val="6A74E6BB"/>
    <w:rsid w:val="6A8B758F"/>
    <w:rsid w:val="6A9384DD"/>
    <w:rsid w:val="6AAFC103"/>
    <w:rsid w:val="6AE8518B"/>
    <w:rsid w:val="6AFBB1CD"/>
    <w:rsid w:val="6B04FF8C"/>
    <w:rsid w:val="6B3CB496"/>
    <w:rsid w:val="6B86BCE4"/>
    <w:rsid w:val="6BBEB1DA"/>
    <w:rsid w:val="6BC11EA6"/>
    <w:rsid w:val="6C1A1D1C"/>
    <w:rsid w:val="6C1C8C71"/>
    <w:rsid w:val="6C505D3F"/>
    <w:rsid w:val="6CA07EB8"/>
    <w:rsid w:val="6CF4E195"/>
    <w:rsid w:val="6D07E2DA"/>
    <w:rsid w:val="6D4C959F"/>
    <w:rsid w:val="6D5B3798"/>
    <w:rsid w:val="6D659C2A"/>
    <w:rsid w:val="6D9C22C3"/>
    <w:rsid w:val="6DEA6B8B"/>
    <w:rsid w:val="6E7CA58E"/>
    <w:rsid w:val="6E9E7FB0"/>
    <w:rsid w:val="6EBB709F"/>
    <w:rsid w:val="6F4B8C21"/>
    <w:rsid w:val="6FE95D2E"/>
    <w:rsid w:val="704A711A"/>
    <w:rsid w:val="70628316"/>
    <w:rsid w:val="70A82A95"/>
    <w:rsid w:val="70F6E3B2"/>
    <w:rsid w:val="7111007E"/>
    <w:rsid w:val="71360626"/>
    <w:rsid w:val="71444D16"/>
    <w:rsid w:val="71520BF0"/>
    <w:rsid w:val="716A410E"/>
    <w:rsid w:val="717FE42A"/>
    <w:rsid w:val="718D328D"/>
    <w:rsid w:val="718F7C7E"/>
    <w:rsid w:val="71A208B7"/>
    <w:rsid w:val="722F4C5E"/>
    <w:rsid w:val="72534147"/>
    <w:rsid w:val="72AFB011"/>
    <w:rsid w:val="72B051D2"/>
    <w:rsid w:val="72C80500"/>
    <w:rsid w:val="72D897D5"/>
    <w:rsid w:val="7305F6CE"/>
    <w:rsid w:val="730A38D0"/>
    <w:rsid w:val="73117275"/>
    <w:rsid w:val="7324C410"/>
    <w:rsid w:val="735236F7"/>
    <w:rsid w:val="735C33A2"/>
    <w:rsid w:val="737097E1"/>
    <w:rsid w:val="73DB43E4"/>
    <w:rsid w:val="73F0EC49"/>
    <w:rsid w:val="74865CFF"/>
    <w:rsid w:val="7497B70D"/>
    <w:rsid w:val="7554C73E"/>
    <w:rsid w:val="759628FF"/>
    <w:rsid w:val="759C122E"/>
    <w:rsid w:val="75DC34F7"/>
    <w:rsid w:val="76356B06"/>
    <w:rsid w:val="768A72FB"/>
    <w:rsid w:val="76B8F633"/>
    <w:rsid w:val="76DA2D4B"/>
    <w:rsid w:val="77711528"/>
    <w:rsid w:val="77C10666"/>
    <w:rsid w:val="780296B9"/>
    <w:rsid w:val="78413D28"/>
    <w:rsid w:val="784B3D9E"/>
    <w:rsid w:val="78672A67"/>
    <w:rsid w:val="78719B16"/>
    <w:rsid w:val="7927D649"/>
    <w:rsid w:val="79401B31"/>
    <w:rsid w:val="79F29CCA"/>
    <w:rsid w:val="7A0140A6"/>
    <w:rsid w:val="7A138CEB"/>
    <w:rsid w:val="7A4B0911"/>
    <w:rsid w:val="7A78AFF6"/>
    <w:rsid w:val="7AA54C41"/>
    <w:rsid w:val="7AD82F94"/>
    <w:rsid w:val="7B0786C3"/>
    <w:rsid w:val="7B3485D2"/>
    <w:rsid w:val="7B93BEBE"/>
    <w:rsid w:val="7BAEF1A5"/>
    <w:rsid w:val="7C6A93E4"/>
    <w:rsid w:val="7C9AB96F"/>
    <w:rsid w:val="7CAF414C"/>
    <w:rsid w:val="7CC2302D"/>
    <w:rsid w:val="7CF14D79"/>
    <w:rsid w:val="7CF215DC"/>
    <w:rsid w:val="7CF53079"/>
    <w:rsid w:val="7D021BEC"/>
    <w:rsid w:val="7D0825F4"/>
    <w:rsid w:val="7D089AD1"/>
    <w:rsid w:val="7D1F2C7A"/>
    <w:rsid w:val="7D204486"/>
    <w:rsid w:val="7D671284"/>
    <w:rsid w:val="7DB6DF38"/>
    <w:rsid w:val="7E0E1348"/>
    <w:rsid w:val="7E3C3ED0"/>
    <w:rsid w:val="7E4CF529"/>
    <w:rsid w:val="7E75A4EC"/>
    <w:rsid w:val="7E86FE60"/>
    <w:rsid w:val="7EB8EF5F"/>
    <w:rsid w:val="7ED165D4"/>
    <w:rsid w:val="7EDA1486"/>
    <w:rsid w:val="7EEDAE87"/>
    <w:rsid w:val="7F661B7D"/>
    <w:rsid w:val="7F6A9ACE"/>
    <w:rsid w:val="7FF5F1F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B0531281-5F7B-47C5-8306-93AA648C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AE3"/>
    <w:rPr>
      <w:lang w:val="ro-RO" w:eastAsia="en-US"/>
    </w:rPr>
  </w:style>
  <w:style w:type="paragraph" w:styleId="Heading1">
    <w:name w:val="heading 1"/>
    <w:basedOn w:val="Normal"/>
    <w:next w:val="Normal"/>
    <w:link w:val="Heading1Char"/>
    <w:uiPriority w:val="1"/>
    <w:qFormat/>
    <w:rsid w:val="3DD2A7CB"/>
    <w:pPr>
      <w:keepNext/>
      <w:spacing w:before="240" w:after="60"/>
      <w:outlineLvl w:val="0"/>
    </w:pPr>
    <w:rPr>
      <w:rFonts w:ascii="Arial" w:hAnsi="Arial"/>
      <w:b/>
      <w:bCs/>
      <w:sz w:val="28"/>
      <w:szCs w:val="28"/>
    </w:rPr>
  </w:style>
  <w:style w:type="paragraph" w:styleId="Heading2">
    <w:name w:val="heading 2"/>
    <w:basedOn w:val="Normal"/>
    <w:next w:val="Normal"/>
    <w:link w:val="Heading2Char"/>
    <w:uiPriority w:val="1"/>
    <w:qFormat/>
    <w:rsid w:val="3DD2A7CB"/>
    <w:pPr>
      <w:keepNext/>
      <w:jc w:val="center"/>
      <w:outlineLvl w:val="1"/>
    </w:pPr>
    <w:rPr>
      <w:rFonts w:ascii="$ Benguiat_Bold" w:hAnsi="$ Benguiat_Bold"/>
      <w:b/>
      <w:bCs/>
      <w:sz w:val="132"/>
      <w:szCs w:val="132"/>
    </w:rPr>
  </w:style>
  <w:style w:type="paragraph" w:styleId="Heading3">
    <w:name w:val="heading 3"/>
    <w:basedOn w:val="Normal"/>
    <w:next w:val="Normal"/>
    <w:link w:val="Heading3Char"/>
    <w:uiPriority w:val="1"/>
    <w:qFormat/>
    <w:rsid w:val="3DD2A7CB"/>
    <w:pPr>
      <w:keepNext/>
      <w:jc w:val="center"/>
      <w:outlineLvl w:val="2"/>
    </w:pPr>
    <w:rPr>
      <w:rFonts w:ascii="$Caslon" w:hAnsi="$Caslon"/>
      <w:b/>
      <w:bCs/>
    </w:rPr>
  </w:style>
  <w:style w:type="paragraph" w:styleId="Heading4">
    <w:name w:val="heading 4"/>
    <w:basedOn w:val="Normal"/>
    <w:next w:val="Normal"/>
    <w:link w:val="Heading4Char"/>
    <w:uiPriority w:val="1"/>
    <w:qFormat/>
    <w:rsid w:val="3DD2A7CB"/>
    <w:pPr>
      <w:keepNext/>
      <w:jc w:val="center"/>
      <w:outlineLvl w:val="3"/>
    </w:pPr>
    <w:rPr>
      <w:rFonts w:ascii="$Caslon" w:hAnsi="$Caslon"/>
      <w:b/>
      <w:bCs/>
      <w:sz w:val="26"/>
      <w:szCs w:val="26"/>
    </w:rPr>
  </w:style>
  <w:style w:type="paragraph" w:styleId="Heading5">
    <w:name w:val="heading 5"/>
    <w:basedOn w:val="Normal"/>
    <w:next w:val="Normal"/>
    <w:link w:val="Heading5Char"/>
    <w:uiPriority w:val="1"/>
    <w:qFormat/>
    <w:rsid w:val="3DD2A7CB"/>
    <w:pPr>
      <w:keepNext/>
      <w:jc w:val="center"/>
      <w:outlineLvl w:val="4"/>
    </w:pPr>
    <w:rPr>
      <w:rFonts w:ascii="$Caslon" w:hAnsi="$Caslon"/>
      <w:sz w:val="24"/>
      <w:szCs w:val="24"/>
    </w:rPr>
  </w:style>
  <w:style w:type="paragraph" w:styleId="Heading6">
    <w:name w:val="heading 6"/>
    <w:basedOn w:val="Normal"/>
    <w:next w:val="Normal"/>
    <w:link w:val="Heading6Char"/>
    <w:uiPriority w:val="1"/>
    <w:qFormat/>
    <w:rsid w:val="3DD2A7CB"/>
    <w:pPr>
      <w:keepNext/>
      <w:jc w:val="center"/>
      <w:outlineLvl w:val="5"/>
    </w:pPr>
    <w:rPr>
      <w:rFonts w:ascii="$Caslon" w:hAnsi="$Caslon"/>
      <w:b/>
      <w:bCs/>
      <w:sz w:val="22"/>
      <w:szCs w:val="22"/>
    </w:rPr>
  </w:style>
  <w:style w:type="paragraph" w:styleId="Heading7">
    <w:name w:val="heading 7"/>
    <w:basedOn w:val="Normal"/>
    <w:next w:val="Normal"/>
    <w:link w:val="Heading7Char"/>
    <w:uiPriority w:val="1"/>
    <w:qFormat/>
    <w:rsid w:val="3DD2A7CB"/>
    <w:pPr>
      <w:keepNext/>
      <w:jc w:val="center"/>
      <w:outlineLvl w:val="6"/>
    </w:pPr>
    <w:rPr>
      <w:rFonts w:ascii="Garamond" w:hAnsi="Garamond"/>
      <w:b/>
      <w:bCs/>
      <w:sz w:val="28"/>
      <w:szCs w:val="28"/>
    </w:rPr>
  </w:style>
  <w:style w:type="paragraph" w:styleId="Heading8">
    <w:name w:val="heading 8"/>
    <w:basedOn w:val="Normal"/>
    <w:next w:val="Normal"/>
    <w:link w:val="Heading8Char"/>
    <w:uiPriority w:val="1"/>
    <w:qFormat/>
    <w:rsid w:val="3DD2A7CB"/>
    <w:pPr>
      <w:keepNext/>
      <w:jc w:val="center"/>
      <w:outlineLvl w:val="7"/>
    </w:pPr>
    <w:rPr>
      <w:rFonts w:ascii="$Caslon" w:hAnsi="$Caslon"/>
      <w:b/>
      <w:bCs/>
      <w:sz w:val="24"/>
      <w:szCs w:val="24"/>
    </w:rPr>
  </w:style>
  <w:style w:type="paragraph" w:styleId="Heading9">
    <w:name w:val="heading 9"/>
    <w:basedOn w:val="Normal"/>
    <w:next w:val="Normal"/>
    <w:link w:val="Heading9Char"/>
    <w:uiPriority w:val="9"/>
    <w:unhideWhenUsed/>
    <w:qFormat/>
    <w:rsid w:val="3DD2A7CB"/>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rsid w:val="3DD2A7CB"/>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rsid w:val="3DD2A7CB"/>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rsid w:val="3DD2A7CB"/>
    <w:pPr>
      <w:ind w:left="720" w:right="720"/>
    </w:pPr>
    <w:rPr>
      <w:i/>
      <w:iCs/>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rsid w:val="3DD2A7CB"/>
    <w:pPr>
      <w:pBdr>
        <w:top w:val="single" w:sz="4" w:space="5" w:color="FFFFFF"/>
        <w:left w:val="single" w:sz="4" w:space="10" w:color="FFFFFF"/>
        <w:bottom w:val="single" w:sz="4" w:space="5" w:color="FFFFFF"/>
        <w:right w:val="single" w:sz="4" w:space="10" w:color="FFFFFF"/>
      </w:pBdr>
      <w:shd w:val="clear" w:color="auto" w:fill="F2F2F2" w:themeFill="background1" w:themeFillShade="F2"/>
      <w:ind w:left="720" w:right="720"/>
    </w:pPr>
    <w:rPr>
      <w:i/>
      <w:iCs/>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sid w:val="3DD2A7CB"/>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3DD2A7CB"/>
    <w:pPr>
      <w:spacing w:after="40"/>
    </w:pPr>
    <w:rPr>
      <w:sz w:val="18"/>
      <w:szCs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rsid w:val="3DD2A7CB"/>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rsid w:val="3DD2A7CB"/>
    <w:pPr>
      <w:spacing w:after="57"/>
      <w:ind w:firstLine="0"/>
    </w:pPr>
  </w:style>
  <w:style w:type="paragraph" w:styleId="TOC2">
    <w:name w:val="toc 2"/>
    <w:basedOn w:val="Normal"/>
    <w:next w:val="Normal"/>
    <w:uiPriority w:val="39"/>
    <w:unhideWhenUsed/>
    <w:rsid w:val="3DD2A7CB"/>
    <w:pPr>
      <w:spacing w:after="57"/>
      <w:ind w:left="283" w:firstLine="0"/>
    </w:pPr>
  </w:style>
  <w:style w:type="paragraph" w:styleId="TOC3">
    <w:name w:val="toc 3"/>
    <w:basedOn w:val="Normal"/>
    <w:next w:val="Normal"/>
    <w:uiPriority w:val="39"/>
    <w:unhideWhenUsed/>
    <w:rsid w:val="3DD2A7CB"/>
    <w:pPr>
      <w:spacing w:after="57"/>
      <w:ind w:left="567" w:firstLine="0"/>
    </w:pPr>
  </w:style>
  <w:style w:type="paragraph" w:styleId="TOC4">
    <w:name w:val="toc 4"/>
    <w:basedOn w:val="Normal"/>
    <w:next w:val="Normal"/>
    <w:uiPriority w:val="39"/>
    <w:unhideWhenUsed/>
    <w:rsid w:val="3DD2A7CB"/>
    <w:pPr>
      <w:spacing w:after="57"/>
      <w:ind w:left="850" w:firstLine="0"/>
    </w:pPr>
  </w:style>
  <w:style w:type="paragraph" w:styleId="TOC5">
    <w:name w:val="toc 5"/>
    <w:basedOn w:val="Normal"/>
    <w:next w:val="Normal"/>
    <w:uiPriority w:val="39"/>
    <w:unhideWhenUsed/>
    <w:rsid w:val="3DD2A7CB"/>
    <w:pPr>
      <w:spacing w:after="57"/>
      <w:ind w:left="1134" w:firstLine="0"/>
    </w:pPr>
  </w:style>
  <w:style w:type="paragraph" w:styleId="TOC6">
    <w:name w:val="toc 6"/>
    <w:basedOn w:val="Normal"/>
    <w:next w:val="Normal"/>
    <w:uiPriority w:val="39"/>
    <w:unhideWhenUsed/>
    <w:rsid w:val="3DD2A7CB"/>
    <w:pPr>
      <w:spacing w:after="57"/>
      <w:ind w:left="1417" w:firstLine="0"/>
    </w:pPr>
  </w:style>
  <w:style w:type="paragraph" w:styleId="TOC7">
    <w:name w:val="toc 7"/>
    <w:basedOn w:val="Normal"/>
    <w:next w:val="Normal"/>
    <w:uiPriority w:val="39"/>
    <w:unhideWhenUsed/>
    <w:rsid w:val="3DD2A7CB"/>
    <w:pPr>
      <w:spacing w:after="57"/>
      <w:ind w:left="1701" w:firstLine="0"/>
    </w:pPr>
  </w:style>
  <w:style w:type="paragraph" w:styleId="TOC8">
    <w:name w:val="toc 8"/>
    <w:basedOn w:val="Normal"/>
    <w:next w:val="Normal"/>
    <w:uiPriority w:val="39"/>
    <w:unhideWhenUsed/>
    <w:rsid w:val="3DD2A7CB"/>
    <w:pPr>
      <w:spacing w:after="57"/>
      <w:ind w:left="1984" w:firstLine="0"/>
    </w:pPr>
  </w:style>
  <w:style w:type="paragraph" w:styleId="TOC9">
    <w:name w:val="toc 9"/>
    <w:basedOn w:val="Normal"/>
    <w:next w:val="Normal"/>
    <w:uiPriority w:val="39"/>
    <w:unhideWhenUsed/>
    <w:rsid w:val="3DD2A7CB"/>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rsid w:val="3DD2A7CB"/>
  </w:style>
  <w:style w:type="paragraph" w:styleId="BalloonText">
    <w:name w:val="Balloon Text"/>
    <w:basedOn w:val="Normal"/>
    <w:link w:val="BalloonTextChar"/>
    <w:uiPriority w:val="99"/>
    <w:rsid w:val="3DD2A7CB"/>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uiPriority w:val="1"/>
    <w:rsid w:val="3DD2A7CB"/>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3DD2A7CB"/>
    <w:pPr>
      <w:ind w:firstLine="567"/>
    </w:pPr>
    <w:rPr>
      <w:sz w:val="24"/>
      <w:szCs w:val="24"/>
      <w:lang w:val="ru-RU" w:eastAsia="ru-RU"/>
    </w:rPr>
  </w:style>
  <w:style w:type="paragraph" w:customStyle="1" w:styleId="cn">
    <w:name w:val="cn"/>
    <w:basedOn w:val="Normal"/>
    <w:uiPriority w:val="1"/>
    <w:rsid w:val="3DD2A7CB"/>
    <w:pPr>
      <w:ind w:firstLine="0"/>
      <w:jc w:val="center"/>
    </w:pPr>
    <w:rPr>
      <w:sz w:val="24"/>
      <w:szCs w:val="24"/>
      <w:lang w:val="ru-RU" w:eastAsia="ru-RU"/>
    </w:rPr>
  </w:style>
  <w:style w:type="paragraph" w:customStyle="1" w:styleId="cb">
    <w:name w:val="cb"/>
    <w:basedOn w:val="Normal"/>
    <w:uiPriority w:val="99"/>
    <w:semiHidden/>
    <w:rsid w:val="3DD2A7CB"/>
    <w:pPr>
      <w:ind w:firstLine="0"/>
      <w:jc w:val="center"/>
    </w:pPr>
    <w:rPr>
      <w:b/>
      <w:bCs/>
      <w:sz w:val="24"/>
      <w:szCs w:val="24"/>
      <w:lang w:val="ru-RU" w:eastAsia="ru-RU"/>
    </w:rPr>
  </w:style>
  <w:style w:type="paragraph" w:styleId="Header">
    <w:name w:val="header"/>
    <w:basedOn w:val="Normal"/>
    <w:link w:val="HeaderChar"/>
    <w:uiPriority w:val="1"/>
    <w:rsid w:val="3DD2A7CB"/>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uiPriority w:val="1"/>
    <w:rsid w:val="3DD2A7CB"/>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uiPriority w:val="1"/>
    <w:rsid w:val="3DD2A7CB"/>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3DD2A7CB"/>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uiPriority w:val="1"/>
    <w:rsid w:val="3DD2A7CB"/>
    <w:pPr>
      <w:ind w:firstLine="0"/>
      <w:jc w:val="center"/>
    </w:pPr>
    <w:rPr>
      <w:b/>
      <w:bCs/>
      <w:sz w:val="24"/>
      <w:szCs w:val="24"/>
      <w:lang w:val="ru-RU" w:eastAsia="ru-RU"/>
    </w:rPr>
  </w:style>
  <w:style w:type="paragraph" w:customStyle="1" w:styleId="CharChar0">
    <w:name w:val="Char Char Знак Знак"/>
    <w:basedOn w:val="Normal"/>
    <w:uiPriority w:val="1"/>
    <w:rsid w:val="3DD2A7CB"/>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uiPriority w:val="1"/>
    <w:rsid w:val="3DD2A7CB"/>
    <w:pPr>
      <w:spacing w:beforeAutospacing="1"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uiPriority w:val="1"/>
    <w:rsid w:val="3DD2A7CB"/>
    <w:pPr>
      <w:spacing w:beforeAutospacing="1"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rsid w:val="3DD2A7CB"/>
    <w:pPr>
      <w:ind w:firstLine="0"/>
      <w:jc w:val="left"/>
    </w:pPr>
    <w:rPr>
      <w:lang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rsid w:val="3DD2A7CB"/>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3DD2A7CB"/>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3DD2A7CB"/>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uiPriority w:val="1"/>
    <w:rsid w:val="3DD2A7CB"/>
    <w:pPr>
      <w:spacing w:beforeAutospacing="1"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rsid w:val="3DD2A7CB"/>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styleId="UnresolvedMention">
    <w:name w:val="Unresolved Mention"/>
    <w:basedOn w:val="DefaultParagraphFont"/>
    <w:uiPriority w:val="99"/>
    <w:semiHidden/>
    <w:unhideWhenUsed/>
    <w:rsid w:val="0057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6431">
      <w:bodyDiv w:val="1"/>
      <w:marLeft w:val="0"/>
      <w:marRight w:val="0"/>
      <w:marTop w:val="0"/>
      <w:marBottom w:val="0"/>
      <w:divBdr>
        <w:top w:val="none" w:sz="0" w:space="0" w:color="auto"/>
        <w:left w:val="none" w:sz="0" w:space="0" w:color="auto"/>
        <w:bottom w:val="none" w:sz="0" w:space="0" w:color="auto"/>
        <w:right w:val="none" w:sz="0" w:space="0" w:color="auto"/>
      </w:divBdr>
    </w:div>
    <w:div w:id="38168348">
      <w:bodyDiv w:val="1"/>
      <w:marLeft w:val="0"/>
      <w:marRight w:val="0"/>
      <w:marTop w:val="0"/>
      <w:marBottom w:val="0"/>
      <w:divBdr>
        <w:top w:val="none" w:sz="0" w:space="0" w:color="auto"/>
        <w:left w:val="none" w:sz="0" w:space="0" w:color="auto"/>
        <w:bottom w:val="none" w:sz="0" w:space="0" w:color="auto"/>
        <w:right w:val="none" w:sz="0" w:space="0" w:color="auto"/>
      </w:divBdr>
    </w:div>
    <w:div w:id="39330384">
      <w:bodyDiv w:val="1"/>
      <w:marLeft w:val="0"/>
      <w:marRight w:val="0"/>
      <w:marTop w:val="0"/>
      <w:marBottom w:val="0"/>
      <w:divBdr>
        <w:top w:val="none" w:sz="0" w:space="0" w:color="auto"/>
        <w:left w:val="none" w:sz="0" w:space="0" w:color="auto"/>
        <w:bottom w:val="none" w:sz="0" w:space="0" w:color="auto"/>
        <w:right w:val="none" w:sz="0" w:space="0" w:color="auto"/>
      </w:divBdr>
    </w:div>
    <w:div w:id="75372251">
      <w:bodyDiv w:val="1"/>
      <w:marLeft w:val="0"/>
      <w:marRight w:val="0"/>
      <w:marTop w:val="0"/>
      <w:marBottom w:val="0"/>
      <w:divBdr>
        <w:top w:val="none" w:sz="0" w:space="0" w:color="auto"/>
        <w:left w:val="none" w:sz="0" w:space="0" w:color="auto"/>
        <w:bottom w:val="none" w:sz="0" w:space="0" w:color="auto"/>
        <w:right w:val="none" w:sz="0" w:space="0" w:color="auto"/>
      </w:divBdr>
    </w:div>
    <w:div w:id="83497365">
      <w:bodyDiv w:val="1"/>
      <w:marLeft w:val="0"/>
      <w:marRight w:val="0"/>
      <w:marTop w:val="0"/>
      <w:marBottom w:val="0"/>
      <w:divBdr>
        <w:top w:val="none" w:sz="0" w:space="0" w:color="auto"/>
        <w:left w:val="none" w:sz="0" w:space="0" w:color="auto"/>
        <w:bottom w:val="none" w:sz="0" w:space="0" w:color="auto"/>
        <w:right w:val="none" w:sz="0" w:space="0" w:color="auto"/>
      </w:divBdr>
    </w:div>
    <w:div w:id="91703846">
      <w:bodyDiv w:val="1"/>
      <w:marLeft w:val="0"/>
      <w:marRight w:val="0"/>
      <w:marTop w:val="0"/>
      <w:marBottom w:val="0"/>
      <w:divBdr>
        <w:top w:val="none" w:sz="0" w:space="0" w:color="auto"/>
        <w:left w:val="none" w:sz="0" w:space="0" w:color="auto"/>
        <w:bottom w:val="none" w:sz="0" w:space="0" w:color="auto"/>
        <w:right w:val="none" w:sz="0" w:space="0" w:color="auto"/>
      </w:divBdr>
    </w:div>
    <w:div w:id="96029068">
      <w:bodyDiv w:val="1"/>
      <w:marLeft w:val="0"/>
      <w:marRight w:val="0"/>
      <w:marTop w:val="0"/>
      <w:marBottom w:val="0"/>
      <w:divBdr>
        <w:top w:val="none" w:sz="0" w:space="0" w:color="auto"/>
        <w:left w:val="none" w:sz="0" w:space="0" w:color="auto"/>
        <w:bottom w:val="none" w:sz="0" w:space="0" w:color="auto"/>
        <w:right w:val="none" w:sz="0" w:space="0" w:color="auto"/>
      </w:divBdr>
    </w:div>
    <w:div w:id="100612096">
      <w:bodyDiv w:val="1"/>
      <w:marLeft w:val="0"/>
      <w:marRight w:val="0"/>
      <w:marTop w:val="0"/>
      <w:marBottom w:val="0"/>
      <w:divBdr>
        <w:top w:val="none" w:sz="0" w:space="0" w:color="auto"/>
        <w:left w:val="none" w:sz="0" w:space="0" w:color="auto"/>
        <w:bottom w:val="none" w:sz="0" w:space="0" w:color="auto"/>
        <w:right w:val="none" w:sz="0" w:space="0" w:color="auto"/>
      </w:divBdr>
    </w:div>
    <w:div w:id="122047302">
      <w:bodyDiv w:val="1"/>
      <w:marLeft w:val="0"/>
      <w:marRight w:val="0"/>
      <w:marTop w:val="0"/>
      <w:marBottom w:val="0"/>
      <w:divBdr>
        <w:top w:val="none" w:sz="0" w:space="0" w:color="auto"/>
        <w:left w:val="none" w:sz="0" w:space="0" w:color="auto"/>
        <w:bottom w:val="none" w:sz="0" w:space="0" w:color="auto"/>
        <w:right w:val="none" w:sz="0" w:space="0" w:color="auto"/>
      </w:divBdr>
    </w:div>
    <w:div w:id="126169155">
      <w:bodyDiv w:val="1"/>
      <w:marLeft w:val="0"/>
      <w:marRight w:val="0"/>
      <w:marTop w:val="0"/>
      <w:marBottom w:val="0"/>
      <w:divBdr>
        <w:top w:val="none" w:sz="0" w:space="0" w:color="auto"/>
        <w:left w:val="none" w:sz="0" w:space="0" w:color="auto"/>
        <w:bottom w:val="none" w:sz="0" w:space="0" w:color="auto"/>
        <w:right w:val="none" w:sz="0" w:space="0" w:color="auto"/>
      </w:divBdr>
    </w:div>
    <w:div w:id="152382277">
      <w:bodyDiv w:val="1"/>
      <w:marLeft w:val="0"/>
      <w:marRight w:val="0"/>
      <w:marTop w:val="0"/>
      <w:marBottom w:val="0"/>
      <w:divBdr>
        <w:top w:val="none" w:sz="0" w:space="0" w:color="auto"/>
        <w:left w:val="none" w:sz="0" w:space="0" w:color="auto"/>
        <w:bottom w:val="none" w:sz="0" w:space="0" w:color="auto"/>
        <w:right w:val="none" w:sz="0" w:space="0" w:color="auto"/>
      </w:divBdr>
    </w:div>
    <w:div w:id="164561613">
      <w:bodyDiv w:val="1"/>
      <w:marLeft w:val="0"/>
      <w:marRight w:val="0"/>
      <w:marTop w:val="0"/>
      <w:marBottom w:val="0"/>
      <w:divBdr>
        <w:top w:val="none" w:sz="0" w:space="0" w:color="auto"/>
        <w:left w:val="none" w:sz="0" w:space="0" w:color="auto"/>
        <w:bottom w:val="none" w:sz="0" w:space="0" w:color="auto"/>
        <w:right w:val="none" w:sz="0" w:space="0" w:color="auto"/>
      </w:divBdr>
    </w:div>
    <w:div w:id="171188158">
      <w:bodyDiv w:val="1"/>
      <w:marLeft w:val="0"/>
      <w:marRight w:val="0"/>
      <w:marTop w:val="0"/>
      <w:marBottom w:val="0"/>
      <w:divBdr>
        <w:top w:val="none" w:sz="0" w:space="0" w:color="auto"/>
        <w:left w:val="none" w:sz="0" w:space="0" w:color="auto"/>
        <w:bottom w:val="none" w:sz="0" w:space="0" w:color="auto"/>
        <w:right w:val="none" w:sz="0" w:space="0" w:color="auto"/>
      </w:divBdr>
    </w:div>
    <w:div w:id="176584195">
      <w:bodyDiv w:val="1"/>
      <w:marLeft w:val="0"/>
      <w:marRight w:val="0"/>
      <w:marTop w:val="0"/>
      <w:marBottom w:val="0"/>
      <w:divBdr>
        <w:top w:val="none" w:sz="0" w:space="0" w:color="auto"/>
        <w:left w:val="none" w:sz="0" w:space="0" w:color="auto"/>
        <w:bottom w:val="none" w:sz="0" w:space="0" w:color="auto"/>
        <w:right w:val="none" w:sz="0" w:space="0" w:color="auto"/>
      </w:divBdr>
    </w:div>
    <w:div w:id="193421000">
      <w:bodyDiv w:val="1"/>
      <w:marLeft w:val="0"/>
      <w:marRight w:val="0"/>
      <w:marTop w:val="0"/>
      <w:marBottom w:val="0"/>
      <w:divBdr>
        <w:top w:val="none" w:sz="0" w:space="0" w:color="auto"/>
        <w:left w:val="none" w:sz="0" w:space="0" w:color="auto"/>
        <w:bottom w:val="none" w:sz="0" w:space="0" w:color="auto"/>
        <w:right w:val="none" w:sz="0" w:space="0" w:color="auto"/>
      </w:divBdr>
    </w:div>
    <w:div w:id="197664466">
      <w:bodyDiv w:val="1"/>
      <w:marLeft w:val="0"/>
      <w:marRight w:val="0"/>
      <w:marTop w:val="0"/>
      <w:marBottom w:val="0"/>
      <w:divBdr>
        <w:top w:val="none" w:sz="0" w:space="0" w:color="auto"/>
        <w:left w:val="none" w:sz="0" w:space="0" w:color="auto"/>
        <w:bottom w:val="none" w:sz="0" w:space="0" w:color="auto"/>
        <w:right w:val="none" w:sz="0" w:space="0" w:color="auto"/>
      </w:divBdr>
    </w:div>
    <w:div w:id="269626400">
      <w:bodyDiv w:val="1"/>
      <w:marLeft w:val="0"/>
      <w:marRight w:val="0"/>
      <w:marTop w:val="0"/>
      <w:marBottom w:val="0"/>
      <w:divBdr>
        <w:top w:val="none" w:sz="0" w:space="0" w:color="auto"/>
        <w:left w:val="none" w:sz="0" w:space="0" w:color="auto"/>
        <w:bottom w:val="none" w:sz="0" w:space="0" w:color="auto"/>
        <w:right w:val="none" w:sz="0" w:space="0" w:color="auto"/>
      </w:divBdr>
    </w:div>
    <w:div w:id="282422997">
      <w:bodyDiv w:val="1"/>
      <w:marLeft w:val="0"/>
      <w:marRight w:val="0"/>
      <w:marTop w:val="0"/>
      <w:marBottom w:val="0"/>
      <w:divBdr>
        <w:top w:val="none" w:sz="0" w:space="0" w:color="auto"/>
        <w:left w:val="none" w:sz="0" w:space="0" w:color="auto"/>
        <w:bottom w:val="none" w:sz="0" w:space="0" w:color="auto"/>
        <w:right w:val="none" w:sz="0" w:space="0" w:color="auto"/>
      </w:divBdr>
    </w:div>
    <w:div w:id="300816633">
      <w:bodyDiv w:val="1"/>
      <w:marLeft w:val="0"/>
      <w:marRight w:val="0"/>
      <w:marTop w:val="0"/>
      <w:marBottom w:val="0"/>
      <w:divBdr>
        <w:top w:val="none" w:sz="0" w:space="0" w:color="auto"/>
        <w:left w:val="none" w:sz="0" w:space="0" w:color="auto"/>
        <w:bottom w:val="none" w:sz="0" w:space="0" w:color="auto"/>
        <w:right w:val="none" w:sz="0" w:space="0" w:color="auto"/>
      </w:divBdr>
    </w:div>
    <w:div w:id="355468586">
      <w:bodyDiv w:val="1"/>
      <w:marLeft w:val="0"/>
      <w:marRight w:val="0"/>
      <w:marTop w:val="0"/>
      <w:marBottom w:val="0"/>
      <w:divBdr>
        <w:top w:val="none" w:sz="0" w:space="0" w:color="auto"/>
        <w:left w:val="none" w:sz="0" w:space="0" w:color="auto"/>
        <w:bottom w:val="none" w:sz="0" w:space="0" w:color="auto"/>
        <w:right w:val="none" w:sz="0" w:space="0" w:color="auto"/>
      </w:divBdr>
    </w:div>
    <w:div w:id="362825315">
      <w:bodyDiv w:val="1"/>
      <w:marLeft w:val="0"/>
      <w:marRight w:val="0"/>
      <w:marTop w:val="0"/>
      <w:marBottom w:val="0"/>
      <w:divBdr>
        <w:top w:val="none" w:sz="0" w:space="0" w:color="auto"/>
        <w:left w:val="none" w:sz="0" w:space="0" w:color="auto"/>
        <w:bottom w:val="none" w:sz="0" w:space="0" w:color="auto"/>
        <w:right w:val="none" w:sz="0" w:space="0" w:color="auto"/>
      </w:divBdr>
    </w:div>
    <w:div w:id="371227677">
      <w:bodyDiv w:val="1"/>
      <w:marLeft w:val="0"/>
      <w:marRight w:val="0"/>
      <w:marTop w:val="0"/>
      <w:marBottom w:val="0"/>
      <w:divBdr>
        <w:top w:val="none" w:sz="0" w:space="0" w:color="auto"/>
        <w:left w:val="none" w:sz="0" w:space="0" w:color="auto"/>
        <w:bottom w:val="none" w:sz="0" w:space="0" w:color="auto"/>
        <w:right w:val="none" w:sz="0" w:space="0" w:color="auto"/>
      </w:divBdr>
    </w:div>
    <w:div w:id="375356133">
      <w:bodyDiv w:val="1"/>
      <w:marLeft w:val="0"/>
      <w:marRight w:val="0"/>
      <w:marTop w:val="0"/>
      <w:marBottom w:val="0"/>
      <w:divBdr>
        <w:top w:val="none" w:sz="0" w:space="0" w:color="auto"/>
        <w:left w:val="none" w:sz="0" w:space="0" w:color="auto"/>
        <w:bottom w:val="none" w:sz="0" w:space="0" w:color="auto"/>
        <w:right w:val="none" w:sz="0" w:space="0" w:color="auto"/>
      </w:divBdr>
    </w:div>
    <w:div w:id="398871096">
      <w:bodyDiv w:val="1"/>
      <w:marLeft w:val="0"/>
      <w:marRight w:val="0"/>
      <w:marTop w:val="0"/>
      <w:marBottom w:val="0"/>
      <w:divBdr>
        <w:top w:val="none" w:sz="0" w:space="0" w:color="auto"/>
        <w:left w:val="none" w:sz="0" w:space="0" w:color="auto"/>
        <w:bottom w:val="none" w:sz="0" w:space="0" w:color="auto"/>
        <w:right w:val="none" w:sz="0" w:space="0" w:color="auto"/>
      </w:divBdr>
    </w:div>
    <w:div w:id="406153116">
      <w:bodyDiv w:val="1"/>
      <w:marLeft w:val="0"/>
      <w:marRight w:val="0"/>
      <w:marTop w:val="0"/>
      <w:marBottom w:val="0"/>
      <w:divBdr>
        <w:top w:val="none" w:sz="0" w:space="0" w:color="auto"/>
        <w:left w:val="none" w:sz="0" w:space="0" w:color="auto"/>
        <w:bottom w:val="none" w:sz="0" w:space="0" w:color="auto"/>
        <w:right w:val="none" w:sz="0" w:space="0" w:color="auto"/>
      </w:divBdr>
    </w:div>
    <w:div w:id="411196119">
      <w:bodyDiv w:val="1"/>
      <w:marLeft w:val="0"/>
      <w:marRight w:val="0"/>
      <w:marTop w:val="0"/>
      <w:marBottom w:val="0"/>
      <w:divBdr>
        <w:top w:val="none" w:sz="0" w:space="0" w:color="auto"/>
        <w:left w:val="none" w:sz="0" w:space="0" w:color="auto"/>
        <w:bottom w:val="none" w:sz="0" w:space="0" w:color="auto"/>
        <w:right w:val="none" w:sz="0" w:space="0" w:color="auto"/>
      </w:divBdr>
    </w:div>
    <w:div w:id="424348758">
      <w:bodyDiv w:val="1"/>
      <w:marLeft w:val="0"/>
      <w:marRight w:val="0"/>
      <w:marTop w:val="0"/>
      <w:marBottom w:val="0"/>
      <w:divBdr>
        <w:top w:val="none" w:sz="0" w:space="0" w:color="auto"/>
        <w:left w:val="none" w:sz="0" w:space="0" w:color="auto"/>
        <w:bottom w:val="none" w:sz="0" w:space="0" w:color="auto"/>
        <w:right w:val="none" w:sz="0" w:space="0" w:color="auto"/>
      </w:divBdr>
    </w:div>
    <w:div w:id="435440491">
      <w:bodyDiv w:val="1"/>
      <w:marLeft w:val="0"/>
      <w:marRight w:val="0"/>
      <w:marTop w:val="0"/>
      <w:marBottom w:val="0"/>
      <w:divBdr>
        <w:top w:val="none" w:sz="0" w:space="0" w:color="auto"/>
        <w:left w:val="none" w:sz="0" w:space="0" w:color="auto"/>
        <w:bottom w:val="none" w:sz="0" w:space="0" w:color="auto"/>
        <w:right w:val="none" w:sz="0" w:space="0" w:color="auto"/>
      </w:divBdr>
    </w:div>
    <w:div w:id="436408324">
      <w:bodyDiv w:val="1"/>
      <w:marLeft w:val="0"/>
      <w:marRight w:val="0"/>
      <w:marTop w:val="0"/>
      <w:marBottom w:val="0"/>
      <w:divBdr>
        <w:top w:val="none" w:sz="0" w:space="0" w:color="auto"/>
        <w:left w:val="none" w:sz="0" w:space="0" w:color="auto"/>
        <w:bottom w:val="none" w:sz="0" w:space="0" w:color="auto"/>
        <w:right w:val="none" w:sz="0" w:space="0" w:color="auto"/>
      </w:divBdr>
    </w:div>
    <w:div w:id="443695340">
      <w:bodyDiv w:val="1"/>
      <w:marLeft w:val="0"/>
      <w:marRight w:val="0"/>
      <w:marTop w:val="0"/>
      <w:marBottom w:val="0"/>
      <w:divBdr>
        <w:top w:val="none" w:sz="0" w:space="0" w:color="auto"/>
        <w:left w:val="none" w:sz="0" w:space="0" w:color="auto"/>
        <w:bottom w:val="none" w:sz="0" w:space="0" w:color="auto"/>
        <w:right w:val="none" w:sz="0" w:space="0" w:color="auto"/>
      </w:divBdr>
    </w:div>
    <w:div w:id="453989785">
      <w:bodyDiv w:val="1"/>
      <w:marLeft w:val="0"/>
      <w:marRight w:val="0"/>
      <w:marTop w:val="0"/>
      <w:marBottom w:val="0"/>
      <w:divBdr>
        <w:top w:val="none" w:sz="0" w:space="0" w:color="auto"/>
        <w:left w:val="none" w:sz="0" w:space="0" w:color="auto"/>
        <w:bottom w:val="none" w:sz="0" w:space="0" w:color="auto"/>
        <w:right w:val="none" w:sz="0" w:space="0" w:color="auto"/>
      </w:divBdr>
    </w:div>
    <w:div w:id="459300947">
      <w:bodyDiv w:val="1"/>
      <w:marLeft w:val="0"/>
      <w:marRight w:val="0"/>
      <w:marTop w:val="0"/>
      <w:marBottom w:val="0"/>
      <w:divBdr>
        <w:top w:val="none" w:sz="0" w:space="0" w:color="auto"/>
        <w:left w:val="none" w:sz="0" w:space="0" w:color="auto"/>
        <w:bottom w:val="none" w:sz="0" w:space="0" w:color="auto"/>
        <w:right w:val="none" w:sz="0" w:space="0" w:color="auto"/>
      </w:divBdr>
    </w:div>
    <w:div w:id="487522717">
      <w:bodyDiv w:val="1"/>
      <w:marLeft w:val="0"/>
      <w:marRight w:val="0"/>
      <w:marTop w:val="0"/>
      <w:marBottom w:val="0"/>
      <w:divBdr>
        <w:top w:val="none" w:sz="0" w:space="0" w:color="auto"/>
        <w:left w:val="none" w:sz="0" w:space="0" w:color="auto"/>
        <w:bottom w:val="none" w:sz="0" w:space="0" w:color="auto"/>
        <w:right w:val="none" w:sz="0" w:space="0" w:color="auto"/>
      </w:divBdr>
    </w:div>
    <w:div w:id="490951361">
      <w:bodyDiv w:val="1"/>
      <w:marLeft w:val="0"/>
      <w:marRight w:val="0"/>
      <w:marTop w:val="0"/>
      <w:marBottom w:val="0"/>
      <w:divBdr>
        <w:top w:val="none" w:sz="0" w:space="0" w:color="auto"/>
        <w:left w:val="none" w:sz="0" w:space="0" w:color="auto"/>
        <w:bottom w:val="none" w:sz="0" w:space="0" w:color="auto"/>
        <w:right w:val="none" w:sz="0" w:space="0" w:color="auto"/>
      </w:divBdr>
    </w:div>
    <w:div w:id="498733981">
      <w:bodyDiv w:val="1"/>
      <w:marLeft w:val="0"/>
      <w:marRight w:val="0"/>
      <w:marTop w:val="0"/>
      <w:marBottom w:val="0"/>
      <w:divBdr>
        <w:top w:val="none" w:sz="0" w:space="0" w:color="auto"/>
        <w:left w:val="none" w:sz="0" w:space="0" w:color="auto"/>
        <w:bottom w:val="none" w:sz="0" w:space="0" w:color="auto"/>
        <w:right w:val="none" w:sz="0" w:space="0" w:color="auto"/>
      </w:divBdr>
      <w:divsChild>
        <w:div w:id="1511404865">
          <w:marLeft w:val="0"/>
          <w:marRight w:val="0"/>
          <w:marTop w:val="0"/>
          <w:marBottom w:val="0"/>
          <w:divBdr>
            <w:top w:val="none" w:sz="0" w:space="0" w:color="auto"/>
            <w:left w:val="none" w:sz="0" w:space="0" w:color="auto"/>
            <w:bottom w:val="none" w:sz="0" w:space="0" w:color="auto"/>
            <w:right w:val="none" w:sz="0" w:space="0" w:color="auto"/>
          </w:divBdr>
          <w:divsChild>
            <w:div w:id="5988918">
              <w:marLeft w:val="0"/>
              <w:marRight w:val="0"/>
              <w:marTop w:val="0"/>
              <w:marBottom w:val="0"/>
              <w:divBdr>
                <w:top w:val="none" w:sz="0" w:space="0" w:color="auto"/>
                <w:left w:val="none" w:sz="0" w:space="0" w:color="auto"/>
                <w:bottom w:val="none" w:sz="0" w:space="0" w:color="auto"/>
                <w:right w:val="none" w:sz="0" w:space="0" w:color="auto"/>
              </w:divBdr>
              <w:divsChild>
                <w:div w:id="1526603084">
                  <w:marLeft w:val="0"/>
                  <w:marRight w:val="0"/>
                  <w:marTop w:val="0"/>
                  <w:marBottom w:val="0"/>
                  <w:divBdr>
                    <w:top w:val="none" w:sz="0" w:space="0" w:color="auto"/>
                    <w:left w:val="none" w:sz="0" w:space="0" w:color="auto"/>
                    <w:bottom w:val="none" w:sz="0" w:space="0" w:color="auto"/>
                    <w:right w:val="none" w:sz="0" w:space="0" w:color="auto"/>
                  </w:divBdr>
                  <w:divsChild>
                    <w:div w:id="309529083">
                      <w:marLeft w:val="0"/>
                      <w:marRight w:val="0"/>
                      <w:marTop w:val="0"/>
                      <w:marBottom w:val="0"/>
                      <w:divBdr>
                        <w:top w:val="none" w:sz="0" w:space="0" w:color="auto"/>
                        <w:left w:val="none" w:sz="0" w:space="0" w:color="auto"/>
                        <w:bottom w:val="none" w:sz="0" w:space="0" w:color="auto"/>
                        <w:right w:val="none" w:sz="0" w:space="0" w:color="auto"/>
                      </w:divBdr>
                      <w:divsChild>
                        <w:div w:id="350302048">
                          <w:marLeft w:val="0"/>
                          <w:marRight w:val="0"/>
                          <w:marTop w:val="0"/>
                          <w:marBottom w:val="0"/>
                          <w:divBdr>
                            <w:top w:val="none" w:sz="0" w:space="0" w:color="auto"/>
                            <w:left w:val="none" w:sz="0" w:space="0" w:color="auto"/>
                            <w:bottom w:val="none" w:sz="0" w:space="0" w:color="auto"/>
                            <w:right w:val="none" w:sz="0" w:space="0" w:color="auto"/>
                          </w:divBdr>
                          <w:divsChild>
                            <w:div w:id="523713914">
                              <w:marLeft w:val="0"/>
                              <w:marRight w:val="0"/>
                              <w:marTop w:val="0"/>
                              <w:marBottom w:val="0"/>
                              <w:divBdr>
                                <w:top w:val="none" w:sz="0" w:space="0" w:color="auto"/>
                                <w:left w:val="none" w:sz="0" w:space="0" w:color="auto"/>
                                <w:bottom w:val="none" w:sz="0" w:space="0" w:color="auto"/>
                                <w:right w:val="none" w:sz="0" w:space="0" w:color="auto"/>
                              </w:divBdr>
                              <w:divsChild>
                                <w:div w:id="20514227">
                                  <w:marLeft w:val="0"/>
                                  <w:marRight w:val="0"/>
                                  <w:marTop w:val="0"/>
                                  <w:marBottom w:val="0"/>
                                  <w:divBdr>
                                    <w:top w:val="none" w:sz="0" w:space="0" w:color="auto"/>
                                    <w:left w:val="none" w:sz="0" w:space="0" w:color="auto"/>
                                    <w:bottom w:val="none" w:sz="0" w:space="0" w:color="auto"/>
                                    <w:right w:val="none" w:sz="0" w:space="0" w:color="auto"/>
                                  </w:divBdr>
                                  <w:divsChild>
                                    <w:div w:id="6819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88410">
                          <w:marLeft w:val="0"/>
                          <w:marRight w:val="0"/>
                          <w:marTop w:val="0"/>
                          <w:marBottom w:val="0"/>
                          <w:divBdr>
                            <w:top w:val="none" w:sz="0" w:space="0" w:color="auto"/>
                            <w:left w:val="none" w:sz="0" w:space="0" w:color="auto"/>
                            <w:bottom w:val="none" w:sz="0" w:space="0" w:color="auto"/>
                            <w:right w:val="none" w:sz="0" w:space="0" w:color="auto"/>
                          </w:divBdr>
                          <w:divsChild>
                            <w:div w:id="2086536999">
                              <w:marLeft w:val="0"/>
                              <w:marRight w:val="0"/>
                              <w:marTop w:val="0"/>
                              <w:marBottom w:val="0"/>
                              <w:divBdr>
                                <w:top w:val="none" w:sz="0" w:space="0" w:color="auto"/>
                                <w:left w:val="none" w:sz="0" w:space="0" w:color="auto"/>
                                <w:bottom w:val="none" w:sz="0" w:space="0" w:color="auto"/>
                                <w:right w:val="none" w:sz="0" w:space="0" w:color="auto"/>
                              </w:divBdr>
                              <w:divsChild>
                                <w:div w:id="26870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689751">
      <w:bodyDiv w:val="1"/>
      <w:marLeft w:val="0"/>
      <w:marRight w:val="0"/>
      <w:marTop w:val="0"/>
      <w:marBottom w:val="0"/>
      <w:divBdr>
        <w:top w:val="none" w:sz="0" w:space="0" w:color="auto"/>
        <w:left w:val="none" w:sz="0" w:space="0" w:color="auto"/>
        <w:bottom w:val="none" w:sz="0" w:space="0" w:color="auto"/>
        <w:right w:val="none" w:sz="0" w:space="0" w:color="auto"/>
      </w:divBdr>
    </w:div>
    <w:div w:id="540092189">
      <w:bodyDiv w:val="1"/>
      <w:marLeft w:val="0"/>
      <w:marRight w:val="0"/>
      <w:marTop w:val="0"/>
      <w:marBottom w:val="0"/>
      <w:divBdr>
        <w:top w:val="none" w:sz="0" w:space="0" w:color="auto"/>
        <w:left w:val="none" w:sz="0" w:space="0" w:color="auto"/>
        <w:bottom w:val="none" w:sz="0" w:space="0" w:color="auto"/>
        <w:right w:val="none" w:sz="0" w:space="0" w:color="auto"/>
      </w:divBdr>
    </w:div>
    <w:div w:id="566644656">
      <w:bodyDiv w:val="1"/>
      <w:marLeft w:val="0"/>
      <w:marRight w:val="0"/>
      <w:marTop w:val="0"/>
      <w:marBottom w:val="0"/>
      <w:divBdr>
        <w:top w:val="none" w:sz="0" w:space="0" w:color="auto"/>
        <w:left w:val="none" w:sz="0" w:space="0" w:color="auto"/>
        <w:bottom w:val="none" w:sz="0" w:space="0" w:color="auto"/>
        <w:right w:val="none" w:sz="0" w:space="0" w:color="auto"/>
      </w:divBdr>
    </w:div>
    <w:div w:id="609122943">
      <w:bodyDiv w:val="1"/>
      <w:marLeft w:val="0"/>
      <w:marRight w:val="0"/>
      <w:marTop w:val="0"/>
      <w:marBottom w:val="0"/>
      <w:divBdr>
        <w:top w:val="none" w:sz="0" w:space="0" w:color="auto"/>
        <w:left w:val="none" w:sz="0" w:space="0" w:color="auto"/>
        <w:bottom w:val="none" w:sz="0" w:space="0" w:color="auto"/>
        <w:right w:val="none" w:sz="0" w:space="0" w:color="auto"/>
      </w:divBdr>
    </w:div>
    <w:div w:id="647251495">
      <w:bodyDiv w:val="1"/>
      <w:marLeft w:val="0"/>
      <w:marRight w:val="0"/>
      <w:marTop w:val="0"/>
      <w:marBottom w:val="0"/>
      <w:divBdr>
        <w:top w:val="none" w:sz="0" w:space="0" w:color="auto"/>
        <w:left w:val="none" w:sz="0" w:space="0" w:color="auto"/>
        <w:bottom w:val="none" w:sz="0" w:space="0" w:color="auto"/>
        <w:right w:val="none" w:sz="0" w:space="0" w:color="auto"/>
      </w:divBdr>
    </w:div>
    <w:div w:id="671563552">
      <w:bodyDiv w:val="1"/>
      <w:marLeft w:val="0"/>
      <w:marRight w:val="0"/>
      <w:marTop w:val="0"/>
      <w:marBottom w:val="0"/>
      <w:divBdr>
        <w:top w:val="none" w:sz="0" w:space="0" w:color="auto"/>
        <w:left w:val="none" w:sz="0" w:space="0" w:color="auto"/>
        <w:bottom w:val="none" w:sz="0" w:space="0" w:color="auto"/>
        <w:right w:val="none" w:sz="0" w:space="0" w:color="auto"/>
      </w:divBdr>
    </w:div>
    <w:div w:id="677656352">
      <w:bodyDiv w:val="1"/>
      <w:marLeft w:val="0"/>
      <w:marRight w:val="0"/>
      <w:marTop w:val="0"/>
      <w:marBottom w:val="0"/>
      <w:divBdr>
        <w:top w:val="none" w:sz="0" w:space="0" w:color="auto"/>
        <w:left w:val="none" w:sz="0" w:space="0" w:color="auto"/>
        <w:bottom w:val="none" w:sz="0" w:space="0" w:color="auto"/>
        <w:right w:val="none" w:sz="0" w:space="0" w:color="auto"/>
      </w:divBdr>
    </w:div>
    <w:div w:id="742147401">
      <w:bodyDiv w:val="1"/>
      <w:marLeft w:val="0"/>
      <w:marRight w:val="0"/>
      <w:marTop w:val="0"/>
      <w:marBottom w:val="0"/>
      <w:divBdr>
        <w:top w:val="none" w:sz="0" w:space="0" w:color="auto"/>
        <w:left w:val="none" w:sz="0" w:space="0" w:color="auto"/>
        <w:bottom w:val="none" w:sz="0" w:space="0" w:color="auto"/>
        <w:right w:val="none" w:sz="0" w:space="0" w:color="auto"/>
      </w:divBdr>
    </w:div>
    <w:div w:id="820073670">
      <w:bodyDiv w:val="1"/>
      <w:marLeft w:val="0"/>
      <w:marRight w:val="0"/>
      <w:marTop w:val="0"/>
      <w:marBottom w:val="0"/>
      <w:divBdr>
        <w:top w:val="none" w:sz="0" w:space="0" w:color="auto"/>
        <w:left w:val="none" w:sz="0" w:space="0" w:color="auto"/>
        <w:bottom w:val="none" w:sz="0" w:space="0" w:color="auto"/>
        <w:right w:val="none" w:sz="0" w:space="0" w:color="auto"/>
      </w:divBdr>
    </w:div>
    <w:div w:id="830759477">
      <w:bodyDiv w:val="1"/>
      <w:marLeft w:val="0"/>
      <w:marRight w:val="0"/>
      <w:marTop w:val="0"/>
      <w:marBottom w:val="0"/>
      <w:divBdr>
        <w:top w:val="none" w:sz="0" w:space="0" w:color="auto"/>
        <w:left w:val="none" w:sz="0" w:space="0" w:color="auto"/>
        <w:bottom w:val="none" w:sz="0" w:space="0" w:color="auto"/>
        <w:right w:val="none" w:sz="0" w:space="0" w:color="auto"/>
      </w:divBdr>
    </w:div>
    <w:div w:id="843278208">
      <w:bodyDiv w:val="1"/>
      <w:marLeft w:val="0"/>
      <w:marRight w:val="0"/>
      <w:marTop w:val="0"/>
      <w:marBottom w:val="0"/>
      <w:divBdr>
        <w:top w:val="none" w:sz="0" w:space="0" w:color="auto"/>
        <w:left w:val="none" w:sz="0" w:space="0" w:color="auto"/>
        <w:bottom w:val="none" w:sz="0" w:space="0" w:color="auto"/>
        <w:right w:val="none" w:sz="0" w:space="0" w:color="auto"/>
      </w:divBdr>
    </w:div>
    <w:div w:id="845284881">
      <w:bodyDiv w:val="1"/>
      <w:marLeft w:val="0"/>
      <w:marRight w:val="0"/>
      <w:marTop w:val="0"/>
      <w:marBottom w:val="0"/>
      <w:divBdr>
        <w:top w:val="none" w:sz="0" w:space="0" w:color="auto"/>
        <w:left w:val="none" w:sz="0" w:space="0" w:color="auto"/>
        <w:bottom w:val="none" w:sz="0" w:space="0" w:color="auto"/>
        <w:right w:val="none" w:sz="0" w:space="0" w:color="auto"/>
      </w:divBdr>
    </w:div>
    <w:div w:id="866334023">
      <w:bodyDiv w:val="1"/>
      <w:marLeft w:val="0"/>
      <w:marRight w:val="0"/>
      <w:marTop w:val="0"/>
      <w:marBottom w:val="0"/>
      <w:divBdr>
        <w:top w:val="none" w:sz="0" w:space="0" w:color="auto"/>
        <w:left w:val="none" w:sz="0" w:space="0" w:color="auto"/>
        <w:bottom w:val="none" w:sz="0" w:space="0" w:color="auto"/>
        <w:right w:val="none" w:sz="0" w:space="0" w:color="auto"/>
      </w:divBdr>
    </w:div>
    <w:div w:id="898126380">
      <w:bodyDiv w:val="1"/>
      <w:marLeft w:val="0"/>
      <w:marRight w:val="0"/>
      <w:marTop w:val="0"/>
      <w:marBottom w:val="0"/>
      <w:divBdr>
        <w:top w:val="none" w:sz="0" w:space="0" w:color="auto"/>
        <w:left w:val="none" w:sz="0" w:space="0" w:color="auto"/>
        <w:bottom w:val="none" w:sz="0" w:space="0" w:color="auto"/>
        <w:right w:val="none" w:sz="0" w:space="0" w:color="auto"/>
      </w:divBdr>
    </w:div>
    <w:div w:id="948246318">
      <w:bodyDiv w:val="1"/>
      <w:marLeft w:val="0"/>
      <w:marRight w:val="0"/>
      <w:marTop w:val="0"/>
      <w:marBottom w:val="0"/>
      <w:divBdr>
        <w:top w:val="none" w:sz="0" w:space="0" w:color="auto"/>
        <w:left w:val="none" w:sz="0" w:space="0" w:color="auto"/>
        <w:bottom w:val="none" w:sz="0" w:space="0" w:color="auto"/>
        <w:right w:val="none" w:sz="0" w:space="0" w:color="auto"/>
      </w:divBdr>
    </w:div>
    <w:div w:id="1005018157">
      <w:bodyDiv w:val="1"/>
      <w:marLeft w:val="0"/>
      <w:marRight w:val="0"/>
      <w:marTop w:val="0"/>
      <w:marBottom w:val="0"/>
      <w:divBdr>
        <w:top w:val="none" w:sz="0" w:space="0" w:color="auto"/>
        <w:left w:val="none" w:sz="0" w:space="0" w:color="auto"/>
        <w:bottom w:val="none" w:sz="0" w:space="0" w:color="auto"/>
        <w:right w:val="none" w:sz="0" w:space="0" w:color="auto"/>
      </w:divBdr>
    </w:div>
    <w:div w:id="1042438093">
      <w:bodyDiv w:val="1"/>
      <w:marLeft w:val="0"/>
      <w:marRight w:val="0"/>
      <w:marTop w:val="0"/>
      <w:marBottom w:val="0"/>
      <w:divBdr>
        <w:top w:val="none" w:sz="0" w:space="0" w:color="auto"/>
        <w:left w:val="none" w:sz="0" w:space="0" w:color="auto"/>
        <w:bottom w:val="none" w:sz="0" w:space="0" w:color="auto"/>
        <w:right w:val="none" w:sz="0" w:space="0" w:color="auto"/>
      </w:divBdr>
    </w:div>
    <w:div w:id="1060902842">
      <w:bodyDiv w:val="1"/>
      <w:marLeft w:val="0"/>
      <w:marRight w:val="0"/>
      <w:marTop w:val="0"/>
      <w:marBottom w:val="0"/>
      <w:divBdr>
        <w:top w:val="none" w:sz="0" w:space="0" w:color="auto"/>
        <w:left w:val="none" w:sz="0" w:space="0" w:color="auto"/>
        <w:bottom w:val="none" w:sz="0" w:space="0" w:color="auto"/>
        <w:right w:val="none" w:sz="0" w:space="0" w:color="auto"/>
      </w:divBdr>
    </w:div>
    <w:div w:id="1061712278">
      <w:bodyDiv w:val="1"/>
      <w:marLeft w:val="0"/>
      <w:marRight w:val="0"/>
      <w:marTop w:val="0"/>
      <w:marBottom w:val="0"/>
      <w:divBdr>
        <w:top w:val="none" w:sz="0" w:space="0" w:color="auto"/>
        <w:left w:val="none" w:sz="0" w:space="0" w:color="auto"/>
        <w:bottom w:val="none" w:sz="0" w:space="0" w:color="auto"/>
        <w:right w:val="none" w:sz="0" w:space="0" w:color="auto"/>
      </w:divBdr>
    </w:div>
    <w:div w:id="1061946846">
      <w:bodyDiv w:val="1"/>
      <w:marLeft w:val="0"/>
      <w:marRight w:val="0"/>
      <w:marTop w:val="0"/>
      <w:marBottom w:val="0"/>
      <w:divBdr>
        <w:top w:val="none" w:sz="0" w:space="0" w:color="auto"/>
        <w:left w:val="none" w:sz="0" w:space="0" w:color="auto"/>
        <w:bottom w:val="none" w:sz="0" w:space="0" w:color="auto"/>
        <w:right w:val="none" w:sz="0" w:space="0" w:color="auto"/>
      </w:divBdr>
    </w:div>
    <w:div w:id="1082138553">
      <w:bodyDiv w:val="1"/>
      <w:marLeft w:val="0"/>
      <w:marRight w:val="0"/>
      <w:marTop w:val="0"/>
      <w:marBottom w:val="0"/>
      <w:divBdr>
        <w:top w:val="none" w:sz="0" w:space="0" w:color="auto"/>
        <w:left w:val="none" w:sz="0" w:space="0" w:color="auto"/>
        <w:bottom w:val="none" w:sz="0" w:space="0" w:color="auto"/>
        <w:right w:val="none" w:sz="0" w:space="0" w:color="auto"/>
      </w:divBdr>
      <w:divsChild>
        <w:div w:id="1512136786">
          <w:marLeft w:val="0"/>
          <w:marRight w:val="0"/>
          <w:marTop w:val="0"/>
          <w:marBottom w:val="0"/>
          <w:divBdr>
            <w:top w:val="none" w:sz="0" w:space="0" w:color="auto"/>
            <w:left w:val="none" w:sz="0" w:space="0" w:color="auto"/>
            <w:bottom w:val="none" w:sz="0" w:space="0" w:color="auto"/>
            <w:right w:val="none" w:sz="0" w:space="0" w:color="auto"/>
          </w:divBdr>
          <w:divsChild>
            <w:div w:id="1438136780">
              <w:marLeft w:val="0"/>
              <w:marRight w:val="0"/>
              <w:marTop w:val="0"/>
              <w:marBottom w:val="0"/>
              <w:divBdr>
                <w:top w:val="none" w:sz="0" w:space="0" w:color="auto"/>
                <w:left w:val="none" w:sz="0" w:space="0" w:color="auto"/>
                <w:bottom w:val="none" w:sz="0" w:space="0" w:color="auto"/>
                <w:right w:val="none" w:sz="0" w:space="0" w:color="auto"/>
              </w:divBdr>
              <w:divsChild>
                <w:div w:id="1200782257">
                  <w:marLeft w:val="0"/>
                  <w:marRight w:val="0"/>
                  <w:marTop w:val="0"/>
                  <w:marBottom w:val="0"/>
                  <w:divBdr>
                    <w:top w:val="none" w:sz="0" w:space="0" w:color="auto"/>
                    <w:left w:val="none" w:sz="0" w:space="0" w:color="auto"/>
                    <w:bottom w:val="none" w:sz="0" w:space="0" w:color="auto"/>
                    <w:right w:val="none" w:sz="0" w:space="0" w:color="auto"/>
                  </w:divBdr>
                  <w:divsChild>
                    <w:div w:id="826826170">
                      <w:marLeft w:val="0"/>
                      <w:marRight w:val="0"/>
                      <w:marTop w:val="0"/>
                      <w:marBottom w:val="0"/>
                      <w:divBdr>
                        <w:top w:val="none" w:sz="0" w:space="0" w:color="auto"/>
                        <w:left w:val="none" w:sz="0" w:space="0" w:color="auto"/>
                        <w:bottom w:val="none" w:sz="0" w:space="0" w:color="auto"/>
                        <w:right w:val="none" w:sz="0" w:space="0" w:color="auto"/>
                      </w:divBdr>
                      <w:divsChild>
                        <w:div w:id="1190414851">
                          <w:marLeft w:val="0"/>
                          <w:marRight w:val="0"/>
                          <w:marTop w:val="0"/>
                          <w:marBottom w:val="0"/>
                          <w:divBdr>
                            <w:top w:val="none" w:sz="0" w:space="0" w:color="auto"/>
                            <w:left w:val="none" w:sz="0" w:space="0" w:color="auto"/>
                            <w:bottom w:val="none" w:sz="0" w:space="0" w:color="auto"/>
                            <w:right w:val="none" w:sz="0" w:space="0" w:color="auto"/>
                          </w:divBdr>
                          <w:divsChild>
                            <w:div w:id="1005861504">
                              <w:marLeft w:val="0"/>
                              <w:marRight w:val="0"/>
                              <w:marTop w:val="0"/>
                              <w:marBottom w:val="0"/>
                              <w:divBdr>
                                <w:top w:val="none" w:sz="0" w:space="0" w:color="auto"/>
                                <w:left w:val="none" w:sz="0" w:space="0" w:color="auto"/>
                                <w:bottom w:val="none" w:sz="0" w:space="0" w:color="auto"/>
                                <w:right w:val="none" w:sz="0" w:space="0" w:color="auto"/>
                              </w:divBdr>
                              <w:divsChild>
                                <w:div w:id="316349083">
                                  <w:marLeft w:val="0"/>
                                  <w:marRight w:val="0"/>
                                  <w:marTop w:val="0"/>
                                  <w:marBottom w:val="0"/>
                                  <w:divBdr>
                                    <w:top w:val="none" w:sz="0" w:space="0" w:color="auto"/>
                                    <w:left w:val="none" w:sz="0" w:space="0" w:color="auto"/>
                                    <w:bottom w:val="none" w:sz="0" w:space="0" w:color="auto"/>
                                    <w:right w:val="none" w:sz="0" w:space="0" w:color="auto"/>
                                  </w:divBdr>
                                  <w:divsChild>
                                    <w:div w:id="3445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2971712">
                          <w:marLeft w:val="0"/>
                          <w:marRight w:val="0"/>
                          <w:marTop w:val="0"/>
                          <w:marBottom w:val="0"/>
                          <w:divBdr>
                            <w:top w:val="none" w:sz="0" w:space="0" w:color="auto"/>
                            <w:left w:val="none" w:sz="0" w:space="0" w:color="auto"/>
                            <w:bottom w:val="none" w:sz="0" w:space="0" w:color="auto"/>
                            <w:right w:val="none" w:sz="0" w:space="0" w:color="auto"/>
                          </w:divBdr>
                          <w:divsChild>
                            <w:div w:id="871839738">
                              <w:marLeft w:val="0"/>
                              <w:marRight w:val="0"/>
                              <w:marTop w:val="0"/>
                              <w:marBottom w:val="0"/>
                              <w:divBdr>
                                <w:top w:val="none" w:sz="0" w:space="0" w:color="auto"/>
                                <w:left w:val="none" w:sz="0" w:space="0" w:color="auto"/>
                                <w:bottom w:val="none" w:sz="0" w:space="0" w:color="auto"/>
                                <w:right w:val="none" w:sz="0" w:space="0" w:color="auto"/>
                              </w:divBdr>
                              <w:divsChild>
                                <w:div w:id="171219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7194214">
      <w:bodyDiv w:val="1"/>
      <w:marLeft w:val="0"/>
      <w:marRight w:val="0"/>
      <w:marTop w:val="0"/>
      <w:marBottom w:val="0"/>
      <w:divBdr>
        <w:top w:val="none" w:sz="0" w:space="0" w:color="auto"/>
        <w:left w:val="none" w:sz="0" w:space="0" w:color="auto"/>
        <w:bottom w:val="none" w:sz="0" w:space="0" w:color="auto"/>
        <w:right w:val="none" w:sz="0" w:space="0" w:color="auto"/>
      </w:divBdr>
    </w:div>
    <w:div w:id="1087919513">
      <w:bodyDiv w:val="1"/>
      <w:marLeft w:val="0"/>
      <w:marRight w:val="0"/>
      <w:marTop w:val="0"/>
      <w:marBottom w:val="0"/>
      <w:divBdr>
        <w:top w:val="none" w:sz="0" w:space="0" w:color="auto"/>
        <w:left w:val="none" w:sz="0" w:space="0" w:color="auto"/>
        <w:bottom w:val="none" w:sz="0" w:space="0" w:color="auto"/>
        <w:right w:val="none" w:sz="0" w:space="0" w:color="auto"/>
      </w:divBdr>
    </w:div>
    <w:div w:id="1117679163">
      <w:bodyDiv w:val="1"/>
      <w:marLeft w:val="0"/>
      <w:marRight w:val="0"/>
      <w:marTop w:val="0"/>
      <w:marBottom w:val="0"/>
      <w:divBdr>
        <w:top w:val="none" w:sz="0" w:space="0" w:color="auto"/>
        <w:left w:val="none" w:sz="0" w:space="0" w:color="auto"/>
        <w:bottom w:val="none" w:sz="0" w:space="0" w:color="auto"/>
        <w:right w:val="none" w:sz="0" w:space="0" w:color="auto"/>
      </w:divBdr>
    </w:div>
    <w:div w:id="1118766140">
      <w:bodyDiv w:val="1"/>
      <w:marLeft w:val="0"/>
      <w:marRight w:val="0"/>
      <w:marTop w:val="0"/>
      <w:marBottom w:val="0"/>
      <w:divBdr>
        <w:top w:val="none" w:sz="0" w:space="0" w:color="auto"/>
        <w:left w:val="none" w:sz="0" w:space="0" w:color="auto"/>
        <w:bottom w:val="none" w:sz="0" w:space="0" w:color="auto"/>
        <w:right w:val="none" w:sz="0" w:space="0" w:color="auto"/>
      </w:divBdr>
    </w:div>
    <w:div w:id="1120295015">
      <w:bodyDiv w:val="1"/>
      <w:marLeft w:val="0"/>
      <w:marRight w:val="0"/>
      <w:marTop w:val="0"/>
      <w:marBottom w:val="0"/>
      <w:divBdr>
        <w:top w:val="none" w:sz="0" w:space="0" w:color="auto"/>
        <w:left w:val="none" w:sz="0" w:space="0" w:color="auto"/>
        <w:bottom w:val="none" w:sz="0" w:space="0" w:color="auto"/>
        <w:right w:val="none" w:sz="0" w:space="0" w:color="auto"/>
      </w:divBdr>
    </w:div>
    <w:div w:id="1148060548">
      <w:bodyDiv w:val="1"/>
      <w:marLeft w:val="0"/>
      <w:marRight w:val="0"/>
      <w:marTop w:val="0"/>
      <w:marBottom w:val="0"/>
      <w:divBdr>
        <w:top w:val="none" w:sz="0" w:space="0" w:color="auto"/>
        <w:left w:val="none" w:sz="0" w:space="0" w:color="auto"/>
        <w:bottom w:val="none" w:sz="0" w:space="0" w:color="auto"/>
        <w:right w:val="none" w:sz="0" w:space="0" w:color="auto"/>
      </w:divBdr>
    </w:div>
    <w:div w:id="1180780376">
      <w:bodyDiv w:val="1"/>
      <w:marLeft w:val="0"/>
      <w:marRight w:val="0"/>
      <w:marTop w:val="0"/>
      <w:marBottom w:val="0"/>
      <w:divBdr>
        <w:top w:val="none" w:sz="0" w:space="0" w:color="auto"/>
        <w:left w:val="none" w:sz="0" w:space="0" w:color="auto"/>
        <w:bottom w:val="none" w:sz="0" w:space="0" w:color="auto"/>
        <w:right w:val="none" w:sz="0" w:space="0" w:color="auto"/>
      </w:divBdr>
    </w:div>
    <w:div w:id="1229195264">
      <w:bodyDiv w:val="1"/>
      <w:marLeft w:val="0"/>
      <w:marRight w:val="0"/>
      <w:marTop w:val="0"/>
      <w:marBottom w:val="0"/>
      <w:divBdr>
        <w:top w:val="none" w:sz="0" w:space="0" w:color="auto"/>
        <w:left w:val="none" w:sz="0" w:space="0" w:color="auto"/>
        <w:bottom w:val="none" w:sz="0" w:space="0" w:color="auto"/>
        <w:right w:val="none" w:sz="0" w:space="0" w:color="auto"/>
      </w:divBdr>
    </w:div>
    <w:div w:id="1251965859">
      <w:bodyDiv w:val="1"/>
      <w:marLeft w:val="0"/>
      <w:marRight w:val="0"/>
      <w:marTop w:val="0"/>
      <w:marBottom w:val="0"/>
      <w:divBdr>
        <w:top w:val="none" w:sz="0" w:space="0" w:color="auto"/>
        <w:left w:val="none" w:sz="0" w:space="0" w:color="auto"/>
        <w:bottom w:val="none" w:sz="0" w:space="0" w:color="auto"/>
        <w:right w:val="none" w:sz="0" w:space="0" w:color="auto"/>
      </w:divBdr>
    </w:div>
    <w:div w:id="1301496407">
      <w:bodyDiv w:val="1"/>
      <w:marLeft w:val="0"/>
      <w:marRight w:val="0"/>
      <w:marTop w:val="0"/>
      <w:marBottom w:val="0"/>
      <w:divBdr>
        <w:top w:val="none" w:sz="0" w:space="0" w:color="auto"/>
        <w:left w:val="none" w:sz="0" w:space="0" w:color="auto"/>
        <w:bottom w:val="none" w:sz="0" w:space="0" w:color="auto"/>
        <w:right w:val="none" w:sz="0" w:space="0" w:color="auto"/>
      </w:divBdr>
    </w:div>
    <w:div w:id="1332173625">
      <w:bodyDiv w:val="1"/>
      <w:marLeft w:val="0"/>
      <w:marRight w:val="0"/>
      <w:marTop w:val="0"/>
      <w:marBottom w:val="0"/>
      <w:divBdr>
        <w:top w:val="none" w:sz="0" w:space="0" w:color="auto"/>
        <w:left w:val="none" w:sz="0" w:space="0" w:color="auto"/>
        <w:bottom w:val="none" w:sz="0" w:space="0" w:color="auto"/>
        <w:right w:val="none" w:sz="0" w:space="0" w:color="auto"/>
      </w:divBdr>
    </w:div>
    <w:div w:id="1353805242">
      <w:bodyDiv w:val="1"/>
      <w:marLeft w:val="0"/>
      <w:marRight w:val="0"/>
      <w:marTop w:val="0"/>
      <w:marBottom w:val="0"/>
      <w:divBdr>
        <w:top w:val="none" w:sz="0" w:space="0" w:color="auto"/>
        <w:left w:val="none" w:sz="0" w:space="0" w:color="auto"/>
        <w:bottom w:val="none" w:sz="0" w:space="0" w:color="auto"/>
        <w:right w:val="none" w:sz="0" w:space="0" w:color="auto"/>
      </w:divBdr>
    </w:div>
    <w:div w:id="1353996117">
      <w:bodyDiv w:val="1"/>
      <w:marLeft w:val="0"/>
      <w:marRight w:val="0"/>
      <w:marTop w:val="0"/>
      <w:marBottom w:val="0"/>
      <w:divBdr>
        <w:top w:val="none" w:sz="0" w:space="0" w:color="auto"/>
        <w:left w:val="none" w:sz="0" w:space="0" w:color="auto"/>
        <w:bottom w:val="none" w:sz="0" w:space="0" w:color="auto"/>
        <w:right w:val="none" w:sz="0" w:space="0" w:color="auto"/>
      </w:divBdr>
    </w:div>
    <w:div w:id="1359815787">
      <w:bodyDiv w:val="1"/>
      <w:marLeft w:val="0"/>
      <w:marRight w:val="0"/>
      <w:marTop w:val="0"/>
      <w:marBottom w:val="0"/>
      <w:divBdr>
        <w:top w:val="none" w:sz="0" w:space="0" w:color="auto"/>
        <w:left w:val="none" w:sz="0" w:space="0" w:color="auto"/>
        <w:bottom w:val="none" w:sz="0" w:space="0" w:color="auto"/>
        <w:right w:val="none" w:sz="0" w:space="0" w:color="auto"/>
      </w:divBdr>
    </w:div>
    <w:div w:id="1445223219">
      <w:bodyDiv w:val="1"/>
      <w:marLeft w:val="0"/>
      <w:marRight w:val="0"/>
      <w:marTop w:val="0"/>
      <w:marBottom w:val="0"/>
      <w:divBdr>
        <w:top w:val="none" w:sz="0" w:space="0" w:color="auto"/>
        <w:left w:val="none" w:sz="0" w:space="0" w:color="auto"/>
        <w:bottom w:val="none" w:sz="0" w:space="0" w:color="auto"/>
        <w:right w:val="none" w:sz="0" w:space="0" w:color="auto"/>
      </w:divBdr>
    </w:div>
    <w:div w:id="1446004410">
      <w:bodyDiv w:val="1"/>
      <w:marLeft w:val="0"/>
      <w:marRight w:val="0"/>
      <w:marTop w:val="0"/>
      <w:marBottom w:val="0"/>
      <w:divBdr>
        <w:top w:val="none" w:sz="0" w:space="0" w:color="auto"/>
        <w:left w:val="none" w:sz="0" w:space="0" w:color="auto"/>
        <w:bottom w:val="none" w:sz="0" w:space="0" w:color="auto"/>
        <w:right w:val="none" w:sz="0" w:space="0" w:color="auto"/>
      </w:divBdr>
    </w:div>
    <w:div w:id="1447001416">
      <w:bodyDiv w:val="1"/>
      <w:marLeft w:val="0"/>
      <w:marRight w:val="0"/>
      <w:marTop w:val="0"/>
      <w:marBottom w:val="0"/>
      <w:divBdr>
        <w:top w:val="none" w:sz="0" w:space="0" w:color="auto"/>
        <w:left w:val="none" w:sz="0" w:space="0" w:color="auto"/>
        <w:bottom w:val="none" w:sz="0" w:space="0" w:color="auto"/>
        <w:right w:val="none" w:sz="0" w:space="0" w:color="auto"/>
      </w:divBdr>
    </w:div>
    <w:div w:id="1456558126">
      <w:bodyDiv w:val="1"/>
      <w:marLeft w:val="0"/>
      <w:marRight w:val="0"/>
      <w:marTop w:val="0"/>
      <w:marBottom w:val="0"/>
      <w:divBdr>
        <w:top w:val="none" w:sz="0" w:space="0" w:color="auto"/>
        <w:left w:val="none" w:sz="0" w:space="0" w:color="auto"/>
        <w:bottom w:val="none" w:sz="0" w:space="0" w:color="auto"/>
        <w:right w:val="none" w:sz="0" w:space="0" w:color="auto"/>
      </w:divBdr>
    </w:div>
    <w:div w:id="1464229900">
      <w:bodyDiv w:val="1"/>
      <w:marLeft w:val="0"/>
      <w:marRight w:val="0"/>
      <w:marTop w:val="0"/>
      <w:marBottom w:val="0"/>
      <w:divBdr>
        <w:top w:val="none" w:sz="0" w:space="0" w:color="auto"/>
        <w:left w:val="none" w:sz="0" w:space="0" w:color="auto"/>
        <w:bottom w:val="none" w:sz="0" w:space="0" w:color="auto"/>
        <w:right w:val="none" w:sz="0" w:space="0" w:color="auto"/>
      </w:divBdr>
    </w:div>
    <w:div w:id="1465661636">
      <w:bodyDiv w:val="1"/>
      <w:marLeft w:val="0"/>
      <w:marRight w:val="0"/>
      <w:marTop w:val="0"/>
      <w:marBottom w:val="0"/>
      <w:divBdr>
        <w:top w:val="none" w:sz="0" w:space="0" w:color="auto"/>
        <w:left w:val="none" w:sz="0" w:space="0" w:color="auto"/>
        <w:bottom w:val="none" w:sz="0" w:space="0" w:color="auto"/>
        <w:right w:val="none" w:sz="0" w:space="0" w:color="auto"/>
      </w:divBdr>
    </w:div>
    <w:div w:id="1481730833">
      <w:bodyDiv w:val="1"/>
      <w:marLeft w:val="0"/>
      <w:marRight w:val="0"/>
      <w:marTop w:val="0"/>
      <w:marBottom w:val="0"/>
      <w:divBdr>
        <w:top w:val="none" w:sz="0" w:space="0" w:color="auto"/>
        <w:left w:val="none" w:sz="0" w:space="0" w:color="auto"/>
        <w:bottom w:val="none" w:sz="0" w:space="0" w:color="auto"/>
        <w:right w:val="none" w:sz="0" w:space="0" w:color="auto"/>
      </w:divBdr>
      <w:divsChild>
        <w:div w:id="1372996351">
          <w:marLeft w:val="0"/>
          <w:marRight w:val="0"/>
          <w:marTop w:val="0"/>
          <w:marBottom w:val="0"/>
          <w:divBdr>
            <w:top w:val="none" w:sz="0" w:space="0" w:color="auto"/>
            <w:left w:val="none" w:sz="0" w:space="0" w:color="auto"/>
            <w:bottom w:val="none" w:sz="0" w:space="0" w:color="auto"/>
            <w:right w:val="none" w:sz="0" w:space="0" w:color="auto"/>
          </w:divBdr>
          <w:divsChild>
            <w:div w:id="947471290">
              <w:marLeft w:val="0"/>
              <w:marRight w:val="0"/>
              <w:marTop w:val="0"/>
              <w:marBottom w:val="0"/>
              <w:divBdr>
                <w:top w:val="none" w:sz="0" w:space="0" w:color="auto"/>
                <w:left w:val="none" w:sz="0" w:space="0" w:color="auto"/>
                <w:bottom w:val="none" w:sz="0" w:space="0" w:color="auto"/>
                <w:right w:val="none" w:sz="0" w:space="0" w:color="auto"/>
              </w:divBdr>
              <w:divsChild>
                <w:div w:id="1724332371">
                  <w:marLeft w:val="0"/>
                  <w:marRight w:val="0"/>
                  <w:marTop w:val="0"/>
                  <w:marBottom w:val="0"/>
                  <w:divBdr>
                    <w:top w:val="none" w:sz="0" w:space="0" w:color="auto"/>
                    <w:left w:val="none" w:sz="0" w:space="0" w:color="auto"/>
                    <w:bottom w:val="none" w:sz="0" w:space="0" w:color="auto"/>
                    <w:right w:val="none" w:sz="0" w:space="0" w:color="auto"/>
                  </w:divBdr>
                  <w:divsChild>
                    <w:div w:id="1010448224">
                      <w:marLeft w:val="0"/>
                      <w:marRight w:val="0"/>
                      <w:marTop w:val="0"/>
                      <w:marBottom w:val="0"/>
                      <w:divBdr>
                        <w:top w:val="none" w:sz="0" w:space="0" w:color="auto"/>
                        <w:left w:val="none" w:sz="0" w:space="0" w:color="auto"/>
                        <w:bottom w:val="none" w:sz="0" w:space="0" w:color="auto"/>
                        <w:right w:val="none" w:sz="0" w:space="0" w:color="auto"/>
                      </w:divBdr>
                      <w:divsChild>
                        <w:div w:id="953295495">
                          <w:marLeft w:val="0"/>
                          <w:marRight w:val="0"/>
                          <w:marTop w:val="0"/>
                          <w:marBottom w:val="0"/>
                          <w:divBdr>
                            <w:top w:val="none" w:sz="0" w:space="0" w:color="auto"/>
                            <w:left w:val="none" w:sz="0" w:space="0" w:color="auto"/>
                            <w:bottom w:val="none" w:sz="0" w:space="0" w:color="auto"/>
                            <w:right w:val="none" w:sz="0" w:space="0" w:color="auto"/>
                          </w:divBdr>
                          <w:divsChild>
                            <w:div w:id="822281221">
                              <w:marLeft w:val="0"/>
                              <w:marRight w:val="0"/>
                              <w:marTop w:val="0"/>
                              <w:marBottom w:val="0"/>
                              <w:divBdr>
                                <w:top w:val="none" w:sz="0" w:space="0" w:color="auto"/>
                                <w:left w:val="none" w:sz="0" w:space="0" w:color="auto"/>
                                <w:bottom w:val="none" w:sz="0" w:space="0" w:color="auto"/>
                                <w:right w:val="none" w:sz="0" w:space="0" w:color="auto"/>
                              </w:divBdr>
                              <w:divsChild>
                                <w:div w:id="1255743375">
                                  <w:marLeft w:val="0"/>
                                  <w:marRight w:val="0"/>
                                  <w:marTop w:val="0"/>
                                  <w:marBottom w:val="0"/>
                                  <w:divBdr>
                                    <w:top w:val="none" w:sz="0" w:space="0" w:color="auto"/>
                                    <w:left w:val="none" w:sz="0" w:space="0" w:color="auto"/>
                                    <w:bottom w:val="none" w:sz="0" w:space="0" w:color="auto"/>
                                    <w:right w:val="none" w:sz="0" w:space="0" w:color="auto"/>
                                  </w:divBdr>
                                  <w:divsChild>
                                    <w:div w:id="1215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908423">
                          <w:marLeft w:val="0"/>
                          <w:marRight w:val="0"/>
                          <w:marTop w:val="0"/>
                          <w:marBottom w:val="0"/>
                          <w:divBdr>
                            <w:top w:val="none" w:sz="0" w:space="0" w:color="auto"/>
                            <w:left w:val="none" w:sz="0" w:space="0" w:color="auto"/>
                            <w:bottom w:val="none" w:sz="0" w:space="0" w:color="auto"/>
                            <w:right w:val="none" w:sz="0" w:space="0" w:color="auto"/>
                          </w:divBdr>
                          <w:divsChild>
                            <w:div w:id="2024747349">
                              <w:marLeft w:val="0"/>
                              <w:marRight w:val="0"/>
                              <w:marTop w:val="0"/>
                              <w:marBottom w:val="0"/>
                              <w:divBdr>
                                <w:top w:val="none" w:sz="0" w:space="0" w:color="auto"/>
                                <w:left w:val="none" w:sz="0" w:space="0" w:color="auto"/>
                                <w:bottom w:val="none" w:sz="0" w:space="0" w:color="auto"/>
                                <w:right w:val="none" w:sz="0" w:space="0" w:color="auto"/>
                              </w:divBdr>
                              <w:divsChild>
                                <w:div w:id="90179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173798">
      <w:bodyDiv w:val="1"/>
      <w:marLeft w:val="0"/>
      <w:marRight w:val="0"/>
      <w:marTop w:val="0"/>
      <w:marBottom w:val="0"/>
      <w:divBdr>
        <w:top w:val="none" w:sz="0" w:space="0" w:color="auto"/>
        <w:left w:val="none" w:sz="0" w:space="0" w:color="auto"/>
        <w:bottom w:val="none" w:sz="0" w:space="0" w:color="auto"/>
        <w:right w:val="none" w:sz="0" w:space="0" w:color="auto"/>
      </w:divBdr>
    </w:div>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531721815">
      <w:bodyDiv w:val="1"/>
      <w:marLeft w:val="0"/>
      <w:marRight w:val="0"/>
      <w:marTop w:val="0"/>
      <w:marBottom w:val="0"/>
      <w:divBdr>
        <w:top w:val="none" w:sz="0" w:space="0" w:color="auto"/>
        <w:left w:val="none" w:sz="0" w:space="0" w:color="auto"/>
        <w:bottom w:val="none" w:sz="0" w:space="0" w:color="auto"/>
        <w:right w:val="none" w:sz="0" w:space="0" w:color="auto"/>
      </w:divBdr>
    </w:div>
    <w:div w:id="1545143978">
      <w:bodyDiv w:val="1"/>
      <w:marLeft w:val="0"/>
      <w:marRight w:val="0"/>
      <w:marTop w:val="0"/>
      <w:marBottom w:val="0"/>
      <w:divBdr>
        <w:top w:val="none" w:sz="0" w:space="0" w:color="auto"/>
        <w:left w:val="none" w:sz="0" w:space="0" w:color="auto"/>
        <w:bottom w:val="none" w:sz="0" w:space="0" w:color="auto"/>
        <w:right w:val="none" w:sz="0" w:space="0" w:color="auto"/>
      </w:divBdr>
    </w:div>
    <w:div w:id="1562981308">
      <w:bodyDiv w:val="1"/>
      <w:marLeft w:val="0"/>
      <w:marRight w:val="0"/>
      <w:marTop w:val="0"/>
      <w:marBottom w:val="0"/>
      <w:divBdr>
        <w:top w:val="none" w:sz="0" w:space="0" w:color="auto"/>
        <w:left w:val="none" w:sz="0" w:space="0" w:color="auto"/>
        <w:bottom w:val="none" w:sz="0" w:space="0" w:color="auto"/>
        <w:right w:val="none" w:sz="0" w:space="0" w:color="auto"/>
      </w:divBdr>
    </w:div>
    <w:div w:id="1591814404">
      <w:bodyDiv w:val="1"/>
      <w:marLeft w:val="0"/>
      <w:marRight w:val="0"/>
      <w:marTop w:val="0"/>
      <w:marBottom w:val="0"/>
      <w:divBdr>
        <w:top w:val="none" w:sz="0" w:space="0" w:color="auto"/>
        <w:left w:val="none" w:sz="0" w:space="0" w:color="auto"/>
        <w:bottom w:val="none" w:sz="0" w:space="0" w:color="auto"/>
        <w:right w:val="none" w:sz="0" w:space="0" w:color="auto"/>
      </w:divBdr>
    </w:div>
    <w:div w:id="1604726314">
      <w:bodyDiv w:val="1"/>
      <w:marLeft w:val="0"/>
      <w:marRight w:val="0"/>
      <w:marTop w:val="0"/>
      <w:marBottom w:val="0"/>
      <w:divBdr>
        <w:top w:val="none" w:sz="0" w:space="0" w:color="auto"/>
        <w:left w:val="none" w:sz="0" w:space="0" w:color="auto"/>
        <w:bottom w:val="none" w:sz="0" w:space="0" w:color="auto"/>
        <w:right w:val="none" w:sz="0" w:space="0" w:color="auto"/>
      </w:divBdr>
    </w:div>
    <w:div w:id="1610772890">
      <w:bodyDiv w:val="1"/>
      <w:marLeft w:val="0"/>
      <w:marRight w:val="0"/>
      <w:marTop w:val="0"/>
      <w:marBottom w:val="0"/>
      <w:divBdr>
        <w:top w:val="none" w:sz="0" w:space="0" w:color="auto"/>
        <w:left w:val="none" w:sz="0" w:space="0" w:color="auto"/>
        <w:bottom w:val="none" w:sz="0" w:space="0" w:color="auto"/>
        <w:right w:val="none" w:sz="0" w:space="0" w:color="auto"/>
      </w:divBdr>
    </w:div>
    <w:div w:id="1616060167">
      <w:bodyDiv w:val="1"/>
      <w:marLeft w:val="0"/>
      <w:marRight w:val="0"/>
      <w:marTop w:val="0"/>
      <w:marBottom w:val="0"/>
      <w:divBdr>
        <w:top w:val="none" w:sz="0" w:space="0" w:color="auto"/>
        <w:left w:val="none" w:sz="0" w:space="0" w:color="auto"/>
        <w:bottom w:val="none" w:sz="0" w:space="0" w:color="auto"/>
        <w:right w:val="none" w:sz="0" w:space="0" w:color="auto"/>
      </w:divBdr>
    </w:div>
    <w:div w:id="1661345564">
      <w:bodyDiv w:val="1"/>
      <w:marLeft w:val="0"/>
      <w:marRight w:val="0"/>
      <w:marTop w:val="0"/>
      <w:marBottom w:val="0"/>
      <w:divBdr>
        <w:top w:val="none" w:sz="0" w:space="0" w:color="auto"/>
        <w:left w:val="none" w:sz="0" w:space="0" w:color="auto"/>
        <w:bottom w:val="none" w:sz="0" w:space="0" w:color="auto"/>
        <w:right w:val="none" w:sz="0" w:space="0" w:color="auto"/>
      </w:divBdr>
    </w:div>
    <w:div w:id="1662809870">
      <w:bodyDiv w:val="1"/>
      <w:marLeft w:val="0"/>
      <w:marRight w:val="0"/>
      <w:marTop w:val="0"/>
      <w:marBottom w:val="0"/>
      <w:divBdr>
        <w:top w:val="none" w:sz="0" w:space="0" w:color="auto"/>
        <w:left w:val="none" w:sz="0" w:space="0" w:color="auto"/>
        <w:bottom w:val="none" w:sz="0" w:space="0" w:color="auto"/>
        <w:right w:val="none" w:sz="0" w:space="0" w:color="auto"/>
      </w:divBdr>
    </w:div>
    <w:div w:id="1726951723">
      <w:bodyDiv w:val="1"/>
      <w:marLeft w:val="0"/>
      <w:marRight w:val="0"/>
      <w:marTop w:val="0"/>
      <w:marBottom w:val="0"/>
      <w:divBdr>
        <w:top w:val="none" w:sz="0" w:space="0" w:color="auto"/>
        <w:left w:val="none" w:sz="0" w:space="0" w:color="auto"/>
        <w:bottom w:val="none" w:sz="0" w:space="0" w:color="auto"/>
        <w:right w:val="none" w:sz="0" w:space="0" w:color="auto"/>
      </w:divBdr>
    </w:div>
    <w:div w:id="1759591359">
      <w:bodyDiv w:val="1"/>
      <w:marLeft w:val="0"/>
      <w:marRight w:val="0"/>
      <w:marTop w:val="0"/>
      <w:marBottom w:val="0"/>
      <w:divBdr>
        <w:top w:val="none" w:sz="0" w:space="0" w:color="auto"/>
        <w:left w:val="none" w:sz="0" w:space="0" w:color="auto"/>
        <w:bottom w:val="none" w:sz="0" w:space="0" w:color="auto"/>
        <w:right w:val="none" w:sz="0" w:space="0" w:color="auto"/>
      </w:divBdr>
    </w:div>
    <w:div w:id="1792899210">
      <w:bodyDiv w:val="1"/>
      <w:marLeft w:val="0"/>
      <w:marRight w:val="0"/>
      <w:marTop w:val="0"/>
      <w:marBottom w:val="0"/>
      <w:divBdr>
        <w:top w:val="none" w:sz="0" w:space="0" w:color="auto"/>
        <w:left w:val="none" w:sz="0" w:space="0" w:color="auto"/>
        <w:bottom w:val="none" w:sz="0" w:space="0" w:color="auto"/>
        <w:right w:val="none" w:sz="0" w:space="0" w:color="auto"/>
      </w:divBdr>
    </w:div>
    <w:div w:id="1798142218">
      <w:bodyDiv w:val="1"/>
      <w:marLeft w:val="0"/>
      <w:marRight w:val="0"/>
      <w:marTop w:val="0"/>
      <w:marBottom w:val="0"/>
      <w:divBdr>
        <w:top w:val="none" w:sz="0" w:space="0" w:color="auto"/>
        <w:left w:val="none" w:sz="0" w:space="0" w:color="auto"/>
        <w:bottom w:val="none" w:sz="0" w:space="0" w:color="auto"/>
        <w:right w:val="none" w:sz="0" w:space="0" w:color="auto"/>
      </w:divBdr>
    </w:div>
    <w:div w:id="1846750787">
      <w:bodyDiv w:val="1"/>
      <w:marLeft w:val="0"/>
      <w:marRight w:val="0"/>
      <w:marTop w:val="0"/>
      <w:marBottom w:val="0"/>
      <w:divBdr>
        <w:top w:val="none" w:sz="0" w:space="0" w:color="auto"/>
        <w:left w:val="none" w:sz="0" w:space="0" w:color="auto"/>
        <w:bottom w:val="none" w:sz="0" w:space="0" w:color="auto"/>
        <w:right w:val="none" w:sz="0" w:space="0" w:color="auto"/>
      </w:divBdr>
    </w:div>
    <w:div w:id="1847552201">
      <w:bodyDiv w:val="1"/>
      <w:marLeft w:val="0"/>
      <w:marRight w:val="0"/>
      <w:marTop w:val="0"/>
      <w:marBottom w:val="0"/>
      <w:divBdr>
        <w:top w:val="none" w:sz="0" w:space="0" w:color="auto"/>
        <w:left w:val="none" w:sz="0" w:space="0" w:color="auto"/>
        <w:bottom w:val="none" w:sz="0" w:space="0" w:color="auto"/>
        <w:right w:val="none" w:sz="0" w:space="0" w:color="auto"/>
      </w:divBdr>
    </w:div>
    <w:div w:id="1870214944">
      <w:bodyDiv w:val="1"/>
      <w:marLeft w:val="0"/>
      <w:marRight w:val="0"/>
      <w:marTop w:val="0"/>
      <w:marBottom w:val="0"/>
      <w:divBdr>
        <w:top w:val="none" w:sz="0" w:space="0" w:color="auto"/>
        <w:left w:val="none" w:sz="0" w:space="0" w:color="auto"/>
        <w:bottom w:val="none" w:sz="0" w:space="0" w:color="auto"/>
        <w:right w:val="none" w:sz="0" w:space="0" w:color="auto"/>
      </w:divBdr>
    </w:div>
    <w:div w:id="1889803421">
      <w:bodyDiv w:val="1"/>
      <w:marLeft w:val="0"/>
      <w:marRight w:val="0"/>
      <w:marTop w:val="0"/>
      <w:marBottom w:val="0"/>
      <w:divBdr>
        <w:top w:val="none" w:sz="0" w:space="0" w:color="auto"/>
        <w:left w:val="none" w:sz="0" w:space="0" w:color="auto"/>
        <w:bottom w:val="none" w:sz="0" w:space="0" w:color="auto"/>
        <w:right w:val="none" w:sz="0" w:space="0" w:color="auto"/>
      </w:divBdr>
    </w:div>
    <w:div w:id="1896891814">
      <w:bodyDiv w:val="1"/>
      <w:marLeft w:val="0"/>
      <w:marRight w:val="0"/>
      <w:marTop w:val="0"/>
      <w:marBottom w:val="0"/>
      <w:divBdr>
        <w:top w:val="none" w:sz="0" w:space="0" w:color="auto"/>
        <w:left w:val="none" w:sz="0" w:space="0" w:color="auto"/>
        <w:bottom w:val="none" w:sz="0" w:space="0" w:color="auto"/>
        <w:right w:val="none" w:sz="0" w:space="0" w:color="auto"/>
      </w:divBdr>
    </w:div>
    <w:div w:id="1920626787">
      <w:bodyDiv w:val="1"/>
      <w:marLeft w:val="0"/>
      <w:marRight w:val="0"/>
      <w:marTop w:val="0"/>
      <w:marBottom w:val="0"/>
      <w:divBdr>
        <w:top w:val="none" w:sz="0" w:space="0" w:color="auto"/>
        <w:left w:val="none" w:sz="0" w:space="0" w:color="auto"/>
        <w:bottom w:val="none" w:sz="0" w:space="0" w:color="auto"/>
        <w:right w:val="none" w:sz="0" w:space="0" w:color="auto"/>
      </w:divBdr>
    </w:div>
    <w:div w:id="1940330707">
      <w:bodyDiv w:val="1"/>
      <w:marLeft w:val="0"/>
      <w:marRight w:val="0"/>
      <w:marTop w:val="0"/>
      <w:marBottom w:val="0"/>
      <w:divBdr>
        <w:top w:val="none" w:sz="0" w:space="0" w:color="auto"/>
        <w:left w:val="none" w:sz="0" w:space="0" w:color="auto"/>
        <w:bottom w:val="none" w:sz="0" w:space="0" w:color="auto"/>
        <w:right w:val="none" w:sz="0" w:space="0" w:color="auto"/>
      </w:divBdr>
    </w:div>
    <w:div w:id="1941448077">
      <w:bodyDiv w:val="1"/>
      <w:marLeft w:val="0"/>
      <w:marRight w:val="0"/>
      <w:marTop w:val="0"/>
      <w:marBottom w:val="0"/>
      <w:divBdr>
        <w:top w:val="none" w:sz="0" w:space="0" w:color="auto"/>
        <w:left w:val="none" w:sz="0" w:space="0" w:color="auto"/>
        <w:bottom w:val="none" w:sz="0" w:space="0" w:color="auto"/>
        <w:right w:val="none" w:sz="0" w:space="0" w:color="auto"/>
      </w:divBdr>
    </w:div>
    <w:div w:id="1966810193">
      <w:bodyDiv w:val="1"/>
      <w:marLeft w:val="0"/>
      <w:marRight w:val="0"/>
      <w:marTop w:val="0"/>
      <w:marBottom w:val="0"/>
      <w:divBdr>
        <w:top w:val="none" w:sz="0" w:space="0" w:color="auto"/>
        <w:left w:val="none" w:sz="0" w:space="0" w:color="auto"/>
        <w:bottom w:val="none" w:sz="0" w:space="0" w:color="auto"/>
        <w:right w:val="none" w:sz="0" w:space="0" w:color="auto"/>
      </w:divBdr>
    </w:div>
    <w:div w:id="2001733756">
      <w:bodyDiv w:val="1"/>
      <w:marLeft w:val="0"/>
      <w:marRight w:val="0"/>
      <w:marTop w:val="0"/>
      <w:marBottom w:val="0"/>
      <w:divBdr>
        <w:top w:val="none" w:sz="0" w:space="0" w:color="auto"/>
        <w:left w:val="none" w:sz="0" w:space="0" w:color="auto"/>
        <w:bottom w:val="none" w:sz="0" w:space="0" w:color="auto"/>
        <w:right w:val="none" w:sz="0" w:space="0" w:color="auto"/>
      </w:divBdr>
    </w:div>
    <w:div w:id="2005694011">
      <w:bodyDiv w:val="1"/>
      <w:marLeft w:val="0"/>
      <w:marRight w:val="0"/>
      <w:marTop w:val="0"/>
      <w:marBottom w:val="0"/>
      <w:divBdr>
        <w:top w:val="none" w:sz="0" w:space="0" w:color="auto"/>
        <w:left w:val="none" w:sz="0" w:space="0" w:color="auto"/>
        <w:bottom w:val="none" w:sz="0" w:space="0" w:color="auto"/>
        <w:right w:val="none" w:sz="0" w:space="0" w:color="auto"/>
      </w:divBdr>
    </w:div>
    <w:div w:id="2014332499">
      <w:bodyDiv w:val="1"/>
      <w:marLeft w:val="0"/>
      <w:marRight w:val="0"/>
      <w:marTop w:val="0"/>
      <w:marBottom w:val="0"/>
      <w:divBdr>
        <w:top w:val="none" w:sz="0" w:space="0" w:color="auto"/>
        <w:left w:val="none" w:sz="0" w:space="0" w:color="auto"/>
        <w:bottom w:val="none" w:sz="0" w:space="0" w:color="auto"/>
        <w:right w:val="none" w:sz="0" w:space="0" w:color="auto"/>
      </w:divBdr>
    </w:div>
    <w:div w:id="2037776770">
      <w:bodyDiv w:val="1"/>
      <w:marLeft w:val="0"/>
      <w:marRight w:val="0"/>
      <w:marTop w:val="0"/>
      <w:marBottom w:val="0"/>
      <w:divBdr>
        <w:top w:val="none" w:sz="0" w:space="0" w:color="auto"/>
        <w:left w:val="none" w:sz="0" w:space="0" w:color="auto"/>
        <w:bottom w:val="none" w:sz="0" w:space="0" w:color="auto"/>
        <w:right w:val="none" w:sz="0" w:space="0" w:color="auto"/>
      </w:divBdr>
    </w:div>
    <w:div w:id="2049328467">
      <w:bodyDiv w:val="1"/>
      <w:marLeft w:val="0"/>
      <w:marRight w:val="0"/>
      <w:marTop w:val="0"/>
      <w:marBottom w:val="0"/>
      <w:divBdr>
        <w:top w:val="none" w:sz="0" w:space="0" w:color="auto"/>
        <w:left w:val="none" w:sz="0" w:space="0" w:color="auto"/>
        <w:bottom w:val="none" w:sz="0" w:space="0" w:color="auto"/>
        <w:right w:val="none" w:sz="0" w:space="0" w:color="auto"/>
      </w:divBdr>
    </w:div>
    <w:div w:id="2061898953">
      <w:bodyDiv w:val="1"/>
      <w:marLeft w:val="0"/>
      <w:marRight w:val="0"/>
      <w:marTop w:val="0"/>
      <w:marBottom w:val="0"/>
      <w:divBdr>
        <w:top w:val="none" w:sz="0" w:space="0" w:color="auto"/>
        <w:left w:val="none" w:sz="0" w:space="0" w:color="auto"/>
        <w:bottom w:val="none" w:sz="0" w:space="0" w:color="auto"/>
        <w:right w:val="none" w:sz="0" w:space="0" w:color="auto"/>
      </w:divBdr>
    </w:div>
    <w:div w:id="2074233360">
      <w:bodyDiv w:val="1"/>
      <w:marLeft w:val="0"/>
      <w:marRight w:val="0"/>
      <w:marTop w:val="0"/>
      <w:marBottom w:val="0"/>
      <w:divBdr>
        <w:top w:val="none" w:sz="0" w:space="0" w:color="auto"/>
        <w:left w:val="none" w:sz="0" w:space="0" w:color="auto"/>
        <w:bottom w:val="none" w:sz="0" w:space="0" w:color="auto"/>
        <w:right w:val="none" w:sz="0" w:space="0" w:color="auto"/>
      </w:divBdr>
    </w:div>
    <w:div w:id="2099862573">
      <w:bodyDiv w:val="1"/>
      <w:marLeft w:val="0"/>
      <w:marRight w:val="0"/>
      <w:marTop w:val="0"/>
      <w:marBottom w:val="0"/>
      <w:divBdr>
        <w:top w:val="none" w:sz="0" w:space="0" w:color="auto"/>
        <w:left w:val="none" w:sz="0" w:space="0" w:color="auto"/>
        <w:bottom w:val="none" w:sz="0" w:space="0" w:color="auto"/>
        <w:right w:val="none" w:sz="0" w:space="0" w:color="auto"/>
      </w:divBdr>
    </w:div>
    <w:div w:id="2124691615">
      <w:bodyDiv w:val="1"/>
      <w:marLeft w:val="0"/>
      <w:marRight w:val="0"/>
      <w:marTop w:val="0"/>
      <w:marBottom w:val="0"/>
      <w:divBdr>
        <w:top w:val="none" w:sz="0" w:space="0" w:color="auto"/>
        <w:left w:val="none" w:sz="0" w:space="0" w:color="auto"/>
        <w:bottom w:val="none" w:sz="0" w:space="0" w:color="auto"/>
        <w:right w:val="none" w:sz="0" w:space="0" w:color="auto"/>
      </w:divBdr>
      <w:divsChild>
        <w:div w:id="1730880104">
          <w:marLeft w:val="0"/>
          <w:marRight w:val="0"/>
          <w:marTop w:val="0"/>
          <w:marBottom w:val="0"/>
          <w:divBdr>
            <w:top w:val="none" w:sz="0" w:space="0" w:color="auto"/>
            <w:left w:val="none" w:sz="0" w:space="0" w:color="auto"/>
            <w:bottom w:val="none" w:sz="0" w:space="0" w:color="auto"/>
            <w:right w:val="none" w:sz="0" w:space="0" w:color="auto"/>
          </w:divBdr>
          <w:divsChild>
            <w:div w:id="542015016">
              <w:marLeft w:val="0"/>
              <w:marRight w:val="0"/>
              <w:marTop w:val="0"/>
              <w:marBottom w:val="0"/>
              <w:divBdr>
                <w:top w:val="none" w:sz="0" w:space="0" w:color="auto"/>
                <w:left w:val="none" w:sz="0" w:space="0" w:color="auto"/>
                <w:bottom w:val="none" w:sz="0" w:space="0" w:color="auto"/>
                <w:right w:val="none" w:sz="0" w:space="0" w:color="auto"/>
              </w:divBdr>
              <w:divsChild>
                <w:div w:id="115880110">
                  <w:marLeft w:val="0"/>
                  <w:marRight w:val="0"/>
                  <w:marTop w:val="0"/>
                  <w:marBottom w:val="0"/>
                  <w:divBdr>
                    <w:top w:val="none" w:sz="0" w:space="0" w:color="auto"/>
                    <w:left w:val="none" w:sz="0" w:space="0" w:color="auto"/>
                    <w:bottom w:val="none" w:sz="0" w:space="0" w:color="auto"/>
                    <w:right w:val="none" w:sz="0" w:space="0" w:color="auto"/>
                  </w:divBdr>
                  <w:divsChild>
                    <w:div w:id="169176892">
                      <w:marLeft w:val="0"/>
                      <w:marRight w:val="0"/>
                      <w:marTop w:val="0"/>
                      <w:marBottom w:val="0"/>
                      <w:divBdr>
                        <w:top w:val="none" w:sz="0" w:space="0" w:color="auto"/>
                        <w:left w:val="none" w:sz="0" w:space="0" w:color="auto"/>
                        <w:bottom w:val="none" w:sz="0" w:space="0" w:color="auto"/>
                        <w:right w:val="none" w:sz="0" w:space="0" w:color="auto"/>
                      </w:divBdr>
                      <w:divsChild>
                        <w:div w:id="549539479">
                          <w:marLeft w:val="0"/>
                          <w:marRight w:val="0"/>
                          <w:marTop w:val="0"/>
                          <w:marBottom w:val="0"/>
                          <w:divBdr>
                            <w:top w:val="none" w:sz="0" w:space="0" w:color="auto"/>
                            <w:left w:val="none" w:sz="0" w:space="0" w:color="auto"/>
                            <w:bottom w:val="none" w:sz="0" w:space="0" w:color="auto"/>
                            <w:right w:val="none" w:sz="0" w:space="0" w:color="auto"/>
                          </w:divBdr>
                          <w:divsChild>
                            <w:div w:id="697196868">
                              <w:marLeft w:val="0"/>
                              <w:marRight w:val="0"/>
                              <w:marTop w:val="0"/>
                              <w:marBottom w:val="0"/>
                              <w:divBdr>
                                <w:top w:val="none" w:sz="0" w:space="0" w:color="auto"/>
                                <w:left w:val="none" w:sz="0" w:space="0" w:color="auto"/>
                                <w:bottom w:val="none" w:sz="0" w:space="0" w:color="auto"/>
                                <w:right w:val="none" w:sz="0" w:space="0" w:color="auto"/>
                              </w:divBdr>
                              <w:divsChild>
                                <w:div w:id="527179866">
                                  <w:marLeft w:val="0"/>
                                  <w:marRight w:val="0"/>
                                  <w:marTop w:val="0"/>
                                  <w:marBottom w:val="0"/>
                                  <w:divBdr>
                                    <w:top w:val="none" w:sz="0" w:space="0" w:color="auto"/>
                                    <w:left w:val="none" w:sz="0" w:space="0" w:color="auto"/>
                                    <w:bottom w:val="none" w:sz="0" w:space="0" w:color="auto"/>
                                    <w:right w:val="none" w:sz="0" w:space="0" w:color="auto"/>
                                  </w:divBdr>
                                  <w:divsChild>
                                    <w:div w:id="844176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469221">
                          <w:marLeft w:val="0"/>
                          <w:marRight w:val="0"/>
                          <w:marTop w:val="0"/>
                          <w:marBottom w:val="0"/>
                          <w:divBdr>
                            <w:top w:val="none" w:sz="0" w:space="0" w:color="auto"/>
                            <w:left w:val="none" w:sz="0" w:space="0" w:color="auto"/>
                            <w:bottom w:val="none" w:sz="0" w:space="0" w:color="auto"/>
                            <w:right w:val="none" w:sz="0" w:space="0" w:color="auto"/>
                          </w:divBdr>
                          <w:divsChild>
                            <w:div w:id="824975672">
                              <w:marLeft w:val="0"/>
                              <w:marRight w:val="0"/>
                              <w:marTop w:val="0"/>
                              <w:marBottom w:val="0"/>
                              <w:divBdr>
                                <w:top w:val="none" w:sz="0" w:space="0" w:color="auto"/>
                                <w:left w:val="none" w:sz="0" w:space="0" w:color="auto"/>
                                <w:bottom w:val="none" w:sz="0" w:space="0" w:color="auto"/>
                                <w:right w:val="none" w:sz="0" w:space="0" w:color="auto"/>
                              </w:divBdr>
                              <w:divsChild>
                                <w:div w:id="10665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08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mfa.gov.md/ro/content/doua-proiecte-de-hotarari-de-guvern-domeniul-cooperarii-internationale-si-asistente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fa.gov.md/ro/content/doua-proiecte-de-hotarari-de-guvern-domeniul-cooperarii-internationale-si-asistentei"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articip.gov.md/index.php/ro/document/stages/anunt-privind-consultarea-publica-a-proiectului-hotararii-guvernului-pentru-aprobarea-regulamentului-privind-mecanismul-de-realizare-a-activitatilor-de-cooperare-internationala-pentru-dezvoltare-si-asistenta-umanitara-numar-unic-895mae2025/15034"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160A41B27E1894493EE3A523B94337A" ma:contentTypeVersion="19" ma:contentTypeDescription="Creați un document nou." ma:contentTypeScope="" ma:versionID="0a7b2c035f8c478977996e08ee41b878">
  <xsd:schema xmlns:xsd="http://www.w3.org/2001/XMLSchema" xmlns:xs="http://www.w3.org/2001/XMLSchema" xmlns:p="http://schemas.microsoft.com/office/2006/metadata/properties" xmlns:ns2="1e2a1098-60ac-4e2b-87fa-7573f8d04d08" xmlns:ns3="d89666b6-eb5f-416f-9481-684ff84b7fbb" targetNamespace="http://schemas.microsoft.com/office/2006/metadata/properties" ma:root="true" ma:fieldsID="a04b89dbf99b13314c50d33a33050475" ns2:_="" ns3:_="">
    <xsd:import namespace="1e2a1098-60ac-4e2b-87fa-7573f8d04d08"/>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Dat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a1098-60ac-4e2b-87fa-7573f8d04d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Etichete imagine"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Date" ma:index="24" nillable="true" ma:displayName="Date" ma:format="Dropdown" ma:internalName="Date">
      <xsd:simpleType>
        <xsd:restriction base="dms:Text">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SharedWithUsers" ma:index="17"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jat cu detalii" ma:internalName="SharedWithDetails" ma:readOnly="true">
      <xsd:simpleType>
        <xsd:restriction base="dms:Note">
          <xsd:maxLength value="255"/>
        </xsd:restriction>
      </xsd:simpleType>
    </xsd:element>
    <xsd:element name="TaxCatchAll" ma:index="22" nillable="true" ma:displayName="Taxonomy Catch All Column" ma:hidden="true" ma:list="{c7e4feae-4b23-4b4e-b6dd-4c9dac280b88}"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1e2a1098-60ac-4e2b-87fa-7573f8d04d08" xsi:nil="true"/>
    <lcf76f155ced4ddcb4097134ff3c332f xmlns="1e2a1098-60ac-4e2b-87fa-7573f8d04d08">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2.xml><?xml version="1.0" encoding="utf-8"?>
<ds:datastoreItem xmlns:ds="http://schemas.openxmlformats.org/officeDocument/2006/customXml" ds:itemID="{F58F43C6-83F9-4B1C-8450-2C55FBDEC370}">
  <ds:schemaRefs>
    <ds:schemaRef ds:uri="http://schemas.openxmlformats.org/officeDocument/2006/bibliography"/>
  </ds:schemaRefs>
</ds:datastoreItem>
</file>

<file path=customXml/itemProps3.xml><?xml version="1.0" encoding="utf-8"?>
<ds:datastoreItem xmlns:ds="http://schemas.openxmlformats.org/officeDocument/2006/customXml" ds:itemID="{C96CEAC4-1978-49D4-AB55-FE5B6BF7D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a1098-60ac-4e2b-87fa-7573f8d04d08"/>
    <ds:schemaRef ds:uri="d89666b6-eb5f-416f-9481-684ff84b7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1e2a1098-60ac-4e2b-87fa-7573f8d04d08"/>
    <ds:schemaRef ds:uri="d89666b6-eb5f-416f-9481-684ff84b7fbb"/>
  </ds:schemaRefs>
</ds:datastoreItem>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29</Pages>
  <Words>14005</Words>
  <Characters>81231</Characters>
  <Application>Microsoft Office Word</Application>
  <DocSecurity>0</DocSecurity>
  <Lines>676</Lines>
  <Paragraphs>190</Paragraphs>
  <ScaleCrop>false</ScaleCrop>
  <HeadingPairs>
    <vt:vector size="2" baseType="variant">
      <vt:variant>
        <vt:lpstr>Title</vt:lpstr>
      </vt:variant>
      <vt:variant>
        <vt:i4>1</vt:i4>
      </vt:variant>
    </vt:vector>
  </HeadingPairs>
  <TitlesOfParts>
    <vt:vector size="1" baseType="lpstr">
      <vt:lpstr>435.2023.ro</vt:lpstr>
    </vt:vector>
  </TitlesOfParts>
  <Company>Cancelaria Guvernului</Company>
  <LinksUpToDate>false</LinksUpToDate>
  <CharactersWithSpaces>95046</CharactersWithSpaces>
  <SharedDoc>false</SharedDoc>
  <HLinks>
    <vt:vector size="18" baseType="variant">
      <vt:variant>
        <vt:i4>3538986</vt:i4>
      </vt:variant>
      <vt:variant>
        <vt:i4>3</vt:i4>
      </vt:variant>
      <vt:variant>
        <vt:i4>0</vt:i4>
      </vt:variant>
      <vt:variant>
        <vt:i4>5</vt:i4>
      </vt:variant>
      <vt:variant>
        <vt:lpwstr>https://mfa.gov.md/ro/content/doua-proiecte-de-hotarari-de-guvern-domeniul-cooperarii-internationale-si-asistentei</vt:lpwstr>
      </vt:variant>
      <vt:variant>
        <vt:lpwstr/>
      </vt:variant>
      <vt:variant>
        <vt:i4>3538986</vt:i4>
      </vt:variant>
      <vt:variant>
        <vt:i4>0</vt:i4>
      </vt:variant>
      <vt:variant>
        <vt:i4>0</vt:i4>
      </vt:variant>
      <vt:variant>
        <vt:i4>5</vt:i4>
      </vt:variant>
      <vt:variant>
        <vt:lpwstr>https://mfa.gov.md/ro/content/doua-proiecte-de-hotarari-de-guvern-domeniul-cooperarii-internationale-si-asistentei</vt:lpwstr>
      </vt:variant>
      <vt:variant>
        <vt:lpwstr/>
      </vt:variant>
      <vt:variant>
        <vt:i4>2490406</vt:i4>
      </vt:variant>
      <vt:variant>
        <vt:i4>0</vt:i4>
      </vt:variant>
      <vt:variant>
        <vt:i4>0</vt:i4>
      </vt:variant>
      <vt:variant>
        <vt:i4>5</vt:i4>
      </vt:variant>
      <vt:variant>
        <vt:lpwstr>https://particip.gov.md/index.php/ro/document/stages/anunt-privind-consultarea-publica-a-proiectului-hotararii-guvernului-pentru-aprobarea-regulamentului-privind-mecanismul-de-realizare-a-activitatilor-de-cooperare-internationala-pentru-dezvoltare-si-asistenta-umanitara-numar-unic-895mae2025/15034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Lidia Badia</cp:lastModifiedBy>
  <cp:revision>8</cp:revision>
  <cp:lastPrinted>2025-05-19T06:16:00Z</cp:lastPrinted>
  <dcterms:created xsi:type="dcterms:W3CDTF">2026-02-24T09:39:00Z</dcterms:created>
  <dcterms:modified xsi:type="dcterms:W3CDTF">2026-02-24T14:09:00Z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0x010100B160A41B27E1894493EE3A523B94337A</vt:lpwstr>
  </property>
  <property fmtid="{D5CDD505-2E9C-101B-9397-08002B2CF9AE}" pid="3" name="Tipul documentului">
    <vt:lpwstr>Aviz</vt:lpwstr>
  </property>
  <property fmtid="{D5CDD505-2E9C-101B-9397-08002B2CF9AE}" pid="4" name="MSIP_Label_5c4e35d5-db9c-4c03-801d-f4783407a705_Enabled">
    <vt:lpwstr>true</vt:lpwstr>
  </property>
  <property fmtid="{D5CDD505-2E9C-101B-9397-08002B2CF9AE}" pid="5" name="MSIP_Label_5c4e35d5-db9c-4c03-801d-f4783407a705_SetDate">
    <vt:lpwstr>2025-03-05T09:41:36Z</vt:lpwstr>
  </property>
  <property fmtid="{D5CDD505-2E9C-101B-9397-08002B2CF9AE}" pid="6" name="MSIP_Label_5c4e35d5-db9c-4c03-801d-f4783407a705_Method">
    <vt:lpwstr>Standard</vt:lpwstr>
  </property>
  <property fmtid="{D5CDD505-2E9C-101B-9397-08002B2CF9AE}" pid="7" name="MSIP_Label_5c4e35d5-db9c-4c03-801d-f4783407a705_Name">
    <vt:lpwstr>[MFA] Default</vt:lpwstr>
  </property>
  <property fmtid="{D5CDD505-2E9C-101B-9397-08002B2CF9AE}" pid="8" name="MSIP_Label_5c4e35d5-db9c-4c03-801d-f4783407a705_SiteId">
    <vt:lpwstr>8e0fb675-40bd-4ab4-adce-8720cfc45ba7</vt:lpwstr>
  </property>
  <property fmtid="{D5CDD505-2E9C-101B-9397-08002B2CF9AE}" pid="9" name="MSIP_Label_5c4e35d5-db9c-4c03-801d-f4783407a705_ActionId">
    <vt:lpwstr>39d650d2-6a72-4f1b-8851-5d3b5444c324</vt:lpwstr>
  </property>
  <property fmtid="{D5CDD505-2E9C-101B-9397-08002B2CF9AE}" pid="10" name="MSIP_Label_5c4e35d5-db9c-4c03-801d-f4783407a705_ContentBits">
    <vt:lpwstr>0</vt:lpwstr>
  </property>
  <property fmtid="{D5CDD505-2E9C-101B-9397-08002B2CF9AE}" pid="11" name="MSIP_Label_5c4e35d5-db9c-4c03-801d-f4783407a705_Tag">
    <vt:lpwstr>10, 3, 0, 2</vt:lpwstr>
  </property>
  <property fmtid="{D5CDD505-2E9C-101B-9397-08002B2CF9AE}" pid="12" name="MediaServiceImageTags">
    <vt:lpwstr/>
  </property>
</Properties>
</file>