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07C" w:rsidRPr="0049407C" w:rsidRDefault="0049407C" w:rsidP="0049407C">
      <w:pPr>
        <w:tabs>
          <w:tab w:val="left" w:pos="884"/>
          <w:tab w:val="left" w:pos="1196"/>
        </w:tabs>
        <w:spacing w:after="0" w:line="240" w:lineRule="auto"/>
        <w:jc w:val="center"/>
        <w:rPr>
          <w:rFonts w:ascii="Times New Roman" w:hAnsi="Times New Roman"/>
          <w:sz w:val="24"/>
          <w:szCs w:val="24"/>
        </w:rPr>
      </w:pPr>
      <w:bookmarkStart w:id="0" w:name="_GoBack"/>
      <w:bookmarkEnd w:id="0"/>
      <w:r w:rsidRPr="0049407C">
        <w:rPr>
          <w:rFonts w:ascii="Times New Roman" w:hAnsi="Times New Roman"/>
          <w:sz w:val="24"/>
          <w:szCs w:val="24"/>
        </w:rPr>
        <w:t> </w:t>
      </w:r>
    </w:p>
    <w:p w:rsidR="0049407C" w:rsidRPr="0049407C" w:rsidRDefault="0049407C" w:rsidP="0049407C">
      <w:pPr>
        <w:tabs>
          <w:tab w:val="left" w:pos="884"/>
          <w:tab w:val="left" w:pos="1196"/>
        </w:tabs>
        <w:spacing w:after="0" w:line="240" w:lineRule="auto"/>
        <w:jc w:val="center"/>
        <w:rPr>
          <w:rFonts w:ascii="Times New Roman" w:hAnsi="Times New Roman"/>
          <w:sz w:val="24"/>
          <w:szCs w:val="24"/>
        </w:rPr>
      </w:pPr>
      <w:r w:rsidRPr="0049407C">
        <w:rPr>
          <w:rFonts w:ascii="Times New Roman" w:hAnsi="Times New Roman"/>
          <w:b/>
          <w:bCs/>
          <w:color w:val="000000"/>
          <w:sz w:val="24"/>
          <w:szCs w:val="24"/>
        </w:rPr>
        <w:t>SINTEZA</w:t>
      </w:r>
    </w:p>
    <w:p w:rsidR="0005098C" w:rsidRPr="00E23D53" w:rsidRDefault="0005098C" w:rsidP="0005098C">
      <w:pPr>
        <w:spacing w:before="240" w:line="338" w:lineRule="auto"/>
        <w:jc w:val="center"/>
        <w:rPr>
          <w:rFonts w:ascii="Times New Roman" w:hAnsi="Times New Roman"/>
          <w:b/>
          <w:sz w:val="28"/>
          <w:szCs w:val="28"/>
        </w:rPr>
      </w:pPr>
      <w:bookmarkStart w:id="1" w:name="_Hlk181710671"/>
      <w:bookmarkStart w:id="2" w:name="_Hlk209601656"/>
      <w:r>
        <w:rPr>
          <w:rFonts w:ascii="Times New Roman" w:hAnsi="Times New Roman"/>
          <w:b/>
          <w:sz w:val="28"/>
          <w:szCs w:val="28"/>
        </w:rPr>
        <w:t>La proiectul de hotărâre de Guvern p</w:t>
      </w:r>
      <w:r w:rsidRPr="00E23D53">
        <w:rPr>
          <w:rFonts w:ascii="Times New Roman" w:hAnsi="Times New Roman"/>
          <w:b/>
          <w:sz w:val="28"/>
          <w:szCs w:val="28"/>
        </w:rPr>
        <w:t xml:space="preserve">entru aprobarea Regulamentului privind procedurile de evaluare a conformității ale produselor fertilizante </w:t>
      </w:r>
    </w:p>
    <w:bookmarkEnd w:id="2"/>
    <w:p w:rsidR="006007E1" w:rsidRPr="00957FE7" w:rsidRDefault="006007E1" w:rsidP="006007E1">
      <w:pPr>
        <w:pStyle w:val="tt"/>
        <w:spacing w:before="0" w:beforeAutospacing="0" w:after="0" w:afterAutospacing="0"/>
        <w:jc w:val="center"/>
        <w:rPr>
          <w:b/>
          <w:bCs/>
          <w:sz w:val="28"/>
          <w:szCs w:val="28"/>
          <w:lang w:val="ro-MD"/>
        </w:rPr>
      </w:pPr>
    </w:p>
    <w:tbl>
      <w:tblPr>
        <w:tblW w:w="13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8"/>
        <w:gridCol w:w="1001"/>
        <w:gridCol w:w="3979"/>
        <w:gridCol w:w="52"/>
        <w:gridCol w:w="2354"/>
      </w:tblGrid>
      <w:tr w:rsidR="0049407C" w:rsidRPr="00B2649B" w:rsidTr="00825909">
        <w:tc>
          <w:tcPr>
            <w:tcW w:w="5918" w:type="dxa"/>
            <w:hideMark/>
          </w:tcPr>
          <w:bookmarkEnd w:id="1"/>
          <w:p w:rsidR="0049407C" w:rsidRPr="00B2649B" w:rsidRDefault="0049407C" w:rsidP="00B2649B">
            <w:pPr>
              <w:spacing w:after="0" w:line="240" w:lineRule="auto"/>
              <w:jc w:val="center"/>
              <w:rPr>
                <w:rFonts w:ascii="Times New Roman" w:hAnsi="Times New Roman"/>
                <w:sz w:val="24"/>
                <w:szCs w:val="24"/>
              </w:rPr>
            </w:pPr>
            <w:r w:rsidRPr="00B2649B">
              <w:rPr>
                <w:rFonts w:ascii="Times New Roman" w:hAnsi="Times New Roman"/>
                <w:b/>
                <w:bCs/>
                <w:color w:val="000000"/>
                <w:sz w:val="24"/>
                <w:szCs w:val="24"/>
              </w:rPr>
              <w:t>Participantul</w:t>
            </w:r>
            <w:r w:rsidR="00696089">
              <w:rPr>
                <w:rFonts w:ascii="Times New Roman" w:hAnsi="Times New Roman"/>
                <w:b/>
                <w:bCs/>
                <w:color w:val="000000"/>
                <w:sz w:val="24"/>
                <w:szCs w:val="24"/>
              </w:rPr>
              <w:t xml:space="preserve"> </w:t>
            </w:r>
            <w:r w:rsidRPr="00B2649B">
              <w:rPr>
                <w:rFonts w:ascii="Times New Roman" w:hAnsi="Times New Roman"/>
                <w:b/>
                <w:bCs/>
                <w:color w:val="000000"/>
                <w:sz w:val="24"/>
                <w:szCs w:val="24"/>
              </w:rPr>
              <w:t>la</w:t>
            </w:r>
            <w:r w:rsidR="00696089">
              <w:rPr>
                <w:rFonts w:ascii="Times New Roman" w:hAnsi="Times New Roman"/>
                <w:b/>
                <w:bCs/>
                <w:color w:val="000000"/>
                <w:sz w:val="24"/>
                <w:szCs w:val="24"/>
              </w:rPr>
              <w:t xml:space="preserve"> </w:t>
            </w:r>
            <w:r w:rsidRPr="00B2649B">
              <w:rPr>
                <w:rFonts w:ascii="Times New Roman" w:hAnsi="Times New Roman"/>
                <w:b/>
                <w:bCs/>
                <w:color w:val="000000"/>
                <w:sz w:val="24"/>
                <w:szCs w:val="24"/>
              </w:rPr>
              <w:t>avizare,</w:t>
            </w:r>
            <w:r w:rsidR="00696089">
              <w:rPr>
                <w:rFonts w:ascii="Times New Roman" w:hAnsi="Times New Roman"/>
                <w:b/>
                <w:bCs/>
                <w:color w:val="000000"/>
                <w:sz w:val="24"/>
                <w:szCs w:val="24"/>
              </w:rPr>
              <w:t xml:space="preserve"> </w:t>
            </w:r>
            <w:r w:rsidRPr="00B2649B">
              <w:rPr>
                <w:rFonts w:ascii="Times New Roman" w:hAnsi="Times New Roman"/>
                <w:b/>
                <w:bCs/>
                <w:color w:val="000000"/>
                <w:sz w:val="24"/>
                <w:szCs w:val="24"/>
              </w:rPr>
              <w:t>consultare</w:t>
            </w:r>
            <w:r w:rsidR="00696089">
              <w:rPr>
                <w:rFonts w:ascii="Times New Roman" w:hAnsi="Times New Roman"/>
                <w:b/>
                <w:bCs/>
                <w:color w:val="000000"/>
                <w:sz w:val="24"/>
                <w:szCs w:val="24"/>
              </w:rPr>
              <w:t xml:space="preserve"> </w:t>
            </w:r>
            <w:r w:rsidRPr="00B2649B">
              <w:rPr>
                <w:rFonts w:ascii="Times New Roman" w:hAnsi="Times New Roman"/>
                <w:b/>
                <w:bCs/>
                <w:color w:val="000000"/>
                <w:sz w:val="24"/>
                <w:szCs w:val="24"/>
              </w:rPr>
              <w:t>publică,</w:t>
            </w:r>
            <w:r w:rsidR="00696089">
              <w:rPr>
                <w:rFonts w:ascii="Times New Roman" w:hAnsi="Times New Roman"/>
                <w:b/>
                <w:bCs/>
                <w:color w:val="000000"/>
                <w:sz w:val="24"/>
                <w:szCs w:val="24"/>
              </w:rPr>
              <w:t xml:space="preserve"> </w:t>
            </w:r>
            <w:r w:rsidRPr="00B2649B">
              <w:rPr>
                <w:rFonts w:ascii="Times New Roman" w:hAnsi="Times New Roman"/>
                <w:b/>
                <w:bCs/>
                <w:color w:val="000000"/>
                <w:sz w:val="24"/>
                <w:szCs w:val="24"/>
              </w:rPr>
              <w:t>expertizare</w:t>
            </w:r>
          </w:p>
        </w:tc>
        <w:tc>
          <w:tcPr>
            <w:tcW w:w="1001" w:type="dxa"/>
            <w:hideMark/>
          </w:tcPr>
          <w:p w:rsidR="0049407C" w:rsidRPr="00B2649B" w:rsidRDefault="0049407C" w:rsidP="00B2649B">
            <w:pPr>
              <w:spacing w:after="0" w:line="240" w:lineRule="auto"/>
              <w:jc w:val="center"/>
              <w:rPr>
                <w:rFonts w:ascii="Times New Roman" w:hAnsi="Times New Roman"/>
                <w:sz w:val="24"/>
                <w:szCs w:val="24"/>
              </w:rPr>
            </w:pPr>
            <w:r w:rsidRPr="00B2649B">
              <w:rPr>
                <w:rFonts w:ascii="Times New Roman" w:hAnsi="Times New Roman"/>
                <w:b/>
                <w:bCs/>
                <w:color w:val="000000"/>
                <w:sz w:val="24"/>
                <w:szCs w:val="24"/>
              </w:rPr>
              <w:t>Nr.</w:t>
            </w:r>
            <w:r w:rsidR="00696089">
              <w:rPr>
                <w:rFonts w:ascii="Times New Roman" w:hAnsi="Times New Roman"/>
                <w:b/>
                <w:bCs/>
                <w:color w:val="000000"/>
                <w:sz w:val="24"/>
                <w:szCs w:val="24"/>
              </w:rPr>
              <w:t xml:space="preserve"> </w:t>
            </w:r>
            <w:r w:rsidRPr="00B2649B">
              <w:rPr>
                <w:rFonts w:ascii="Times New Roman" w:hAnsi="Times New Roman"/>
                <w:b/>
                <w:bCs/>
                <w:color w:val="000000"/>
                <w:sz w:val="24"/>
                <w:szCs w:val="24"/>
              </w:rPr>
              <w:t>crt.</w:t>
            </w:r>
          </w:p>
        </w:tc>
        <w:tc>
          <w:tcPr>
            <w:tcW w:w="3979" w:type="dxa"/>
            <w:hideMark/>
          </w:tcPr>
          <w:p w:rsidR="0049407C" w:rsidRPr="000D7827" w:rsidRDefault="0049407C" w:rsidP="00B2649B">
            <w:pPr>
              <w:tabs>
                <w:tab w:val="left" w:pos="884"/>
                <w:tab w:val="left" w:pos="1196"/>
              </w:tabs>
              <w:spacing w:after="0" w:line="240" w:lineRule="auto"/>
              <w:jc w:val="center"/>
              <w:rPr>
                <w:rFonts w:ascii="Times New Roman" w:hAnsi="Times New Roman"/>
                <w:sz w:val="20"/>
                <w:szCs w:val="20"/>
              </w:rPr>
            </w:pPr>
            <w:r w:rsidRPr="000D7827">
              <w:rPr>
                <w:rFonts w:ascii="Times New Roman" w:hAnsi="Times New Roman"/>
                <w:b/>
                <w:bCs/>
                <w:color w:val="000000"/>
                <w:sz w:val="20"/>
                <w:szCs w:val="20"/>
              </w:rPr>
              <w:t>Conținutul</w:t>
            </w:r>
            <w:r w:rsidR="00696089" w:rsidRPr="000D7827">
              <w:rPr>
                <w:rFonts w:ascii="Times New Roman" w:hAnsi="Times New Roman"/>
                <w:b/>
                <w:bCs/>
                <w:color w:val="000000"/>
                <w:sz w:val="20"/>
                <w:szCs w:val="20"/>
              </w:rPr>
              <w:t xml:space="preserve"> </w:t>
            </w:r>
            <w:r w:rsidRPr="000D7827">
              <w:rPr>
                <w:rFonts w:ascii="Times New Roman" w:hAnsi="Times New Roman"/>
                <w:b/>
                <w:bCs/>
                <w:color w:val="000000"/>
                <w:sz w:val="20"/>
                <w:szCs w:val="20"/>
              </w:rPr>
              <w:t>obiecției,</w:t>
            </w:r>
          </w:p>
          <w:p w:rsidR="0049407C" w:rsidRPr="000D7827" w:rsidRDefault="0049407C" w:rsidP="00B2649B">
            <w:pPr>
              <w:spacing w:after="0" w:line="240" w:lineRule="auto"/>
              <w:jc w:val="center"/>
              <w:rPr>
                <w:rFonts w:ascii="Times New Roman" w:hAnsi="Times New Roman"/>
                <w:sz w:val="20"/>
                <w:szCs w:val="20"/>
              </w:rPr>
            </w:pPr>
            <w:r w:rsidRPr="000D7827">
              <w:rPr>
                <w:rFonts w:ascii="Times New Roman" w:hAnsi="Times New Roman"/>
                <w:b/>
                <w:bCs/>
                <w:color w:val="000000"/>
                <w:sz w:val="20"/>
                <w:szCs w:val="20"/>
              </w:rPr>
              <w:t>propunerii,</w:t>
            </w:r>
            <w:r w:rsidR="00696089" w:rsidRPr="000D7827">
              <w:rPr>
                <w:rFonts w:ascii="Times New Roman" w:hAnsi="Times New Roman"/>
                <w:b/>
                <w:bCs/>
                <w:color w:val="000000"/>
                <w:sz w:val="20"/>
                <w:szCs w:val="20"/>
              </w:rPr>
              <w:t xml:space="preserve"> </w:t>
            </w:r>
            <w:r w:rsidRPr="000D7827">
              <w:rPr>
                <w:rFonts w:ascii="Times New Roman" w:hAnsi="Times New Roman"/>
                <w:b/>
                <w:bCs/>
                <w:color w:val="000000"/>
                <w:sz w:val="20"/>
                <w:szCs w:val="20"/>
              </w:rPr>
              <w:t>recomandării,</w:t>
            </w:r>
            <w:r w:rsidR="00696089" w:rsidRPr="000D7827">
              <w:rPr>
                <w:rFonts w:ascii="Times New Roman" w:hAnsi="Times New Roman"/>
                <w:b/>
                <w:bCs/>
                <w:color w:val="000000"/>
                <w:sz w:val="20"/>
                <w:szCs w:val="20"/>
              </w:rPr>
              <w:t xml:space="preserve"> </w:t>
            </w:r>
            <w:r w:rsidRPr="000D7827">
              <w:rPr>
                <w:rFonts w:ascii="Times New Roman" w:hAnsi="Times New Roman"/>
                <w:b/>
                <w:bCs/>
                <w:color w:val="000000"/>
                <w:sz w:val="20"/>
                <w:szCs w:val="20"/>
              </w:rPr>
              <w:t>concluziei</w:t>
            </w:r>
          </w:p>
        </w:tc>
        <w:tc>
          <w:tcPr>
            <w:tcW w:w="2406" w:type="dxa"/>
            <w:gridSpan w:val="2"/>
            <w:hideMark/>
          </w:tcPr>
          <w:p w:rsidR="0049407C" w:rsidRPr="000D7827" w:rsidRDefault="0049407C" w:rsidP="00B2649B">
            <w:pPr>
              <w:tabs>
                <w:tab w:val="left" w:pos="884"/>
                <w:tab w:val="left" w:pos="1196"/>
              </w:tabs>
              <w:spacing w:after="0" w:line="240" w:lineRule="auto"/>
              <w:jc w:val="center"/>
              <w:rPr>
                <w:rFonts w:ascii="Times New Roman" w:hAnsi="Times New Roman"/>
                <w:sz w:val="20"/>
                <w:szCs w:val="20"/>
              </w:rPr>
            </w:pPr>
            <w:r w:rsidRPr="000D7827">
              <w:rPr>
                <w:rFonts w:ascii="Times New Roman" w:hAnsi="Times New Roman"/>
                <w:b/>
                <w:bCs/>
                <w:color w:val="000000"/>
                <w:sz w:val="20"/>
                <w:szCs w:val="20"/>
              </w:rPr>
              <w:t>Argumentarea</w:t>
            </w:r>
          </w:p>
          <w:p w:rsidR="0049407C" w:rsidRPr="000D7827" w:rsidRDefault="0049407C" w:rsidP="00B2649B">
            <w:pPr>
              <w:spacing w:after="0" w:line="240" w:lineRule="auto"/>
              <w:jc w:val="center"/>
              <w:rPr>
                <w:rFonts w:ascii="Times New Roman" w:hAnsi="Times New Roman"/>
                <w:sz w:val="20"/>
                <w:szCs w:val="20"/>
              </w:rPr>
            </w:pPr>
            <w:r w:rsidRPr="000D7827">
              <w:rPr>
                <w:rFonts w:ascii="Times New Roman" w:hAnsi="Times New Roman"/>
                <w:b/>
                <w:bCs/>
                <w:color w:val="000000"/>
                <w:sz w:val="20"/>
                <w:szCs w:val="20"/>
              </w:rPr>
              <w:t>autorului</w:t>
            </w:r>
            <w:r w:rsidR="00696089" w:rsidRPr="000D7827">
              <w:rPr>
                <w:rFonts w:ascii="Times New Roman" w:hAnsi="Times New Roman"/>
                <w:b/>
                <w:bCs/>
                <w:color w:val="000000"/>
                <w:sz w:val="20"/>
                <w:szCs w:val="20"/>
              </w:rPr>
              <w:t xml:space="preserve"> </w:t>
            </w:r>
            <w:r w:rsidRPr="000D7827">
              <w:rPr>
                <w:rFonts w:ascii="Times New Roman" w:hAnsi="Times New Roman"/>
                <w:b/>
                <w:bCs/>
                <w:color w:val="000000"/>
                <w:sz w:val="20"/>
                <w:szCs w:val="20"/>
              </w:rPr>
              <w:t>proiectului</w:t>
            </w:r>
          </w:p>
        </w:tc>
      </w:tr>
      <w:tr w:rsidR="0049407C" w:rsidRPr="00B2649B" w:rsidTr="00B2649B">
        <w:tc>
          <w:tcPr>
            <w:tcW w:w="13304" w:type="dxa"/>
            <w:gridSpan w:val="5"/>
            <w:hideMark/>
          </w:tcPr>
          <w:p w:rsidR="0049407C" w:rsidRPr="000D7827" w:rsidRDefault="0049407C" w:rsidP="00B2649B">
            <w:pPr>
              <w:spacing w:after="0" w:line="240" w:lineRule="auto"/>
              <w:jc w:val="center"/>
              <w:rPr>
                <w:rFonts w:ascii="Times New Roman" w:hAnsi="Times New Roman"/>
                <w:sz w:val="24"/>
                <w:szCs w:val="24"/>
              </w:rPr>
            </w:pPr>
            <w:r w:rsidRPr="000D7827">
              <w:rPr>
                <w:rFonts w:ascii="Times New Roman" w:hAnsi="Times New Roman"/>
                <w:color w:val="000000"/>
                <w:sz w:val="24"/>
                <w:szCs w:val="24"/>
              </w:rPr>
              <w:t>Avizare</w:t>
            </w:r>
            <w:r w:rsidR="00696089" w:rsidRPr="000D7827">
              <w:rPr>
                <w:rFonts w:ascii="Times New Roman" w:hAnsi="Times New Roman"/>
                <w:color w:val="000000"/>
                <w:sz w:val="24"/>
                <w:szCs w:val="24"/>
              </w:rPr>
              <w:t xml:space="preserve"> </w:t>
            </w:r>
            <w:r w:rsidRPr="000D7827">
              <w:rPr>
                <w:rFonts w:ascii="Times New Roman" w:hAnsi="Times New Roman"/>
                <w:color w:val="000000"/>
                <w:sz w:val="24"/>
                <w:szCs w:val="24"/>
              </w:rPr>
              <w:t>și</w:t>
            </w:r>
            <w:r w:rsidR="00696089" w:rsidRPr="000D7827">
              <w:rPr>
                <w:rFonts w:ascii="Times New Roman" w:hAnsi="Times New Roman"/>
                <w:color w:val="000000"/>
                <w:sz w:val="24"/>
                <w:szCs w:val="24"/>
              </w:rPr>
              <w:t xml:space="preserve"> </w:t>
            </w:r>
            <w:r w:rsidRPr="000D7827">
              <w:rPr>
                <w:rFonts w:ascii="Times New Roman" w:hAnsi="Times New Roman"/>
                <w:color w:val="000000"/>
                <w:sz w:val="24"/>
                <w:szCs w:val="24"/>
              </w:rPr>
              <w:t>consultare</w:t>
            </w:r>
            <w:r w:rsidR="00696089" w:rsidRPr="000D7827">
              <w:rPr>
                <w:rFonts w:ascii="Times New Roman" w:hAnsi="Times New Roman"/>
                <w:color w:val="000000"/>
                <w:sz w:val="24"/>
                <w:szCs w:val="24"/>
              </w:rPr>
              <w:t xml:space="preserve"> </w:t>
            </w:r>
            <w:r w:rsidRPr="000D7827">
              <w:rPr>
                <w:rFonts w:ascii="Times New Roman" w:hAnsi="Times New Roman"/>
                <w:color w:val="000000"/>
                <w:sz w:val="24"/>
                <w:szCs w:val="24"/>
              </w:rPr>
              <w:t>publică</w:t>
            </w:r>
          </w:p>
        </w:tc>
      </w:tr>
      <w:tr w:rsidR="001E1973" w:rsidRPr="00B2649B" w:rsidTr="00825909">
        <w:trPr>
          <w:trHeight w:val="1098"/>
        </w:trPr>
        <w:tc>
          <w:tcPr>
            <w:tcW w:w="5918" w:type="dxa"/>
            <w:hideMark/>
          </w:tcPr>
          <w:p w:rsidR="001E1973" w:rsidRPr="000547AB" w:rsidRDefault="001E1973" w:rsidP="00B2649B">
            <w:pPr>
              <w:spacing w:after="0" w:line="240" w:lineRule="auto"/>
              <w:rPr>
                <w:rFonts w:ascii="Times New Roman" w:hAnsi="Times New Roman"/>
                <w:b/>
                <w:sz w:val="24"/>
                <w:szCs w:val="24"/>
              </w:rPr>
            </w:pPr>
            <w:r w:rsidRPr="000547AB">
              <w:rPr>
                <w:rFonts w:ascii="Times New Roman" w:hAnsi="Times New Roman"/>
                <w:b/>
                <w:sz w:val="24"/>
                <w:szCs w:val="24"/>
              </w:rPr>
              <w:t>Ministerul Muncii și Protecției Sociale</w:t>
            </w:r>
          </w:p>
          <w:p w:rsidR="001E1973" w:rsidRPr="000547AB" w:rsidRDefault="001E1973" w:rsidP="00B2649B">
            <w:pPr>
              <w:spacing w:after="0" w:line="240" w:lineRule="auto"/>
              <w:rPr>
                <w:rFonts w:ascii="Times New Roman" w:hAnsi="Times New Roman"/>
                <w:sz w:val="24"/>
                <w:szCs w:val="24"/>
              </w:rPr>
            </w:pPr>
            <w:r w:rsidRPr="000547AB">
              <w:rPr>
                <w:rFonts w:ascii="Times New Roman" w:hAnsi="Times New Roman"/>
                <w:sz w:val="24"/>
                <w:szCs w:val="24"/>
              </w:rPr>
              <w:t xml:space="preserve"> </w:t>
            </w:r>
            <w:r w:rsidR="00DA391D" w:rsidRPr="000547AB">
              <w:rPr>
                <w:rFonts w:ascii="Times New Roman" w:hAnsi="Times New Roman"/>
                <w:sz w:val="24"/>
                <w:szCs w:val="24"/>
              </w:rPr>
              <w:t xml:space="preserve">nr. 07/4731 </w:t>
            </w:r>
            <w:r w:rsidRPr="000547AB">
              <w:rPr>
                <w:rFonts w:ascii="Times New Roman" w:hAnsi="Times New Roman"/>
                <w:sz w:val="24"/>
                <w:szCs w:val="24"/>
              </w:rPr>
              <w:t xml:space="preserve">din </w:t>
            </w:r>
            <w:r w:rsidR="00DA391D" w:rsidRPr="000547AB">
              <w:rPr>
                <w:rFonts w:ascii="Times New Roman" w:hAnsi="Times New Roman"/>
                <w:sz w:val="24"/>
                <w:szCs w:val="24"/>
              </w:rPr>
              <w:t>08.10.2025</w:t>
            </w:r>
          </w:p>
          <w:p w:rsidR="001E1973" w:rsidRPr="00390053" w:rsidRDefault="001E1973" w:rsidP="00B2649B">
            <w:pPr>
              <w:spacing w:after="0" w:line="240" w:lineRule="auto"/>
              <w:rPr>
                <w:rFonts w:ascii="Times New Roman" w:hAnsi="Times New Roman"/>
              </w:rPr>
            </w:pPr>
            <w:r w:rsidRPr="00390053">
              <w:rPr>
                <w:rFonts w:ascii="Times New Roman" w:hAnsi="Times New Roman"/>
                <w:color w:val="000000"/>
              </w:rPr>
              <w:t> </w:t>
            </w:r>
          </w:p>
        </w:tc>
        <w:tc>
          <w:tcPr>
            <w:tcW w:w="1001" w:type="dxa"/>
          </w:tcPr>
          <w:p w:rsidR="001E1973" w:rsidRPr="00390053" w:rsidRDefault="001E1973" w:rsidP="00B2649B">
            <w:pPr>
              <w:spacing w:after="0" w:line="240" w:lineRule="auto"/>
              <w:jc w:val="center"/>
              <w:rPr>
                <w:rFonts w:ascii="Times New Roman" w:hAnsi="Times New Roman"/>
              </w:rPr>
            </w:pPr>
            <w:r w:rsidRPr="00390053">
              <w:rPr>
                <w:rFonts w:ascii="Times New Roman" w:hAnsi="Times New Roman"/>
                <w:color w:val="000000"/>
              </w:rPr>
              <w:t>1</w:t>
            </w:r>
          </w:p>
        </w:tc>
        <w:tc>
          <w:tcPr>
            <w:tcW w:w="3979" w:type="dxa"/>
          </w:tcPr>
          <w:p w:rsidR="001E1973" w:rsidRPr="000D7827" w:rsidRDefault="00776DEA" w:rsidP="00512296">
            <w:pPr>
              <w:spacing w:after="0" w:line="240" w:lineRule="auto"/>
              <w:ind w:left="2" w:right="82"/>
              <w:jc w:val="both"/>
              <w:rPr>
                <w:rFonts w:ascii="Times New Roman" w:hAnsi="Times New Roman"/>
                <w:i/>
                <w:sz w:val="20"/>
                <w:szCs w:val="20"/>
              </w:rPr>
            </w:pPr>
            <w:r w:rsidRPr="000D7827">
              <w:rPr>
                <w:rFonts w:ascii="Times New Roman" w:hAnsi="Times New Roman"/>
                <w:sz w:val="20"/>
                <w:szCs w:val="20"/>
              </w:rPr>
              <w:t>Ministerul Muncii și Protecției Sociale a examinat proiectul de hotărâre pentru aprobarea Regulamentului privind procedurile de evaluare a conformității ale produselor fertilizante (număr unic 776/MAIA/2025) și comunică susținerea acestuia cu următoarea propunere. Subsecțiunea a 4-a Verificările produsului privind retenția de ulei și rezistența la detonare din Secțiunea a 2-a Modulul A1 - Controlul intern al producției plus testarea supravegheată a produsului din Regulament se completează cu un punct cu următorul conținut: „__. Persoanele care efectuează testul privind retenția de ulei și testul de rezistență la detonare sânt asigurate cu echipamente individuale de protecție adecvate riscurilor specifice testelor.” Propunerea se întemeiază pe faptul că în procesele de realizare a testelor există riscuri termice, riscuri legate de contact cu substanțe chimice, cu substanțe explozie. Pentru a asigura protecția persoanelor implicate în testări de riscurile specifice devine imperativă asigurarea acestora cu echipamente individuale de protecție.</w:t>
            </w:r>
          </w:p>
        </w:tc>
        <w:tc>
          <w:tcPr>
            <w:tcW w:w="2406" w:type="dxa"/>
            <w:gridSpan w:val="2"/>
          </w:tcPr>
          <w:p w:rsidR="001E1973" w:rsidRPr="000D7827" w:rsidRDefault="009F685D" w:rsidP="00807025">
            <w:pPr>
              <w:spacing w:after="0" w:line="240" w:lineRule="auto"/>
              <w:jc w:val="center"/>
              <w:rPr>
                <w:rFonts w:ascii="Times New Roman" w:hAnsi="Times New Roman"/>
                <w:i/>
                <w:sz w:val="20"/>
                <w:szCs w:val="20"/>
              </w:rPr>
            </w:pPr>
            <w:r w:rsidRPr="000D7827">
              <w:rPr>
                <w:rFonts w:ascii="Times New Roman" w:hAnsi="Times New Roman"/>
                <w:i/>
                <w:sz w:val="20"/>
                <w:szCs w:val="20"/>
              </w:rPr>
              <w:t>Se acceptă</w:t>
            </w:r>
          </w:p>
          <w:p w:rsidR="009F685D" w:rsidRPr="000D7827" w:rsidRDefault="009F685D" w:rsidP="00807025">
            <w:pPr>
              <w:spacing w:after="0" w:line="240" w:lineRule="auto"/>
              <w:jc w:val="center"/>
              <w:rPr>
                <w:rFonts w:ascii="Times New Roman" w:hAnsi="Times New Roman"/>
                <w:sz w:val="20"/>
                <w:szCs w:val="20"/>
              </w:rPr>
            </w:pPr>
            <w:r w:rsidRPr="000D7827">
              <w:rPr>
                <w:rFonts w:ascii="Times New Roman" w:hAnsi="Times New Roman"/>
                <w:sz w:val="20"/>
                <w:szCs w:val="20"/>
              </w:rPr>
              <w:t>subpct. 24.1.</w:t>
            </w:r>
          </w:p>
        </w:tc>
      </w:tr>
      <w:tr w:rsidR="003A5799" w:rsidRPr="00B2649B" w:rsidTr="00825909">
        <w:trPr>
          <w:trHeight w:val="1524"/>
        </w:trPr>
        <w:tc>
          <w:tcPr>
            <w:tcW w:w="5918" w:type="dxa"/>
          </w:tcPr>
          <w:p w:rsidR="003A5799" w:rsidRPr="000547AB" w:rsidRDefault="002939DE" w:rsidP="00B2649B">
            <w:pPr>
              <w:spacing w:after="0" w:line="240" w:lineRule="auto"/>
              <w:rPr>
                <w:rFonts w:ascii="Times New Roman" w:hAnsi="Times New Roman"/>
                <w:b/>
                <w:sz w:val="24"/>
                <w:szCs w:val="24"/>
              </w:rPr>
            </w:pPr>
            <w:r w:rsidRPr="000547AB">
              <w:rPr>
                <w:rFonts w:ascii="Times New Roman" w:hAnsi="Times New Roman"/>
                <w:b/>
                <w:sz w:val="24"/>
                <w:szCs w:val="24"/>
              </w:rPr>
              <w:lastRenderedPageBreak/>
              <w:t xml:space="preserve">Agenția Națională pentru </w:t>
            </w:r>
            <w:r w:rsidR="00B328FF" w:rsidRPr="000547AB">
              <w:rPr>
                <w:rFonts w:ascii="Times New Roman" w:hAnsi="Times New Roman"/>
                <w:b/>
                <w:sz w:val="24"/>
                <w:szCs w:val="24"/>
              </w:rPr>
              <w:t>S</w:t>
            </w:r>
            <w:r w:rsidRPr="000547AB">
              <w:rPr>
                <w:rFonts w:ascii="Times New Roman" w:hAnsi="Times New Roman"/>
                <w:b/>
                <w:sz w:val="24"/>
                <w:szCs w:val="24"/>
              </w:rPr>
              <w:t xml:space="preserve">ănătate </w:t>
            </w:r>
            <w:r w:rsidR="00B328FF" w:rsidRPr="000547AB">
              <w:rPr>
                <w:rFonts w:ascii="Times New Roman" w:hAnsi="Times New Roman"/>
                <w:b/>
                <w:sz w:val="24"/>
                <w:szCs w:val="24"/>
              </w:rPr>
              <w:t>P</w:t>
            </w:r>
            <w:r w:rsidRPr="000547AB">
              <w:rPr>
                <w:rFonts w:ascii="Times New Roman" w:hAnsi="Times New Roman"/>
                <w:b/>
                <w:sz w:val="24"/>
                <w:szCs w:val="24"/>
              </w:rPr>
              <w:t>ublică</w:t>
            </w:r>
          </w:p>
          <w:p w:rsidR="002939DE" w:rsidRPr="00390053" w:rsidRDefault="000547AB" w:rsidP="00B2649B">
            <w:pPr>
              <w:spacing w:after="0" w:line="240" w:lineRule="auto"/>
              <w:rPr>
                <w:rFonts w:ascii="Times New Roman" w:hAnsi="Times New Roman"/>
              </w:rPr>
            </w:pPr>
            <w:r>
              <w:rPr>
                <w:rFonts w:ascii="Times New Roman" w:hAnsi="Times New Roman"/>
                <w:sz w:val="24"/>
                <w:szCs w:val="24"/>
              </w:rPr>
              <w:t>n</w:t>
            </w:r>
            <w:r w:rsidR="0079751D" w:rsidRPr="000547AB">
              <w:rPr>
                <w:rFonts w:ascii="Times New Roman" w:hAnsi="Times New Roman"/>
                <w:sz w:val="24"/>
                <w:szCs w:val="24"/>
              </w:rPr>
              <w:t>r. 01-11/2-7338 din 15.10.2025</w:t>
            </w:r>
          </w:p>
        </w:tc>
        <w:tc>
          <w:tcPr>
            <w:tcW w:w="1001" w:type="dxa"/>
          </w:tcPr>
          <w:p w:rsidR="003A5799" w:rsidRPr="00390053" w:rsidRDefault="0086497A" w:rsidP="00B2649B">
            <w:pPr>
              <w:spacing w:after="0" w:line="240" w:lineRule="auto"/>
              <w:jc w:val="center"/>
              <w:rPr>
                <w:rFonts w:ascii="Times New Roman" w:hAnsi="Times New Roman"/>
                <w:color w:val="000000"/>
              </w:rPr>
            </w:pPr>
            <w:r>
              <w:rPr>
                <w:rFonts w:ascii="Times New Roman" w:hAnsi="Times New Roman"/>
                <w:color w:val="000000"/>
              </w:rPr>
              <w:t>2</w:t>
            </w:r>
          </w:p>
        </w:tc>
        <w:tc>
          <w:tcPr>
            <w:tcW w:w="3979" w:type="dxa"/>
          </w:tcPr>
          <w:p w:rsidR="003A5799" w:rsidRPr="000D7827" w:rsidRDefault="00B328FF" w:rsidP="00512296">
            <w:pPr>
              <w:spacing w:after="0" w:line="240" w:lineRule="auto"/>
              <w:ind w:left="2" w:right="82"/>
              <w:jc w:val="both"/>
              <w:rPr>
                <w:rFonts w:ascii="Times New Roman" w:hAnsi="Times New Roman"/>
                <w:sz w:val="20"/>
                <w:szCs w:val="20"/>
              </w:rPr>
            </w:pPr>
            <w:r w:rsidRPr="000D7827">
              <w:rPr>
                <w:rFonts w:ascii="Times New Roman" w:hAnsi="Times New Roman"/>
                <w:sz w:val="20"/>
                <w:szCs w:val="20"/>
              </w:rPr>
              <w:t>Prin prezenta, Agenția Națională pentru Sănătate Publică, a examinat solicitarea Dvs. referitor la expunerea asupra proiectului de hotărâre pentru aprobarea Regulamentului privind procedurile de evaluare a conformității ale produselor fertilizante (număr unic 776/MAIA/2025), autor – Ministerul Agriculturii și Industriei Alimentare și, reieșind din faptul că acesta transpune anexa IV la Regulamentul (UE) 2019/1009 al Parlamentului European și al Consiliului din 5 iunie 2019 de stabilire a normelor privind punerea la dispoziție pe piață a produselor fertilizante UE și are ca scop ajustarea legislației naționale la acquis-ul UE, vă comunică lipsa de obiecții sau propuneri.</w:t>
            </w:r>
          </w:p>
        </w:tc>
        <w:tc>
          <w:tcPr>
            <w:tcW w:w="2406" w:type="dxa"/>
            <w:gridSpan w:val="2"/>
          </w:tcPr>
          <w:p w:rsidR="003A5799" w:rsidRPr="000D7827" w:rsidRDefault="00B328FF" w:rsidP="00807025">
            <w:pPr>
              <w:spacing w:after="0" w:line="240" w:lineRule="auto"/>
              <w:jc w:val="center"/>
              <w:rPr>
                <w:rFonts w:ascii="Times New Roman" w:hAnsi="Times New Roman"/>
                <w:sz w:val="20"/>
                <w:szCs w:val="20"/>
              </w:rPr>
            </w:pPr>
            <w:r w:rsidRPr="000D7827">
              <w:rPr>
                <w:rFonts w:ascii="Times New Roman" w:hAnsi="Times New Roman"/>
                <w:sz w:val="20"/>
                <w:szCs w:val="20"/>
              </w:rPr>
              <w:t>-</w:t>
            </w:r>
          </w:p>
        </w:tc>
      </w:tr>
      <w:tr w:rsidR="00DF1F32" w:rsidRPr="00B2649B" w:rsidTr="00825909">
        <w:trPr>
          <w:trHeight w:val="1524"/>
        </w:trPr>
        <w:tc>
          <w:tcPr>
            <w:tcW w:w="5918" w:type="dxa"/>
            <w:vMerge w:val="restart"/>
          </w:tcPr>
          <w:p w:rsidR="00DF1F32" w:rsidRPr="000547AB" w:rsidRDefault="00DF1F32" w:rsidP="00B2649B">
            <w:pPr>
              <w:spacing w:after="0" w:line="240" w:lineRule="auto"/>
              <w:rPr>
                <w:rFonts w:ascii="Times New Roman" w:hAnsi="Times New Roman"/>
                <w:b/>
                <w:sz w:val="24"/>
                <w:szCs w:val="24"/>
              </w:rPr>
            </w:pPr>
            <w:r w:rsidRPr="000547AB">
              <w:rPr>
                <w:rFonts w:ascii="Times New Roman" w:hAnsi="Times New Roman"/>
                <w:b/>
                <w:sz w:val="24"/>
                <w:szCs w:val="24"/>
              </w:rPr>
              <w:t>Cancelaria de Stat</w:t>
            </w:r>
          </w:p>
          <w:p w:rsidR="00DF1F32" w:rsidRPr="000547AB" w:rsidRDefault="00DF1F32" w:rsidP="00B2649B">
            <w:pPr>
              <w:spacing w:after="0" w:line="240" w:lineRule="auto"/>
              <w:rPr>
                <w:rFonts w:ascii="Times New Roman" w:hAnsi="Times New Roman"/>
                <w:b/>
                <w:sz w:val="24"/>
                <w:szCs w:val="24"/>
              </w:rPr>
            </w:pPr>
            <w:r w:rsidRPr="000547AB">
              <w:rPr>
                <w:rFonts w:ascii="Times New Roman" w:hAnsi="Times New Roman"/>
                <w:b/>
                <w:sz w:val="24"/>
                <w:szCs w:val="24"/>
              </w:rPr>
              <w:t>Grupul de Lucru al Comisiei de Stat pentru Reglementarea Activității de Întreprinzător</w:t>
            </w:r>
          </w:p>
          <w:p w:rsidR="00DF1F32" w:rsidRPr="00324763" w:rsidRDefault="000547AB" w:rsidP="00B2649B">
            <w:pPr>
              <w:spacing w:after="0" w:line="240" w:lineRule="auto"/>
              <w:rPr>
                <w:rFonts w:ascii="Times New Roman" w:hAnsi="Times New Roman"/>
              </w:rPr>
            </w:pPr>
            <w:r>
              <w:rPr>
                <w:rFonts w:ascii="Times New Roman" w:hAnsi="Times New Roman"/>
                <w:sz w:val="24"/>
                <w:szCs w:val="24"/>
              </w:rPr>
              <w:t>n</w:t>
            </w:r>
            <w:r w:rsidR="00DF1F32" w:rsidRPr="000547AB">
              <w:rPr>
                <w:rFonts w:ascii="Times New Roman" w:hAnsi="Times New Roman"/>
                <w:sz w:val="24"/>
                <w:szCs w:val="24"/>
              </w:rPr>
              <w:t>r. 38-78-10568 din 17.10.2025</w:t>
            </w:r>
          </w:p>
        </w:tc>
        <w:tc>
          <w:tcPr>
            <w:tcW w:w="1001" w:type="dxa"/>
          </w:tcPr>
          <w:p w:rsidR="00DF1F32" w:rsidRPr="00324763" w:rsidRDefault="00DF1F32" w:rsidP="00B2649B">
            <w:pPr>
              <w:spacing w:after="0" w:line="240" w:lineRule="auto"/>
              <w:jc w:val="center"/>
              <w:rPr>
                <w:rFonts w:ascii="Times New Roman" w:hAnsi="Times New Roman"/>
              </w:rPr>
            </w:pPr>
            <w:r>
              <w:rPr>
                <w:rFonts w:ascii="Times New Roman" w:hAnsi="Times New Roman"/>
              </w:rPr>
              <w:t>3</w:t>
            </w:r>
          </w:p>
        </w:tc>
        <w:tc>
          <w:tcPr>
            <w:tcW w:w="3979" w:type="dxa"/>
          </w:tcPr>
          <w:p w:rsidR="00DF1F32" w:rsidRPr="000D7827" w:rsidRDefault="00DF1F32" w:rsidP="00512296">
            <w:pPr>
              <w:spacing w:after="0" w:line="240" w:lineRule="auto"/>
              <w:ind w:left="2" w:right="82"/>
              <w:jc w:val="both"/>
              <w:rPr>
                <w:rFonts w:ascii="Times New Roman" w:hAnsi="Times New Roman"/>
                <w:b/>
                <w:sz w:val="20"/>
                <w:szCs w:val="20"/>
              </w:rPr>
            </w:pPr>
            <w:r w:rsidRPr="000D7827">
              <w:rPr>
                <w:rFonts w:ascii="Times New Roman" w:hAnsi="Times New Roman"/>
                <w:b/>
                <w:sz w:val="20"/>
                <w:szCs w:val="20"/>
              </w:rPr>
              <w:t>AVIZ al Grupului de lucru al Comisiei de stat pentru reglementarea activității de întreprinzător</w:t>
            </w:r>
          </w:p>
          <w:p w:rsidR="00DF1F32" w:rsidRPr="000D7827" w:rsidRDefault="00DF1F32" w:rsidP="00512296">
            <w:pPr>
              <w:spacing w:after="0" w:line="240" w:lineRule="auto"/>
              <w:ind w:left="2" w:right="82"/>
              <w:jc w:val="both"/>
              <w:rPr>
                <w:rFonts w:ascii="Times New Roman" w:hAnsi="Times New Roman"/>
                <w:sz w:val="20"/>
                <w:szCs w:val="20"/>
              </w:rPr>
            </w:pPr>
            <w:r w:rsidRPr="000D7827">
              <w:rPr>
                <w:rFonts w:ascii="Times New Roman" w:hAnsi="Times New Roman"/>
                <w:sz w:val="20"/>
                <w:szCs w:val="20"/>
              </w:rPr>
              <w:t>Concluzia: Proiectul se susține cu obiecții și recomandări.</w:t>
            </w:r>
          </w:p>
          <w:p w:rsidR="00DF1F32" w:rsidRPr="000D7827" w:rsidRDefault="00DF1F32" w:rsidP="00512296">
            <w:pPr>
              <w:spacing w:after="0" w:line="240" w:lineRule="auto"/>
              <w:ind w:left="2" w:right="82"/>
              <w:jc w:val="both"/>
              <w:rPr>
                <w:rFonts w:ascii="Times New Roman" w:hAnsi="Times New Roman"/>
                <w:b/>
                <w:sz w:val="20"/>
                <w:szCs w:val="20"/>
              </w:rPr>
            </w:pPr>
            <w:r w:rsidRPr="000D7827">
              <w:rPr>
                <w:rFonts w:ascii="Times New Roman" w:hAnsi="Times New Roman"/>
                <w:sz w:val="20"/>
                <w:szCs w:val="20"/>
              </w:rPr>
              <w:t xml:space="preserve">Preambulul proiectului hotărârii de Guvern prevede, că prezenta Hotărâre transpune anexa IV la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2003/20031. Regulamentul respectiv este transpus parțial și prin Legea nr. 21/2025 privind punerea la dispoziție pe piață a produselor fertilizante. Totodată, unele anexe din Regulamentul (UE) 2019/1009 se preconizează a fi transpuse prin ordin al Ministerului Agriculturii și Industriei Alimentare. </w:t>
            </w:r>
            <w:r w:rsidRPr="000D7827">
              <w:rPr>
                <w:rFonts w:ascii="Times New Roman" w:hAnsi="Times New Roman"/>
                <w:sz w:val="20"/>
                <w:szCs w:val="20"/>
              </w:rPr>
              <w:lastRenderedPageBreak/>
              <w:t>Abordarea respectivă este discutabilă, deoarece poate crea situații de transpunere incorectă a Regulamentului (UE) 2019/1009. Se recomandă, în perspectivă, de a asigura transpunerea documentelor UE în un singur act normativ.</w:t>
            </w:r>
          </w:p>
        </w:tc>
        <w:tc>
          <w:tcPr>
            <w:tcW w:w="2406" w:type="dxa"/>
            <w:gridSpan w:val="2"/>
          </w:tcPr>
          <w:p w:rsidR="00DF1F32" w:rsidRPr="000D7827" w:rsidRDefault="00DF1F32" w:rsidP="00807025">
            <w:pPr>
              <w:spacing w:after="0" w:line="240" w:lineRule="auto"/>
              <w:jc w:val="center"/>
              <w:rPr>
                <w:rFonts w:ascii="Times New Roman" w:hAnsi="Times New Roman"/>
                <w:i/>
                <w:sz w:val="20"/>
                <w:szCs w:val="20"/>
              </w:rPr>
            </w:pPr>
            <w:r w:rsidRPr="000D7827">
              <w:rPr>
                <w:rFonts w:ascii="Times New Roman" w:hAnsi="Times New Roman"/>
                <w:i/>
                <w:sz w:val="20"/>
                <w:szCs w:val="20"/>
              </w:rPr>
              <w:lastRenderedPageBreak/>
              <w:t>Se acceptă</w:t>
            </w:r>
          </w:p>
        </w:tc>
      </w:tr>
      <w:tr w:rsidR="00DF1F32" w:rsidRPr="00B2649B" w:rsidTr="007A7A5D">
        <w:tc>
          <w:tcPr>
            <w:tcW w:w="5918" w:type="dxa"/>
            <w:vMerge/>
          </w:tcPr>
          <w:p w:rsidR="00DF1F32" w:rsidRPr="00B2649B" w:rsidRDefault="00DF1F32" w:rsidP="001E1973">
            <w:pPr>
              <w:spacing w:after="0" w:line="240" w:lineRule="auto"/>
              <w:rPr>
                <w:rFonts w:ascii="Times New Roman" w:hAnsi="Times New Roman"/>
                <w:color w:val="000000"/>
                <w:sz w:val="24"/>
                <w:szCs w:val="24"/>
              </w:rPr>
            </w:pPr>
          </w:p>
        </w:tc>
        <w:tc>
          <w:tcPr>
            <w:tcW w:w="1001" w:type="dxa"/>
          </w:tcPr>
          <w:p w:rsidR="00DF1F32" w:rsidRPr="00324763" w:rsidRDefault="00DF1F32" w:rsidP="00B2649B">
            <w:pPr>
              <w:spacing w:after="0" w:line="240" w:lineRule="auto"/>
              <w:jc w:val="center"/>
              <w:rPr>
                <w:rFonts w:ascii="Times New Roman" w:hAnsi="Times New Roman"/>
                <w:color w:val="000000"/>
              </w:rPr>
            </w:pPr>
            <w:r>
              <w:rPr>
                <w:rFonts w:ascii="Times New Roman" w:hAnsi="Times New Roman"/>
                <w:color w:val="000000"/>
              </w:rPr>
              <w:t>4</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Prevederile p.2 din proiectul hotărârii de Guvern stabilesc, că produsele fertilizante MD se supun procedurilor de evaluare a conformității stabilite Categoriilor de materii componente (CMC) aferente, precum și de Categoriilor funcționale de produse (CFP) cu excepția prevederilor referitoare la: 2.1. Marcajul CE și declarația de conformitate UE; 2.2. Examinarea UE de tip. Prevederile respective sunt incerte referitor la Categoriile de materii componente (CMC) aferente și Categoriile funcționale de produse (CFP). Menționăm, că Regulamentul (UE) 2019/1009 prevede, că evaluarea conformității unui produs fertilizant UE cu cerințele stabilite în prezentul regulament se desfășoară în cadrul procedurii aplicabile de evaluare a conformității în conformitate cu anexa IV (art.15). Iar preambulul anexei IV oferă claritate, fiind prevăzut că această parte stabilește aplicabilitatea modulelor procedurii de evaluare a conformității, astfel cum sunt precizate în partea II a prezentei anexe, produselor fertilizante UE, în funcție de CMC aferente, astfel cum sunt precizate în anexa II, precum și de CFP aferente, astfel cum sunt precizate în anexa I.</w:t>
            </w:r>
          </w:p>
        </w:tc>
        <w:tc>
          <w:tcPr>
            <w:tcW w:w="2406" w:type="dxa"/>
            <w:gridSpan w:val="2"/>
          </w:tcPr>
          <w:p w:rsidR="00973F9D" w:rsidRPr="000D7827" w:rsidRDefault="00DF1F32" w:rsidP="00973F9D">
            <w:pPr>
              <w:spacing w:after="0" w:line="240" w:lineRule="auto"/>
              <w:jc w:val="center"/>
              <w:rPr>
                <w:rFonts w:ascii="Times New Roman" w:hAnsi="Times New Roman"/>
                <w:color w:val="000000"/>
                <w:sz w:val="20"/>
                <w:szCs w:val="20"/>
              </w:rPr>
            </w:pPr>
            <w:r w:rsidRPr="000D7827">
              <w:rPr>
                <w:rFonts w:ascii="Times New Roman" w:hAnsi="Times New Roman"/>
                <w:i/>
                <w:color w:val="000000"/>
                <w:sz w:val="20"/>
                <w:szCs w:val="20"/>
              </w:rPr>
              <w:t xml:space="preserve">Se acceptă </w:t>
            </w:r>
          </w:p>
          <w:p w:rsidR="00DF1F32" w:rsidRPr="000D7827" w:rsidRDefault="00DF1F32" w:rsidP="001F3098">
            <w:pPr>
              <w:spacing w:after="0" w:line="240" w:lineRule="auto"/>
              <w:jc w:val="both"/>
              <w:rPr>
                <w:rFonts w:ascii="Times New Roman" w:hAnsi="Times New Roman"/>
                <w:color w:val="000000"/>
                <w:sz w:val="20"/>
                <w:szCs w:val="20"/>
              </w:rPr>
            </w:pPr>
          </w:p>
        </w:tc>
      </w:tr>
      <w:tr w:rsidR="00DF1F32" w:rsidRPr="00B2649B" w:rsidTr="007A7A5D">
        <w:tc>
          <w:tcPr>
            <w:tcW w:w="5918" w:type="dxa"/>
            <w:vMerge/>
          </w:tcPr>
          <w:p w:rsidR="00DF1F32" w:rsidRPr="005476D8" w:rsidRDefault="00DF1F32" w:rsidP="001E1973">
            <w:pPr>
              <w:spacing w:after="0" w:line="240" w:lineRule="auto"/>
              <w:rPr>
                <w:rFonts w:ascii="Times New Roman" w:hAnsi="Times New Roman"/>
                <w:sz w:val="28"/>
                <w:szCs w:val="28"/>
              </w:rPr>
            </w:pPr>
          </w:p>
        </w:tc>
        <w:tc>
          <w:tcPr>
            <w:tcW w:w="1001" w:type="dxa"/>
          </w:tcPr>
          <w:p w:rsidR="00DF1F32" w:rsidRDefault="00DF1F3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 xml:space="preserve">Prevederile p.1 din proiectul Regulamentului privind procedurile de evaluare a conformității ale produselor fertilizante (proiectul) stabilesc, că prezentul capitol stabilește aplicabilitatea modulelor procedurii de evaluare a conformității, astfel cum sunt precizate în </w:t>
            </w:r>
            <w:r w:rsidRPr="000D7827">
              <w:rPr>
                <w:rFonts w:ascii="Times New Roman" w:hAnsi="Times New Roman" w:cs="Times New Roman"/>
                <w:sz w:val="20"/>
                <w:szCs w:val="20"/>
              </w:rPr>
              <w:lastRenderedPageBreak/>
              <w:t>Capitolul II, produselor fertilizante UE, în funcție de Categoriile de materii componente (CMC) aferente, precum și de Categoriile funcționale de produse (CFP) aferente, astfel cum sunt prevăzute în ordinul aprobat de către autoritatea competentă de elaborarea politicilor. Deoarece ordinul respectiv va transpune anexe ale Regulamentului (UE) 2019/1009 iar Legea nr.21/2025 prevede că autoritatea competentă de elaborarea politicilor este împuternicită să aprobe prin ordine şi să ajusteze categoriile funcţionale de produse (în continuare – CFP) pentru produsele fertilizante UE, cu excepţia valorilor-limită pentru cadmiu şi a definiţiilor sau a altor elemente referitoare la domeniul de aplicare a CFP decât cele stabilite în Uniunea Europeană, precum şi categoriile de materii componente (în continuare – CMC) (art. 5), se recomandă concretizarea prevederilor respective, fiind prevăzută denumirea ordinului, numărul și data adoptării. Ordinul respectiv se menționează și la pp. 2, 3, 6, 13, 21, 24, 49, 55, 79, 84, 88, alte prevederi din proiect și, pentru a facilita examinarea proiectului, în continuare poate fi folosită o denumire prescurtată a ordinului.</w:t>
            </w:r>
          </w:p>
        </w:tc>
        <w:tc>
          <w:tcPr>
            <w:tcW w:w="2406" w:type="dxa"/>
            <w:gridSpan w:val="2"/>
          </w:tcPr>
          <w:p w:rsidR="00494EFE" w:rsidRDefault="00973F9D" w:rsidP="00807025">
            <w:pPr>
              <w:spacing w:after="0" w:line="240" w:lineRule="auto"/>
              <w:jc w:val="center"/>
              <w:rPr>
                <w:rFonts w:ascii="Times New Roman" w:hAnsi="Times New Roman"/>
                <w:i/>
                <w:color w:val="000000"/>
                <w:sz w:val="20"/>
                <w:szCs w:val="20"/>
              </w:rPr>
            </w:pPr>
            <w:r>
              <w:rPr>
                <w:rFonts w:ascii="Times New Roman" w:hAnsi="Times New Roman"/>
                <w:i/>
                <w:color w:val="000000"/>
                <w:sz w:val="20"/>
                <w:szCs w:val="20"/>
              </w:rPr>
              <w:lastRenderedPageBreak/>
              <w:t xml:space="preserve">Nu se </w:t>
            </w:r>
            <w:r w:rsidR="00DF1F32" w:rsidRPr="000D7827">
              <w:rPr>
                <w:rFonts w:ascii="Times New Roman" w:hAnsi="Times New Roman"/>
                <w:i/>
                <w:color w:val="000000"/>
                <w:sz w:val="20"/>
                <w:szCs w:val="20"/>
              </w:rPr>
              <w:t>acceptă</w:t>
            </w:r>
            <w:r>
              <w:rPr>
                <w:rFonts w:ascii="Times New Roman" w:hAnsi="Times New Roman"/>
                <w:i/>
                <w:color w:val="000000"/>
                <w:sz w:val="20"/>
                <w:szCs w:val="20"/>
              </w:rPr>
              <w:t xml:space="preserve"> </w:t>
            </w:r>
          </w:p>
          <w:p w:rsidR="00C17A17" w:rsidRDefault="00C17A17" w:rsidP="00807025">
            <w:pPr>
              <w:spacing w:after="0" w:line="240" w:lineRule="auto"/>
              <w:jc w:val="center"/>
              <w:rPr>
                <w:rFonts w:ascii="Times New Roman" w:hAnsi="Times New Roman"/>
                <w:i/>
                <w:color w:val="000000"/>
                <w:sz w:val="20"/>
                <w:szCs w:val="20"/>
              </w:rPr>
            </w:pPr>
          </w:p>
          <w:p w:rsidR="00DF1F32" w:rsidRPr="00981613" w:rsidRDefault="00205027" w:rsidP="00981613">
            <w:pPr>
              <w:spacing w:after="0" w:line="240" w:lineRule="auto"/>
              <w:rPr>
                <w:rFonts w:ascii="Times New Roman" w:hAnsi="Times New Roman"/>
                <w:color w:val="000000"/>
                <w:sz w:val="20"/>
                <w:szCs w:val="20"/>
              </w:rPr>
            </w:pPr>
            <w:r w:rsidRPr="00981613">
              <w:rPr>
                <w:rFonts w:ascii="Times New Roman" w:hAnsi="Times New Roman"/>
                <w:color w:val="000000"/>
                <w:sz w:val="20"/>
                <w:szCs w:val="20"/>
              </w:rPr>
              <w:t>Potrivit prevederilor</w:t>
            </w:r>
            <w:r w:rsidR="004C5882" w:rsidRPr="00981613">
              <w:rPr>
                <w:rFonts w:ascii="Times New Roman" w:hAnsi="Times New Roman"/>
                <w:color w:val="000000"/>
                <w:sz w:val="20"/>
                <w:szCs w:val="20"/>
              </w:rPr>
              <w:t xml:space="preserve"> art. 55 alin. (3)</w:t>
            </w:r>
            <w:r w:rsidR="00C17A17" w:rsidRPr="00981613">
              <w:rPr>
                <w:rFonts w:ascii="Times New Roman" w:hAnsi="Times New Roman"/>
                <w:color w:val="000000"/>
                <w:sz w:val="20"/>
                <w:szCs w:val="20"/>
              </w:rPr>
              <w:t xml:space="preserve"> </w:t>
            </w:r>
            <w:r w:rsidRPr="00981613">
              <w:rPr>
                <w:rFonts w:ascii="Times New Roman" w:hAnsi="Times New Roman"/>
                <w:color w:val="000000"/>
                <w:sz w:val="20"/>
                <w:szCs w:val="20"/>
              </w:rPr>
              <w:t xml:space="preserve">din </w:t>
            </w:r>
            <w:r w:rsidR="00C17A17" w:rsidRPr="00981613">
              <w:rPr>
                <w:rFonts w:ascii="Times New Roman" w:hAnsi="Times New Roman"/>
                <w:color w:val="000000"/>
                <w:sz w:val="20"/>
                <w:szCs w:val="20"/>
              </w:rPr>
              <w:t>Legea 100/2017 cu privire la acte normative</w:t>
            </w:r>
            <w:r w:rsidR="004C5882" w:rsidRPr="00981613">
              <w:rPr>
                <w:rFonts w:ascii="Times New Roman" w:hAnsi="Times New Roman"/>
                <w:color w:val="000000"/>
                <w:sz w:val="20"/>
                <w:szCs w:val="20"/>
              </w:rPr>
              <w:t xml:space="preserve">, </w:t>
            </w:r>
            <w:r w:rsidR="00D17191" w:rsidRPr="00981613">
              <w:rPr>
                <w:rFonts w:ascii="Times New Roman" w:hAnsi="Times New Roman"/>
                <w:color w:val="000000"/>
                <w:sz w:val="20"/>
                <w:szCs w:val="20"/>
              </w:rPr>
              <w:t xml:space="preserve">actul normativ </w:t>
            </w:r>
            <w:r w:rsidR="00D17191" w:rsidRPr="00981613">
              <w:rPr>
                <w:rFonts w:ascii="Times New Roman" w:hAnsi="Times New Roman"/>
                <w:color w:val="000000"/>
                <w:sz w:val="20"/>
                <w:szCs w:val="20"/>
              </w:rPr>
              <w:lastRenderedPageBreak/>
              <w:t xml:space="preserve">nu poate conține </w:t>
            </w:r>
            <w:r w:rsidR="00981613" w:rsidRPr="00981613">
              <w:rPr>
                <w:rFonts w:ascii="Times New Roman" w:hAnsi="Times New Roman"/>
                <w:color w:val="000000"/>
                <w:sz w:val="20"/>
                <w:szCs w:val="20"/>
              </w:rPr>
              <w:t>trimiteri la alte norme de trimitere, aspect confirmat și prin concluziile expertizei juridice.</w:t>
            </w:r>
            <w:r w:rsidR="003C627D" w:rsidRPr="00981613">
              <w:rPr>
                <w:rFonts w:ascii="Times New Roman" w:hAnsi="Times New Roman"/>
                <w:color w:val="000000"/>
                <w:sz w:val="20"/>
                <w:szCs w:val="20"/>
              </w:rPr>
              <w:t xml:space="preserve"> </w:t>
            </w:r>
          </w:p>
        </w:tc>
      </w:tr>
      <w:tr w:rsidR="00DF1F32" w:rsidRPr="00B2649B" w:rsidTr="007A7A5D">
        <w:tc>
          <w:tcPr>
            <w:tcW w:w="5918" w:type="dxa"/>
            <w:vMerge/>
          </w:tcPr>
          <w:p w:rsidR="00DF1F32" w:rsidRPr="005476D8" w:rsidRDefault="00DF1F32" w:rsidP="001E1973">
            <w:pPr>
              <w:spacing w:after="0" w:line="240" w:lineRule="auto"/>
              <w:rPr>
                <w:rFonts w:ascii="Times New Roman" w:hAnsi="Times New Roman"/>
                <w:sz w:val="28"/>
                <w:szCs w:val="28"/>
              </w:rPr>
            </w:pPr>
          </w:p>
        </w:tc>
        <w:tc>
          <w:tcPr>
            <w:tcW w:w="1001" w:type="dxa"/>
          </w:tcPr>
          <w:p w:rsidR="00DF1F32" w:rsidRDefault="00DF1F3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La punctele 13, 21, 79 din proiect se menționează cerințele de etichetare pentru produsele fertilizante stabilite de către autoritatea competentă de elaborarea politicilor. Se recomandă completarea prevederilor respective, fiind stabilite norme de trimitere la art. 5 din Legea 21/2025.</w:t>
            </w:r>
          </w:p>
        </w:tc>
        <w:tc>
          <w:tcPr>
            <w:tcW w:w="2406" w:type="dxa"/>
            <w:gridSpan w:val="2"/>
          </w:tcPr>
          <w:p w:rsidR="00DF1F32" w:rsidRPr="000D7827" w:rsidRDefault="00DF1F32" w:rsidP="00807025">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DF1F32" w:rsidRPr="00B2649B" w:rsidTr="007A7A5D">
        <w:tc>
          <w:tcPr>
            <w:tcW w:w="5918" w:type="dxa"/>
            <w:vMerge/>
          </w:tcPr>
          <w:p w:rsidR="00DF1F32" w:rsidRPr="005476D8" w:rsidRDefault="00DF1F32" w:rsidP="001E1973">
            <w:pPr>
              <w:spacing w:after="0" w:line="240" w:lineRule="auto"/>
              <w:rPr>
                <w:rFonts w:ascii="Times New Roman" w:hAnsi="Times New Roman"/>
                <w:sz w:val="28"/>
                <w:szCs w:val="28"/>
              </w:rPr>
            </w:pPr>
          </w:p>
        </w:tc>
        <w:tc>
          <w:tcPr>
            <w:tcW w:w="1001" w:type="dxa"/>
          </w:tcPr>
          <w:p w:rsidR="00DF1F32" w:rsidRDefault="00DF1F3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 xml:space="preserve">Prevederile p.65 din proiect stabilesc, că fiecare organism notificat își informează autoritatea de notificare… mai departe după text. Prevederile respective constituie transpunere mecanică a normelor UE, </w:t>
            </w:r>
            <w:r w:rsidRPr="000D7827">
              <w:rPr>
                <w:rFonts w:ascii="Times New Roman" w:hAnsi="Times New Roman" w:cs="Times New Roman"/>
                <w:sz w:val="20"/>
                <w:szCs w:val="20"/>
              </w:rPr>
              <w:lastRenderedPageBreak/>
              <w:t>deoarece presupun mai multe autorități de notificare și se recomandă adaptarea acestora la legislația Republicii Moldova. Se recomandă următorul cuprins: fiecare organism notificat informează autoritatea de notificare… mai departe după text. Recomandare valabilă și pentru p.112.</w:t>
            </w:r>
          </w:p>
        </w:tc>
        <w:tc>
          <w:tcPr>
            <w:tcW w:w="2406" w:type="dxa"/>
            <w:gridSpan w:val="2"/>
          </w:tcPr>
          <w:p w:rsidR="00DF1F32" w:rsidRPr="000D7827" w:rsidRDefault="00DF1F32" w:rsidP="00807025">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DF1F32" w:rsidRPr="00B2649B" w:rsidTr="007A7A5D">
        <w:tc>
          <w:tcPr>
            <w:tcW w:w="5918" w:type="dxa"/>
            <w:vMerge/>
          </w:tcPr>
          <w:p w:rsidR="00DF1F32" w:rsidRPr="005476D8" w:rsidRDefault="00DF1F32" w:rsidP="001E1973">
            <w:pPr>
              <w:spacing w:after="0" w:line="240" w:lineRule="auto"/>
              <w:rPr>
                <w:rFonts w:ascii="Times New Roman" w:hAnsi="Times New Roman"/>
                <w:sz w:val="28"/>
                <w:szCs w:val="28"/>
              </w:rPr>
            </w:pPr>
          </w:p>
        </w:tc>
        <w:tc>
          <w:tcPr>
            <w:tcW w:w="1001" w:type="dxa"/>
          </w:tcPr>
          <w:p w:rsidR="00DF1F32" w:rsidRDefault="00DF1F3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Prevederile p.88.4 din proiect stabilesc, că în ceea ce privește materiile care fac parte din CMC 3, 5, 12, 13, 14 și 15, examinările și testele cuprind următoarele elemente: Personalul este instruit cu privire la: 88.4.1. potențialele proprietăți periculoase care pot fi asociate cu materiile prime; și 88.4.2. caracteristicile care permit recunoașterea proprietăților periculoase și a prezenței materialelor plastice. Se recomandă expunerea în Nota de fundamentare a informației referitor la aceste instruiri.</w:t>
            </w:r>
          </w:p>
        </w:tc>
        <w:tc>
          <w:tcPr>
            <w:tcW w:w="2406" w:type="dxa"/>
            <w:gridSpan w:val="2"/>
          </w:tcPr>
          <w:p w:rsidR="00DF1F32" w:rsidRPr="000D7827" w:rsidRDefault="00DF1F32" w:rsidP="00807025">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Se menționează că</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prevederile punctului</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88.4 stabilesc cerința ca</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personalul implicat în</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activitățile care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utilizează materiile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încadrate în CMC 3, 5,</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12, 13, 14 și 15 să fie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instruit corespunzător.</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Instruirile au ca scop</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asigurarea cunoașterii și</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aplicării măsurilor de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siguranță în procesul de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manipulare a acestor</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materii și includ</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informații referitoare la</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potențialele proprietăți</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periculoase care pot fi</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asociate cu materiile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prime, precum și la</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caracteristicile care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permit recunoașterea</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acestor proprietăți</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periculoase.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Totodată,</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instruirile vizează</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familiarizarea</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lastRenderedPageBreak/>
              <w:t>personalului cu</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procedurile interne de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prevenire și intervenție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în caz de incident,</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utilizarea</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echipamentului</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individual de protecție și</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aplicarea măsurilor</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corespunzătoare de</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protecție a sănătății și</w:t>
            </w:r>
          </w:p>
          <w:p w:rsidR="00DF1F32" w:rsidRPr="000D7827" w:rsidRDefault="00DF1F32" w:rsidP="001F3098">
            <w:pPr>
              <w:spacing w:after="0" w:line="276" w:lineRule="auto"/>
              <w:jc w:val="both"/>
              <w:rPr>
                <w:rFonts w:ascii="Times New Roman" w:hAnsi="Times New Roman"/>
                <w:color w:val="000000"/>
                <w:sz w:val="20"/>
                <w:szCs w:val="20"/>
              </w:rPr>
            </w:pPr>
            <w:r w:rsidRPr="000D7827">
              <w:rPr>
                <w:rFonts w:ascii="Times New Roman" w:hAnsi="Times New Roman"/>
                <w:color w:val="000000"/>
                <w:sz w:val="20"/>
                <w:szCs w:val="20"/>
              </w:rPr>
              <w:t>mediului.</w:t>
            </w:r>
          </w:p>
        </w:tc>
      </w:tr>
      <w:tr w:rsidR="00DF1F32" w:rsidRPr="00B2649B" w:rsidTr="007A7A5D">
        <w:tc>
          <w:tcPr>
            <w:tcW w:w="5918" w:type="dxa"/>
            <w:vMerge/>
          </w:tcPr>
          <w:p w:rsidR="00DF1F32" w:rsidRPr="005476D8" w:rsidRDefault="00DF1F32" w:rsidP="001E1973">
            <w:pPr>
              <w:spacing w:after="0" w:line="240" w:lineRule="auto"/>
              <w:rPr>
                <w:rFonts w:ascii="Times New Roman" w:hAnsi="Times New Roman"/>
                <w:sz w:val="28"/>
                <w:szCs w:val="28"/>
              </w:rPr>
            </w:pPr>
          </w:p>
        </w:tc>
        <w:tc>
          <w:tcPr>
            <w:tcW w:w="1001" w:type="dxa"/>
          </w:tcPr>
          <w:p w:rsidR="00DF1F32" w:rsidRDefault="00DF1F3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Evaluarea notei de fundamentare (analizei impactului de reglementare)</w:t>
            </w:r>
          </w:p>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Concluzia: Nota de fundamentare se susține cu obiecții și recomandări.</w:t>
            </w:r>
          </w:p>
        </w:tc>
        <w:tc>
          <w:tcPr>
            <w:tcW w:w="2406" w:type="dxa"/>
            <w:gridSpan w:val="2"/>
          </w:tcPr>
          <w:p w:rsidR="00DF1F32" w:rsidRPr="000D7827" w:rsidRDefault="00DF1F32" w:rsidP="00807025">
            <w:pPr>
              <w:spacing w:after="0" w:line="240" w:lineRule="auto"/>
              <w:jc w:val="center"/>
              <w:rPr>
                <w:rFonts w:ascii="Times New Roman" w:hAnsi="Times New Roman"/>
                <w:color w:val="000000"/>
                <w:sz w:val="20"/>
                <w:szCs w:val="20"/>
              </w:rPr>
            </w:pPr>
            <w:r w:rsidRPr="000D7827">
              <w:rPr>
                <w:rFonts w:ascii="Times New Roman" w:hAnsi="Times New Roman"/>
                <w:color w:val="000000"/>
                <w:sz w:val="20"/>
                <w:szCs w:val="20"/>
              </w:rPr>
              <w:t>-</w:t>
            </w:r>
          </w:p>
        </w:tc>
      </w:tr>
      <w:tr w:rsidR="00DF1F32" w:rsidRPr="00B2649B" w:rsidTr="007A7A5D">
        <w:tc>
          <w:tcPr>
            <w:tcW w:w="5918" w:type="dxa"/>
            <w:vMerge/>
          </w:tcPr>
          <w:p w:rsidR="00DF1F32" w:rsidRPr="005476D8" w:rsidRDefault="00DF1F32" w:rsidP="001E1973">
            <w:pPr>
              <w:spacing w:after="0" w:line="240" w:lineRule="auto"/>
              <w:rPr>
                <w:rFonts w:ascii="Times New Roman" w:hAnsi="Times New Roman"/>
                <w:sz w:val="28"/>
                <w:szCs w:val="28"/>
              </w:rPr>
            </w:pPr>
          </w:p>
        </w:tc>
        <w:tc>
          <w:tcPr>
            <w:tcW w:w="1001" w:type="dxa"/>
          </w:tcPr>
          <w:p w:rsidR="00DF1F32" w:rsidRDefault="00DF1F3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La sub punctului 2.1 se recomandă de expus temeiul legal - art. 5, alin. (10) din Legea nr. 21/2025 privind punerea la dispoziție pe piață a produselor fertilizante.</w:t>
            </w:r>
          </w:p>
        </w:tc>
        <w:tc>
          <w:tcPr>
            <w:tcW w:w="2406" w:type="dxa"/>
            <w:gridSpan w:val="2"/>
          </w:tcPr>
          <w:p w:rsidR="00DF1F32" w:rsidRPr="000D7827" w:rsidRDefault="00DF1F32" w:rsidP="00807025">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DF1F32" w:rsidRPr="00B2649B" w:rsidTr="007A7A5D">
        <w:tc>
          <w:tcPr>
            <w:tcW w:w="5918" w:type="dxa"/>
            <w:vMerge/>
          </w:tcPr>
          <w:p w:rsidR="00DF1F32" w:rsidRPr="005476D8" w:rsidRDefault="00DF1F32" w:rsidP="001E1973">
            <w:pPr>
              <w:spacing w:after="0" w:line="240" w:lineRule="auto"/>
              <w:rPr>
                <w:rFonts w:ascii="Times New Roman" w:hAnsi="Times New Roman"/>
                <w:sz w:val="28"/>
                <w:szCs w:val="28"/>
              </w:rPr>
            </w:pPr>
          </w:p>
        </w:tc>
        <w:tc>
          <w:tcPr>
            <w:tcW w:w="1001" w:type="dxa"/>
          </w:tcPr>
          <w:p w:rsidR="00DF1F32" w:rsidRDefault="00DF1F3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La sub punctului 2.2 este necesar de formulat clar și succint problema care se propune a fi soluționată. Menționăm, că lipsa unor proceduri clare, absența unor prevederi unitare, lipsa unui cadru complet de supraveghere și raportare nu pot constitui probleme deoarece se referă la instrumente de soluționare a problemei. De asemenea, se recomandă de inclus informație referitor la părțile interesate.</w:t>
            </w:r>
          </w:p>
        </w:tc>
        <w:tc>
          <w:tcPr>
            <w:tcW w:w="2406" w:type="dxa"/>
            <w:gridSpan w:val="2"/>
          </w:tcPr>
          <w:p w:rsidR="00DF1F32" w:rsidRPr="000D7827" w:rsidRDefault="00DF1F32" w:rsidP="00807025">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DF1F32" w:rsidRPr="00B2649B" w:rsidTr="007A7A5D">
        <w:tc>
          <w:tcPr>
            <w:tcW w:w="5918" w:type="dxa"/>
            <w:vMerge/>
          </w:tcPr>
          <w:p w:rsidR="00DF1F32" w:rsidRPr="005476D8" w:rsidRDefault="00DF1F32" w:rsidP="001E1973">
            <w:pPr>
              <w:spacing w:after="0" w:line="240" w:lineRule="auto"/>
              <w:rPr>
                <w:rFonts w:ascii="Times New Roman" w:hAnsi="Times New Roman"/>
                <w:sz w:val="28"/>
                <w:szCs w:val="28"/>
              </w:rPr>
            </w:pPr>
          </w:p>
        </w:tc>
        <w:tc>
          <w:tcPr>
            <w:tcW w:w="1001" w:type="dxa"/>
          </w:tcPr>
          <w:p w:rsidR="00DF1F32" w:rsidRDefault="00DF1F3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 xml:space="preserve">• Obiectivele urmărite şi soluțiile propuse. La acest compartiment este prevăzut, că proiectul de hotărâre de Guvern are drept obiectiv principal instituirea unui cadru normativ secundar…mai departe după text. Informația respectivă nu constituie obiectiv - această informație reprezintă instrumente de soluționare a problemei. Se recomandă de stabilit obiectivul/obiectivele în mod </w:t>
            </w:r>
            <w:r w:rsidRPr="000D7827">
              <w:rPr>
                <w:rFonts w:ascii="Times New Roman" w:hAnsi="Times New Roman" w:cs="Times New Roman"/>
                <w:sz w:val="20"/>
                <w:szCs w:val="20"/>
              </w:rPr>
              <w:lastRenderedPageBreak/>
              <w:t>măsurabil, realist și fixat în timp și care trebuie să fie legate de problema definită.</w:t>
            </w:r>
          </w:p>
        </w:tc>
        <w:tc>
          <w:tcPr>
            <w:tcW w:w="2406" w:type="dxa"/>
            <w:gridSpan w:val="2"/>
          </w:tcPr>
          <w:p w:rsidR="00DF1F32" w:rsidRPr="000D7827" w:rsidRDefault="00DF1F32" w:rsidP="00807025">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DF1F32" w:rsidRPr="00B2649B" w:rsidTr="007A7A5D">
        <w:tc>
          <w:tcPr>
            <w:tcW w:w="5918" w:type="dxa"/>
            <w:vMerge/>
          </w:tcPr>
          <w:p w:rsidR="00DF1F32" w:rsidRPr="005476D8" w:rsidRDefault="00DF1F32" w:rsidP="001E1973">
            <w:pPr>
              <w:spacing w:after="0" w:line="240" w:lineRule="auto"/>
              <w:rPr>
                <w:rFonts w:ascii="Times New Roman" w:hAnsi="Times New Roman"/>
                <w:sz w:val="28"/>
                <w:szCs w:val="28"/>
              </w:rPr>
            </w:pPr>
          </w:p>
        </w:tc>
        <w:tc>
          <w:tcPr>
            <w:tcW w:w="1001" w:type="dxa"/>
          </w:tcPr>
          <w:p w:rsidR="00DF1F32" w:rsidRDefault="00DF1F3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Analiza impactului de reglementare La sub punctul 4.3 este prevăzut, că adoptarea hotărârii de Guvern privind transpunerea anexei IV la Regulamentul (UE) 2019/1009 va avea un impact direct și semnificativ asupra sectorului privat, în special asupra operatorilor economici care produc, importă sau distribuie produse fertilizante. Se recomandă clarificarea și concretizarea prevederilor respective, deoarece produsele importate cu marcajului CE nu trebuie să fie evaluate și nici distribuitorii nu trebuie să se preocupe de necesitatea evaluării conformității produselor fertilizante. Totodată, se recomandă revizuirea acestui sub punct și menținerea doar a informației relevante pentru proiect. Spre exemplu, ridică semne de întrebare informația referitor la necesarul total de resurse energetice acoperit din biomasă.</w:t>
            </w:r>
          </w:p>
        </w:tc>
        <w:tc>
          <w:tcPr>
            <w:tcW w:w="2406" w:type="dxa"/>
            <w:gridSpan w:val="2"/>
          </w:tcPr>
          <w:p w:rsidR="00DF1F32" w:rsidRPr="000D7827" w:rsidRDefault="00DF1F32" w:rsidP="00807025">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DF1F32" w:rsidRPr="00B2649B" w:rsidTr="007A7A5D">
        <w:tc>
          <w:tcPr>
            <w:tcW w:w="5918" w:type="dxa"/>
            <w:vMerge/>
          </w:tcPr>
          <w:p w:rsidR="00DF1F32" w:rsidRPr="005476D8" w:rsidRDefault="00DF1F32" w:rsidP="001E1973">
            <w:pPr>
              <w:spacing w:after="0" w:line="240" w:lineRule="auto"/>
              <w:rPr>
                <w:rFonts w:ascii="Times New Roman" w:hAnsi="Times New Roman"/>
                <w:sz w:val="28"/>
                <w:szCs w:val="28"/>
              </w:rPr>
            </w:pPr>
          </w:p>
        </w:tc>
        <w:tc>
          <w:tcPr>
            <w:tcW w:w="1001" w:type="dxa"/>
          </w:tcPr>
          <w:p w:rsidR="00DF1F32" w:rsidRDefault="00DF1F3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3979" w:type="dxa"/>
          </w:tcPr>
          <w:p w:rsidR="00DF1F32" w:rsidRPr="000D7827" w:rsidRDefault="00DF1F32" w:rsidP="009F6FCC">
            <w:pPr>
              <w:pStyle w:val="Corptext"/>
              <w:jc w:val="both"/>
              <w:rPr>
                <w:rFonts w:ascii="Times New Roman" w:hAnsi="Times New Roman" w:cs="Times New Roman"/>
                <w:sz w:val="20"/>
                <w:szCs w:val="20"/>
              </w:rPr>
            </w:pPr>
            <w:r w:rsidRPr="000D7827">
              <w:rPr>
                <w:rFonts w:ascii="Times New Roman" w:hAnsi="Times New Roman" w:cs="Times New Roman"/>
                <w:sz w:val="20"/>
                <w:szCs w:val="20"/>
              </w:rPr>
              <w:t>Avizarea și consultarea publică a proiectului actului normativ. La acest compartiment se recomandă prezentarea informației referitor la comentariile parvenite urmare plasării proiectului și Note de fundamentare spre consultare. Totodată, se recomandă organizarea consultărilor publice a proiectului și Notei de fundamentare cu reprezentanții mediului de afaceri, fiind expuse rezultatele acestor consultări.</w:t>
            </w:r>
          </w:p>
        </w:tc>
        <w:tc>
          <w:tcPr>
            <w:tcW w:w="2406" w:type="dxa"/>
            <w:gridSpan w:val="2"/>
          </w:tcPr>
          <w:p w:rsidR="00DF1F32" w:rsidRPr="000D7827" w:rsidRDefault="00DF1F32" w:rsidP="00807025">
            <w:pPr>
              <w:spacing w:after="0" w:line="240" w:lineRule="auto"/>
              <w:jc w:val="center"/>
              <w:rPr>
                <w:rFonts w:ascii="Times New Roman" w:hAnsi="Times New Roman"/>
                <w:i/>
                <w:sz w:val="20"/>
                <w:szCs w:val="20"/>
              </w:rPr>
            </w:pPr>
            <w:r w:rsidRPr="000D7827">
              <w:rPr>
                <w:rFonts w:ascii="Times New Roman" w:hAnsi="Times New Roman"/>
                <w:i/>
                <w:sz w:val="20"/>
                <w:szCs w:val="20"/>
              </w:rPr>
              <w:t>Se acceptă</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Proiectul de hotărâre a</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Guvernului și Nota de</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fundamentare au fost</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supuse procedurii de</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transparență</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decizională, fiind</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plasate pe platforma</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particip.gov.md</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pentru consultare</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publică, în</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conformitate cu</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prevederile Legii nr.</w:t>
            </w:r>
          </w:p>
          <w:p w:rsidR="00DF1F32" w:rsidRPr="000D7827" w:rsidRDefault="00DF1F32" w:rsidP="001F3098">
            <w:pPr>
              <w:spacing w:after="0" w:line="240" w:lineRule="auto"/>
              <w:jc w:val="both"/>
              <w:rPr>
                <w:rFonts w:ascii="Times New Roman" w:hAnsi="Times New Roman"/>
                <w:sz w:val="20"/>
                <w:szCs w:val="20"/>
              </w:rPr>
            </w:pPr>
            <w:r w:rsidRPr="000D7827">
              <w:rPr>
                <w:rFonts w:ascii="Times New Roman" w:hAnsi="Times New Roman"/>
                <w:sz w:val="20"/>
                <w:szCs w:val="20"/>
              </w:rPr>
              <w:t>239/2008 privind</w:t>
            </w:r>
          </w:p>
          <w:p w:rsidR="00DF1F32" w:rsidRPr="000D7827" w:rsidRDefault="00DF1F32"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transparența în</w:t>
            </w:r>
          </w:p>
          <w:p w:rsidR="002215D2" w:rsidRPr="000D7827" w:rsidRDefault="00DF1F32" w:rsidP="002215D2">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procesul decizional (</w:t>
            </w:r>
            <w:hyperlink r:id="rId8" w:history="1">
              <w:r w:rsidRPr="000D7827">
                <w:rPr>
                  <w:rStyle w:val="Hyperlink"/>
                  <w:rFonts w:ascii="Times New Roman" w:hAnsi="Times New Roman"/>
                  <w:sz w:val="20"/>
                  <w:szCs w:val="20"/>
                </w:rPr>
                <w:t xml:space="preserve">https://particip.gov.md/ ro/document /stages/ </w:t>
              </w:r>
              <w:r w:rsidRPr="000D7827">
                <w:rPr>
                  <w:rStyle w:val="Hyperlink"/>
                  <w:rFonts w:ascii="Times New Roman" w:hAnsi="Times New Roman"/>
                  <w:sz w:val="20"/>
                  <w:szCs w:val="20"/>
                </w:rPr>
                <w:lastRenderedPageBreak/>
                <w:t>anunt-privind-consultarea-publica-a-proiectului-de-hotarare-pentru-aprobarea-regulamentului-privind-procedurile-de-evaluare-a-conformitatii-ale-produselor-fertilizante/15104</w:t>
              </w:r>
            </w:hyperlink>
            <w:r w:rsidRPr="000D7827">
              <w:rPr>
                <w:rStyle w:val="Hyperlink"/>
                <w:rFonts w:ascii="Times New Roman" w:hAnsi="Times New Roman"/>
                <w:sz w:val="20"/>
                <w:szCs w:val="20"/>
              </w:rPr>
              <w:t xml:space="preserve">.) </w:t>
            </w:r>
            <w:r w:rsidR="00DD4F37">
              <w:rPr>
                <w:color w:val="000000"/>
              </w:rPr>
              <w:t>.</w:t>
            </w:r>
          </w:p>
          <w:p w:rsidR="00DF1F32" w:rsidRPr="000D7827" w:rsidRDefault="00DF1F32"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În</w:t>
            </w:r>
          </w:p>
          <w:p w:rsidR="00DF1F32" w:rsidRPr="000D7827" w:rsidRDefault="00DF1F32"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urma plasării</w:t>
            </w:r>
          </w:p>
          <w:p w:rsidR="00DF1F32" w:rsidRPr="000D7827" w:rsidRDefault="00DF1F32"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proiectului pe</w:t>
            </w:r>
          </w:p>
          <w:p w:rsidR="00DF1F32" w:rsidRPr="000D7827" w:rsidRDefault="00DF1F32"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platforma de</w:t>
            </w:r>
          </w:p>
          <w:p w:rsidR="00DF1F32" w:rsidRPr="000D7827" w:rsidRDefault="00DF1F32"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consultare, nu au fost</w:t>
            </w:r>
          </w:p>
          <w:p w:rsidR="00DF1F32" w:rsidRPr="000D7827" w:rsidRDefault="00DF1F32"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recepționate obiecții/ propuneri.</w:t>
            </w:r>
          </w:p>
        </w:tc>
      </w:tr>
      <w:tr w:rsidR="0049407C" w:rsidRPr="00B2649B" w:rsidTr="00825909">
        <w:tc>
          <w:tcPr>
            <w:tcW w:w="5918" w:type="dxa"/>
            <w:tcBorders>
              <w:top w:val="nil"/>
            </w:tcBorders>
          </w:tcPr>
          <w:p w:rsidR="0049407C" w:rsidRPr="00F30157" w:rsidRDefault="00C322A0" w:rsidP="00B2649B">
            <w:pPr>
              <w:spacing w:after="0" w:line="240" w:lineRule="auto"/>
              <w:rPr>
                <w:rFonts w:ascii="Times New Roman" w:hAnsi="Times New Roman"/>
                <w:b/>
                <w:sz w:val="24"/>
                <w:szCs w:val="24"/>
              </w:rPr>
            </w:pPr>
            <w:r w:rsidRPr="00F30157">
              <w:rPr>
                <w:rFonts w:ascii="Times New Roman" w:hAnsi="Times New Roman"/>
                <w:b/>
                <w:sz w:val="24"/>
                <w:szCs w:val="24"/>
              </w:rPr>
              <w:lastRenderedPageBreak/>
              <w:t>Agenția Națională pentru Siguranța Alimentelor</w:t>
            </w:r>
          </w:p>
          <w:p w:rsidR="0006469E" w:rsidRPr="00F30157" w:rsidRDefault="00DF1F32" w:rsidP="00B2649B">
            <w:pPr>
              <w:spacing w:after="0" w:line="240" w:lineRule="auto"/>
              <w:rPr>
                <w:rFonts w:ascii="Times New Roman" w:hAnsi="Times New Roman"/>
                <w:sz w:val="24"/>
                <w:szCs w:val="24"/>
              </w:rPr>
            </w:pPr>
            <w:r>
              <w:rPr>
                <w:rFonts w:ascii="Times New Roman" w:hAnsi="Times New Roman"/>
                <w:sz w:val="24"/>
                <w:szCs w:val="24"/>
              </w:rPr>
              <w:t>n</w:t>
            </w:r>
            <w:r w:rsidR="0006469E" w:rsidRPr="00F30157">
              <w:rPr>
                <w:rFonts w:ascii="Times New Roman" w:hAnsi="Times New Roman"/>
                <w:sz w:val="24"/>
                <w:szCs w:val="24"/>
              </w:rPr>
              <w:t xml:space="preserve">r. </w:t>
            </w:r>
            <w:r w:rsidR="003F299D" w:rsidRPr="00F30157">
              <w:rPr>
                <w:rFonts w:ascii="Times New Roman" w:hAnsi="Times New Roman"/>
                <w:sz w:val="24"/>
                <w:szCs w:val="24"/>
              </w:rPr>
              <w:t xml:space="preserve">13-5579 </w:t>
            </w:r>
            <w:r w:rsidR="0006469E" w:rsidRPr="00F30157">
              <w:rPr>
                <w:rFonts w:ascii="Times New Roman" w:hAnsi="Times New Roman"/>
                <w:sz w:val="24"/>
                <w:szCs w:val="24"/>
              </w:rPr>
              <w:t xml:space="preserve">din </w:t>
            </w:r>
            <w:r w:rsidR="003F299D" w:rsidRPr="00F30157">
              <w:rPr>
                <w:rFonts w:ascii="Times New Roman" w:hAnsi="Times New Roman"/>
                <w:sz w:val="24"/>
                <w:szCs w:val="24"/>
              </w:rPr>
              <w:t>16.10.2025</w:t>
            </w:r>
          </w:p>
          <w:p w:rsidR="00ED2B5A" w:rsidRPr="00D9436F" w:rsidRDefault="00ED2B5A" w:rsidP="00B2649B">
            <w:pPr>
              <w:spacing w:after="0" w:line="240" w:lineRule="auto"/>
              <w:rPr>
                <w:rFonts w:ascii="Times New Roman" w:hAnsi="Times New Roman"/>
                <w:color w:val="000000"/>
              </w:rPr>
            </w:pPr>
          </w:p>
        </w:tc>
        <w:tc>
          <w:tcPr>
            <w:tcW w:w="1001" w:type="dxa"/>
          </w:tcPr>
          <w:p w:rsidR="0049407C" w:rsidRPr="00D9436F" w:rsidRDefault="0086497A" w:rsidP="00B2649B">
            <w:pPr>
              <w:spacing w:after="0" w:line="240" w:lineRule="auto"/>
              <w:jc w:val="center"/>
              <w:rPr>
                <w:rFonts w:ascii="Times New Roman" w:hAnsi="Times New Roman"/>
                <w:color w:val="000000"/>
              </w:rPr>
            </w:pPr>
            <w:r>
              <w:rPr>
                <w:rFonts w:ascii="Times New Roman" w:hAnsi="Times New Roman"/>
                <w:color w:val="000000"/>
              </w:rPr>
              <w:t>15</w:t>
            </w:r>
          </w:p>
        </w:tc>
        <w:tc>
          <w:tcPr>
            <w:tcW w:w="3979" w:type="dxa"/>
          </w:tcPr>
          <w:p w:rsidR="0049407C" w:rsidRPr="000D7827" w:rsidRDefault="00715F4F" w:rsidP="00C238F3">
            <w:pPr>
              <w:spacing w:line="240" w:lineRule="auto"/>
              <w:ind w:right="82"/>
              <w:jc w:val="both"/>
              <w:rPr>
                <w:rFonts w:ascii="Times New Roman" w:hAnsi="Times New Roman"/>
                <w:sz w:val="20"/>
                <w:szCs w:val="20"/>
              </w:rPr>
            </w:pPr>
            <w:r w:rsidRPr="000D7827">
              <w:rPr>
                <w:rFonts w:ascii="Times New Roman" w:hAnsi="Times New Roman"/>
                <w:sz w:val="20"/>
                <w:szCs w:val="20"/>
              </w:rPr>
              <w:t>Agenția comunică lipsa de obiecții sau propuneri față de conținutul acestuia și propune avizarea proiectului.</w:t>
            </w:r>
          </w:p>
        </w:tc>
        <w:tc>
          <w:tcPr>
            <w:tcW w:w="2406" w:type="dxa"/>
            <w:gridSpan w:val="2"/>
          </w:tcPr>
          <w:p w:rsidR="0049407C" w:rsidRPr="000D7827" w:rsidRDefault="00715F4F" w:rsidP="00D41C5B">
            <w:pPr>
              <w:spacing w:after="0" w:line="240" w:lineRule="auto"/>
              <w:jc w:val="center"/>
              <w:rPr>
                <w:rFonts w:ascii="Times New Roman" w:hAnsi="Times New Roman"/>
                <w:color w:val="000000"/>
                <w:sz w:val="20"/>
                <w:szCs w:val="20"/>
              </w:rPr>
            </w:pPr>
            <w:r w:rsidRPr="000D7827">
              <w:rPr>
                <w:rFonts w:ascii="Times New Roman" w:hAnsi="Times New Roman"/>
                <w:color w:val="000000"/>
                <w:sz w:val="20"/>
                <w:szCs w:val="20"/>
              </w:rPr>
              <w:t>-</w:t>
            </w:r>
          </w:p>
        </w:tc>
      </w:tr>
      <w:tr w:rsidR="00AE279F" w:rsidRPr="00B2649B" w:rsidTr="00825909">
        <w:trPr>
          <w:trHeight w:val="531"/>
        </w:trPr>
        <w:tc>
          <w:tcPr>
            <w:tcW w:w="5918" w:type="dxa"/>
          </w:tcPr>
          <w:p w:rsidR="00AE279F" w:rsidRPr="00F30157" w:rsidRDefault="00AE279F" w:rsidP="00B2649B">
            <w:pPr>
              <w:spacing w:after="0" w:line="240" w:lineRule="auto"/>
              <w:rPr>
                <w:rFonts w:ascii="Times New Roman" w:hAnsi="Times New Roman"/>
                <w:b/>
                <w:color w:val="000000"/>
                <w:sz w:val="24"/>
                <w:szCs w:val="24"/>
              </w:rPr>
            </w:pPr>
            <w:r w:rsidRPr="00F30157">
              <w:rPr>
                <w:rFonts w:ascii="Times New Roman" w:hAnsi="Times New Roman"/>
                <w:b/>
                <w:color w:val="000000"/>
                <w:sz w:val="24"/>
                <w:szCs w:val="24"/>
              </w:rPr>
              <w:t xml:space="preserve">Cancelaria de Stat </w:t>
            </w:r>
          </w:p>
          <w:p w:rsidR="00AE279F" w:rsidRPr="00F30157" w:rsidRDefault="00AE279F" w:rsidP="00B2649B">
            <w:pPr>
              <w:spacing w:after="0" w:line="240" w:lineRule="auto"/>
              <w:rPr>
                <w:rFonts w:ascii="Times New Roman" w:hAnsi="Times New Roman"/>
                <w:b/>
                <w:color w:val="000000"/>
                <w:sz w:val="24"/>
                <w:szCs w:val="24"/>
              </w:rPr>
            </w:pPr>
            <w:r w:rsidRPr="00F30157">
              <w:rPr>
                <w:rFonts w:ascii="Times New Roman" w:hAnsi="Times New Roman"/>
                <w:b/>
                <w:color w:val="000000"/>
                <w:sz w:val="24"/>
                <w:szCs w:val="24"/>
              </w:rPr>
              <w:t>Centrul de armonizare a legislației</w:t>
            </w:r>
          </w:p>
          <w:p w:rsidR="00AE279F" w:rsidRPr="00D9436F" w:rsidRDefault="00FE351F" w:rsidP="00B2649B">
            <w:pPr>
              <w:spacing w:after="0" w:line="240" w:lineRule="auto"/>
              <w:rPr>
                <w:rFonts w:ascii="Times New Roman" w:hAnsi="Times New Roman"/>
                <w:color w:val="000000"/>
              </w:rPr>
            </w:pPr>
            <w:r w:rsidRPr="00F30157">
              <w:rPr>
                <w:rFonts w:ascii="Times New Roman" w:hAnsi="Times New Roman"/>
                <w:color w:val="000000"/>
                <w:sz w:val="24"/>
                <w:szCs w:val="24"/>
              </w:rPr>
              <w:t>n</w:t>
            </w:r>
            <w:r w:rsidR="00AE279F" w:rsidRPr="00F30157">
              <w:rPr>
                <w:rFonts w:ascii="Times New Roman" w:hAnsi="Times New Roman"/>
                <w:color w:val="000000"/>
                <w:sz w:val="24"/>
                <w:szCs w:val="24"/>
              </w:rPr>
              <w:t xml:space="preserve">r.  </w:t>
            </w:r>
            <w:r w:rsidR="00360A8E" w:rsidRPr="00F30157">
              <w:rPr>
                <w:rFonts w:ascii="Times New Roman" w:hAnsi="Times New Roman"/>
                <w:color w:val="000000"/>
                <w:sz w:val="24"/>
                <w:szCs w:val="24"/>
              </w:rPr>
              <w:t xml:space="preserve">31/02-126-10595 </w:t>
            </w:r>
            <w:r w:rsidR="00AE279F" w:rsidRPr="00F30157">
              <w:rPr>
                <w:rFonts w:ascii="Times New Roman" w:hAnsi="Times New Roman"/>
                <w:color w:val="000000"/>
                <w:sz w:val="24"/>
                <w:szCs w:val="24"/>
              </w:rPr>
              <w:t xml:space="preserve">din </w:t>
            </w:r>
            <w:r w:rsidR="00360A8E" w:rsidRPr="00F30157">
              <w:rPr>
                <w:rFonts w:ascii="Times New Roman" w:hAnsi="Times New Roman"/>
                <w:color w:val="000000"/>
                <w:sz w:val="24"/>
                <w:szCs w:val="24"/>
              </w:rPr>
              <w:t xml:space="preserve">20.10. </w:t>
            </w:r>
            <w:r w:rsidR="00AE279F" w:rsidRPr="00F30157">
              <w:rPr>
                <w:rFonts w:ascii="Times New Roman" w:hAnsi="Times New Roman"/>
                <w:color w:val="000000"/>
                <w:sz w:val="24"/>
                <w:szCs w:val="24"/>
              </w:rPr>
              <w:t>2025</w:t>
            </w:r>
          </w:p>
        </w:tc>
        <w:tc>
          <w:tcPr>
            <w:tcW w:w="1001" w:type="dxa"/>
          </w:tcPr>
          <w:p w:rsidR="00AE279F" w:rsidRPr="00D9436F" w:rsidRDefault="0086497A" w:rsidP="00B2649B">
            <w:pPr>
              <w:spacing w:after="0" w:line="240" w:lineRule="auto"/>
              <w:jc w:val="center"/>
              <w:rPr>
                <w:rFonts w:ascii="Times New Roman" w:hAnsi="Times New Roman"/>
                <w:color w:val="000000"/>
              </w:rPr>
            </w:pPr>
            <w:r>
              <w:rPr>
                <w:rFonts w:ascii="Times New Roman" w:hAnsi="Times New Roman"/>
                <w:color w:val="000000"/>
              </w:rPr>
              <w:t>16</w:t>
            </w:r>
          </w:p>
        </w:tc>
        <w:tc>
          <w:tcPr>
            <w:tcW w:w="3979" w:type="dxa"/>
          </w:tcPr>
          <w:p w:rsidR="00946EFF" w:rsidRPr="000D7827" w:rsidRDefault="00360A8E" w:rsidP="009B3BC0">
            <w:pPr>
              <w:pStyle w:val="Corptext"/>
              <w:jc w:val="both"/>
              <w:rPr>
                <w:rFonts w:ascii="Times New Roman" w:hAnsi="Times New Roman" w:cs="Times New Roman"/>
                <w:sz w:val="20"/>
                <w:szCs w:val="20"/>
              </w:rPr>
            </w:pPr>
            <w:r w:rsidRPr="000D7827">
              <w:rPr>
                <w:rFonts w:ascii="Times New Roman" w:hAnsi="Times New Roman" w:cs="Times New Roman"/>
                <w:b/>
                <w:sz w:val="20"/>
                <w:szCs w:val="20"/>
              </w:rPr>
              <w:t>III. Respectarea mecanismului de armonizare</w:t>
            </w:r>
            <w:r w:rsidRPr="000D7827">
              <w:rPr>
                <w:rFonts w:ascii="Times New Roman" w:hAnsi="Times New Roman" w:cs="Times New Roman"/>
                <w:sz w:val="20"/>
                <w:szCs w:val="20"/>
              </w:rPr>
              <w:t xml:space="preserve"> </w:t>
            </w:r>
          </w:p>
          <w:p w:rsidR="00946EFF" w:rsidRPr="000D7827" w:rsidRDefault="00360A8E" w:rsidP="009B3BC0">
            <w:pPr>
              <w:pStyle w:val="Corptext"/>
              <w:jc w:val="both"/>
              <w:rPr>
                <w:rFonts w:ascii="Times New Roman" w:hAnsi="Times New Roman" w:cs="Times New Roman"/>
                <w:sz w:val="20"/>
                <w:szCs w:val="20"/>
              </w:rPr>
            </w:pPr>
            <w:r w:rsidRPr="000D7827">
              <w:rPr>
                <w:rFonts w:ascii="Times New Roman" w:hAnsi="Times New Roman" w:cs="Times New Roman"/>
                <w:i/>
                <w:sz w:val="20"/>
                <w:szCs w:val="20"/>
              </w:rPr>
              <w:t>a) Obiecții privind clauza de armonizare</w:t>
            </w:r>
            <w:r w:rsidRPr="000D7827">
              <w:rPr>
                <w:rFonts w:ascii="Times New Roman" w:hAnsi="Times New Roman" w:cs="Times New Roman"/>
                <w:sz w:val="20"/>
                <w:szCs w:val="20"/>
              </w:rPr>
              <w:t xml:space="preserve"> Clauza de armonizare a hotărârii se va expune în următoarea redacție: 6 „Prezenta hotărâre transpune Anexa IV la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 CELEX: 32019R1009, publicat în Jurnalul Oficial al Uniunii Europene L 170 din 25 iunie 2019, așa cum a fost modificat ultima oară prin Regulamentul delegat (UE) 2024/2787 al Comisiei din 23 iulie 2024”. </w:t>
            </w:r>
          </w:p>
          <w:p w:rsidR="00946EFF" w:rsidRPr="000D7827" w:rsidRDefault="00360A8E" w:rsidP="009B3BC0">
            <w:pPr>
              <w:pStyle w:val="Corptext"/>
              <w:jc w:val="both"/>
              <w:rPr>
                <w:rFonts w:ascii="Times New Roman" w:hAnsi="Times New Roman" w:cs="Times New Roman"/>
                <w:i/>
                <w:sz w:val="20"/>
                <w:szCs w:val="20"/>
              </w:rPr>
            </w:pPr>
            <w:r w:rsidRPr="000D7827">
              <w:rPr>
                <w:rFonts w:ascii="Times New Roman" w:hAnsi="Times New Roman" w:cs="Times New Roman"/>
                <w:i/>
                <w:sz w:val="20"/>
                <w:szCs w:val="20"/>
              </w:rPr>
              <w:t>b) Obiecții privind Tabelul de concordanță</w:t>
            </w:r>
          </w:p>
          <w:p w:rsidR="00946EFF" w:rsidRPr="000D7827" w:rsidRDefault="00360A8E" w:rsidP="009B3BC0">
            <w:pPr>
              <w:pStyle w:val="Corptext"/>
              <w:jc w:val="both"/>
              <w:rPr>
                <w:rFonts w:ascii="Times New Roman" w:hAnsi="Times New Roman" w:cs="Times New Roman"/>
                <w:sz w:val="20"/>
                <w:szCs w:val="20"/>
              </w:rPr>
            </w:pPr>
            <w:r w:rsidRPr="000D7827">
              <w:rPr>
                <w:rFonts w:ascii="Times New Roman" w:hAnsi="Times New Roman" w:cs="Times New Roman"/>
                <w:sz w:val="20"/>
                <w:szCs w:val="20"/>
              </w:rPr>
              <w:t xml:space="preserve"> La compartimentul 1 al Tabelului se va indica </w:t>
            </w:r>
            <w:r w:rsidRPr="000D7827">
              <w:rPr>
                <w:rFonts w:ascii="Times New Roman" w:hAnsi="Times New Roman" w:cs="Times New Roman"/>
                <w:sz w:val="20"/>
                <w:szCs w:val="20"/>
              </w:rPr>
              <w:lastRenderedPageBreak/>
              <w:t xml:space="preserve">tipul, numărul, instituția/instituțiile care l a/l-au adoptat, data, titlul actului juridic european, nr. CELEX, inclusiv cea mai recentă modificare a actului care constituie obiect al transpunerii, prin precizarea tipului, a numărului și a datei de adoptare a actului juridic european de modificare. La compartimentul 2 al Tabelului se indică doar tipul și titlul proiectului de act normativ național ce transpune dispozițiile actului juridic european. </w:t>
            </w:r>
          </w:p>
          <w:p w:rsidR="00946EFF" w:rsidRPr="000D7827" w:rsidRDefault="00360A8E" w:rsidP="009B3BC0">
            <w:pPr>
              <w:pStyle w:val="Corptext"/>
              <w:jc w:val="both"/>
              <w:rPr>
                <w:rFonts w:ascii="Times New Roman" w:hAnsi="Times New Roman" w:cs="Times New Roman"/>
                <w:b/>
                <w:sz w:val="20"/>
                <w:szCs w:val="20"/>
              </w:rPr>
            </w:pPr>
            <w:r w:rsidRPr="000D7827">
              <w:rPr>
                <w:rFonts w:ascii="Times New Roman" w:hAnsi="Times New Roman" w:cs="Times New Roman"/>
                <w:b/>
                <w:sz w:val="20"/>
                <w:szCs w:val="20"/>
              </w:rPr>
              <w:t xml:space="preserve">IV. Concluzii </w:t>
            </w:r>
          </w:p>
          <w:p w:rsidR="00943FD2" w:rsidRPr="000D7827" w:rsidRDefault="00360A8E" w:rsidP="009B3BC0">
            <w:pPr>
              <w:pStyle w:val="Corptext"/>
              <w:jc w:val="both"/>
              <w:rPr>
                <w:rFonts w:ascii="Times New Roman" w:hAnsi="Times New Roman" w:cs="Times New Roman"/>
                <w:sz w:val="20"/>
                <w:szCs w:val="20"/>
              </w:rPr>
            </w:pPr>
            <w:r w:rsidRPr="000D7827">
              <w:rPr>
                <w:rFonts w:ascii="Times New Roman" w:hAnsi="Times New Roman" w:cs="Times New Roman"/>
                <w:sz w:val="20"/>
                <w:szCs w:val="20"/>
              </w:rPr>
              <w:t>În urma expertizei de compatibilitate, se va asigura revizuirea clauzei de armonizare și a Tabelului de concordanță conform celor expuse mai sus.</w:t>
            </w:r>
          </w:p>
        </w:tc>
        <w:tc>
          <w:tcPr>
            <w:tcW w:w="2406" w:type="dxa"/>
            <w:gridSpan w:val="2"/>
          </w:tcPr>
          <w:p w:rsidR="00735457" w:rsidRPr="000D7827" w:rsidRDefault="00946EFF" w:rsidP="00D41C5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6F5CD1" w:rsidRPr="00B2649B" w:rsidTr="00825909">
        <w:trPr>
          <w:trHeight w:val="531"/>
        </w:trPr>
        <w:tc>
          <w:tcPr>
            <w:tcW w:w="5918" w:type="dxa"/>
          </w:tcPr>
          <w:p w:rsidR="006F5CD1" w:rsidRPr="00F30157" w:rsidRDefault="006F4F00" w:rsidP="00B2649B">
            <w:pPr>
              <w:spacing w:after="0" w:line="240" w:lineRule="auto"/>
              <w:rPr>
                <w:rFonts w:ascii="Times New Roman" w:hAnsi="Times New Roman"/>
                <w:b/>
                <w:color w:val="000000"/>
                <w:sz w:val="24"/>
                <w:szCs w:val="24"/>
              </w:rPr>
            </w:pPr>
            <w:r w:rsidRPr="00F30157">
              <w:rPr>
                <w:rFonts w:ascii="Times New Roman" w:hAnsi="Times New Roman"/>
                <w:b/>
                <w:color w:val="000000"/>
                <w:sz w:val="24"/>
                <w:szCs w:val="24"/>
              </w:rPr>
              <w:t>Cancelaria de Stat</w:t>
            </w:r>
          </w:p>
          <w:p w:rsidR="006F4F00" w:rsidRPr="009566BF" w:rsidRDefault="006F4F00" w:rsidP="00B2649B">
            <w:pPr>
              <w:spacing w:after="0" w:line="240" w:lineRule="auto"/>
              <w:rPr>
                <w:rFonts w:ascii="Times New Roman" w:hAnsi="Times New Roman"/>
                <w:color w:val="000000"/>
              </w:rPr>
            </w:pPr>
            <w:r w:rsidRPr="00F30157">
              <w:rPr>
                <w:rFonts w:ascii="Times New Roman" w:hAnsi="Times New Roman"/>
                <w:color w:val="000000"/>
                <w:sz w:val="24"/>
                <w:szCs w:val="24"/>
              </w:rPr>
              <w:t>Nr. 14-69-10559 din 17.10.2025</w:t>
            </w:r>
          </w:p>
        </w:tc>
        <w:tc>
          <w:tcPr>
            <w:tcW w:w="1001" w:type="dxa"/>
          </w:tcPr>
          <w:p w:rsidR="006F5CD1" w:rsidRPr="009566BF" w:rsidRDefault="0086497A" w:rsidP="00B2649B">
            <w:pPr>
              <w:spacing w:after="0" w:line="240" w:lineRule="auto"/>
              <w:jc w:val="center"/>
              <w:rPr>
                <w:rFonts w:ascii="Times New Roman" w:hAnsi="Times New Roman"/>
                <w:color w:val="000000"/>
              </w:rPr>
            </w:pPr>
            <w:r>
              <w:rPr>
                <w:rFonts w:ascii="Times New Roman" w:hAnsi="Times New Roman"/>
                <w:color w:val="000000"/>
              </w:rPr>
              <w:t>17</w:t>
            </w:r>
          </w:p>
        </w:tc>
        <w:tc>
          <w:tcPr>
            <w:tcW w:w="3979" w:type="dxa"/>
          </w:tcPr>
          <w:p w:rsidR="006F5CD1" w:rsidRPr="000D7827" w:rsidRDefault="006F4F00" w:rsidP="009B3BC0">
            <w:pPr>
              <w:pStyle w:val="Corptext"/>
              <w:jc w:val="both"/>
              <w:rPr>
                <w:rFonts w:ascii="Times New Roman" w:hAnsi="Times New Roman" w:cs="Times New Roman"/>
                <w:b/>
                <w:sz w:val="20"/>
                <w:szCs w:val="20"/>
              </w:rPr>
            </w:pPr>
            <w:r w:rsidRPr="000D7827">
              <w:rPr>
                <w:rFonts w:ascii="Times New Roman" w:hAnsi="Times New Roman" w:cs="Times New Roman"/>
                <w:sz w:val="20"/>
                <w:szCs w:val="20"/>
              </w:rPr>
              <w:t>Urmare a examinării proiectului Hotărârii Guvernului pentru aprobarea Regulamentului privind procedurile de evaluare a conformității ale produselor fertilizante (număr unic 776/MAIA/2025), autor - Ministerul Agriculturii și Industriei Alimentare, comunicăm despre lipsa de obiecții și propuneri.</w:t>
            </w:r>
          </w:p>
        </w:tc>
        <w:tc>
          <w:tcPr>
            <w:tcW w:w="2406" w:type="dxa"/>
            <w:gridSpan w:val="2"/>
          </w:tcPr>
          <w:p w:rsidR="006F5CD1" w:rsidRPr="000D7827" w:rsidRDefault="000E3E37" w:rsidP="00D41C5B">
            <w:pPr>
              <w:spacing w:after="0" w:line="240" w:lineRule="auto"/>
              <w:jc w:val="center"/>
              <w:rPr>
                <w:rFonts w:ascii="Times New Roman" w:hAnsi="Times New Roman"/>
                <w:color w:val="000000"/>
                <w:sz w:val="20"/>
                <w:szCs w:val="20"/>
              </w:rPr>
            </w:pPr>
            <w:r w:rsidRPr="000D7827">
              <w:rPr>
                <w:rFonts w:ascii="Times New Roman" w:hAnsi="Times New Roman"/>
                <w:color w:val="000000"/>
                <w:sz w:val="20"/>
                <w:szCs w:val="20"/>
              </w:rPr>
              <w:t>-</w:t>
            </w:r>
          </w:p>
        </w:tc>
      </w:tr>
      <w:tr w:rsidR="00CA41B1" w:rsidRPr="00B2649B" w:rsidTr="00825909">
        <w:trPr>
          <w:trHeight w:val="531"/>
        </w:trPr>
        <w:tc>
          <w:tcPr>
            <w:tcW w:w="5918" w:type="dxa"/>
            <w:tcBorders>
              <w:top w:val="nil"/>
            </w:tcBorders>
          </w:tcPr>
          <w:p w:rsidR="00EA1222" w:rsidRPr="00F30157" w:rsidRDefault="00446B49" w:rsidP="00B2649B">
            <w:pPr>
              <w:spacing w:after="0" w:line="240" w:lineRule="auto"/>
              <w:rPr>
                <w:rFonts w:ascii="Times New Roman" w:hAnsi="Times New Roman"/>
                <w:b/>
                <w:color w:val="000000"/>
                <w:sz w:val="24"/>
                <w:szCs w:val="24"/>
              </w:rPr>
            </w:pPr>
            <w:r w:rsidRPr="00F30157">
              <w:rPr>
                <w:rFonts w:ascii="Times New Roman" w:hAnsi="Times New Roman"/>
                <w:b/>
                <w:color w:val="000000"/>
                <w:sz w:val="24"/>
                <w:szCs w:val="24"/>
              </w:rPr>
              <w:t>Ministerul Sănătății</w:t>
            </w:r>
          </w:p>
          <w:p w:rsidR="00446B49" w:rsidRPr="009566BF" w:rsidRDefault="00446B49" w:rsidP="00B2649B">
            <w:pPr>
              <w:spacing w:after="0" w:line="240" w:lineRule="auto"/>
              <w:rPr>
                <w:rFonts w:ascii="Times New Roman" w:hAnsi="Times New Roman"/>
                <w:color w:val="000000"/>
              </w:rPr>
            </w:pPr>
            <w:r w:rsidRPr="00F30157">
              <w:rPr>
                <w:rFonts w:ascii="Times New Roman" w:hAnsi="Times New Roman"/>
                <w:sz w:val="24"/>
                <w:szCs w:val="24"/>
              </w:rPr>
              <w:t xml:space="preserve">Nr. </w:t>
            </w:r>
            <w:r w:rsidR="00E72C7E" w:rsidRPr="00F30157">
              <w:rPr>
                <w:rFonts w:ascii="Times New Roman" w:hAnsi="Times New Roman"/>
                <w:sz w:val="24"/>
                <w:szCs w:val="24"/>
              </w:rPr>
              <w:t xml:space="preserve">09/3291 </w:t>
            </w:r>
            <w:r w:rsidRPr="00F30157">
              <w:rPr>
                <w:rFonts w:ascii="Times New Roman" w:hAnsi="Times New Roman"/>
                <w:sz w:val="24"/>
                <w:szCs w:val="24"/>
              </w:rPr>
              <w:t xml:space="preserve">din </w:t>
            </w:r>
            <w:r w:rsidR="003316AC" w:rsidRPr="00F30157">
              <w:rPr>
                <w:rFonts w:ascii="Times New Roman" w:hAnsi="Times New Roman"/>
                <w:sz w:val="24"/>
                <w:szCs w:val="24"/>
              </w:rPr>
              <w:t>21.10.</w:t>
            </w:r>
            <w:r w:rsidRPr="00F30157">
              <w:rPr>
                <w:rFonts w:ascii="Times New Roman" w:hAnsi="Times New Roman"/>
                <w:sz w:val="24"/>
                <w:szCs w:val="24"/>
              </w:rPr>
              <w:t>2025</w:t>
            </w:r>
          </w:p>
        </w:tc>
        <w:tc>
          <w:tcPr>
            <w:tcW w:w="1001" w:type="dxa"/>
          </w:tcPr>
          <w:p w:rsidR="00CA41B1" w:rsidRPr="009566BF" w:rsidRDefault="00C1443B" w:rsidP="00B2649B">
            <w:pPr>
              <w:spacing w:after="0" w:line="240" w:lineRule="auto"/>
              <w:jc w:val="center"/>
              <w:rPr>
                <w:rFonts w:ascii="Times New Roman" w:hAnsi="Times New Roman"/>
                <w:color w:val="000000"/>
              </w:rPr>
            </w:pPr>
            <w:r w:rsidRPr="009566BF">
              <w:rPr>
                <w:rFonts w:ascii="Times New Roman" w:hAnsi="Times New Roman"/>
                <w:color w:val="000000"/>
              </w:rPr>
              <w:t>1</w:t>
            </w:r>
            <w:r w:rsidR="0086497A">
              <w:rPr>
                <w:rFonts w:ascii="Times New Roman" w:hAnsi="Times New Roman"/>
                <w:color w:val="000000"/>
              </w:rPr>
              <w:t>8</w:t>
            </w:r>
          </w:p>
        </w:tc>
        <w:tc>
          <w:tcPr>
            <w:tcW w:w="3979" w:type="dxa"/>
          </w:tcPr>
          <w:p w:rsidR="00CA41B1" w:rsidRPr="000D7827" w:rsidRDefault="00B46611" w:rsidP="009104D7">
            <w:pPr>
              <w:spacing w:after="0" w:line="240" w:lineRule="auto"/>
              <w:ind w:right="82"/>
              <w:jc w:val="both"/>
              <w:rPr>
                <w:rFonts w:ascii="Times New Roman" w:hAnsi="Times New Roman"/>
                <w:b/>
                <w:sz w:val="20"/>
                <w:szCs w:val="20"/>
              </w:rPr>
            </w:pPr>
            <w:r w:rsidRPr="000D7827">
              <w:rPr>
                <w:rFonts w:ascii="Times New Roman" w:hAnsi="Times New Roman"/>
                <w:sz w:val="20"/>
                <w:szCs w:val="20"/>
              </w:rPr>
              <w:t>Ministerul Sănătății a examinat proiectul de hotărâre de Guvern pentru aprobarea Regulamentului privind procedurile de evaluare a conformității ale produselor fertilizante (număr unic 776/MAIA/2025), autor Ministerul Agriculturii și Industriei Alimentare și conform competențelor funcționale, comunică lipsa de obiecții și propuneri.</w:t>
            </w:r>
          </w:p>
        </w:tc>
        <w:tc>
          <w:tcPr>
            <w:tcW w:w="2406" w:type="dxa"/>
            <w:gridSpan w:val="2"/>
          </w:tcPr>
          <w:p w:rsidR="00CA41B1" w:rsidRPr="000D7827" w:rsidRDefault="00F929C7" w:rsidP="00D41C5B">
            <w:pPr>
              <w:spacing w:after="0" w:line="240" w:lineRule="auto"/>
              <w:jc w:val="center"/>
              <w:rPr>
                <w:rFonts w:ascii="Times New Roman" w:hAnsi="Times New Roman"/>
                <w:color w:val="000000"/>
                <w:sz w:val="20"/>
                <w:szCs w:val="20"/>
              </w:rPr>
            </w:pPr>
            <w:r w:rsidRPr="000D7827">
              <w:rPr>
                <w:rFonts w:ascii="Times New Roman" w:hAnsi="Times New Roman"/>
                <w:color w:val="000000"/>
                <w:sz w:val="20"/>
                <w:szCs w:val="20"/>
              </w:rPr>
              <w:t>-</w:t>
            </w:r>
          </w:p>
        </w:tc>
      </w:tr>
      <w:tr w:rsidR="00F30157" w:rsidRPr="00B2649B" w:rsidTr="00825909">
        <w:trPr>
          <w:trHeight w:val="531"/>
        </w:trPr>
        <w:tc>
          <w:tcPr>
            <w:tcW w:w="5918" w:type="dxa"/>
            <w:vMerge w:val="restart"/>
            <w:tcBorders>
              <w:top w:val="nil"/>
            </w:tcBorders>
          </w:tcPr>
          <w:p w:rsidR="00F30157" w:rsidRPr="00A85776" w:rsidRDefault="00F30157" w:rsidP="00B2649B">
            <w:pPr>
              <w:spacing w:after="0" w:line="240" w:lineRule="auto"/>
              <w:rPr>
                <w:rFonts w:ascii="Times New Roman" w:hAnsi="Times New Roman"/>
                <w:b/>
                <w:color w:val="000000"/>
                <w:sz w:val="24"/>
                <w:szCs w:val="24"/>
              </w:rPr>
            </w:pPr>
            <w:r w:rsidRPr="00A85776">
              <w:rPr>
                <w:rFonts w:ascii="Times New Roman" w:hAnsi="Times New Roman"/>
                <w:b/>
                <w:color w:val="000000"/>
                <w:sz w:val="24"/>
                <w:szCs w:val="24"/>
              </w:rPr>
              <w:t xml:space="preserve">Ministerul Dezvoltării Economice și Digitalizării </w:t>
            </w:r>
          </w:p>
          <w:p w:rsidR="00F30157" w:rsidRPr="009566BF" w:rsidRDefault="00F30157" w:rsidP="00B2649B">
            <w:pPr>
              <w:spacing w:after="0" w:line="240" w:lineRule="auto"/>
              <w:rPr>
                <w:rFonts w:ascii="Times New Roman" w:hAnsi="Times New Roman"/>
                <w:color w:val="000000"/>
              </w:rPr>
            </w:pPr>
            <w:r w:rsidRPr="00A85776">
              <w:rPr>
                <w:rFonts w:ascii="Times New Roman" w:hAnsi="Times New Roman"/>
                <w:sz w:val="24"/>
                <w:szCs w:val="24"/>
              </w:rPr>
              <w:t>nr. 16/1-2995 din 17.10.2025</w:t>
            </w:r>
          </w:p>
        </w:tc>
        <w:tc>
          <w:tcPr>
            <w:tcW w:w="1001" w:type="dxa"/>
          </w:tcPr>
          <w:p w:rsidR="00F30157" w:rsidRPr="009566BF" w:rsidRDefault="00F30157" w:rsidP="00B2649B">
            <w:pPr>
              <w:spacing w:after="0" w:line="240" w:lineRule="auto"/>
              <w:jc w:val="center"/>
              <w:rPr>
                <w:rFonts w:ascii="Times New Roman" w:hAnsi="Times New Roman"/>
                <w:color w:val="000000"/>
              </w:rPr>
            </w:pPr>
            <w:r w:rsidRPr="009566BF">
              <w:rPr>
                <w:rFonts w:ascii="Times New Roman" w:hAnsi="Times New Roman"/>
                <w:color w:val="000000"/>
              </w:rPr>
              <w:t>1</w:t>
            </w:r>
            <w:r>
              <w:rPr>
                <w:rFonts w:ascii="Times New Roman" w:hAnsi="Times New Roman"/>
                <w:color w:val="000000"/>
              </w:rPr>
              <w:t>9</w:t>
            </w:r>
          </w:p>
        </w:tc>
        <w:tc>
          <w:tcPr>
            <w:tcW w:w="3979" w:type="dxa"/>
          </w:tcPr>
          <w:p w:rsidR="00F30157" w:rsidRPr="000D7827" w:rsidRDefault="00F30157" w:rsidP="00E24D70">
            <w:pPr>
              <w:spacing w:after="0" w:line="240" w:lineRule="auto"/>
              <w:ind w:left="2" w:right="82"/>
              <w:jc w:val="both"/>
              <w:rPr>
                <w:rFonts w:ascii="Times New Roman" w:hAnsi="Times New Roman"/>
                <w:sz w:val="20"/>
                <w:szCs w:val="20"/>
              </w:rPr>
            </w:pPr>
            <w:r w:rsidRPr="000D7827">
              <w:rPr>
                <w:rFonts w:ascii="Times New Roman" w:hAnsi="Times New Roman"/>
                <w:sz w:val="20"/>
                <w:szCs w:val="20"/>
              </w:rPr>
              <w:t xml:space="preserve">Cu referire la demersul nr.18-69-10265 din 06.10.2025 al Cancelariei de Stat privind examinarea proiectului de hotărâre pentru aprobarea Regulamentului privind procedurile de evaluare a conformității ale produselor fertilizante (număr unic </w:t>
            </w:r>
            <w:r w:rsidRPr="000D7827">
              <w:rPr>
                <w:rFonts w:ascii="Times New Roman" w:hAnsi="Times New Roman"/>
                <w:sz w:val="20"/>
                <w:szCs w:val="20"/>
              </w:rPr>
              <w:lastRenderedPageBreak/>
              <w:t>776/MAIA/2025), în limita atribuțiilor funcționale, Ministerul Dezvoltării Economice și Digitalizării comunică următoarele. Observații asupra proiectului de Hotărâre: Punctul 2 al proiectului stabilește că produsele fertilizante MD se supun procedurilor de evaluare a conformității corespunzătoare Categoriilor de materii componente (CMC) și Categoriilor funcționale de produse (CFP). Totuși, potrivit art. 17 alin. (3) și (4) din Legea nr. 21/2025 privind punerea la dispoziție pe piață a produselor fertilizante, evaluarea conformității produselor fertilizante MD se efectuează conform art. 4 alin. (2) din aceeași lege. În conformitate cu aceste prevederi, un produs fertilizant MD trebuie: • să fie inclus în lista de identificare a produselor fertilizante MD; • să fie ambalat și etichetat conform cerințelor stabilite de autoritatea competentă; • să fie pus la dispoziție pe piață însoțit de fișele de securitate, instrucțiunile de utilizare și protocoalele de testare a compoziției chimice, emise de un laborator acreditat; • să indice nutrienții principali și secundari, substanțele solubile în apă, impuritățile nocive și microorganismele destinate aplicării pe plante. În acest context, se constată o contradicție între prevederile pct.2 ale proiectului de hotărâre și dispozițiile Legii nr. 21/2025, care pot genera ambiguități în aplicarea practică a normelor privind evaluarea conformității.</w:t>
            </w:r>
          </w:p>
        </w:tc>
        <w:tc>
          <w:tcPr>
            <w:tcW w:w="2406" w:type="dxa"/>
            <w:gridSpan w:val="2"/>
          </w:tcPr>
          <w:p w:rsidR="00F30157" w:rsidRPr="000D7827" w:rsidRDefault="00F30157" w:rsidP="00DD4F37">
            <w:pPr>
              <w:spacing w:after="0" w:line="240" w:lineRule="auto"/>
              <w:jc w:val="center"/>
              <w:rPr>
                <w:rFonts w:ascii="Times New Roman" w:hAnsi="Times New Roman"/>
                <w:sz w:val="20"/>
                <w:szCs w:val="20"/>
              </w:rPr>
            </w:pPr>
            <w:r w:rsidRPr="000D7827">
              <w:rPr>
                <w:rFonts w:ascii="Times New Roman" w:hAnsi="Times New Roman"/>
                <w:i/>
                <w:sz w:val="20"/>
                <w:szCs w:val="20"/>
              </w:rPr>
              <w:lastRenderedPageBreak/>
              <w:t xml:space="preserve">Se acceptă </w:t>
            </w:r>
          </w:p>
        </w:tc>
      </w:tr>
      <w:tr w:rsidR="00F30157" w:rsidRPr="00B2649B" w:rsidTr="007A7A5D">
        <w:trPr>
          <w:trHeight w:val="531"/>
        </w:trPr>
        <w:tc>
          <w:tcPr>
            <w:tcW w:w="5918" w:type="dxa"/>
            <w:vMerge/>
          </w:tcPr>
          <w:p w:rsidR="00F30157" w:rsidRPr="00E24D70" w:rsidRDefault="00F30157" w:rsidP="00B2649B">
            <w:pPr>
              <w:spacing w:after="0" w:line="240" w:lineRule="auto"/>
              <w:rPr>
                <w:rFonts w:ascii="Times New Roman" w:hAnsi="Times New Roman"/>
                <w:color w:val="000000"/>
                <w:sz w:val="28"/>
                <w:szCs w:val="28"/>
              </w:rPr>
            </w:pPr>
          </w:p>
        </w:tc>
        <w:tc>
          <w:tcPr>
            <w:tcW w:w="1001" w:type="dxa"/>
          </w:tcPr>
          <w:p w:rsidR="00F30157" w:rsidRDefault="00F3015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3979" w:type="dxa"/>
          </w:tcPr>
          <w:p w:rsidR="00F30157" w:rsidRPr="000D7827" w:rsidRDefault="00F30157" w:rsidP="00E24D70">
            <w:pPr>
              <w:spacing w:after="0" w:line="240" w:lineRule="auto"/>
              <w:ind w:left="2" w:right="82"/>
              <w:jc w:val="both"/>
              <w:rPr>
                <w:rFonts w:ascii="Times New Roman" w:hAnsi="Times New Roman"/>
                <w:sz w:val="20"/>
                <w:szCs w:val="20"/>
              </w:rPr>
            </w:pPr>
            <w:r w:rsidRPr="000D7827">
              <w:rPr>
                <w:rFonts w:ascii="Times New Roman" w:hAnsi="Times New Roman"/>
                <w:sz w:val="20"/>
                <w:szCs w:val="20"/>
              </w:rPr>
              <w:t xml:space="preserve">De asemenea, se observă abateri de la principiile Acordului Organizației Mondiale a Comerțului privind barierele tehnice în calea comerțului (OMC BTC), la care Republica Moldova este parte. Conform acestui Acord, reglementările tehnice și procedurile de </w:t>
            </w:r>
            <w:r w:rsidRPr="000D7827">
              <w:rPr>
                <w:rFonts w:ascii="Times New Roman" w:hAnsi="Times New Roman"/>
                <w:sz w:val="20"/>
                <w:szCs w:val="20"/>
              </w:rPr>
              <w:lastRenderedPageBreak/>
              <w:t>evaluare a conformității nu trebuie să creeze obstacole inutile în calea comerțului internațional și trebuie să asigure nediscriminarea între produsele naționale și cele importate, promovând totodată recunoașterea reciprocă a procedurilor de evaluare a conformității. Proiectul de hotărâre și Legea nr. 21/2025 prevăd în prezent proceduri distincte de evaluare a conformității pentru produse autohtone și produse de import, fapt ce contravine principiilor Acordului OMC BTC.</w:t>
            </w:r>
          </w:p>
          <w:p w:rsidR="00F30157" w:rsidRPr="000D7827" w:rsidRDefault="00F30157" w:rsidP="00E24D70">
            <w:pPr>
              <w:spacing w:after="0" w:line="240" w:lineRule="auto"/>
              <w:ind w:left="2" w:right="82"/>
              <w:jc w:val="both"/>
              <w:rPr>
                <w:rFonts w:ascii="Times New Roman" w:hAnsi="Times New Roman"/>
                <w:sz w:val="20"/>
                <w:szCs w:val="20"/>
              </w:rPr>
            </w:pPr>
            <w:r w:rsidRPr="000D7827">
              <w:rPr>
                <w:rFonts w:ascii="Times New Roman" w:hAnsi="Times New Roman"/>
                <w:sz w:val="20"/>
                <w:szCs w:val="20"/>
              </w:rPr>
              <w:t>Totodată, articolele 170 și 171 din Acordul de Asociere RM–UE stabilesc că prevederile Capitolului 3 „Bariere tehnice în calea comerțului, standardizare, metrologie, acreditare și evaluarea conformității” se aplică în conformitate cu definițiile și principiile din Acordul OMC BTC, iar părțile își reafirmă obligațiile reciproce de a asigura compatibilitatea reglementărilor tehnice și procedurilor de evaluare a conformității.</w:t>
            </w:r>
          </w:p>
        </w:tc>
        <w:tc>
          <w:tcPr>
            <w:tcW w:w="2406" w:type="dxa"/>
            <w:gridSpan w:val="2"/>
          </w:tcPr>
          <w:p w:rsidR="00F30157" w:rsidRPr="000D7827" w:rsidRDefault="00F30157"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lastRenderedPageBreak/>
              <w:t xml:space="preserve">Conform preambulul Reg. UE 2019/1009 se menționează că prevederile Reg. UE nu trebuie să aducă atingere altor produse fertilizante. Mai </w:t>
            </w:r>
            <w:r w:rsidRPr="000D7827">
              <w:rPr>
                <w:rFonts w:ascii="Times New Roman" w:hAnsi="Times New Roman"/>
                <w:color w:val="000000"/>
                <w:sz w:val="20"/>
                <w:szCs w:val="20"/>
              </w:rPr>
              <w:lastRenderedPageBreak/>
              <w:t xml:space="preserve">mult, conform obiecției anterioare, pentru a permite aplicarea principiilor </w:t>
            </w:r>
            <w:r w:rsidRPr="000D7827">
              <w:rPr>
                <w:rFonts w:ascii="Times New Roman" w:hAnsi="Times New Roman"/>
                <w:sz w:val="20"/>
                <w:szCs w:val="20"/>
              </w:rPr>
              <w:t>Acordului OMC, au fost stabilite că produsele fertilizante MD se supun evaluării conformității dacă corespund Categoriilor de materii componente și Categoriilor funcționale de produse</w:t>
            </w:r>
          </w:p>
        </w:tc>
      </w:tr>
      <w:tr w:rsidR="00F30157" w:rsidRPr="00B2649B" w:rsidTr="007A7A5D">
        <w:trPr>
          <w:trHeight w:val="531"/>
        </w:trPr>
        <w:tc>
          <w:tcPr>
            <w:tcW w:w="5918" w:type="dxa"/>
            <w:vMerge/>
          </w:tcPr>
          <w:p w:rsidR="00F30157" w:rsidRPr="00E24D70" w:rsidRDefault="00F30157" w:rsidP="00B2649B">
            <w:pPr>
              <w:spacing w:after="0" w:line="240" w:lineRule="auto"/>
              <w:rPr>
                <w:rFonts w:ascii="Times New Roman" w:hAnsi="Times New Roman"/>
                <w:color w:val="000000"/>
                <w:sz w:val="28"/>
                <w:szCs w:val="28"/>
              </w:rPr>
            </w:pPr>
          </w:p>
        </w:tc>
        <w:tc>
          <w:tcPr>
            <w:tcW w:w="1001" w:type="dxa"/>
          </w:tcPr>
          <w:p w:rsidR="00F30157" w:rsidRDefault="00F3015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w:t>
            </w:r>
          </w:p>
        </w:tc>
        <w:tc>
          <w:tcPr>
            <w:tcW w:w="3979" w:type="dxa"/>
          </w:tcPr>
          <w:p w:rsidR="00F30157" w:rsidRPr="000D7827" w:rsidRDefault="00F30157" w:rsidP="00E24D70">
            <w:pPr>
              <w:spacing w:after="0" w:line="240" w:lineRule="auto"/>
              <w:ind w:left="2" w:right="82"/>
              <w:jc w:val="both"/>
              <w:rPr>
                <w:rFonts w:ascii="Times New Roman" w:hAnsi="Times New Roman"/>
                <w:sz w:val="20"/>
                <w:szCs w:val="20"/>
              </w:rPr>
            </w:pPr>
            <w:r w:rsidRPr="000D7827">
              <w:rPr>
                <w:rFonts w:ascii="Times New Roman" w:hAnsi="Times New Roman"/>
                <w:sz w:val="20"/>
                <w:szCs w:val="20"/>
              </w:rPr>
              <w:t>Trimiteri la acte inferioare: În textul proiectului se fac referiri la un Ordin privind aprobarea categoriilor funcționale de produse (CFP) și a categoriilor de materii componente (CMC) pentru produsele fertilizante UE, emis de autoritatea competentă. Conform art. 55 alin. (3) din Legea nr.100/2017 privind actele normative, nu se admite trimiterea la o altă normă de trimitere sau la un act normativ inferior. Prin urmare, se recomandă includerea directă a listelor CFP și CMC în textul proiectului de hotărâre, pentru a asigura claritate și validitate juridică.</w:t>
            </w:r>
          </w:p>
        </w:tc>
        <w:tc>
          <w:tcPr>
            <w:tcW w:w="2406" w:type="dxa"/>
            <w:gridSpan w:val="2"/>
          </w:tcPr>
          <w:p w:rsidR="00F30157" w:rsidRPr="000D7827" w:rsidRDefault="00F30157" w:rsidP="00D41C5B">
            <w:pPr>
              <w:spacing w:after="0" w:line="240" w:lineRule="auto"/>
              <w:jc w:val="center"/>
              <w:rPr>
                <w:rFonts w:ascii="Times New Roman" w:hAnsi="Times New Roman"/>
                <w:i/>
                <w:sz w:val="20"/>
                <w:szCs w:val="20"/>
              </w:rPr>
            </w:pPr>
            <w:r w:rsidRPr="000D7827">
              <w:rPr>
                <w:rFonts w:ascii="Times New Roman" w:hAnsi="Times New Roman"/>
                <w:i/>
                <w:sz w:val="20"/>
                <w:szCs w:val="20"/>
              </w:rPr>
              <w:t>Nu se acceptă</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 xml:space="preserve"> întru respectarea transpunerii fidele a prevederilor Actului UE și prevederile ar. 3 alin. (4) lit b) al Legii 100/2017. </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Trimiterea la ordinul</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autorității competente</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are caracter pur</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tehnic și de</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implementare, vizând</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actualizarea periodică</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a listelor CFP și CMC</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în conformitate cu</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modificările aduse</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Regulamentului (UE)</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2019/1009. Includerea</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lastRenderedPageBreak/>
              <w:t>integrală a acestor liste</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în textul hotărârii ar</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limita flexibilitatea de</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actualizare, întrucât</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Anexele I și II la</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Regulament sunt</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frecvent amendate la</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nivelul Uniunii</w:t>
            </w:r>
          </w:p>
          <w:p w:rsidR="00F30157" w:rsidRPr="000D7827" w:rsidRDefault="00F30157" w:rsidP="001F3098">
            <w:pPr>
              <w:spacing w:after="0" w:line="240" w:lineRule="auto"/>
              <w:jc w:val="both"/>
              <w:rPr>
                <w:rFonts w:ascii="Times New Roman" w:hAnsi="Times New Roman"/>
                <w:color w:val="000000"/>
                <w:sz w:val="20"/>
                <w:szCs w:val="20"/>
              </w:rPr>
            </w:pPr>
            <w:r w:rsidRPr="000D7827">
              <w:rPr>
                <w:rFonts w:ascii="Times New Roman" w:hAnsi="Times New Roman"/>
                <w:sz w:val="20"/>
                <w:szCs w:val="20"/>
              </w:rPr>
              <w:t>Europene.</w:t>
            </w:r>
          </w:p>
        </w:tc>
      </w:tr>
      <w:tr w:rsidR="00F30157" w:rsidRPr="00B2649B" w:rsidTr="007A7A5D">
        <w:trPr>
          <w:trHeight w:val="531"/>
        </w:trPr>
        <w:tc>
          <w:tcPr>
            <w:tcW w:w="5918" w:type="dxa"/>
            <w:vMerge/>
          </w:tcPr>
          <w:p w:rsidR="00F30157" w:rsidRPr="00E24D70" w:rsidRDefault="00F30157" w:rsidP="00B2649B">
            <w:pPr>
              <w:spacing w:after="0" w:line="240" w:lineRule="auto"/>
              <w:rPr>
                <w:rFonts w:ascii="Times New Roman" w:hAnsi="Times New Roman"/>
                <w:color w:val="000000"/>
                <w:sz w:val="28"/>
                <w:szCs w:val="28"/>
              </w:rPr>
            </w:pPr>
          </w:p>
        </w:tc>
        <w:tc>
          <w:tcPr>
            <w:tcW w:w="1001" w:type="dxa"/>
          </w:tcPr>
          <w:p w:rsidR="00F30157" w:rsidRDefault="00F3015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3979" w:type="dxa"/>
          </w:tcPr>
          <w:p w:rsidR="00F30157" w:rsidRPr="000D7827" w:rsidRDefault="00F30157" w:rsidP="00E24D70">
            <w:pPr>
              <w:spacing w:after="0" w:line="240" w:lineRule="auto"/>
              <w:ind w:left="2" w:right="82"/>
              <w:jc w:val="both"/>
              <w:rPr>
                <w:rFonts w:ascii="Times New Roman" w:hAnsi="Times New Roman"/>
                <w:sz w:val="20"/>
                <w:szCs w:val="20"/>
              </w:rPr>
            </w:pPr>
            <w:r w:rsidRPr="000D7827">
              <w:rPr>
                <w:rFonts w:ascii="Times New Roman" w:hAnsi="Times New Roman"/>
                <w:sz w:val="20"/>
                <w:szCs w:val="20"/>
              </w:rPr>
              <w:t xml:space="preserve">Neconcordanțe și erori de trimitere: - Pct. 62 face trimitere la „prezentul regulament” privind cerințele pentru produse fertilizante, deși acestea nu sunt prevăzute în Regulament, ci urmează a fi aprobate separat prin actul autorității competente conform art. 4 din Legea nr. 21/2025. Aceeași obiecție este valabilă și pentru pct. 82. </w:t>
            </w:r>
          </w:p>
        </w:tc>
        <w:tc>
          <w:tcPr>
            <w:tcW w:w="2406" w:type="dxa"/>
            <w:gridSpan w:val="2"/>
          </w:tcPr>
          <w:p w:rsidR="00F30157" w:rsidRPr="000D7827" w:rsidRDefault="00F30157" w:rsidP="00D41C5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F30157" w:rsidRPr="00B2649B" w:rsidTr="007A7A5D">
        <w:trPr>
          <w:trHeight w:val="531"/>
        </w:trPr>
        <w:tc>
          <w:tcPr>
            <w:tcW w:w="5918" w:type="dxa"/>
            <w:vMerge/>
          </w:tcPr>
          <w:p w:rsidR="00F30157" w:rsidRPr="00E24D70" w:rsidRDefault="00F30157" w:rsidP="00B2649B">
            <w:pPr>
              <w:spacing w:after="0" w:line="240" w:lineRule="auto"/>
              <w:rPr>
                <w:rFonts w:ascii="Times New Roman" w:hAnsi="Times New Roman"/>
                <w:color w:val="000000"/>
                <w:sz w:val="28"/>
                <w:szCs w:val="28"/>
              </w:rPr>
            </w:pPr>
          </w:p>
        </w:tc>
        <w:tc>
          <w:tcPr>
            <w:tcW w:w="1001" w:type="dxa"/>
          </w:tcPr>
          <w:p w:rsidR="00F30157" w:rsidRDefault="00F3015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3979" w:type="dxa"/>
          </w:tcPr>
          <w:p w:rsidR="00F30157" w:rsidRPr="000D7827" w:rsidRDefault="00F30157" w:rsidP="00E24D70">
            <w:pPr>
              <w:spacing w:after="0" w:line="240" w:lineRule="auto"/>
              <w:ind w:left="2" w:right="82"/>
              <w:jc w:val="both"/>
              <w:rPr>
                <w:rFonts w:ascii="Times New Roman" w:hAnsi="Times New Roman"/>
                <w:sz w:val="20"/>
                <w:szCs w:val="20"/>
              </w:rPr>
            </w:pPr>
            <w:r w:rsidRPr="000D7827">
              <w:rPr>
                <w:rFonts w:ascii="Times New Roman" w:hAnsi="Times New Roman"/>
                <w:sz w:val="20"/>
                <w:szCs w:val="20"/>
              </w:rPr>
              <w:t xml:space="preserve">- Pct. 67 conține prevederi care nu sunt aplicabile Republicii Moldova înainte de aderarea la Uniunea Europeană. </w:t>
            </w:r>
          </w:p>
        </w:tc>
        <w:tc>
          <w:tcPr>
            <w:tcW w:w="2406" w:type="dxa"/>
            <w:gridSpan w:val="2"/>
          </w:tcPr>
          <w:p w:rsidR="00BA5FC4" w:rsidRPr="000D7827" w:rsidRDefault="00BA5FC4" w:rsidP="00376B56">
            <w:pPr>
              <w:spacing w:after="0" w:line="240" w:lineRule="auto"/>
              <w:jc w:val="center"/>
              <w:rPr>
                <w:rFonts w:ascii="Times New Roman" w:hAnsi="Times New Roman"/>
                <w:color w:val="000000"/>
                <w:sz w:val="20"/>
                <w:szCs w:val="20"/>
              </w:rPr>
            </w:pPr>
            <w:r w:rsidRPr="000D7827">
              <w:rPr>
                <w:rFonts w:ascii="Times New Roman" w:hAnsi="Times New Roman"/>
                <w:color w:val="000000"/>
                <w:sz w:val="20"/>
                <w:szCs w:val="20"/>
              </w:rPr>
              <w:t>Se acceptă</w:t>
            </w:r>
          </w:p>
          <w:p w:rsidR="00F30157" w:rsidRPr="000D7827" w:rsidRDefault="00F30157"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Întrucât prin prevederile pct. 67 se conferă drepturi de obținerea a unor copii se acceptă ca reformulare.</w:t>
            </w:r>
          </w:p>
        </w:tc>
      </w:tr>
      <w:tr w:rsidR="00F30157" w:rsidRPr="00B2649B" w:rsidTr="007A7A5D">
        <w:trPr>
          <w:trHeight w:val="531"/>
        </w:trPr>
        <w:tc>
          <w:tcPr>
            <w:tcW w:w="5918" w:type="dxa"/>
            <w:vMerge/>
          </w:tcPr>
          <w:p w:rsidR="00F30157" w:rsidRPr="00E24D70" w:rsidRDefault="00F30157" w:rsidP="00B2649B">
            <w:pPr>
              <w:spacing w:after="0" w:line="240" w:lineRule="auto"/>
              <w:rPr>
                <w:rFonts w:ascii="Times New Roman" w:hAnsi="Times New Roman"/>
                <w:color w:val="000000"/>
                <w:sz w:val="28"/>
                <w:szCs w:val="28"/>
              </w:rPr>
            </w:pPr>
          </w:p>
        </w:tc>
        <w:tc>
          <w:tcPr>
            <w:tcW w:w="1001" w:type="dxa"/>
          </w:tcPr>
          <w:p w:rsidR="00F30157" w:rsidRDefault="00F3015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p>
        </w:tc>
        <w:tc>
          <w:tcPr>
            <w:tcW w:w="3979" w:type="dxa"/>
          </w:tcPr>
          <w:p w:rsidR="00F30157" w:rsidRPr="000D7827" w:rsidRDefault="00F30157" w:rsidP="00E24D70">
            <w:pPr>
              <w:spacing w:after="0" w:line="240" w:lineRule="auto"/>
              <w:ind w:left="2" w:right="82"/>
              <w:jc w:val="both"/>
              <w:rPr>
                <w:rFonts w:ascii="Times New Roman" w:hAnsi="Times New Roman"/>
                <w:sz w:val="20"/>
                <w:szCs w:val="20"/>
              </w:rPr>
            </w:pPr>
            <w:r w:rsidRPr="000D7827">
              <w:rPr>
                <w:rFonts w:ascii="Times New Roman" w:hAnsi="Times New Roman"/>
                <w:sz w:val="20"/>
                <w:szCs w:val="20"/>
              </w:rPr>
              <w:t xml:space="preserve">- La pct. 70, trimiterea la „punctul 3” este incorectă și trebuie înlocuită cu referința la pct. - 57. </w:t>
            </w:r>
          </w:p>
        </w:tc>
        <w:tc>
          <w:tcPr>
            <w:tcW w:w="2406" w:type="dxa"/>
            <w:gridSpan w:val="2"/>
          </w:tcPr>
          <w:p w:rsidR="00F30157" w:rsidRPr="000D7827" w:rsidRDefault="00F30157" w:rsidP="00D41C5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 parțial</w:t>
            </w:r>
          </w:p>
          <w:p w:rsidR="00F30157" w:rsidRPr="000D7827" w:rsidRDefault="00F30157"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Trimiterea a fost ajustată:</w:t>
            </w:r>
          </w:p>
          <w:p w:rsidR="00F30157" w:rsidRPr="000D7827" w:rsidRDefault="00F30157" w:rsidP="001F3098">
            <w:pPr>
              <w:shd w:val="clear" w:color="auto" w:fill="FFFFFF"/>
              <w:spacing w:before="120" w:after="0" w:line="240" w:lineRule="auto"/>
              <w:jc w:val="both"/>
              <w:rPr>
                <w:rFonts w:ascii="Times New Roman" w:hAnsi="Times New Roman"/>
                <w:sz w:val="20"/>
                <w:szCs w:val="20"/>
              </w:rPr>
            </w:pPr>
            <w:r w:rsidRPr="000D7827">
              <w:rPr>
                <w:rFonts w:ascii="Times New Roman" w:hAnsi="Times New Roman"/>
                <w:sz w:val="20"/>
                <w:szCs w:val="20"/>
              </w:rPr>
              <w:t>70.Reprezentantul autorizat al producătorului poate depune cererea menționată la secțiunea a-3-a, subsecțiunea a 3-a și poate îndeplini obligațiile menționate la subsecțiunea a 7-a și pct. 69., cu condiția ca acestea să fie menționate în mandat.</w:t>
            </w:r>
          </w:p>
        </w:tc>
      </w:tr>
      <w:tr w:rsidR="00F30157" w:rsidRPr="00B2649B" w:rsidTr="007A7A5D">
        <w:trPr>
          <w:trHeight w:val="531"/>
        </w:trPr>
        <w:tc>
          <w:tcPr>
            <w:tcW w:w="5918" w:type="dxa"/>
            <w:vMerge/>
          </w:tcPr>
          <w:p w:rsidR="00F30157" w:rsidRPr="00E24D70" w:rsidRDefault="00F30157" w:rsidP="00B2649B">
            <w:pPr>
              <w:spacing w:after="0" w:line="240" w:lineRule="auto"/>
              <w:rPr>
                <w:rFonts w:ascii="Times New Roman" w:hAnsi="Times New Roman"/>
                <w:color w:val="000000"/>
                <w:sz w:val="28"/>
                <w:szCs w:val="28"/>
              </w:rPr>
            </w:pPr>
          </w:p>
        </w:tc>
        <w:tc>
          <w:tcPr>
            <w:tcW w:w="1001" w:type="dxa"/>
          </w:tcPr>
          <w:p w:rsidR="00F30157" w:rsidRDefault="00F3015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3979" w:type="dxa"/>
          </w:tcPr>
          <w:p w:rsidR="00F30157" w:rsidRPr="000D7827" w:rsidRDefault="00F30157" w:rsidP="00E24D70">
            <w:pPr>
              <w:spacing w:after="0" w:line="240" w:lineRule="auto"/>
              <w:ind w:left="2" w:right="82"/>
              <w:jc w:val="both"/>
              <w:rPr>
                <w:rFonts w:ascii="Times New Roman" w:hAnsi="Times New Roman"/>
                <w:sz w:val="20"/>
                <w:szCs w:val="20"/>
              </w:rPr>
            </w:pPr>
            <w:r w:rsidRPr="000D7827">
              <w:rPr>
                <w:rFonts w:ascii="Times New Roman" w:hAnsi="Times New Roman"/>
                <w:sz w:val="20"/>
                <w:szCs w:val="20"/>
              </w:rPr>
              <w:t xml:space="preserve">Subpct. 79.5 face referire la „art. 8 alin. (8)” fără a preciza actul normativ, ceea ce necesită completare explicită. </w:t>
            </w:r>
          </w:p>
        </w:tc>
        <w:tc>
          <w:tcPr>
            <w:tcW w:w="2406" w:type="dxa"/>
            <w:gridSpan w:val="2"/>
          </w:tcPr>
          <w:p w:rsidR="00F30157" w:rsidRPr="000D7827" w:rsidRDefault="00F30157" w:rsidP="00D41C5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F30157" w:rsidRPr="00B2649B" w:rsidTr="007A7A5D">
        <w:trPr>
          <w:trHeight w:val="531"/>
        </w:trPr>
        <w:tc>
          <w:tcPr>
            <w:tcW w:w="5918" w:type="dxa"/>
            <w:vMerge/>
          </w:tcPr>
          <w:p w:rsidR="00F30157" w:rsidRPr="00E24D70" w:rsidRDefault="00F30157" w:rsidP="00B2649B">
            <w:pPr>
              <w:spacing w:after="0" w:line="240" w:lineRule="auto"/>
              <w:rPr>
                <w:rFonts w:ascii="Times New Roman" w:hAnsi="Times New Roman"/>
                <w:color w:val="000000"/>
                <w:sz w:val="28"/>
                <w:szCs w:val="28"/>
              </w:rPr>
            </w:pPr>
          </w:p>
        </w:tc>
        <w:tc>
          <w:tcPr>
            <w:tcW w:w="1001" w:type="dxa"/>
          </w:tcPr>
          <w:p w:rsidR="00F30157" w:rsidRDefault="00F3015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w:t>
            </w:r>
          </w:p>
        </w:tc>
        <w:tc>
          <w:tcPr>
            <w:tcW w:w="3979" w:type="dxa"/>
          </w:tcPr>
          <w:p w:rsidR="00F30157" w:rsidRPr="000D7827" w:rsidRDefault="00F30157" w:rsidP="00E24D70">
            <w:pPr>
              <w:spacing w:after="0" w:line="240" w:lineRule="auto"/>
              <w:ind w:left="2" w:right="82"/>
              <w:jc w:val="both"/>
              <w:rPr>
                <w:rFonts w:ascii="Times New Roman" w:hAnsi="Times New Roman"/>
                <w:sz w:val="20"/>
                <w:szCs w:val="20"/>
              </w:rPr>
            </w:pPr>
            <w:r w:rsidRPr="000D7827">
              <w:rPr>
                <w:rFonts w:ascii="Times New Roman" w:hAnsi="Times New Roman"/>
                <w:sz w:val="20"/>
                <w:szCs w:val="20"/>
              </w:rPr>
              <w:t xml:space="preserve">- Pct. 86 face referire la o „anexă respectivă”, deși proiectul nu conține anexe. Aceeași obiecție este valabilă și pentru pct. 92, care menționează „Anexa II”. </w:t>
            </w:r>
          </w:p>
        </w:tc>
        <w:tc>
          <w:tcPr>
            <w:tcW w:w="2406" w:type="dxa"/>
            <w:gridSpan w:val="2"/>
          </w:tcPr>
          <w:p w:rsidR="00F30157" w:rsidRPr="000D7827" w:rsidRDefault="00F30157" w:rsidP="00D41C5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F30157" w:rsidRPr="00B2649B" w:rsidTr="007A7A5D">
        <w:trPr>
          <w:trHeight w:val="531"/>
        </w:trPr>
        <w:tc>
          <w:tcPr>
            <w:tcW w:w="5918" w:type="dxa"/>
            <w:vMerge/>
          </w:tcPr>
          <w:p w:rsidR="00F30157" w:rsidRPr="00E24D70" w:rsidRDefault="00F30157" w:rsidP="00B2649B">
            <w:pPr>
              <w:spacing w:after="0" w:line="240" w:lineRule="auto"/>
              <w:rPr>
                <w:rFonts w:ascii="Times New Roman" w:hAnsi="Times New Roman"/>
                <w:color w:val="000000"/>
                <w:sz w:val="28"/>
                <w:szCs w:val="28"/>
              </w:rPr>
            </w:pPr>
          </w:p>
        </w:tc>
        <w:tc>
          <w:tcPr>
            <w:tcW w:w="1001" w:type="dxa"/>
          </w:tcPr>
          <w:p w:rsidR="00F30157" w:rsidRDefault="00F3015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p>
        </w:tc>
        <w:tc>
          <w:tcPr>
            <w:tcW w:w="3979" w:type="dxa"/>
          </w:tcPr>
          <w:p w:rsidR="00F30157" w:rsidRPr="000D7827" w:rsidRDefault="00F30157" w:rsidP="00E24D70">
            <w:pPr>
              <w:spacing w:after="0" w:line="240" w:lineRule="auto"/>
              <w:ind w:left="2" w:right="82"/>
              <w:jc w:val="both"/>
              <w:rPr>
                <w:rFonts w:ascii="Times New Roman" w:hAnsi="Times New Roman"/>
                <w:sz w:val="20"/>
                <w:szCs w:val="20"/>
              </w:rPr>
            </w:pPr>
            <w:r w:rsidRPr="000D7827">
              <w:rPr>
                <w:rFonts w:ascii="Times New Roman" w:hAnsi="Times New Roman"/>
                <w:sz w:val="20"/>
                <w:szCs w:val="20"/>
              </w:rPr>
              <w:t>- Pct. 95 trimite eronat la „pct. 82”, deși cerințele pentru sistemul de calitate sunt prevăzute între pct. 83–92. Aceeași obiecție este valabilă și pentru pct. 101. În concluzie, recomandăm ajustarea proiectului prin eliminarea referințelor incorecte pentru a evita suprapuneri sau confuzii. În acest fel, proiectul va stabilirea cerințe clare și aplicabile, fără a genera interpretări sau neconcordante cu legislația în vigoare.</w:t>
            </w:r>
          </w:p>
        </w:tc>
        <w:tc>
          <w:tcPr>
            <w:tcW w:w="2406" w:type="dxa"/>
            <w:gridSpan w:val="2"/>
          </w:tcPr>
          <w:p w:rsidR="00F30157" w:rsidRPr="000D7827" w:rsidRDefault="00F30157" w:rsidP="00D41C5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 parțial</w:t>
            </w:r>
          </w:p>
          <w:p w:rsidR="00F30157" w:rsidRPr="000D7827" w:rsidRDefault="00F30157" w:rsidP="001F3098">
            <w:pPr>
              <w:spacing w:after="0" w:line="240" w:lineRule="auto"/>
              <w:jc w:val="both"/>
              <w:rPr>
                <w:rFonts w:ascii="Times New Roman" w:hAnsi="Times New Roman"/>
                <w:color w:val="000000"/>
                <w:sz w:val="20"/>
                <w:szCs w:val="20"/>
              </w:rPr>
            </w:pPr>
            <w:r w:rsidRPr="000D7827">
              <w:rPr>
                <w:rFonts w:ascii="Times New Roman" w:hAnsi="Times New Roman"/>
                <w:color w:val="000000"/>
                <w:sz w:val="20"/>
                <w:szCs w:val="20"/>
              </w:rPr>
              <w:t>Trimiterea ajustată după cum urmează:</w:t>
            </w:r>
          </w:p>
          <w:p w:rsidR="00F30157" w:rsidRPr="000D7827" w:rsidRDefault="00F30157" w:rsidP="001F3098">
            <w:pPr>
              <w:spacing w:after="0" w:line="240" w:lineRule="auto"/>
              <w:jc w:val="both"/>
              <w:rPr>
                <w:rFonts w:ascii="Times New Roman" w:hAnsi="Times New Roman"/>
                <w:sz w:val="20"/>
                <w:szCs w:val="20"/>
              </w:rPr>
            </w:pPr>
            <w:r w:rsidRPr="000D7827">
              <w:rPr>
                <w:rFonts w:ascii="Times New Roman" w:hAnsi="Times New Roman"/>
                <w:sz w:val="20"/>
                <w:szCs w:val="20"/>
              </w:rPr>
              <w:t xml:space="preserve">95. Organismul notificat evaluează sistemul de calitate pentru a determina dacă acesta îndeplinește cerințele menționate la </w:t>
            </w:r>
            <w:bookmarkStart w:id="3" w:name="_Hlk211957660"/>
            <w:r w:rsidRPr="000D7827">
              <w:rPr>
                <w:rFonts w:ascii="Times New Roman" w:hAnsi="Times New Roman"/>
                <w:sz w:val="20"/>
                <w:szCs w:val="20"/>
              </w:rPr>
              <w:t>secțiunea a 5-a, subsecțiunea a 5-a</w:t>
            </w:r>
            <w:bookmarkEnd w:id="3"/>
            <w:r w:rsidRPr="000D7827">
              <w:rPr>
                <w:rFonts w:ascii="Times New Roman" w:hAnsi="Times New Roman"/>
                <w:sz w:val="20"/>
                <w:szCs w:val="20"/>
              </w:rPr>
              <w:t>.</w:t>
            </w:r>
          </w:p>
          <w:p w:rsidR="00F30157" w:rsidRPr="000D7827" w:rsidRDefault="00F30157" w:rsidP="001F3098">
            <w:pPr>
              <w:shd w:val="clear" w:color="auto" w:fill="FFFFFF"/>
              <w:spacing w:after="0" w:line="276" w:lineRule="auto"/>
              <w:jc w:val="both"/>
              <w:rPr>
                <w:rFonts w:ascii="Times New Roman" w:hAnsi="Times New Roman"/>
                <w:sz w:val="20"/>
                <w:szCs w:val="20"/>
              </w:rPr>
            </w:pPr>
            <w:r w:rsidRPr="000D7827">
              <w:rPr>
                <w:rFonts w:ascii="Times New Roman" w:hAnsi="Times New Roman"/>
                <w:color w:val="000000"/>
                <w:sz w:val="20"/>
                <w:szCs w:val="20"/>
              </w:rPr>
              <w:t xml:space="preserve">101. </w:t>
            </w:r>
            <w:r w:rsidRPr="000D7827">
              <w:rPr>
                <w:rFonts w:ascii="Times New Roman" w:hAnsi="Times New Roman"/>
                <w:sz w:val="20"/>
                <w:szCs w:val="20"/>
              </w:rPr>
              <w:t>Organismul notificat evaluează modificările propuse și decide dacă sistemul de calitate modificat va continua să satisfacă cerințele menționate la secțiunea a 5-a, subsecțiunea a 5-a</w:t>
            </w:r>
            <w:r w:rsidRPr="000D7827" w:rsidDel="00C86EBA">
              <w:rPr>
                <w:rFonts w:ascii="Times New Roman" w:hAnsi="Times New Roman"/>
                <w:sz w:val="20"/>
                <w:szCs w:val="20"/>
              </w:rPr>
              <w:t xml:space="preserve"> </w:t>
            </w:r>
            <w:r w:rsidRPr="000D7827">
              <w:rPr>
                <w:rFonts w:ascii="Times New Roman" w:hAnsi="Times New Roman"/>
                <w:sz w:val="20"/>
                <w:szCs w:val="20"/>
              </w:rPr>
              <w:t>sau dacă este necesară o reevaluare.</w:t>
            </w:r>
          </w:p>
        </w:tc>
      </w:tr>
      <w:tr w:rsidR="004A38DB" w:rsidRPr="00B2649B" w:rsidTr="00825909">
        <w:trPr>
          <w:trHeight w:val="531"/>
        </w:trPr>
        <w:tc>
          <w:tcPr>
            <w:tcW w:w="5918" w:type="dxa"/>
            <w:tcBorders>
              <w:top w:val="nil"/>
            </w:tcBorders>
          </w:tcPr>
          <w:p w:rsidR="004A38DB" w:rsidRPr="00A85776" w:rsidRDefault="00E90738" w:rsidP="00B2649B">
            <w:pPr>
              <w:spacing w:after="0" w:line="240" w:lineRule="auto"/>
              <w:rPr>
                <w:rFonts w:ascii="Times New Roman" w:hAnsi="Times New Roman"/>
                <w:b/>
                <w:sz w:val="24"/>
                <w:szCs w:val="24"/>
              </w:rPr>
            </w:pPr>
            <w:r w:rsidRPr="00A85776">
              <w:rPr>
                <w:rFonts w:ascii="Times New Roman" w:hAnsi="Times New Roman"/>
                <w:b/>
                <w:sz w:val="24"/>
                <w:szCs w:val="24"/>
              </w:rPr>
              <w:t>I.P. Centrul Național Sănătatea Animalelor</w:t>
            </w:r>
            <w:r w:rsidR="008D6565" w:rsidRPr="00A85776">
              <w:rPr>
                <w:rFonts w:ascii="Times New Roman" w:hAnsi="Times New Roman"/>
                <w:b/>
                <w:sz w:val="24"/>
                <w:szCs w:val="24"/>
              </w:rPr>
              <w:t xml:space="preserve">, Plantelor și Siguranța </w:t>
            </w:r>
            <w:r w:rsidR="00EA57AE" w:rsidRPr="00A85776">
              <w:rPr>
                <w:rFonts w:ascii="Times New Roman" w:hAnsi="Times New Roman"/>
                <w:b/>
                <w:sz w:val="24"/>
                <w:szCs w:val="24"/>
              </w:rPr>
              <w:t>Alimentelor</w:t>
            </w:r>
          </w:p>
          <w:p w:rsidR="00EA57AE" w:rsidRPr="00C3732E" w:rsidRDefault="00EA57AE" w:rsidP="00B2649B">
            <w:pPr>
              <w:spacing w:after="0" w:line="240" w:lineRule="auto"/>
              <w:rPr>
                <w:rFonts w:ascii="Times New Roman" w:hAnsi="Times New Roman"/>
              </w:rPr>
            </w:pPr>
            <w:r w:rsidRPr="00A85776">
              <w:rPr>
                <w:rFonts w:ascii="Times New Roman" w:hAnsi="Times New Roman"/>
                <w:sz w:val="24"/>
                <w:szCs w:val="24"/>
              </w:rPr>
              <w:t xml:space="preserve">Nr. </w:t>
            </w:r>
            <w:r w:rsidR="00BE30D6" w:rsidRPr="00A85776">
              <w:rPr>
                <w:rFonts w:ascii="Times New Roman" w:hAnsi="Times New Roman"/>
                <w:sz w:val="24"/>
                <w:szCs w:val="24"/>
              </w:rPr>
              <w:t xml:space="preserve">397 </w:t>
            </w:r>
            <w:r w:rsidR="005B0695" w:rsidRPr="00A85776">
              <w:rPr>
                <w:rFonts w:ascii="Times New Roman" w:hAnsi="Times New Roman"/>
                <w:sz w:val="24"/>
                <w:szCs w:val="24"/>
              </w:rPr>
              <w:t xml:space="preserve">din </w:t>
            </w:r>
            <w:r w:rsidR="00754735" w:rsidRPr="00A85776">
              <w:rPr>
                <w:rFonts w:ascii="Times New Roman" w:hAnsi="Times New Roman"/>
                <w:sz w:val="24"/>
                <w:szCs w:val="24"/>
              </w:rPr>
              <w:t>21.10.</w:t>
            </w:r>
            <w:r w:rsidR="005B0695" w:rsidRPr="00A85776">
              <w:rPr>
                <w:rFonts w:ascii="Times New Roman" w:hAnsi="Times New Roman"/>
                <w:sz w:val="24"/>
                <w:szCs w:val="24"/>
              </w:rPr>
              <w:t>2025</w:t>
            </w:r>
          </w:p>
        </w:tc>
        <w:tc>
          <w:tcPr>
            <w:tcW w:w="1001" w:type="dxa"/>
          </w:tcPr>
          <w:p w:rsidR="004A38DB" w:rsidRPr="00C3732E" w:rsidRDefault="00086500" w:rsidP="00B2649B">
            <w:pPr>
              <w:spacing w:after="0" w:line="240" w:lineRule="auto"/>
              <w:jc w:val="center"/>
              <w:rPr>
                <w:rFonts w:ascii="Times New Roman" w:hAnsi="Times New Roman"/>
              </w:rPr>
            </w:pPr>
            <w:r>
              <w:rPr>
                <w:rFonts w:ascii="Times New Roman" w:hAnsi="Times New Roman"/>
              </w:rPr>
              <w:t>28</w:t>
            </w:r>
          </w:p>
        </w:tc>
        <w:tc>
          <w:tcPr>
            <w:tcW w:w="3979" w:type="dxa"/>
          </w:tcPr>
          <w:p w:rsidR="00754735" w:rsidRPr="000D7827" w:rsidRDefault="00BE30D6" w:rsidP="008C3386">
            <w:pPr>
              <w:ind w:right="4"/>
              <w:jc w:val="both"/>
              <w:rPr>
                <w:rFonts w:ascii="Times New Roman" w:hAnsi="Times New Roman"/>
                <w:sz w:val="20"/>
                <w:szCs w:val="20"/>
              </w:rPr>
            </w:pPr>
            <w:r w:rsidRPr="000D7827">
              <w:rPr>
                <w:rFonts w:ascii="Times New Roman" w:hAnsi="Times New Roman"/>
                <w:sz w:val="20"/>
                <w:szCs w:val="20"/>
              </w:rPr>
              <w:t>Prin prezenta, cu referinli la scrisoarea Cancelariei de Stat nr. 18-69-10265 din 06.10.2025, CNSAPSA a examinat PHG pentru aprobarea Regulamentului privind procedurile de evaluare a conformit</w:t>
            </w:r>
            <w:r w:rsidR="00754735" w:rsidRPr="000D7827">
              <w:rPr>
                <w:rFonts w:ascii="Times New Roman" w:hAnsi="Times New Roman"/>
                <w:sz w:val="20"/>
                <w:szCs w:val="20"/>
              </w:rPr>
              <w:t>ăț</w:t>
            </w:r>
            <w:r w:rsidRPr="000D7827">
              <w:rPr>
                <w:rFonts w:ascii="Times New Roman" w:hAnsi="Times New Roman"/>
                <w:sz w:val="20"/>
                <w:szCs w:val="20"/>
              </w:rPr>
              <w:t xml:space="preserve">ii ale produselor fertilizante </w:t>
            </w:r>
            <w:r w:rsidR="00754735" w:rsidRPr="000D7827">
              <w:rPr>
                <w:rFonts w:ascii="Times New Roman" w:hAnsi="Times New Roman"/>
                <w:sz w:val="20"/>
                <w:szCs w:val="20"/>
              </w:rPr>
              <w:t>ș</w:t>
            </w:r>
            <w:r w:rsidRPr="000D7827">
              <w:rPr>
                <w:rFonts w:ascii="Times New Roman" w:hAnsi="Times New Roman"/>
                <w:sz w:val="20"/>
                <w:szCs w:val="20"/>
              </w:rPr>
              <w:t>i inainteaz</w:t>
            </w:r>
            <w:r w:rsidR="00754735" w:rsidRPr="000D7827">
              <w:rPr>
                <w:rFonts w:ascii="Times New Roman" w:hAnsi="Times New Roman"/>
                <w:sz w:val="20"/>
                <w:szCs w:val="20"/>
              </w:rPr>
              <w:t>ă</w:t>
            </w:r>
            <w:r w:rsidRPr="000D7827">
              <w:rPr>
                <w:rFonts w:ascii="Times New Roman" w:hAnsi="Times New Roman"/>
                <w:sz w:val="20"/>
                <w:szCs w:val="20"/>
              </w:rPr>
              <w:t xml:space="preserve"> urm</w:t>
            </w:r>
            <w:r w:rsidR="00754735" w:rsidRPr="000D7827">
              <w:rPr>
                <w:rFonts w:ascii="Times New Roman" w:hAnsi="Times New Roman"/>
                <w:sz w:val="20"/>
                <w:szCs w:val="20"/>
              </w:rPr>
              <w:t>ă</w:t>
            </w:r>
            <w:r w:rsidRPr="000D7827">
              <w:rPr>
                <w:rFonts w:ascii="Times New Roman" w:hAnsi="Times New Roman"/>
                <w:sz w:val="20"/>
                <w:szCs w:val="20"/>
              </w:rPr>
              <w:t xml:space="preserve">toarele propuneri pe marginea acestuia. </w:t>
            </w:r>
          </w:p>
          <w:p w:rsidR="00151944" w:rsidRPr="000D7827" w:rsidRDefault="00754735" w:rsidP="008C3386">
            <w:pPr>
              <w:ind w:right="4"/>
              <w:jc w:val="both"/>
              <w:rPr>
                <w:rFonts w:ascii="Times New Roman" w:hAnsi="Times New Roman"/>
                <w:b/>
                <w:sz w:val="20"/>
                <w:szCs w:val="20"/>
              </w:rPr>
            </w:pPr>
            <w:r w:rsidRPr="000D7827">
              <w:rPr>
                <w:rFonts w:ascii="Times New Roman" w:hAnsi="Times New Roman"/>
                <w:b/>
                <w:sz w:val="20"/>
                <w:szCs w:val="20"/>
              </w:rPr>
              <w:t>1.Î</w:t>
            </w:r>
            <w:r w:rsidR="00BE30D6" w:rsidRPr="000D7827">
              <w:rPr>
                <w:rFonts w:ascii="Times New Roman" w:hAnsi="Times New Roman"/>
                <w:b/>
                <w:sz w:val="20"/>
                <w:szCs w:val="20"/>
              </w:rPr>
              <w:t>n partea hot</w:t>
            </w:r>
            <w:r w:rsidR="00151944" w:rsidRPr="000D7827">
              <w:rPr>
                <w:rFonts w:ascii="Times New Roman" w:hAnsi="Times New Roman"/>
                <w:b/>
                <w:sz w:val="20"/>
                <w:szCs w:val="20"/>
              </w:rPr>
              <w:t>ărâtoa</w:t>
            </w:r>
            <w:r w:rsidR="00BE30D6" w:rsidRPr="000D7827">
              <w:rPr>
                <w:rFonts w:ascii="Times New Roman" w:hAnsi="Times New Roman"/>
                <w:b/>
                <w:sz w:val="20"/>
                <w:szCs w:val="20"/>
              </w:rPr>
              <w:t xml:space="preserve">re a proiectului </w:t>
            </w:r>
          </w:p>
          <w:p w:rsidR="00181D4F" w:rsidRPr="000D7827" w:rsidRDefault="00BE30D6" w:rsidP="008C3386">
            <w:pPr>
              <w:ind w:right="4"/>
              <w:jc w:val="both"/>
              <w:rPr>
                <w:rFonts w:ascii="Times New Roman" w:hAnsi="Times New Roman"/>
                <w:sz w:val="20"/>
                <w:szCs w:val="20"/>
              </w:rPr>
            </w:pPr>
            <w:r w:rsidRPr="000D7827">
              <w:rPr>
                <w:rFonts w:ascii="Times New Roman" w:hAnsi="Times New Roman"/>
                <w:sz w:val="20"/>
                <w:szCs w:val="20"/>
              </w:rPr>
              <w:t>Din denumirea proiectului de Hot</w:t>
            </w:r>
            <w:r w:rsidR="00214519" w:rsidRPr="000D7827">
              <w:rPr>
                <w:rFonts w:ascii="Times New Roman" w:hAnsi="Times New Roman"/>
                <w:sz w:val="20"/>
                <w:szCs w:val="20"/>
              </w:rPr>
              <w:t>ă</w:t>
            </w:r>
            <w:r w:rsidRPr="000D7827">
              <w:rPr>
                <w:rFonts w:ascii="Times New Roman" w:hAnsi="Times New Roman"/>
                <w:sz w:val="20"/>
                <w:szCs w:val="20"/>
              </w:rPr>
              <w:t>r</w:t>
            </w:r>
            <w:r w:rsidR="00F24992" w:rsidRPr="000D7827">
              <w:rPr>
                <w:rFonts w:ascii="Times New Roman" w:hAnsi="Times New Roman"/>
                <w:sz w:val="20"/>
                <w:szCs w:val="20"/>
              </w:rPr>
              <w:t>â</w:t>
            </w:r>
            <w:r w:rsidRPr="000D7827">
              <w:rPr>
                <w:rFonts w:ascii="Times New Roman" w:hAnsi="Times New Roman"/>
                <w:sz w:val="20"/>
                <w:szCs w:val="20"/>
              </w:rPr>
              <w:t xml:space="preserve">re, din norma pct. </w:t>
            </w:r>
            <w:r w:rsidR="00F24992" w:rsidRPr="000D7827">
              <w:rPr>
                <w:rFonts w:ascii="Times New Roman" w:hAnsi="Times New Roman"/>
                <w:sz w:val="20"/>
                <w:szCs w:val="20"/>
              </w:rPr>
              <w:t>1</w:t>
            </w:r>
            <w:r w:rsidRPr="000D7827">
              <w:rPr>
                <w:rFonts w:ascii="Times New Roman" w:hAnsi="Times New Roman"/>
                <w:sz w:val="20"/>
                <w:szCs w:val="20"/>
              </w:rPr>
              <w:t xml:space="preserve"> </w:t>
            </w:r>
            <w:r w:rsidR="00F24992" w:rsidRPr="000D7827">
              <w:rPr>
                <w:rFonts w:ascii="Times New Roman" w:hAnsi="Times New Roman"/>
                <w:sz w:val="20"/>
                <w:szCs w:val="20"/>
              </w:rPr>
              <w:t>ș</w:t>
            </w:r>
            <w:r w:rsidRPr="000D7827">
              <w:rPr>
                <w:rFonts w:ascii="Times New Roman" w:hAnsi="Times New Roman"/>
                <w:sz w:val="20"/>
                <w:szCs w:val="20"/>
              </w:rPr>
              <w:t xml:space="preserve">i din </w:t>
            </w:r>
            <w:r w:rsidR="00F24992" w:rsidRPr="000D7827">
              <w:rPr>
                <w:rFonts w:ascii="Times New Roman" w:hAnsi="Times New Roman"/>
                <w:sz w:val="20"/>
                <w:szCs w:val="20"/>
              </w:rPr>
              <w:t>î</w:t>
            </w:r>
            <w:r w:rsidRPr="000D7827">
              <w:rPr>
                <w:rFonts w:ascii="Times New Roman" w:hAnsi="Times New Roman"/>
                <w:sz w:val="20"/>
                <w:szCs w:val="20"/>
              </w:rPr>
              <w:t>ntreg textul Regulamentului se deduce c</w:t>
            </w:r>
            <w:r w:rsidR="00F24992" w:rsidRPr="000D7827">
              <w:rPr>
                <w:rFonts w:ascii="Times New Roman" w:hAnsi="Times New Roman"/>
                <w:sz w:val="20"/>
                <w:szCs w:val="20"/>
              </w:rPr>
              <w:t>ă</w:t>
            </w:r>
            <w:r w:rsidRPr="000D7827">
              <w:rPr>
                <w:rFonts w:ascii="Times New Roman" w:hAnsi="Times New Roman"/>
                <w:sz w:val="20"/>
                <w:szCs w:val="20"/>
              </w:rPr>
              <w:t xml:space="preserve"> evaluarea </w:t>
            </w:r>
            <w:r w:rsidRPr="000D7827">
              <w:rPr>
                <w:rFonts w:ascii="Times New Roman" w:hAnsi="Times New Roman"/>
                <w:sz w:val="20"/>
                <w:szCs w:val="20"/>
              </w:rPr>
              <w:lastRenderedPageBreak/>
              <w:t>conformit</w:t>
            </w:r>
            <w:r w:rsidR="00F24992" w:rsidRPr="000D7827">
              <w:rPr>
                <w:rFonts w:ascii="Times New Roman" w:hAnsi="Times New Roman"/>
                <w:sz w:val="20"/>
                <w:szCs w:val="20"/>
              </w:rPr>
              <w:t>ăț</w:t>
            </w:r>
            <w:r w:rsidR="00181D4F" w:rsidRPr="000D7827">
              <w:rPr>
                <w:rFonts w:ascii="Times New Roman" w:hAnsi="Times New Roman"/>
                <w:sz w:val="20"/>
                <w:szCs w:val="20"/>
              </w:rPr>
              <w:t>ii</w:t>
            </w:r>
            <w:r w:rsidRPr="000D7827">
              <w:rPr>
                <w:rFonts w:ascii="Times New Roman" w:hAnsi="Times New Roman"/>
                <w:sz w:val="20"/>
                <w:szCs w:val="20"/>
              </w:rPr>
              <w:t xml:space="preserve"> se reglementeaz</w:t>
            </w:r>
            <w:r w:rsidR="00181D4F" w:rsidRPr="000D7827">
              <w:rPr>
                <w:rFonts w:ascii="Times New Roman" w:hAnsi="Times New Roman"/>
                <w:sz w:val="20"/>
                <w:szCs w:val="20"/>
              </w:rPr>
              <w:t>ă</w:t>
            </w:r>
            <w:r w:rsidRPr="000D7827">
              <w:rPr>
                <w:rFonts w:ascii="Times New Roman" w:hAnsi="Times New Roman"/>
                <w:sz w:val="20"/>
                <w:szCs w:val="20"/>
              </w:rPr>
              <w:t xml:space="preserve"> doar pentru produsele fertilizante UE, care </w:t>
            </w:r>
            <w:r w:rsidR="00181D4F" w:rsidRPr="000D7827">
              <w:rPr>
                <w:rFonts w:ascii="Times New Roman" w:hAnsi="Times New Roman"/>
                <w:sz w:val="20"/>
                <w:szCs w:val="20"/>
              </w:rPr>
              <w:t>î</w:t>
            </w:r>
            <w:r w:rsidRPr="000D7827">
              <w:rPr>
                <w:rFonts w:ascii="Times New Roman" w:hAnsi="Times New Roman"/>
                <w:sz w:val="20"/>
                <w:szCs w:val="20"/>
              </w:rPr>
              <w:t>ntrunesc cond</w:t>
            </w:r>
            <w:r w:rsidR="00181D4F" w:rsidRPr="000D7827">
              <w:rPr>
                <w:rFonts w:ascii="Times New Roman" w:hAnsi="Times New Roman"/>
                <w:sz w:val="20"/>
                <w:szCs w:val="20"/>
              </w:rPr>
              <w:t>ițiile</w:t>
            </w:r>
            <w:r w:rsidRPr="000D7827">
              <w:rPr>
                <w:rFonts w:ascii="Times New Roman" w:hAnsi="Times New Roman"/>
                <w:sz w:val="20"/>
                <w:szCs w:val="20"/>
              </w:rPr>
              <w:t xml:space="preserve"> pentru aplicarea marcajului CE;</w:t>
            </w:r>
          </w:p>
          <w:p w:rsidR="00915C4A" w:rsidRPr="000D7827" w:rsidRDefault="00BE30D6" w:rsidP="008C3386">
            <w:pPr>
              <w:ind w:right="4"/>
              <w:jc w:val="both"/>
              <w:rPr>
                <w:rFonts w:ascii="Times New Roman" w:hAnsi="Times New Roman"/>
                <w:sz w:val="20"/>
                <w:szCs w:val="20"/>
              </w:rPr>
            </w:pPr>
            <w:r w:rsidRPr="000D7827">
              <w:rPr>
                <w:rFonts w:ascii="Times New Roman" w:hAnsi="Times New Roman"/>
                <w:sz w:val="20"/>
                <w:szCs w:val="20"/>
              </w:rPr>
              <w:t>- la pct. 2. Norma dat</w:t>
            </w:r>
            <w:r w:rsidR="00181D4F" w:rsidRPr="000D7827">
              <w:rPr>
                <w:rFonts w:ascii="Times New Roman" w:hAnsi="Times New Roman"/>
                <w:sz w:val="20"/>
                <w:szCs w:val="20"/>
              </w:rPr>
              <w:t>ă</w:t>
            </w:r>
            <w:r w:rsidRPr="000D7827">
              <w:rPr>
                <w:rFonts w:ascii="Times New Roman" w:hAnsi="Times New Roman"/>
                <w:sz w:val="20"/>
                <w:szCs w:val="20"/>
              </w:rPr>
              <w:t xml:space="preserve"> prevede c</w:t>
            </w:r>
            <w:r w:rsidR="00181D4F" w:rsidRPr="000D7827">
              <w:rPr>
                <w:rFonts w:ascii="Times New Roman" w:hAnsi="Times New Roman"/>
                <w:sz w:val="20"/>
                <w:szCs w:val="20"/>
              </w:rPr>
              <w:t>ă</w:t>
            </w:r>
            <w:r w:rsidRPr="000D7827">
              <w:rPr>
                <w:rFonts w:ascii="Times New Roman" w:hAnsi="Times New Roman"/>
                <w:sz w:val="20"/>
                <w:szCs w:val="20"/>
              </w:rPr>
              <w:t xml:space="preserve"> produsele fe</w:t>
            </w:r>
            <w:r w:rsidR="008A228A" w:rsidRPr="000D7827">
              <w:rPr>
                <w:rFonts w:ascii="Times New Roman" w:hAnsi="Times New Roman"/>
                <w:sz w:val="20"/>
                <w:szCs w:val="20"/>
              </w:rPr>
              <w:t>rt</w:t>
            </w:r>
            <w:r w:rsidRPr="000D7827">
              <w:rPr>
                <w:rFonts w:ascii="Times New Roman" w:hAnsi="Times New Roman"/>
                <w:sz w:val="20"/>
                <w:szCs w:val="20"/>
              </w:rPr>
              <w:t>ilizante MD se supun procedurilor de evaluare a conformit</w:t>
            </w:r>
            <w:r w:rsidR="00181D4F" w:rsidRPr="000D7827">
              <w:rPr>
                <w:rFonts w:ascii="Times New Roman" w:hAnsi="Times New Roman"/>
                <w:sz w:val="20"/>
                <w:szCs w:val="20"/>
              </w:rPr>
              <w:t>ăți</w:t>
            </w:r>
            <w:r w:rsidRPr="000D7827">
              <w:rPr>
                <w:rFonts w:ascii="Times New Roman" w:hAnsi="Times New Roman"/>
                <w:sz w:val="20"/>
                <w:szCs w:val="20"/>
              </w:rPr>
              <w:t xml:space="preserve">i stabilite Categoriilor de materii componente (CMC) </w:t>
            </w:r>
            <w:r w:rsidR="00181D4F" w:rsidRPr="000D7827">
              <w:rPr>
                <w:rFonts w:ascii="Times New Roman" w:hAnsi="Times New Roman"/>
                <w:sz w:val="20"/>
                <w:szCs w:val="20"/>
              </w:rPr>
              <w:t>ș</w:t>
            </w:r>
            <w:r w:rsidRPr="000D7827">
              <w:rPr>
                <w:rFonts w:ascii="Times New Roman" w:hAnsi="Times New Roman"/>
                <w:sz w:val="20"/>
                <w:szCs w:val="20"/>
              </w:rPr>
              <w:t>i Categoriilor func</w:t>
            </w:r>
            <w:r w:rsidR="00181D4F" w:rsidRPr="000D7827">
              <w:rPr>
                <w:rFonts w:ascii="Times New Roman" w:hAnsi="Times New Roman"/>
                <w:sz w:val="20"/>
                <w:szCs w:val="20"/>
              </w:rPr>
              <w:t>ț</w:t>
            </w:r>
            <w:r w:rsidRPr="000D7827">
              <w:rPr>
                <w:rFonts w:ascii="Times New Roman" w:hAnsi="Times New Roman"/>
                <w:sz w:val="20"/>
                <w:szCs w:val="20"/>
              </w:rPr>
              <w:t xml:space="preserve">ionale de produse (CFP), </w:t>
            </w:r>
            <w:r w:rsidR="00E01919" w:rsidRPr="000D7827">
              <w:rPr>
                <w:rFonts w:ascii="Times New Roman" w:hAnsi="Times New Roman"/>
                <w:sz w:val="20"/>
                <w:szCs w:val="20"/>
              </w:rPr>
              <w:t>î</w:t>
            </w:r>
            <w:r w:rsidRPr="000D7827">
              <w:rPr>
                <w:rFonts w:ascii="Times New Roman" w:hAnsi="Times New Roman"/>
                <w:sz w:val="20"/>
                <w:szCs w:val="20"/>
              </w:rPr>
              <w:t>n timp ce Regulamentul propus nu specific</w:t>
            </w:r>
            <w:r w:rsidR="00E01919" w:rsidRPr="000D7827">
              <w:rPr>
                <w:rFonts w:ascii="Times New Roman" w:hAnsi="Times New Roman"/>
                <w:sz w:val="20"/>
                <w:szCs w:val="20"/>
              </w:rPr>
              <w:t>ă</w:t>
            </w:r>
            <w:r w:rsidRPr="000D7827">
              <w:rPr>
                <w:rFonts w:ascii="Times New Roman" w:hAnsi="Times New Roman"/>
                <w:sz w:val="20"/>
                <w:szCs w:val="20"/>
              </w:rPr>
              <w:t xml:space="preserve"> prevederi referitor la evaluarea conformit</w:t>
            </w:r>
            <w:r w:rsidR="00E01919" w:rsidRPr="000D7827">
              <w:rPr>
                <w:rFonts w:ascii="Times New Roman" w:hAnsi="Times New Roman"/>
                <w:sz w:val="20"/>
                <w:szCs w:val="20"/>
              </w:rPr>
              <w:t>ăți</w:t>
            </w:r>
            <w:r w:rsidRPr="000D7827">
              <w:rPr>
                <w:rFonts w:ascii="Times New Roman" w:hAnsi="Times New Roman"/>
                <w:sz w:val="20"/>
                <w:szCs w:val="20"/>
              </w:rPr>
              <w:t>i produselor fe</w:t>
            </w:r>
            <w:r w:rsidR="00E01919" w:rsidRPr="000D7827">
              <w:rPr>
                <w:rFonts w:ascii="Times New Roman" w:hAnsi="Times New Roman"/>
                <w:sz w:val="20"/>
                <w:szCs w:val="20"/>
              </w:rPr>
              <w:t>rt</w:t>
            </w:r>
            <w:r w:rsidRPr="000D7827">
              <w:rPr>
                <w:rFonts w:ascii="Times New Roman" w:hAnsi="Times New Roman"/>
                <w:sz w:val="20"/>
                <w:szCs w:val="20"/>
              </w:rPr>
              <w:t xml:space="preserve">ilizante MD. Astfel de norme sunt reglementate </w:t>
            </w:r>
            <w:r w:rsidR="00E01919" w:rsidRPr="000D7827">
              <w:rPr>
                <w:rFonts w:ascii="Times New Roman" w:hAnsi="Times New Roman"/>
                <w:sz w:val="20"/>
                <w:szCs w:val="20"/>
              </w:rPr>
              <w:t>și l</w:t>
            </w:r>
            <w:r w:rsidRPr="000D7827">
              <w:rPr>
                <w:rFonts w:ascii="Times New Roman" w:hAnsi="Times New Roman"/>
                <w:sz w:val="20"/>
                <w:szCs w:val="20"/>
              </w:rPr>
              <w:t xml:space="preserve">a art. 17, alin. (4) din Legea </w:t>
            </w:r>
            <w:r w:rsidR="00E01919" w:rsidRPr="000D7827">
              <w:rPr>
                <w:rFonts w:ascii="Times New Roman" w:hAnsi="Times New Roman"/>
                <w:sz w:val="20"/>
                <w:szCs w:val="20"/>
              </w:rPr>
              <w:t>nr</w:t>
            </w:r>
            <w:r w:rsidRPr="000D7827">
              <w:rPr>
                <w:rFonts w:ascii="Times New Roman" w:hAnsi="Times New Roman"/>
                <w:sz w:val="20"/>
                <w:szCs w:val="20"/>
              </w:rPr>
              <w:t>. 21</w:t>
            </w:r>
            <w:r w:rsidR="00E01919" w:rsidRPr="000D7827">
              <w:rPr>
                <w:rFonts w:ascii="Times New Roman" w:hAnsi="Times New Roman"/>
                <w:sz w:val="20"/>
                <w:szCs w:val="20"/>
              </w:rPr>
              <w:t>/</w:t>
            </w:r>
            <w:r w:rsidRPr="000D7827">
              <w:rPr>
                <w:rFonts w:ascii="Times New Roman" w:hAnsi="Times New Roman"/>
                <w:sz w:val="20"/>
                <w:szCs w:val="20"/>
              </w:rPr>
              <w:t>2025 care stipuleaz</w:t>
            </w:r>
            <w:r w:rsidR="00E01919" w:rsidRPr="000D7827">
              <w:rPr>
                <w:rFonts w:ascii="Times New Roman" w:hAnsi="Times New Roman"/>
                <w:sz w:val="20"/>
                <w:szCs w:val="20"/>
              </w:rPr>
              <w:t>ă</w:t>
            </w:r>
            <w:r w:rsidRPr="000D7827">
              <w:rPr>
                <w:rFonts w:ascii="Times New Roman" w:hAnsi="Times New Roman"/>
                <w:sz w:val="20"/>
                <w:szCs w:val="20"/>
              </w:rPr>
              <w:t xml:space="preserve"> c</w:t>
            </w:r>
            <w:r w:rsidR="00D0615A" w:rsidRPr="000D7827">
              <w:rPr>
                <w:rFonts w:ascii="Times New Roman" w:hAnsi="Times New Roman"/>
                <w:sz w:val="20"/>
                <w:szCs w:val="20"/>
              </w:rPr>
              <w:t>ă</w:t>
            </w:r>
            <w:r w:rsidRPr="000D7827">
              <w:rPr>
                <w:rFonts w:ascii="Times New Roman" w:hAnsi="Times New Roman"/>
                <w:sz w:val="20"/>
                <w:szCs w:val="20"/>
              </w:rPr>
              <w:t xml:space="preserve"> ,,(4) Produsele fertilizante MD care dispun de documente ce ateste conformitatea acestora cu cerin</w:t>
            </w:r>
            <w:r w:rsidR="00FE7DFA" w:rsidRPr="000D7827">
              <w:rPr>
                <w:rFonts w:ascii="Times New Roman" w:hAnsi="Times New Roman"/>
                <w:sz w:val="20"/>
                <w:szCs w:val="20"/>
              </w:rPr>
              <w:t>ț</w:t>
            </w:r>
            <w:r w:rsidRPr="000D7827">
              <w:rPr>
                <w:rFonts w:ascii="Times New Roman" w:hAnsi="Times New Roman"/>
                <w:sz w:val="20"/>
                <w:szCs w:val="20"/>
              </w:rPr>
              <w:t>ele tehnice ale statelor membre ale Uniunii Europene sau cu acordurile interna</w:t>
            </w:r>
            <w:r w:rsidR="006A4508" w:rsidRPr="000D7827">
              <w:rPr>
                <w:rFonts w:ascii="Times New Roman" w:hAnsi="Times New Roman"/>
                <w:sz w:val="20"/>
                <w:szCs w:val="20"/>
              </w:rPr>
              <w:t>ți</w:t>
            </w:r>
            <w:r w:rsidRPr="000D7827">
              <w:rPr>
                <w:rFonts w:ascii="Times New Roman" w:hAnsi="Times New Roman"/>
                <w:sz w:val="20"/>
                <w:szCs w:val="20"/>
              </w:rPr>
              <w:t>onale, emise de organisme de evaluare a confo</w:t>
            </w:r>
            <w:r w:rsidR="0035291E" w:rsidRPr="000D7827">
              <w:rPr>
                <w:rFonts w:ascii="Times New Roman" w:hAnsi="Times New Roman"/>
                <w:sz w:val="20"/>
                <w:szCs w:val="20"/>
              </w:rPr>
              <w:t>rmității</w:t>
            </w:r>
            <w:r w:rsidRPr="000D7827">
              <w:rPr>
                <w:rFonts w:ascii="Times New Roman" w:hAnsi="Times New Roman"/>
                <w:sz w:val="20"/>
                <w:szCs w:val="20"/>
              </w:rPr>
              <w:t xml:space="preserve"> acreditate in conformitate cu cerin</w:t>
            </w:r>
            <w:r w:rsidR="003A7A6D" w:rsidRPr="000D7827">
              <w:rPr>
                <w:rFonts w:ascii="Times New Roman" w:hAnsi="Times New Roman"/>
                <w:sz w:val="20"/>
                <w:szCs w:val="20"/>
              </w:rPr>
              <w:t>ț</w:t>
            </w:r>
            <w:r w:rsidRPr="000D7827">
              <w:rPr>
                <w:rFonts w:ascii="Times New Roman" w:hAnsi="Times New Roman"/>
                <w:sz w:val="20"/>
                <w:szCs w:val="20"/>
              </w:rPr>
              <w:t xml:space="preserve">ele Uniunii Europene sau </w:t>
            </w:r>
            <w:r w:rsidR="007F060C" w:rsidRPr="000D7827">
              <w:rPr>
                <w:rFonts w:ascii="Times New Roman" w:hAnsi="Times New Roman"/>
                <w:sz w:val="20"/>
                <w:szCs w:val="20"/>
              </w:rPr>
              <w:t>î</w:t>
            </w:r>
            <w:r w:rsidRPr="000D7827">
              <w:rPr>
                <w:rFonts w:ascii="Times New Roman" w:hAnsi="Times New Roman"/>
                <w:sz w:val="20"/>
                <w:szCs w:val="20"/>
              </w:rPr>
              <w:t>n conformitate cu cerin</w:t>
            </w:r>
            <w:r w:rsidR="00AF216C" w:rsidRPr="000D7827">
              <w:rPr>
                <w:rFonts w:ascii="Times New Roman" w:hAnsi="Times New Roman"/>
                <w:sz w:val="20"/>
                <w:szCs w:val="20"/>
              </w:rPr>
              <w:t>ț</w:t>
            </w:r>
            <w:r w:rsidRPr="000D7827">
              <w:rPr>
                <w:rFonts w:ascii="Times New Roman" w:hAnsi="Times New Roman"/>
                <w:sz w:val="20"/>
                <w:szCs w:val="20"/>
              </w:rPr>
              <w:t xml:space="preserve">ele </w:t>
            </w:r>
            <w:r w:rsidR="00476A20" w:rsidRPr="000D7827">
              <w:rPr>
                <w:rFonts w:ascii="Times New Roman" w:hAnsi="Times New Roman"/>
                <w:sz w:val="20"/>
                <w:szCs w:val="20"/>
              </w:rPr>
              <w:t>țăril</w:t>
            </w:r>
            <w:r w:rsidRPr="000D7827">
              <w:rPr>
                <w:rFonts w:ascii="Times New Roman" w:hAnsi="Times New Roman"/>
                <w:sz w:val="20"/>
                <w:szCs w:val="20"/>
              </w:rPr>
              <w:t>or cu care exist</w:t>
            </w:r>
            <w:r w:rsidR="007F060C" w:rsidRPr="000D7827">
              <w:rPr>
                <w:rFonts w:ascii="Times New Roman" w:hAnsi="Times New Roman"/>
                <w:sz w:val="20"/>
                <w:szCs w:val="20"/>
              </w:rPr>
              <w:t>ă</w:t>
            </w:r>
            <w:r w:rsidRPr="000D7827">
              <w:rPr>
                <w:rFonts w:ascii="Times New Roman" w:hAnsi="Times New Roman"/>
                <w:sz w:val="20"/>
                <w:szCs w:val="20"/>
              </w:rPr>
              <w:t xml:space="preserve"> acorduri interna</w:t>
            </w:r>
            <w:r w:rsidR="007F060C" w:rsidRPr="000D7827">
              <w:rPr>
                <w:rFonts w:ascii="Times New Roman" w:hAnsi="Times New Roman"/>
                <w:sz w:val="20"/>
                <w:szCs w:val="20"/>
              </w:rPr>
              <w:t>ți</w:t>
            </w:r>
            <w:r w:rsidRPr="000D7827">
              <w:rPr>
                <w:rFonts w:ascii="Times New Roman" w:hAnsi="Times New Roman"/>
                <w:sz w:val="20"/>
                <w:szCs w:val="20"/>
              </w:rPr>
              <w:t xml:space="preserve">onale </w:t>
            </w:r>
            <w:r w:rsidR="007F060C" w:rsidRPr="000D7827">
              <w:rPr>
                <w:rFonts w:ascii="Times New Roman" w:hAnsi="Times New Roman"/>
                <w:sz w:val="20"/>
                <w:szCs w:val="20"/>
              </w:rPr>
              <w:t>î</w:t>
            </w:r>
            <w:r w:rsidRPr="000D7827">
              <w:rPr>
                <w:rFonts w:ascii="Times New Roman" w:hAnsi="Times New Roman"/>
                <w:sz w:val="20"/>
                <w:szCs w:val="20"/>
              </w:rPr>
              <w:t>n acest sens, nu necesit</w:t>
            </w:r>
            <w:r w:rsidR="007F060C" w:rsidRPr="000D7827">
              <w:rPr>
                <w:rFonts w:ascii="Times New Roman" w:hAnsi="Times New Roman"/>
                <w:sz w:val="20"/>
                <w:szCs w:val="20"/>
              </w:rPr>
              <w:t xml:space="preserve">ă </w:t>
            </w:r>
            <w:r w:rsidRPr="000D7827">
              <w:rPr>
                <w:rFonts w:ascii="Times New Roman" w:hAnsi="Times New Roman"/>
                <w:sz w:val="20"/>
                <w:szCs w:val="20"/>
              </w:rPr>
              <w:t>evaluarea conform</w:t>
            </w:r>
            <w:r w:rsidR="007F060C" w:rsidRPr="000D7827">
              <w:rPr>
                <w:rFonts w:ascii="Times New Roman" w:hAnsi="Times New Roman"/>
                <w:sz w:val="20"/>
                <w:szCs w:val="20"/>
              </w:rPr>
              <w:t>ităț</w:t>
            </w:r>
            <w:r w:rsidRPr="000D7827">
              <w:rPr>
                <w:rFonts w:ascii="Times New Roman" w:hAnsi="Times New Roman"/>
                <w:sz w:val="20"/>
                <w:szCs w:val="20"/>
              </w:rPr>
              <w:t xml:space="preserve">ii </w:t>
            </w:r>
            <w:r w:rsidR="00182AF8" w:rsidRPr="000D7827">
              <w:rPr>
                <w:rFonts w:ascii="Times New Roman" w:hAnsi="Times New Roman"/>
                <w:sz w:val="20"/>
                <w:szCs w:val="20"/>
              </w:rPr>
              <w:t>ș</w:t>
            </w:r>
            <w:r w:rsidRPr="000D7827">
              <w:rPr>
                <w:rFonts w:ascii="Times New Roman" w:hAnsi="Times New Roman"/>
                <w:sz w:val="20"/>
                <w:szCs w:val="20"/>
              </w:rPr>
              <w:t xml:space="preserve">i certificarea. Documentele </w:t>
            </w:r>
            <w:r w:rsidR="00182AF8" w:rsidRPr="000D7827">
              <w:rPr>
                <w:rFonts w:ascii="Times New Roman" w:hAnsi="Times New Roman"/>
                <w:sz w:val="20"/>
                <w:szCs w:val="20"/>
              </w:rPr>
              <w:t>î</w:t>
            </w:r>
            <w:r w:rsidRPr="000D7827">
              <w:rPr>
                <w:rFonts w:ascii="Times New Roman" w:hAnsi="Times New Roman"/>
                <w:sz w:val="20"/>
                <w:szCs w:val="20"/>
              </w:rPr>
              <w:t>n ca</w:t>
            </w:r>
            <w:r w:rsidR="00BE7036" w:rsidRPr="000D7827">
              <w:rPr>
                <w:rFonts w:ascii="Times New Roman" w:hAnsi="Times New Roman"/>
                <w:sz w:val="20"/>
                <w:szCs w:val="20"/>
              </w:rPr>
              <w:t>u</w:t>
            </w:r>
            <w:r w:rsidRPr="000D7827">
              <w:rPr>
                <w:rFonts w:ascii="Times New Roman" w:hAnsi="Times New Roman"/>
                <w:sz w:val="20"/>
                <w:szCs w:val="20"/>
              </w:rPr>
              <w:t>z</w:t>
            </w:r>
            <w:r w:rsidR="00BE7036" w:rsidRPr="000D7827">
              <w:rPr>
                <w:rFonts w:ascii="Times New Roman" w:hAnsi="Times New Roman"/>
                <w:sz w:val="20"/>
                <w:szCs w:val="20"/>
              </w:rPr>
              <w:t>ă</w:t>
            </w:r>
            <w:r w:rsidRPr="000D7827">
              <w:rPr>
                <w:rFonts w:ascii="Times New Roman" w:hAnsi="Times New Roman"/>
                <w:sz w:val="20"/>
                <w:szCs w:val="20"/>
              </w:rPr>
              <w:t xml:space="preserve"> sunt utilizate f</w:t>
            </w:r>
            <w:r w:rsidR="00BE7036" w:rsidRPr="000D7827">
              <w:rPr>
                <w:rFonts w:ascii="Times New Roman" w:hAnsi="Times New Roman"/>
                <w:sz w:val="20"/>
                <w:szCs w:val="20"/>
              </w:rPr>
              <w:t>ără</w:t>
            </w:r>
            <w:r w:rsidRPr="000D7827">
              <w:rPr>
                <w:rFonts w:ascii="Times New Roman" w:hAnsi="Times New Roman"/>
                <w:sz w:val="20"/>
                <w:szCs w:val="20"/>
              </w:rPr>
              <w:t xml:space="preserve"> a fi necesar</w:t>
            </w:r>
            <w:r w:rsidR="00BE7036" w:rsidRPr="000D7827">
              <w:rPr>
                <w:rFonts w:ascii="Times New Roman" w:hAnsi="Times New Roman"/>
                <w:sz w:val="20"/>
                <w:szCs w:val="20"/>
              </w:rPr>
              <w:t>ă</w:t>
            </w:r>
            <w:r w:rsidRPr="000D7827">
              <w:rPr>
                <w:rFonts w:ascii="Times New Roman" w:hAnsi="Times New Roman"/>
                <w:sz w:val="20"/>
                <w:szCs w:val="20"/>
              </w:rPr>
              <w:t xml:space="preserve"> nicio procedur</w:t>
            </w:r>
            <w:r w:rsidR="00BE7036" w:rsidRPr="000D7827">
              <w:rPr>
                <w:rFonts w:ascii="Times New Roman" w:hAnsi="Times New Roman"/>
                <w:sz w:val="20"/>
                <w:szCs w:val="20"/>
              </w:rPr>
              <w:t>ă</w:t>
            </w:r>
            <w:r w:rsidRPr="000D7827">
              <w:rPr>
                <w:rFonts w:ascii="Times New Roman" w:hAnsi="Times New Roman"/>
                <w:sz w:val="20"/>
                <w:szCs w:val="20"/>
              </w:rPr>
              <w:t xml:space="preserve"> de recunoa</w:t>
            </w:r>
            <w:r w:rsidR="00BE7036" w:rsidRPr="000D7827">
              <w:rPr>
                <w:rFonts w:ascii="Times New Roman" w:hAnsi="Times New Roman"/>
                <w:sz w:val="20"/>
                <w:szCs w:val="20"/>
              </w:rPr>
              <w:t>ș</w:t>
            </w:r>
            <w:r w:rsidRPr="000D7827">
              <w:rPr>
                <w:rFonts w:ascii="Times New Roman" w:hAnsi="Times New Roman"/>
                <w:sz w:val="20"/>
                <w:szCs w:val="20"/>
              </w:rPr>
              <w:t>tere de c</w:t>
            </w:r>
            <w:r w:rsidR="00BE7036" w:rsidRPr="000D7827">
              <w:rPr>
                <w:rFonts w:ascii="Times New Roman" w:hAnsi="Times New Roman"/>
                <w:sz w:val="20"/>
                <w:szCs w:val="20"/>
              </w:rPr>
              <w:t>ă</w:t>
            </w:r>
            <w:r w:rsidRPr="000D7827">
              <w:rPr>
                <w:rFonts w:ascii="Times New Roman" w:hAnsi="Times New Roman"/>
                <w:sz w:val="20"/>
                <w:szCs w:val="20"/>
              </w:rPr>
              <w:t>tre autorit</w:t>
            </w:r>
            <w:r w:rsidR="001C11E5" w:rsidRPr="000D7827">
              <w:rPr>
                <w:rFonts w:ascii="Times New Roman" w:hAnsi="Times New Roman"/>
                <w:sz w:val="20"/>
                <w:szCs w:val="20"/>
              </w:rPr>
              <w:t>ăț</w:t>
            </w:r>
            <w:r w:rsidRPr="000D7827">
              <w:rPr>
                <w:rFonts w:ascii="Times New Roman" w:hAnsi="Times New Roman"/>
                <w:sz w:val="20"/>
                <w:szCs w:val="20"/>
              </w:rPr>
              <w:t>ile din Republica Moldova." Lu</w:t>
            </w:r>
            <w:r w:rsidR="001C11E5" w:rsidRPr="000D7827">
              <w:rPr>
                <w:rFonts w:ascii="Times New Roman" w:hAnsi="Times New Roman"/>
                <w:sz w:val="20"/>
                <w:szCs w:val="20"/>
              </w:rPr>
              <w:t>â</w:t>
            </w:r>
            <w:r w:rsidRPr="000D7827">
              <w:rPr>
                <w:rFonts w:ascii="Times New Roman" w:hAnsi="Times New Roman"/>
                <w:sz w:val="20"/>
                <w:szCs w:val="20"/>
              </w:rPr>
              <w:t xml:space="preserve">nd </w:t>
            </w:r>
            <w:r w:rsidR="001C11E5" w:rsidRPr="000D7827">
              <w:rPr>
                <w:rFonts w:ascii="Times New Roman" w:hAnsi="Times New Roman"/>
                <w:sz w:val="20"/>
                <w:szCs w:val="20"/>
              </w:rPr>
              <w:t>î</w:t>
            </w:r>
            <w:r w:rsidRPr="000D7827">
              <w:rPr>
                <w:rFonts w:ascii="Times New Roman" w:hAnsi="Times New Roman"/>
                <w:sz w:val="20"/>
                <w:szCs w:val="20"/>
              </w:rPr>
              <w:t>n considera</w:t>
            </w:r>
            <w:r w:rsidR="001C11E5" w:rsidRPr="000D7827">
              <w:rPr>
                <w:rFonts w:ascii="Times New Roman" w:hAnsi="Times New Roman"/>
                <w:sz w:val="20"/>
                <w:szCs w:val="20"/>
              </w:rPr>
              <w:t>ți</w:t>
            </w:r>
            <w:r w:rsidRPr="000D7827">
              <w:rPr>
                <w:rFonts w:ascii="Times New Roman" w:hAnsi="Times New Roman"/>
                <w:sz w:val="20"/>
                <w:szCs w:val="20"/>
              </w:rPr>
              <w:t>e cele expuse, consider</w:t>
            </w:r>
            <w:r w:rsidR="001C11E5" w:rsidRPr="000D7827">
              <w:rPr>
                <w:rFonts w:ascii="Times New Roman" w:hAnsi="Times New Roman"/>
                <w:sz w:val="20"/>
                <w:szCs w:val="20"/>
              </w:rPr>
              <w:t>ă</w:t>
            </w:r>
            <w:r w:rsidRPr="000D7827">
              <w:rPr>
                <w:rFonts w:ascii="Times New Roman" w:hAnsi="Times New Roman"/>
                <w:sz w:val="20"/>
                <w:szCs w:val="20"/>
              </w:rPr>
              <w:t>m oportun</w:t>
            </w:r>
            <w:r w:rsidR="001C11E5" w:rsidRPr="000D7827">
              <w:rPr>
                <w:rFonts w:ascii="Times New Roman" w:hAnsi="Times New Roman"/>
                <w:sz w:val="20"/>
                <w:szCs w:val="20"/>
              </w:rPr>
              <w:t>ă</w:t>
            </w:r>
            <w:r w:rsidRPr="000D7827">
              <w:rPr>
                <w:rFonts w:ascii="Times New Roman" w:hAnsi="Times New Roman"/>
                <w:sz w:val="20"/>
                <w:szCs w:val="20"/>
              </w:rPr>
              <w:t xml:space="preserve"> reglementarea mai complex</w:t>
            </w:r>
            <w:r w:rsidR="001C11E5" w:rsidRPr="000D7827">
              <w:rPr>
                <w:rFonts w:ascii="Times New Roman" w:hAnsi="Times New Roman"/>
                <w:sz w:val="20"/>
                <w:szCs w:val="20"/>
              </w:rPr>
              <w:t>ă</w:t>
            </w:r>
            <w:r w:rsidRPr="000D7827">
              <w:rPr>
                <w:rFonts w:ascii="Times New Roman" w:hAnsi="Times New Roman"/>
                <w:sz w:val="20"/>
                <w:szCs w:val="20"/>
              </w:rPr>
              <w:t xml:space="preserve"> pentru produsele fertilizante MD, pentru care se ates</w:t>
            </w:r>
            <w:r w:rsidR="001C11E5" w:rsidRPr="000D7827">
              <w:rPr>
                <w:rFonts w:ascii="Times New Roman" w:hAnsi="Times New Roman"/>
                <w:sz w:val="20"/>
                <w:szCs w:val="20"/>
              </w:rPr>
              <w:t>tă</w:t>
            </w:r>
            <w:r w:rsidRPr="000D7827">
              <w:rPr>
                <w:rFonts w:ascii="Times New Roman" w:hAnsi="Times New Roman"/>
                <w:sz w:val="20"/>
                <w:szCs w:val="20"/>
              </w:rPr>
              <w:t xml:space="preserve"> un vid legal, comparativ cu produsele fertilizante UE, care sunt reglementate mult mai amplu. </w:t>
            </w:r>
            <w:r w:rsidR="00F77D9B" w:rsidRPr="000D7827">
              <w:rPr>
                <w:rFonts w:ascii="Times New Roman" w:hAnsi="Times New Roman"/>
                <w:sz w:val="20"/>
                <w:szCs w:val="20"/>
              </w:rPr>
              <w:t>Î</w:t>
            </w:r>
            <w:r w:rsidRPr="000D7827">
              <w:rPr>
                <w:rFonts w:ascii="Times New Roman" w:hAnsi="Times New Roman"/>
                <w:sz w:val="20"/>
                <w:szCs w:val="20"/>
              </w:rPr>
              <w:t>ntru crearea unor no</w:t>
            </w:r>
            <w:r w:rsidR="00F77D9B" w:rsidRPr="000D7827">
              <w:rPr>
                <w:rFonts w:ascii="Times New Roman" w:hAnsi="Times New Roman"/>
                <w:sz w:val="20"/>
                <w:szCs w:val="20"/>
              </w:rPr>
              <w:t>rm</w:t>
            </w:r>
            <w:r w:rsidRPr="000D7827">
              <w:rPr>
                <w:rFonts w:ascii="Times New Roman" w:hAnsi="Times New Roman"/>
                <w:sz w:val="20"/>
                <w:szCs w:val="20"/>
              </w:rPr>
              <w:t xml:space="preserve">e clare </w:t>
            </w:r>
            <w:r w:rsidR="00F77D9B" w:rsidRPr="000D7827">
              <w:rPr>
                <w:rFonts w:ascii="Times New Roman" w:hAnsi="Times New Roman"/>
                <w:sz w:val="20"/>
                <w:szCs w:val="20"/>
              </w:rPr>
              <w:t>ș</w:t>
            </w:r>
            <w:r w:rsidRPr="000D7827">
              <w:rPr>
                <w:rFonts w:ascii="Times New Roman" w:hAnsi="Times New Roman"/>
                <w:sz w:val="20"/>
                <w:szCs w:val="20"/>
              </w:rPr>
              <w:t>i concise pentru implementare eficient</w:t>
            </w:r>
            <w:r w:rsidR="00F77D9B" w:rsidRPr="000D7827">
              <w:rPr>
                <w:rFonts w:ascii="Times New Roman" w:hAnsi="Times New Roman"/>
                <w:sz w:val="20"/>
                <w:szCs w:val="20"/>
              </w:rPr>
              <w:t>ă</w:t>
            </w:r>
            <w:r w:rsidRPr="000D7827">
              <w:rPr>
                <w:rFonts w:ascii="Times New Roman" w:hAnsi="Times New Roman"/>
                <w:sz w:val="20"/>
                <w:szCs w:val="20"/>
              </w:rPr>
              <w:t xml:space="preserve"> de c</w:t>
            </w:r>
            <w:r w:rsidR="00F77D9B" w:rsidRPr="000D7827">
              <w:rPr>
                <w:rFonts w:ascii="Times New Roman" w:hAnsi="Times New Roman"/>
                <w:sz w:val="20"/>
                <w:szCs w:val="20"/>
              </w:rPr>
              <w:t>ă</w:t>
            </w:r>
            <w:r w:rsidRPr="000D7827">
              <w:rPr>
                <w:rFonts w:ascii="Times New Roman" w:hAnsi="Times New Roman"/>
                <w:sz w:val="20"/>
                <w:szCs w:val="20"/>
              </w:rPr>
              <w:t xml:space="preserve">tre operatorii economici </w:t>
            </w:r>
            <w:r w:rsidR="00F77D9B" w:rsidRPr="000D7827">
              <w:rPr>
                <w:rFonts w:ascii="Times New Roman" w:hAnsi="Times New Roman"/>
                <w:sz w:val="20"/>
                <w:szCs w:val="20"/>
              </w:rPr>
              <w:t>ș</w:t>
            </w:r>
            <w:r w:rsidRPr="000D7827">
              <w:rPr>
                <w:rFonts w:ascii="Times New Roman" w:hAnsi="Times New Roman"/>
                <w:sz w:val="20"/>
                <w:szCs w:val="20"/>
              </w:rPr>
              <w:t>i institu</w:t>
            </w:r>
            <w:r w:rsidR="00F77D9B" w:rsidRPr="000D7827">
              <w:rPr>
                <w:rFonts w:ascii="Times New Roman" w:hAnsi="Times New Roman"/>
                <w:sz w:val="20"/>
                <w:szCs w:val="20"/>
              </w:rPr>
              <w:t>ț</w:t>
            </w:r>
            <w:r w:rsidRPr="000D7827">
              <w:rPr>
                <w:rFonts w:ascii="Times New Roman" w:hAnsi="Times New Roman"/>
                <w:sz w:val="20"/>
                <w:szCs w:val="20"/>
              </w:rPr>
              <w:t>iile abilitate, propunem divizarea Regulamentului in 2 p</w:t>
            </w:r>
            <w:r w:rsidR="00F77D9B" w:rsidRPr="000D7827">
              <w:rPr>
                <w:rFonts w:ascii="Times New Roman" w:hAnsi="Times New Roman"/>
                <w:sz w:val="20"/>
                <w:szCs w:val="20"/>
              </w:rPr>
              <w:t>ărți</w:t>
            </w:r>
            <w:r w:rsidRPr="000D7827">
              <w:rPr>
                <w:rFonts w:ascii="Times New Roman" w:hAnsi="Times New Roman"/>
                <w:sz w:val="20"/>
                <w:szCs w:val="20"/>
              </w:rPr>
              <w:t xml:space="preserve"> separate, partea I pentru produsele fertilizante </w:t>
            </w:r>
            <w:r w:rsidRPr="000D7827">
              <w:rPr>
                <w:rFonts w:ascii="Times New Roman" w:hAnsi="Times New Roman"/>
                <w:sz w:val="20"/>
                <w:szCs w:val="20"/>
              </w:rPr>
              <w:lastRenderedPageBreak/>
              <w:t xml:space="preserve">UE </w:t>
            </w:r>
            <w:r w:rsidR="00F77D9B" w:rsidRPr="000D7827">
              <w:rPr>
                <w:rFonts w:ascii="Times New Roman" w:hAnsi="Times New Roman"/>
                <w:sz w:val="20"/>
                <w:szCs w:val="20"/>
              </w:rPr>
              <w:t>ș</w:t>
            </w:r>
            <w:r w:rsidRPr="000D7827">
              <w:rPr>
                <w:rFonts w:ascii="Times New Roman" w:hAnsi="Times New Roman"/>
                <w:sz w:val="20"/>
                <w:szCs w:val="20"/>
              </w:rPr>
              <w:t>i partea II pentru produsele fertilizante MD, care pentru pia</w:t>
            </w:r>
            <w:r w:rsidR="00F77D9B" w:rsidRPr="000D7827">
              <w:rPr>
                <w:rFonts w:ascii="Times New Roman" w:hAnsi="Times New Roman"/>
                <w:sz w:val="20"/>
                <w:szCs w:val="20"/>
              </w:rPr>
              <w:t>ț</w:t>
            </w:r>
            <w:r w:rsidRPr="000D7827">
              <w:rPr>
                <w:rFonts w:ascii="Times New Roman" w:hAnsi="Times New Roman"/>
                <w:sz w:val="20"/>
                <w:szCs w:val="20"/>
              </w:rPr>
              <w:t>a Republicii Moldova au un impact semnificativ.</w:t>
            </w:r>
          </w:p>
        </w:tc>
        <w:tc>
          <w:tcPr>
            <w:tcW w:w="2406" w:type="dxa"/>
            <w:gridSpan w:val="2"/>
          </w:tcPr>
          <w:p w:rsidR="00FD0DF4" w:rsidRPr="000D7827" w:rsidRDefault="00336998" w:rsidP="00D41C5B">
            <w:pPr>
              <w:spacing w:after="0" w:line="240" w:lineRule="auto"/>
              <w:jc w:val="center"/>
              <w:rPr>
                <w:rFonts w:ascii="Times New Roman" w:hAnsi="Times New Roman"/>
                <w:i/>
                <w:sz w:val="20"/>
                <w:szCs w:val="20"/>
              </w:rPr>
            </w:pPr>
            <w:r w:rsidRPr="000D7827">
              <w:rPr>
                <w:rFonts w:ascii="Times New Roman" w:hAnsi="Times New Roman"/>
                <w:i/>
                <w:sz w:val="20"/>
                <w:szCs w:val="20"/>
              </w:rPr>
              <w:lastRenderedPageBreak/>
              <w:t>Se acceptă parțial</w:t>
            </w:r>
          </w:p>
          <w:p w:rsidR="00B32434" w:rsidRPr="000D7827" w:rsidRDefault="00B32434" w:rsidP="001F3098">
            <w:pPr>
              <w:spacing w:after="0" w:line="240" w:lineRule="auto"/>
              <w:jc w:val="both"/>
              <w:rPr>
                <w:rFonts w:ascii="Times New Roman" w:hAnsi="Times New Roman"/>
                <w:sz w:val="20"/>
                <w:szCs w:val="20"/>
              </w:rPr>
            </w:pPr>
            <w:r w:rsidRPr="000D7827">
              <w:rPr>
                <w:rFonts w:ascii="Times New Roman" w:hAnsi="Times New Roman"/>
                <w:sz w:val="20"/>
                <w:szCs w:val="20"/>
              </w:rPr>
              <w:t xml:space="preserve">Conform prevederilor art. 17 alin. (3) Producătorul asigură evaluarea conformității produselor fertilizante MD în conformitate cu prevederile art. 4 alin. (2) din prezenta lege și ale Legii nr. 235/2011 privind activitățile de acreditare și evaluare a conformității. Astfel, în conformitate cu art. 15 alin. (3) al Legii nr. </w:t>
            </w:r>
            <w:r w:rsidRPr="000D7827">
              <w:rPr>
                <w:rFonts w:ascii="Times New Roman" w:hAnsi="Times New Roman"/>
                <w:sz w:val="20"/>
                <w:szCs w:val="20"/>
              </w:rPr>
              <w:lastRenderedPageBreak/>
              <w:t xml:space="preserve">235/2011, evaluarea conformităţii se realizează prin aplicarea, la alegerea producătorului, a uneia dintre procedurile de evaluare a conformităţii prevăzute de reglementarea tehnică aplicabilă. Odată ce produsele fertilizante MD au aceleași categorii de materii componente și corespuns categoriilor funcționale de produse fertilizante UE stabilite prin Ordinul MAIA nr. 165/2025 și întru respectarea principilui de coerență ce necesită a fi urmărit la activitățile de legiferare, astfel cum este prevăzut la art. 3 alin. (1) lit. d al Legii 100/2017 referințele de pa pct. 2 au fost reformulate oferind că produsele fertilizante MD  vor fi evaluate conform Categoriile de materii componente și categoriile funcționale de produse, în cazul când alte proceduri nu sunt stabilite. </w:t>
            </w:r>
          </w:p>
          <w:p w:rsidR="00B32434" w:rsidRPr="000D7827" w:rsidRDefault="00B32434" w:rsidP="001F3098">
            <w:pPr>
              <w:spacing w:after="0" w:line="240" w:lineRule="auto"/>
              <w:jc w:val="both"/>
              <w:rPr>
                <w:rFonts w:ascii="Times New Roman" w:hAnsi="Times New Roman"/>
                <w:sz w:val="20"/>
                <w:szCs w:val="20"/>
              </w:rPr>
            </w:pPr>
          </w:p>
          <w:p w:rsidR="004A38DB" w:rsidRPr="000D7827" w:rsidRDefault="004A38DB" w:rsidP="001F3098">
            <w:pPr>
              <w:spacing w:after="0" w:line="240" w:lineRule="auto"/>
              <w:jc w:val="both"/>
              <w:rPr>
                <w:rFonts w:ascii="Times New Roman" w:hAnsi="Times New Roman"/>
                <w:sz w:val="20"/>
                <w:szCs w:val="20"/>
              </w:rPr>
            </w:pPr>
          </w:p>
        </w:tc>
      </w:tr>
      <w:tr w:rsidR="007A0D15" w:rsidRPr="00B2649B" w:rsidTr="00825909">
        <w:trPr>
          <w:trHeight w:val="531"/>
        </w:trPr>
        <w:tc>
          <w:tcPr>
            <w:tcW w:w="5918" w:type="dxa"/>
            <w:vMerge w:val="restart"/>
            <w:tcBorders>
              <w:top w:val="nil"/>
            </w:tcBorders>
          </w:tcPr>
          <w:p w:rsidR="007A0D15" w:rsidRPr="00A85776" w:rsidRDefault="007A0D15" w:rsidP="001C4774">
            <w:pPr>
              <w:spacing w:after="0" w:line="240" w:lineRule="auto"/>
              <w:rPr>
                <w:rFonts w:ascii="Times New Roman" w:hAnsi="Times New Roman"/>
                <w:b/>
                <w:sz w:val="24"/>
                <w:szCs w:val="24"/>
              </w:rPr>
            </w:pPr>
            <w:r w:rsidRPr="00A85776">
              <w:rPr>
                <w:rFonts w:ascii="Times New Roman" w:hAnsi="Times New Roman"/>
                <w:b/>
                <w:sz w:val="24"/>
                <w:szCs w:val="24"/>
              </w:rPr>
              <w:lastRenderedPageBreak/>
              <w:t>Ministerul Mediului</w:t>
            </w:r>
          </w:p>
          <w:p w:rsidR="007A0D15" w:rsidRPr="00C3732E" w:rsidRDefault="007A0D15" w:rsidP="001C4774">
            <w:pPr>
              <w:spacing w:after="0" w:line="240" w:lineRule="auto"/>
              <w:rPr>
                <w:rFonts w:ascii="Times New Roman" w:hAnsi="Times New Roman"/>
                <w:color w:val="000000"/>
              </w:rPr>
            </w:pPr>
            <w:r w:rsidRPr="00A85776">
              <w:rPr>
                <w:rFonts w:ascii="Times New Roman" w:hAnsi="Times New Roman"/>
                <w:sz w:val="24"/>
                <w:szCs w:val="24"/>
              </w:rPr>
              <w:t>Nr. 07/1-07/2804 din 16.10.2025</w:t>
            </w:r>
          </w:p>
        </w:tc>
        <w:tc>
          <w:tcPr>
            <w:tcW w:w="1001" w:type="dxa"/>
          </w:tcPr>
          <w:p w:rsidR="007A0D15" w:rsidRPr="00C3732E" w:rsidRDefault="007A0D15" w:rsidP="00B2649B">
            <w:pPr>
              <w:spacing w:after="0" w:line="240" w:lineRule="auto"/>
              <w:jc w:val="center"/>
              <w:rPr>
                <w:rFonts w:ascii="Times New Roman" w:hAnsi="Times New Roman"/>
                <w:color w:val="000000"/>
              </w:rPr>
            </w:pPr>
            <w:r>
              <w:rPr>
                <w:rFonts w:ascii="Times New Roman" w:hAnsi="Times New Roman"/>
                <w:color w:val="000000"/>
              </w:rPr>
              <w:t>29</w:t>
            </w:r>
          </w:p>
        </w:tc>
        <w:tc>
          <w:tcPr>
            <w:tcW w:w="3979" w:type="dxa"/>
          </w:tcPr>
          <w:p w:rsidR="007A0D15" w:rsidRPr="000D7827" w:rsidRDefault="007A0D15" w:rsidP="008C3386">
            <w:pPr>
              <w:spacing w:after="51" w:line="251" w:lineRule="auto"/>
              <w:ind w:right="143"/>
              <w:jc w:val="both"/>
              <w:rPr>
                <w:rFonts w:ascii="Times New Roman" w:hAnsi="Times New Roman"/>
                <w:sz w:val="20"/>
                <w:szCs w:val="20"/>
              </w:rPr>
            </w:pPr>
            <w:r w:rsidRPr="000D7827">
              <w:rPr>
                <w:rFonts w:ascii="Times New Roman" w:hAnsi="Times New Roman"/>
                <w:sz w:val="20"/>
                <w:szCs w:val="20"/>
              </w:rPr>
              <w:t xml:space="preserve">Ca urmare a executării indicației Cancelariei de Stat nr. 18-69-10265 din 06.10.2025 privind avizarea proiectului de hotărâre pentru aprobarea Regulamentului privind procedurile de evaluare a conformității ale produselor fertilizante (număr unic 776/MAIA/2025) Ministerul Mediului, conform competențelor, comunică despre susținerea proiectului cu luarea în considerare a următoarelor obiecții: </w:t>
            </w:r>
          </w:p>
          <w:p w:rsidR="007A0D15" w:rsidRPr="000D7827" w:rsidRDefault="007A0D15" w:rsidP="008C3386">
            <w:pPr>
              <w:spacing w:after="51" w:line="251" w:lineRule="auto"/>
              <w:ind w:right="143"/>
              <w:jc w:val="both"/>
              <w:rPr>
                <w:rFonts w:ascii="Times New Roman" w:hAnsi="Times New Roman"/>
                <w:sz w:val="20"/>
                <w:szCs w:val="20"/>
              </w:rPr>
            </w:pPr>
            <w:r w:rsidRPr="000D7827">
              <w:rPr>
                <w:rFonts w:ascii="Times New Roman" w:hAnsi="Times New Roman"/>
                <w:sz w:val="20"/>
                <w:szCs w:val="20"/>
              </w:rPr>
              <w:t>I. La Proiectul de act normativ Capitolul I, pct. 1. Dispoziții generale. Se recomandă precizarea explicită a instituției de elaborare a Ordinului menționat în text, pentru o mai bună claritate și transparență, propunere aplicabilă pe tot parcursul textului actului normativ.</w:t>
            </w:r>
          </w:p>
        </w:tc>
        <w:tc>
          <w:tcPr>
            <w:tcW w:w="2406" w:type="dxa"/>
            <w:gridSpan w:val="2"/>
          </w:tcPr>
          <w:p w:rsidR="007A0D15" w:rsidRPr="000D7827" w:rsidRDefault="007A0D15" w:rsidP="00343B8F">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7A0D15" w:rsidRPr="00B2649B" w:rsidTr="007A7A5D">
        <w:trPr>
          <w:trHeight w:val="531"/>
        </w:trPr>
        <w:tc>
          <w:tcPr>
            <w:tcW w:w="5918" w:type="dxa"/>
            <w:vMerge/>
          </w:tcPr>
          <w:p w:rsidR="007A0D15" w:rsidRDefault="007A0D15" w:rsidP="00B2649B">
            <w:pPr>
              <w:spacing w:after="0" w:line="240" w:lineRule="auto"/>
              <w:rPr>
                <w:rFonts w:ascii="Times New Roman" w:hAnsi="Times New Roman"/>
                <w:color w:val="000000"/>
                <w:sz w:val="28"/>
                <w:szCs w:val="28"/>
              </w:rPr>
            </w:pPr>
          </w:p>
        </w:tc>
        <w:tc>
          <w:tcPr>
            <w:tcW w:w="1001" w:type="dxa"/>
          </w:tcPr>
          <w:p w:rsidR="007A0D15" w:rsidRDefault="007A0D15"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3979" w:type="dxa"/>
          </w:tcPr>
          <w:p w:rsidR="007A0D15" w:rsidRPr="000D7827" w:rsidRDefault="007A0D15" w:rsidP="00752992">
            <w:pPr>
              <w:spacing w:after="51" w:line="251" w:lineRule="auto"/>
              <w:ind w:right="143"/>
              <w:jc w:val="both"/>
              <w:rPr>
                <w:rFonts w:ascii="Times New Roman" w:hAnsi="Times New Roman"/>
                <w:sz w:val="20"/>
                <w:szCs w:val="20"/>
              </w:rPr>
            </w:pPr>
            <w:r w:rsidRPr="000D7827">
              <w:rPr>
                <w:rFonts w:ascii="Times New Roman" w:hAnsi="Times New Roman"/>
                <w:sz w:val="20"/>
                <w:szCs w:val="20"/>
              </w:rPr>
              <w:t xml:space="preserve">La fel, Capitolul II. Documentația tehnică. Pct. 13.5. Articolul 8, alineatul (8) din Legea nr. 21/2025 privind punerea la dispoziție pe piață a produselor fertilizante se stipulează că eticheta produselor fertilizante trebuie să îndeplinească cerințele de etichetare stabilite de autoritatea politică competentă. Astfel, termenul „autoritatea competentă de elaborare a politicilor” nu este definit în mod explicit în PHG, ceea ce poate conduce la ambiguități în interpretarea și aplicarea corectă, de către agenții economici. Totodată, cerințele de etichetare și ambalare a produselor chimice, inclusiv a celor care pot fi folosite ca fertilizați, sunt reglementate de Regulamentul privind clasificarea, </w:t>
            </w:r>
            <w:r w:rsidRPr="000D7827">
              <w:rPr>
                <w:rFonts w:ascii="Times New Roman" w:hAnsi="Times New Roman"/>
                <w:sz w:val="20"/>
                <w:szCs w:val="20"/>
              </w:rPr>
              <w:lastRenderedPageBreak/>
              <w:t>etichetarea și ambalarea substanțelor și amestecurilor chimice aprobat de Guvern, care în prezent este în proces de aliniere cu Regulamentul (CE) nr. 1272/2008 privind clasificarea, etichetarea și ambalarea substanțelor și amestecurilor (CLP) de către Ministerul Mediului, în calitate de autoritate competentă în domeniu. În acest context, pentru a asigura coerența și aplicarea uniformă a reglementărilor, propunem specificarea în mod expres a autorității competente responsabilă pentru stabilitatea cerințelor de etichetare a produselor fertilizante pe tot parcursul textului PHG.</w:t>
            </w:r>
          </w:p>
        </w:tc>
        <w:tc>
          <w:tcPr>
            <w:tcW w:w="2406" w:type="dxa"/>
            <w:gridSpan w:val="2"/>
          </w:tcPr>
          <w:p w:rsidR="007A0D15" w:rsidRPr="000D7827" w:rsidRDefault="007A0D15" w:rsidP="00343B8F">
            <w:pPr>
              <w:spacing w:after="0" w:line="240" w:lineRule="auto"/>
              <w:jc w:val="center"/>
              <w:rPr>
                <w:rFonts w:ascii="Times New Roman" w:hAnsi="Times New Roman"/>
                <w:i/>
                <w:sz w:val="20"/>
                <w:szCs w:val="20"/>
              </w:rPr>
            </w:pPr>
            <w:r w:rsidRPr="000D7827">
              <w:rPr>
                <w:rFonts w:ascii="Times New Roman" w:hAnsi="Times New Roman"/>
                <w:i/>
                <w:sz w:val="20"/>
                <w:szCs w:val="20"/>
              </w:rPr>
              <w:lastRenderedPageBreak/>
              <w:t>Se acceptă parțial</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Întrucât</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Legea nr. 21/2025</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stabilește, la art. 8 alin.</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(8), că cerințele de</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 xml:space="preserve">etichetare </w:t>
            </w:r>
            <w:r w:rsidRPr="000D7827">
              <w:rPr>
                <w:rFonts w:ascii="Times New Roman" w:hAnsi="Times New Roman"/>
                <w:sz w:val="20"/>
                <w:szCs w:val="20"/>
                <w:shd w:val="clear" w:color="auto" w:fill="FFFFFF"/>
              </w:rPr>
              <w:t>stabilite de către</w:t>
            </w:r>
            <w:r w:rsidRPr="000D7827">
              <w:rPr>
                <w:rFonts w:ascii="Times New Roman" w:hAnsi="Times New Roman"/>
                <w:sz w:val="20"/>
                <w:szCs w:val="20"/>
              </w:rPr>
              <w:t xml:space="preserve"> </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shd w:val="clear" w:color="auto" w:fill="FFFFFF"/>
              </w:rPr>
              <w:t>autoritatea competentă de elaborarea politicilor</w:t>
            </w:r>
            <w:r w:rsidRPr="000D7827">
              <w:rPr>
                <w:rFonts w:ascii="Times New Roman" w:hAnsi="Times New Roman"/>
                <w:sz w:val="20"/>
                <w:szCs w:val="20"/>
              </w:rPr>
              <w:t>, astfel, proiectul</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de hotărâre utilizează</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termenul „autoritatea</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 xml:space="preserve">competentă </w:t>
            </w:r>
            <w:r w:rsidRPr="000D7827">
              <w:rPr>
                <w:rFonts w:ascii="Times New Roman" w:hAnsi="Times New Roman"/>
                <w:sz w:val="20"/>
                <w:szCs w:val="20"/>
                <w:shd w:val="clear" w:color="auto" w:fill="FFFFFF"/>
              </w:rPr>
              <w:t>de elaborarea politicilor</w:t>
            </w:r>
            <w:r w:rsidRPr="000D7827">
              <w:rPr>
                <w:rFonts w:ascii="Times New Roman" w:hAnsi="Times New Roman"/>
                <w:sz w:val="20"/>
                <w:szCs w:val="20"/>
              </w:rPr>
              <w:t>” în sensul</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Ministerului</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Agriculturii și</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Industriei</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 xml:space="preserve">Alimentare (misiunea și </w:t>
            </w:r>
            <w:r w:rsidRPr="000D7827">
              <w:rPr>
                <w:rFonts w:ascii="Times New Roman" w:hAnsi="Times New Roman"/>
                <w:sz w:val="20"/>
                <w:szCs w:val="20"/>
              </w:rPr>
              <w:lastRenderedPageBreak/>
              <w:t>domeniile de activitate fiind stipulate în Regulamentul cu privire la organizarea și funcționarea Ministerului Agriculturii și Industriei Alimentare, aprobat prin Hotărârea de Guvern nr. 695/2017),</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responsabil de</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elaborarea politicilor și</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de coordonarea</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implementării cadrului</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normativ privind</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produsele fertilizante, definit la art.2, pct.3, Legea nr.21/2025.</w:t>
            </w:r>
          </w:p>
          <w:p w:rsidR="007A0D15" w:rsidRPr="000D7827" w:rsidRDefault="007A0D15" w:rsidP="001F3098">
            <w:pPr>
              <w:spacing w:after="0" w:line="240" w:lineRule="auto"/>
              <w:jc w:val="both"/>
              <w:rPr>
                <w:rFonts w:ascii="Times New Roman" w:hAnsi="Times New Roman"/>
                <w:sz w:val="20"/>
                <w:szCs w:val="20"/>
              </w:rPr>
            </w:pPr>
          </w:p>
        </w:tc>
      </w:tr>
      <w:tr w:rsidR="007A0D15" w:rsidRPr="00B2649B" w:rsidTr="007A7A5D">
        <w:trPr>
          <w:trHeight w:val="531"/>
        </w:trPr>
        <w:tc>
          <w:tcPr>
            <w:tcW w:w="5918" w:type="dxa"/>
            <w:vMerge/>
          </w:tcPr>
          <w:p w:rsidR="007A0D15" w:rsidRDefault="007A0D15" w:rsidP="00B2649B">
            <w:pPr>
              <w:spacing w:after="0" w:line="240" w:lineRule="auto"/>
              <w:rPr>
                <w:rFonts w:ascii="Times New Roman" w:hAnsi="Times New Roman"/>
                <w:color w:val="000000"/>
                <w:sz w:val="28"/>
                <w:szCs w:val="28"/>
              </w:rPr>
            </w:pPr>
          </w:p>
        </w:tc>
        <w:tc>
          <w:tcPr>
            <w:tcW w:w="1001" w:type="dxa"/>
          </w:tcPr>
          <w:p w:rsidR="007A0D15" w:rsidRDefault="007A0D15"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3979" w:type="dxa"/>
          </w:tcPr>
          <w:p w:rsidR="007A0D15" w:rsidRPr="000D7827" w:rsidRDefault="007A0D15" w:rsidP="001E3F92">
            <w:pPr>
              <w:spacing w:after="79" w:line="261" w:lineRule="auto"/>
              <w:ind w:right="143"/>
              <w:jc w:val="both"/>
              <w:rPr>
                <w:rFonts w:ascii="Times New Roman" w:hAnsi="Times New Roman"/>
                <w:sz w:val="20"/>
                <w:szCs w:val="20"/>
              </w:rPr>
            </w:pPr>
            <w:r w:rsidRPr="000D7827">
              <w:rPr>
                <w:rFonts w:ascii="Times New Roman" w:hAnsi="Times New Roman"/>
                <w:sz w:val="20"/>
                <w:szCs w:val="20"/>
              </w:rPr>
              <w:t xml:space="preserve">II . La tabelul de concordanță: Anexa II. Categoriile de materii componente. În Anexa II la Regulamentul (UE) 2019/1009, se definește „substanța nemodificată chimic”, termen de referință pentru conformitatea produselor fertilizante. Ținând cont de faptul că noțiunea ,,substanță nemodificată chimic” se aliniază cu art. 3, poziția 40 din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w:t>
            </w:r>
            <w:r w:rsidRPr="000D7827">
              <w:rPr>
                <w:rFonts w:ascii="Times New Roman" w:hAnsi="Times New Roman"/>
                <w:sz w:val="20"/>
                <w:szCs w:val="20"/>
              </w:rPr>
              <w:lastRenderedPageBreak/>
              <w:t>2000/21/CE ale Comisiei intervine necesitatea elaborării Tabelului de Concordanță al PHG cu actul european. În acest context, se va completa și Clauza de armonizare a PHG.</w:t>
            </w:r>
          </w:p>
        </w:tc>
        <w:tc>
          <w:tcPr>
            <w:tcW w:w="2406" w:type="dxa"/>
            <w:gridSpan w:val="2"/>
          </w:tcPr>
          <w:p w:rsidR="007A0D15" w:rsidRPr="000D7827" w:rsidRDefault="007A0D15" w:rsidP="00343B8F">
            <w:pPr>
              <w:spacing w:after="0" w:line="240" w:lineRule="auto"/>
              <w:jc w:val="center"/>
              <w:rPr>
                <w:rFonts w:ascii="Times New Roman" w:hAnsi="Times New Roman"/>
                <w:i/>
                <w:sz w:val="20"/>
                <w:szCs w:val="20"/>
              </w:rPr>
            </w:pPr>
            <w:r w:rsidRPr="000D7827">
              <w:rPr>
                <w:rFonts w:ascii="Times New Roman" w:hAnsi="Times New Roman"/>
                <w:i/>
                <w:sz w:val="20"/>
                <w:szCs w:val="20"/>
              </w:rPr>
              <w:lastRenderedPageBreak/>
              <w:t>Nu se acceptă</w:t>
            </w:r>
          </w:p>
          <w:p w:rsidR="007A0D15" w:rsidRPr="000D7827" w:rsidRDefault="007A0D15" w:rsidP="001F3098">
            <w:pPr>
              <w:spacing w:after="0" w:line="240" w:lineRule="auto"/>
              <w:jc w:val="both"/>
              <w:rPr>
                <w:rFonts w:ascii="Times New Roman" w:hAnsi="Times New Roman"/>
                <w:sz w:val="20"/>
                <w:szCs w:val="20"/>
              </w:rPr>
            </w:pPr>
            <w:r w:rsidRPr="000D7827">
              <w:rPr>
                <w:rFonts w:ascii="Times New Roman" w:hAnsi="Times New Roman"/>
                <w:sz w:val="20"/>
                <w:szCs w:val="20"/>
              </w:rPr>
              <w:t>Întrucât, noțiunea dată a fost transpusă prin Ordinul ministrului agriculturii și industriei alimentare nr. 165/2025 cu privire la aprobarea Categoriilor funcționale de produse și a Categoriilor de materii componente pentru produsele fertilizante UE.</w:t>
            </w:r>
          </w:p>
          <w:p w:rsidR="007A0D15" w:rsidRPr="000D7827" w:rsidRDefault="007A0D15" w:rsidP="001F3098">
            <w:pPr>
              <w:spacing w:after="0" w:line="240" w:lineRule="auto"/>
              <w:jc w:val="both"/>
              <w:rPr>
                <w:rFonts w:ascii="Times New Roman" w:hAnsi="Times New Roman"/>
                <w:sz w:val="20"/>
                <w:szCs w:val="20"/>
              </w:rPr>
            </w:pPr>
          </w:p>
        </w:tc>
      </w:tr>
      <w:tr w:rsidR="0033733B" w:rsidRPr="00B2649B" w:rsidTr="00825909">
        <w:trPr>
          <w:trHeight w:val="531"/>
        </w:trPr>
        <w:tc>
          <w:tcPr>
            <w:tcW w:w="5918" w:type="dxa"/>
            <w:tcBorders>
              <w:top w:val="nil"/>
            </w:tcBorders>
          </w:tcPr>
          <w:p w:rsidR="0033733B" w:rsidRPr="0069173C" w:rsidRDefault="0033733B" w:rsidP="00B2649B">
            <w:pPr>
              <w:spacing w:after="0" w:line="240" w:lineRule="auto"/>
              <w:rPr>
                <w:rFonts w:ascii="Times New Roman" w:hAnsi="Times New Roman"/>
                <w:b/>
                <w:color w:val="000000"/>
                <w:sz w:val="24"/>
                <w:szCs w:val="24"/>
              </w:rPr>
            </w:pPr>
            <w:r w:rsidRPr="0069173C">
              <w:rPr>
                <w:rFonts w:ascii="Times New Roman" w:hAnsi="Times New Roman"/>
                <w:b/>
                <w:color w:val="000000"/>
                <w:sz w:val="24"/>
                <w:szCs w:val="24"/>
              </w:rPr>
              <w:t>Ministerul Finanțelor</w:t>
            </w:r>
          </w:p>
          <w:p w:rsidR="0033733B" w:rsidRPr="00C3732E" w:rsidRDefault="0033733B" w:rsidP="00B2649B">
            <w:pPr>
              <w:spacing w:after="0" w:line="240" w:lineRule="auto"/>
              <w:rPr>
                <w:rFonts w:ascii="Times New Roman" w:hAnsi="Times New Roman"/>
                <w:color w:val="000000"/>
              </w:rPr>
            </w:pPr>
            <w:r w:rsidRPr="0069173C">
              <w:rPr>
                <w:rFonts w:ascii="Times New Roman" w:hAnsi="Times New Roman"/>
                <w:color w:val="000000"/>
                <w:sz w:val="24"/>
                <w:szCs w:val="24"/>
              </w:rPr>
              <w:t>Nr. 09/2-03/491/1484 din 18.10.2025</w:t>
            </w:r>
          </w:p>
        </w:tc>
        <w:tc>
          <w:tcPr>
            <w:tcW w:w="1001" w:type="dxa"/>
          </w:tcPr>
          <w:p w:rsidR="0033733B" w:rsidRPr="00C3732E" w:rsidRDefault="00086500" w:rsidP="00B2649B">
            <w:pPr>
              <w:spacing w:after="0" w:line="240" w:lineRule="auto"/>
              <w:jc w:val="center"/>
              <w:rPr>
                <w:rFonts w:ascii="Times New Roman" w:hAnsi="Times New Roman"/>
                <w:color w:val="000000"/>
              </w:rPr>
            </w:pPr>
            <w:r>
              <w:rPr>
                <w:rFonts w:ascii="Times New Roman" w:hAnsi="Times New Roman"/>
                <w:color w:val="000000"/>
              </w:rPr>
              <w:t>32</w:t>
            </w:r>
          </w:p>
        </w:tc>
        <w:tc>
          <w:tcPr>
            <w:tcW w:w="3979" w:type="dxa"/>
          </w:tcPr>
          <w:p w:rsidR="0033733B" w:rsidRPr="000D7827" w:rsidRDefault="00737F46" w:rsidP="001E3F92">
            <w:pPr>
              <w:spacing w:after="79" w:line="261" w:lineRule="auto"/>
              <w:ind w:right="143"/>
              <w:jc w:val="both"/>
              <w:rPr>
                <w:rFonts w:ascii="Times New Roman" w:hAnsi="Times New Roman"/>
                <w:sz w:val="20"/>
                <w:szCs w:val="20"/>
              </w:rPr>
            </w:pPr>
            <w:r w:rsidRPr="000D7827">
              <w:rPr>
                <w:rFonts w:ascii="Times New Roman" w:hAnsi="Times New Roman"/>
                <w:sz w:val="20"/>
                <w:szCs w:val="20"/>
              </w:rPr>
              <w:t>La indicația Cancelariei de Stat nr.18-69-10265 din 06 octombrie 2025, Ministerul Finanțelor a examinat proiectul de hotărâre cu privire la aprobarea Regulamentului privind procedurile de evaluare a conformității ale produselor fertilizante (număr unic 776/MAIA/2025), autor – Ministerul Agriculturii și Industriei Alimentare și, în limita atribuțiilor funcționale, comunică lipsa propunerilor și obiecțiilor pe marginea proiectului indicat.</w:t>
            </w:r>
          </w:p>
        </w:tc>
        <w:tc>
          <w:tcPr>
            <w:tcW w:w="2406" w:type="dxa"/>
            <w:gridSpan w:val="2"/>
          </w:tcPr>
          <w:p w:rsidR="0033733B" w:rsidRPr="000D7827" w:rsidRDefault="00737F46" w:rsidP="00343B8F">
            <w:pPr>
              <w:spacing w:after="0" w:line="240" w:lineRule="auto"/>
              <w:jc w:val="center"/>
              <w:rPr>
                <w:rFonts w:ascii="Times New Roman" w:hAnsi="Times New Roman"/>
                <w:color w:val="000000"/>
                <w:sz w:val="20"/>
                <w:szCs w:val="20"/>
              </w:rPr>
            </w:pPr>
            <w:r w:rsidRPr="000D7827">
              <w:rPr>
                <w:rFonts w:ascii="Times New Roman" w:hAnsi="Times New Roman"/>
                <w:color w:val="000000"/>
                <w:sz w:val="20"/>
                <w:szCs w:val="20"/>
              </w:rPr>
              <w:t>-</w:t>
            </w:r>
          </w:p>
        </w:tc>
      </w:tr>
      <w:tr w:rsidR="00BA6271" w:rsidRPr="00B2649B" w:rsidTr="00825909">
        <w:trPr>
          <w:trHeight w:val="531"/>
        </w:trPr>
        <w:tc>
          <w:tcPr>
            <w:tcW w:w="5918" w:type="dxa"/>
            <w:vMerge w:val="restart"/>
            <w:tcBorders>
              <w:top w:val="nil"/>
            </w:tcBorders>
          </w:tcPr>
          <w:p w:rsidR="00BA6271" w:rsidRPr="0069173C" w:rsidRDefault="00805D91" w:rsidP="00B2649B">
            <w:pPr>
              <w:spacing w:after="0" w:line="240" w:lineRule="auto"/>
              <w:rPr>
                <w:rFonts w:ascii="Times New Roman" w:hAnsi="Times New Roman"/>
                <w:b/>
                <w:color w:val="000000"/>
                <w:sz w:val="24"/>
                <w:szCs w:val="24"/>
              </w:rPr>
            </w:pPr>
            <w:r w:rsidRPr="0069173C">
              <w:rPr>
                <w:rFonts w:ascii="Times New Roman" w:hAnsi="Times New Roman"/>
                <w:b/>
                <w:color w:val="000000"/>
                <w:sz w:val="24"/>
                <w:szCs w:val="24"/>
              </w:rPr>
              <w:t>Ministerul Afacerilor Interne</w:t>
            </w:r>
          </w:p>
          <w:p w:rsidR="00C955AA" w:rsidRPr="00C3732E" w:rsidRDefault="00C955AA" w:rsidP="00B2649B">
            <w:pPr>
              <w:spacing w:after="0" w:line="240" w:lineRule="auto"/>
              <w:rPr>
                <w:rFonts w:ascii="Times New Roman" w:hAnsi="Times New Roman"/>
                <w:color w:val="000000"/>
              </w:rPr>
            </w:pPr>
            <w:r w:rsidRPr="0069173C">
              <w:rPr>
                <w:rFonts w:ascii="Times New Roman" w:hAnsi="Times New Roman"/>
                <w:color w:val="000000"/>
                <w:sz w:val="24"/>
                <w:szCs w:val="24"/>
              </w:rPr>
              <w:t>nr. 41/3659 din 20.10.2025</w:t>
            </w:r>
          </w:p>
        </w:tc>
        <w:tc>
          <w:tcPr>
            <w:tcW w:w="1001" w:type="dxa"/>
          </w:tcPr>
          <w:p w:rsidR="00BA6271" w:rsidRPr="00C3732E" w:rsidRDefault="00086500" w:rsidP="00B2649B">
            <w:pPr>
              <w:spacing w:after="0" w:line="240" w:lineRule="auto"/>
              <w:jc w:val="center"/>
              <w:rPr>
                <w:rFonts w:ascii="Times New Roman" w:hAnsi="Times New Roman"/>
                <w:color w:val="000000"/>
              </w:rPr>
            </w:pPr>
            <w:r>
              <w:rPr>
                <w:rFonts w:ascii="Times New Roman" w:hAnsi="Times New Roman"/>
                <w:color w:val="000000"/>
              </w:rPr>
              <w:t>33</w:t>
            </w:r>
          </w:p>
        </w:tc>
        <w:tc>
          <w:tcPr>
            <w:tcW w:w="3979" w:type="dxa"/>
          </w:tcPr>
          <w:p w:rsidR="00953C73" w:rsidRPr="000D7827" w:rsidRDefault="00C955AA" w:rsidP="00D1130A">
            <w:pPr>
              <w:spacing w:after="79" w:line="261" w:lineRule="auto"/>
              <w:ind w:right="143"/>
              <w:jc w:val="both"/>
              <w:rPr>
                <w:rFonts w:ascii="Times New Roman" w:hAnsi="Times New Roman"/>
                <w:sz w:val="20"/>
                <w:szCs w:val="20"/>
              </w:rPr>
            </w:pPr>
            <w:r w:rsidRPr="000D7827">
              <w:rPr>
                <w:rFonts w:ascii="Times New Roman" w:hAnsi="Times New Roman"/>
                <w:sz w:val="20"/>
                <w:szCs w:val="20"/>
              </w:rPr>
              <w:t>Ministerul Afacerilor Interne a examinat proiectul de hotărâre a Guvernului pentru aprobarea Regulamentului privind procedurile de evaluare a conformității ale produselor fertilizante (număr unic 776/MAIA/2025) și reieșind din domeniul de competență, comunică despre susținerea acestuia, cu următoarele propuneri și recomandări.</w:t>
            </w:r>
          </w:p>
          <w:p w:rsidR="00C955AA" w:rsidRPr="000D7827" w:rsidRDefault="00C955AA" w:rsidP="00D1130A">
            <w:pPr>
              <w:spacing w:after="79" w:line="261" w:lineRule="auto"/>
              <w:ind w:right="143"/>
              <w:jc w:val="both"/>
              <w:rPr>
                <w:rFonts w:ascii="Times New Roman" w:hAnsi="Times New Roman"/>
                <w:sz w:val="20"/>
                <w:szCs w:val="20"/>
              </w:rPr>
            </w:pPr>
            <w:r w:rsidRPr="000D7827">
              <w:rPr>
                <w:rFonts w:ascii="Times New Roman" w:hAnsi="Times New Roman"/>
                <w:sz w:val="20"/>
                <w:szCs w:val="20"/>
              </w:rPr>
              <w:t>1. La Hotărâre: 1.1. În clauza de adoptare se propune excluderea cuvintelor „cu modificările ulterioare”, întrucât Legea nr. 21/2025 privind punerea la dispoziție pe piață a produselor fertilizante nu a fost supusă modificării.</w:t>
            </w:r>
          </w:p>
        </w:tc>
        <w:tc>
          <w:tcPr>
            <w:tcW w:w="2406" w:type="dxa"/>
            <w:gridSpan w:val="2"/>
          </w:tcPr>
          <w:p w:rsidR="00BA6271" w:rsidRPr="000D7827" w:rsidRDefault="00793DB8" w:rsidP="00343B8F">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BA6271" w:rsidRPr="00B2649B" w:rsidTr="00825909">
        <w:trPr>
          <w:trHeight w:val="531"/>
        </w:trPr>
        <w:tc>
          <w:tcPr>
            <w:tcW w:w="5918" w:type="dxa"/>
            <w:vMerge/>
          </w:tcPr>
          <w:p w:rsidR="00BA6271" w:rsidRDefault="00BA6271" w:rsidP="00B2649B">
            <w:pPr>
              <w:spacing w:after="0" w:line="240" w:lineRule="auto"/>
              <w:rPr>
                <w:rFonts w:ascii="Times New Roman" w:hAnsi="Times New Roman"/>
                <w:color w:val="000000"/>
                <w:sz w:val="28"/>
                <w:szCs w:val="28"/>
              </w:rPr>
            </w:pPr>
          </w:p>
        </w:tc>
        <w:tc>
          <w:tcPr>
            <w:tcW w:w="1001" w:type="dxa"/>
          </w:tcPr>
          <w:p w:rsidR="00BA6271" w:rsidRPr="00C3732E" w:rsidRDefault="00086500" w:rsidP="00B2649B">
            <w:pPr>
              <w:spacing w:after="0" w:line="240" w:lineRule="auto"/>
              <w:jc w:val="center"/>
              <w:rPr>
                <w:rFonts w:ascii="Times New Roman" w:hAnsi="Times New Roman"/>
                <w:color w:val="000000"/>
              </w:rPr>
            </w:pPr>
            <w:r>
              <w:rPr>
                <w:rFonts w:ascii="Times New Roman" w:hAnsi="Times New Roman"/>
                <w:color w:val="000000"/>
              </w:rPr>
              <w:t>34</w:t>
            </w:r>
          </w:p>
        </w:tc>
        <w:tc>
          <w:tcPr>
            <w:tcW w:w="3979" w:type="dxa"/>
          </w:tcPr>
          <w:p w:rsidR="00BA6271" w:rsidRPr="000D7827" w:rsidRDefault="00C955AA" w:rsidP="00953C73">
            <w:pPr>
              <w:spacing w:after="79" w:line="261" w:lineRule="auto"/>
              <w:ind w:right="143"/>
              <w:jc w:val="both"/>
              <w:rPr>
                <w:rFonts w:ascii="Times New Roman" w:hAnsi="Times New Roman"/>
                <w:sz w:val="20"/>
                <w:szCs w:val="20"/>
              </w:rPr>
            </w:pPr>
            <w:r w:rsidRPr="000D7827">
              <w:rPr>
                <w:rFonts w:ascii="Times New Roman" w:hAnsi="Times New Roman"/>
                <w:sz w:val="20"/>
                <w:szCs w:val="20"/>
              </w:rPr>
              <w:t xml:space="preserve">1.2. Se recomandă revizuirea pct. 2, în scopul asigurării formulării clare a conținutului. Subsidiar, învederăm că autorul proiectului urmează a se conforma </w:t>
            </w:r>
            <w:r w:rsidRPr="000D7827">
              <w:rPr>
                <w:rFonts w:ascii="Times New Roman" w:hAnsi="Times New Roman"/>
                <w:sz w:val="20"/>
                <w:szCs w:val="20"/>
              </w:rPr>
              <w:lastRenderedPageBreak/>
              <w:t>prevederilor art. 54 din Legea nr. 100/2017 cu privire la actele normative și a expune conținutul proiectului într-un limbaj simplu, clar și concis, pentru a exclude orice echivoc, cu respectarea regulilor gramaticale, de ortografie și de punctuație.</w:t>
            </w:r>
          </w:p>
        </w:tc>
        <w:tc>
          <w:tcPr>
            <w:tcW w:w="2406" w:type="dxa"/>
            <w:gridSpan w:val="2"/>
          </w:tcPr>
          <w:p w:rsidR="00BA6271" w:rsidRPr="000D7827" w:rsidRDefault="007D49D3" w:rsidP="00343B8F">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p w:rsidR="0002675D" w:rsidRPr="000D7827" w:rsidRDefault="0002675D" w:rsidP="001F3098">
            <w:pPr>
              <w:spacing w:after="0" w:line="240" w:lineRule="auto"/>
              <w:jc w:val="both"/>
              <w:rPr>
                <w:rFonts w:ascii="Times New Roman" w:hAnsi="Times New Roman"/>
                <w:color w:val="000000"/>
                <w:sz w:val="20"/>
                <w:szCs w:val="20"/>
              </w:rPr>
            </w:pPr>
          </w:p>
        </w:tc>
      </w:tr>
      <w:tr w:rsidR="00845731" w:rsidRPr="00B2649B" w:rsidTr="00825909">
        <w:trPr>
          <w:trHeight w:val="531"/>
        </w:trPr>
        <w:tc>
          <w:tcPr>
            <w:tcW w:w="5918" w:type="dxa"/>
          </w:tcPr>
          <w:p w:rsidR="00845731" w:rsidRPr="0069173C" w:rsidRDefault="00845731" w:rsidP="00B2649B">
            <w:pPr>
              <w:spacing w:after="0" w:line="240" w:lineRule="auto"/>
              <w:rPr>
                <w:rFonts w:ascii="Times New Roman" w:hAnsi="Times New Roman"/>
                <w:b/>
                <w:color w:val="000000"/>
                <w:sz w:val="24"/>
                <w:szCs w:val="24"/>
              </w:rPr>
            </w:pPr>
            <w:r w:rsidRPr="0069173C">
              <w:rPr>
                <w:rFonts w:ascii="Times New Roman" w:hAnsi="Times New Roman"/>
                <w:b/>
                <w:color w:val="000000"/>
                <w:sz w:val="24"/>
                <w:szCs w:val="24"/>
              </w:rPr>
              <w:t>Ministerul Afacerilor Externe</w:t>
            </w:r>
          </w:p>
          <w:p w:rsidR="00845731" w:rsidRPr="00C3732E" w:rsidRDefault="00845731" w:rsidP="00B2649B">
            <w:pPr>
              <w:spacing w:after="0" w:line="240" w:lineRule="auto"/>
              <w:rPr>
                <w:rFonts w:ascii="Times New Roman" w:hAnsi="Times New Roman"/>
                <w:color w:val="000000"/>
              </w:rPr>
            </w:pPr>
            <w:r w:rsidRPr="0069173C">
              <w:rPr>
                <w:rFonts w:ascii="Times New Roman" w:hAnsi="Times New Roman"/>
                <w:color w:val="000000"/>
                <w:sz w:val="24"/>
                <w:szCs w:val="24"/>
              </w:rPr>
              <w:t>Nr. DI</w:t>
            </w:r>
            <w:r w:rsidR="00EC6C7C" w:rsidRPr="0069173C">
              <w:rPr>
                <w:rFonts w:ascii="Times New Roman" w:hAnsi="Times New Roman"/>
                <w:color w:val="000000"/>
                <w:sz w:val="24"/>
                <w:szCs w:val="24"/>
              </w:rPr>
              <w:t>/3/041.1-10759 din 20 octombrie 2025</w:t>
            </w:r>
          </w:p>
        </w:tc>
        <w:tc>
          <w:tcPr>
            <w:tcW w:w="1001" w:type="dxa"/>
          </w:tcPr>
          <w:p w:rsidR="00845731" w:rsidRPr="00C3732E" w:rsidRDefault="00086500" w:rsidP="00B2649B">
            <w:pPr>
              <w:spacing w:after="0" w:line="240" w:lineRule="auto"/>
              <w:jc w:val="center"/>
              <w:rPr>
                <w:rFonts w:ascii="Times New Roman" w:hAnsi="Times New Roman"/>
                <w:color w:val="000000"/>
              </w:rPr>
            </w:pPr>
            <w:r>
              <w:rPr>
                <w:rFonts w:ascii="Times New Roman" w:hAnsi="Times New Roman"/>
                <w:color w:val="000000"/>
              </w:rPr>
              <w:t>35</w:t>
            </w:r>
          </w:p>
        </w:tc>
        <w:tc>
          <w:tcPr>
            <w:tcW w:w="3979" w:type="dxa"/>
          </w:tcPr>
          <w:p w:rsidR="00845731" w:rsidRPr="000D7827" w:rsidRDefault="00EC6C7C" w:rsidP="00953C73">
            <w:pPr>
              <w:spacing w:after="79" w:line="261" w:lineRule="auto"/>
              <w:ind w:right="143"/>
              <w:jc w:val="both"/>
              <w:rPr>
                <w:rFonts w:ascii="Times New Roman" w:hAnsi="Times New Roman"/>
                <w:sz w:val="20"/>
                <w:szCs w:val="20"/>
              </w:rPr>
            </w:pPr>
            <w:r w:rsidRPr="000D7827">
              <w:rPr>
                <w:rFonts w:ascii="Times New Roman" w:hAnsi="Times New Roman"/>
                <w:sz w:val="20"/>
                <w:szCs w:val="20"/>
              </w:rPr>
              <w:t>Ministerul Afacerilor Externe a examinat proiectul de hotărâre a Guvernului pentru aprobarea Regulamentului privind procedurile de evaluare a conformității ale produselor fertilizante (număr unic 776/MAIA/2025) și, în limita competențelor, comunică lipsa de obiecții sau propuneri.</w:t>
            </w:r>
          </w:p>
        </w:tc>
        <w:tc>
          <w:tcPr>
            <w:tcW w:w="2406" w:type="dxa"/>
            <w:gridSpan w:val="2"/>
          </w:tcPr>
          <w:p w:rsidR="00845731" w:rsidRPr="000D7827" w:rsidRDefault="00EC6C7C" w:rsidP="00343B8F">
            <w:pPr>
              <w:spacing w:after="0" w:line="240" w:lineRule="auto"/>
              <w:jc w:val="center"/>
              <w:rPr>
                <w:rFonts w:ascii="Times New Roman" w:hAnsi="Times New Roman"/>
                <w:color w:val="000000"/>
                <w:sz w:val="20"/>
                <w:szCs w:val="20"/>
              </w:rPr>
            </w:pPr>
            <w:r w:rsidRPr="000D7827">
              <w:rPr>
                <w:rFonts w:ascii="Times New Roman" w:hAnsi="Times New Roman"/>
                <w:color w:val="000000"/>
                <w:sz w:val="20"/>
                <w:szCs w:val="20"/>
              </w:rPr>
              <w:t>-</w:t>
            </w:r>
          </w:p>
        </w:tc>
      </w:tr>
      <w:tr w:rsidR="008F748A" w:rsidRPr="00B2649B" w:rsidTr="00825909">
        <w:trPr>
          <w:trHeight w:val="531"/>
        </w:trPr>
        <w:tc>
          <w:tcPr>
            <w:tcW w:w="5918" w:type="dxa"/>
          </w:tcPr>
          <w:p w:rsidR="008F748A" w:rsidRPr="0069173C" w:rsidRDefault="008F748A" w:rsidP="00B2649B">
            <w:pPr>
              <w:spacing w:after="0" w:line="240" w:lineRule="auto"/>
              <w:rPr>
                <w:rFonts w:ascii="Times New Roman" w:hAnsi="Times New Roman"/>
                <w:b/>
                <w:color w:val="000000"/>
                <w:sz w:val="24"/>
                <w:szCs w:val="24"/>
              </w:rPr>
            </w:pPr>
            <w:r w:rsidRPr="0069173C">
              <w:rPr>
                <w:rFonts w:ascii="Times New Roman" w:hAnsi="Times New Roman"/>
                <w:b/>
                <w:color w:val="000000"/>
                <w:sz w:val="24"/>
                <w:szCs w:val="24"/>
              </w:rPr>
              <w:t xml:space="preserve">Institutul de Standartizare </w:t>
            </w:r>
          </w:p>
          <w:p w:rsidR="008F748A" w:rsidRPr="00C3732E" w:rsidRDefault="008F748A" w:rsidP="00B2649B">
            <w:pPr>
              <w:spacing w:after="0" w:line="240" w:lineRule="auto"/>
              <w:rPr>
                <w:rFonts w:ascii="Times New Roman" w:hAnsi="Times New Roman"/>
                <w:color w:val="000000"/>
              </w:rPr>
            </w:pPr>
            <w:r w:rsidRPr="0069173C">
              <w:rPr>
                <w:rFonts w:ascii="Times New Roman" w:hAnsi="Times New Roman"/>
                <w:color w:val="000000"/>
                <w:sz w:val="24"/>
                <w:szCs w:val="24"/>
              </w:rPr>
              <w:t>Nr. 01-02/514</w:t>
            </w:r>
            <w:r w:rsidR="00AF7DFE" w:rsidRPr="0069173C">
              <w:rPr>
                <w:rFonts w:ascii="Times New Roman" w:hAnsi="Times New Roman"/>
                <w:color w:val="000000"/>
                <w:sz w:val="24"/>
                <w:szCs w:val="24"/>
              </w:rPr>
              <w:t xml:space="preserve"> din 16.10.2025</w:t>
            </w:r>
          </w:p>
        </w:tc>
        <w:tc>
          <w:tcPr>
            <w:tcW w:w="1001" w:type="dxa"/>
          </w:tcPr>
          <w:p w:rsidR="008F748A" w:rsidRPr="00C3732E" w:rsidRDefault="00086500" w:rsidP="00B2649B">
            <w:pPr>
              <w:spacing w:after="0" w:line="240" w:lineRule="auto"/>
              <w:jc w:val="center"/>
              <w:rPr>
                <w:rFonts w:ascii="Times New Roman" w:hAnsi="Times New Roman"/>
                <w:color w:val="000000"/>
              </w:rPr>
            </w:pPr>
            <w:r>
              <w:rPr>
                <w:rFonts w:ascii="Times New Roman" w:hAnsi="Times New Roman"/>
                <w:color w:val="000000"/>
              </w:rPr>
              <w:t>36</w:t>
            </w:r>
          </w:p>
        </w:tc>
        <w:tc>
          <w:tcPr>
            <w:tcW w:w="3979" w:type="dxa"/>
          </w:tcPr>
          <w:p w:rsidR="008F748A" w:rsidRPr="000D7827" w:rsidRDefault="00AF7DFE" w:rsidP="00953C73">
            <w:pPr>
              <w:spacing w:after="79" w:line="261" w:lineRule="auto"/>
              <w:ind w:right="143"/>
              <w:jc w:val="both"/>
              <w:rPr>
                <w:rFonts w:ascii="Times New Roman" w:hAnsi="Times New Roman"/>
                <w:sz w:val="20"/>
                <w:szCs w:val="20"/>
              </w:rPr>
            </w:pPr>
            <w:r w:rsidRPr="000D7827">
              <w:rPr>
                <w:rFonts w:ascii="Times New Roman" w:hAnsi="Times New Roman"/>
                <w:sz w:val="20"/>
                <w:szCs w:val="20"/>
              </w:rPr>
              <w:t xml:space="preserve">Prin prezenta, in temeiul solicitării Dvs., cu nr. 18-69-10265 din 06 octombrie 2025, privind avizarea/expertiza de compatibilitate a proiectului de hotărâre pentru aprobarea Regulamentului privind procedurile de evaluare a conformitdtii ale produselor fertilizante (numir unic 776/MAIA/2025), Institutul de Standardizare din Moldova </w:t>
            </w:r>
            <w:r w:rsidR="003929AB" w:rsidRPr="000D7827">
              <w:rPr>
                <w:rFonts w:ascii="Times New Roman" w:hAnsi="Times New Roman"/>
                <w:sz w:val="20"/>
                <w:szCs w:val="20"/>
              </w:rPr>
              <w:t>ț</w:t>
            </w:r>
            <w:r w:rsidRPr="000D7827">
              <w:rPr>
                <w:rFonts w:ascii="Times New Roman" w:hAnsi="Times New Roman"/>
                <w:sz w:val="20"/>
                <w:szCs w:val="20"/>
              </w:rPr>
              <w:t>ine s</w:t>
            </w:r>
            <w:r w:rsidR="003929AB" w:rsidRPr="000D7827">
              <w:rPr>
                <w:rFonts w:ascii="Times New Roman" w:hAnsi="Times New Roman"/>
                <w:sz w:val="20"/>
                <w:szCs w:val="20"/>
              </w:rPr>
              <w:t>ă</w:t>
            </w:r>
            <w:r w:rsidRPr="000D7827">
              <w:rPr>
                <w:rFonts w:ascii="Times New Roman" w:hAnsi="Times New Roman"/>
                <w:sz w:val="20"/>
                <w:szCs w:val="20"/>
              </w:rPr>
              <w:t xml:space="preserve"> V</w:t>
            </w:r>
            <w:r w:rsidR="003929AB" w:rsidRPr="000D7827">
              <w:rPr>
                <w:rFonts w:ascii="Times New Roman" w:hAnsi="Times New Roman"/>
                <w:sz w:val="20"/>
                <w:szCs w:val="20"/>
              </w:rPr>
              <w:t>ă</w:t>
            </w:r>
            <w:r w:rsidRPr="000D7827">
              <w:rPr>
                <w:rFonts w:ascii="Times New Roman" w:hAnsi="Times New Roman"/>
                <w:sz w:val="20"/>
                <w:szCs w:val="20"/>
              </w:rPr>
              <w:t xml:space="preserve"> comunice c</w:t>
            </w:r>
            <w:r w:rsidR="003929AB" w:rsidRPr="000D7827">
              <w:rPr>
                <w:rFonts w:ascii="Times New Roman" w:hAnsi="Times New Roman"/>
                <w:sz w:val="20"/>
                <w:szCs w:val="20"/>
              </w:rPr>
              <w:t>ă</w:t>
            </w:r>
            <w:r w:rsidRPr="000D7827">
              <w:rPr>
                <w:rFonts w:ascii="Times New Roman" w:hAnsi="Times New Roman"/>
                <w:sz w:val="20"/>
                <w:szCs w:val="20"/>
              </w:rPr>
              <w:t xml:space="preserve"> nu are obiec</w:t>
            </w:r>
            <w:r w:rsidR="003929AB" w:rsidRPr="000D7827">
              <w:rPr>
                <w:rFonts w:ascii="Times New Roman" w:hAnsi="Times New Roman"/>
                <w:sz w:val="20"/>
                <w:szCs w:val="20"/>
              </w:rPr>
              <w:t>ț</w:t>
            </w:r>
            <w:r w:rsidRPr="000D7827">
              <w:rPr>
                <w:rFonts w:ascii="Times New Roman" w:hAnsi="Times New Roman"/>
                <w:sz w:val="20"/>
                <w:szCs w:val="20"/>
              </w:rPr>
              <w:t>ii sau propuneri asupra proiectului men</w:t>
            </w:r>
            <w:r w:rsidR="003929AB" w:rsidRPr="000D7827">
              <w:rPr>
                <w:rFonts w:ascii="Times New Roman" w:hAnsi="Times New Roman"/>
                <w:sz w:val="20"/>
                <w:szCs w:val="20"/>
              </w:rPr>
              <w:t>ț</w:t>
            </w:r>
            <w:r w:rsidRPr="000D7827">
              <w:rPr>
                <w:rFonts w:ascii="Times New Roman" w:hAnsi="Times New Roman"/>
                <w:sz w:val="20"/>
                <w:szCs w:val="20"/>
              </w:rPr>
              <w:t xml:space="preserve">ionat. </w:t>
            </w:r>
          </w:p>
        </w:tc>
        <w:tc>
          <w:tcPr>
            <w:tcW w:w="2406" w:type="dxa"/>
            <w:gridSpan w:val="2"/>
          </w:tcPr>
          <w:p w:rsidR="008F748A" w:rsidRPr="000D7827" w:rsidRDefault="003929AB" w:rsidP="00343B8F">
            <w:pPr>
              <w:spacing w:after="0" w:line="240" w:lineRule="auto"/>
              <w:jc w:val="center"/>
              <w:rPr>
                <w:rFonts w:ascii="Times New Roman" w:hAnsi="Times New Roman"/>
                <w:color w:val="000000"/>
                <w:sz w:val="20"/>
                <w:szCs w:val="20"/>
              </w:rPr>
            </w:pPr>
            <w:r w:rsidRPr="000D7827">
              <w:rPr>
                <w:rFonts w:ascii="Times New Roman" w:hAnsi="Times New Roman"/>
                <w:color w:val="000000"/>
                <w:sz w:val="20"/>
                <w:szCs w:val="20"/>
              </w:rPr>
              <w:t>-</w:t>
            </w:r>
          </w:p>
        </w:tc>
      </w:tr>
      <w:tr w:rsidR="00F00DE6" w:rsidRPr="00B2649B" w:rsidTr="009F5711">
        <w:trPr>
          <w:trHeight w:val="251"/>
        </w:trPr>
        <w:tc>
          <w:tcPr>
            <w:tcW w:w="13304" w:type="dxa"/>
            <w:gridSpan w:val="5"/>
            <w:tcBorders>
              <w:top w:val="nil"/>
            </w:tcBorders>
          </w:tcPr>
          <w:p w:rsidR="00F00DE6" w:rsidRPr="000D7827" w:rsidRDefault="00CA3569" w:rsidP="00B2649B">
            <w:pPr>
              <w:spacing w:after="0" w:line="240" w:lineRule="auto"/>
              <w:jc w:val="center"/>
              <w:rPr>
                <w:rFonts w:ascii="Times New Roman" w:hAnsi="Times New Roman"/>
                <w:color w:val="000000"/>
                <w:sz w:val="24"/>
                <w:szCs w:val="24"/>
              </w:rPr>
            </w:pPr>
            <w:r w:rsidRPr="000D7827">
              <w:rPr>
                <w:rFonts w:ascii="Times New Roman" w:hAnsi="Times New Roman"/>
                <w:color w:val="000000"/>
                <w:sz w:val="24"/>
                <w:szCs w:val="24"/>
              </w:rPr>
              <w:t>Avize repetate</w:t>
            </w:r>
          </w:p>
        </w:tc>
      </w:tr>
      <w:tr w:rsidR="00B96D2C" w:rsidRPr="00B2649B" w:rsidTr="00B2649B">
        <w:tc>
          <w:tcPr>
            <w:tcW w:w="13304" w:type="dxa"/>
            <w:gridSpan w:val="5"/>
          </w:tcPr>
          <w:p w:rsidR="00B96D2C" w:rsidRPr="000D7827" w:rsidRDefault="00B96D2C" w:rsidP="00B2649B">
            <w:pPr>
              <w:spacing w:after="0" w:line="240" w:lineRule="auto"/>
              <w:jc w:val="center"/>
              <w:rPr>
                <w:rFonts w:ascii="Times New Roman" w:hAnsi="Times New Roman"/>
                <w:color w:val="000000"/>
                <w:sz w:val="24"/>
                <w:szCs w:val="24"/>
              </w:rPr>
            </w:pPr>
          </w:p>
        </w:tc>
      </w:tr>
      <w:tr w:rsidR="0049407C" w:rsidRPr="00B2649B" w:rsidTr="00B2649B">
        <w:tc>
          <w:tcPr>
            <w:tcW w:w="13304" w:type="dxa"/>
            <w:gridSpan w:val="5"/>
            <w:hideMark/>
          </w:tcPr>
          <w:p w:rsidR="0049407C" w:rsidRPr="000D7827" w:rsidRDefault="0049407C" w:rsidP="00B2649B">
            <w:pPr>
              <w:spacing w:after="0" w:line="240" w:lineRule="auto"/>
              <w:jc w:val="center"/>
              <w:rPr>
                <w:rFonts w:ascii="Times New Roman" w:hAnsi="Times New Roman"/>
                <w:sz w:val="24"/>
                <w:szCs w:val="24"/>
              </w:rPr>
            </w:pPr>
            <w:r w:rsidRPr="000D7827">
              <w:rPr>
                <w:rFonts w:ascii="Times New Roman" w:hAnsi="Times New Roman"/>
                <w:color w:val="000000"/>
                <w:sz w:val="24"/>
                <w:szCs w:val="24"/>
              </w:rPr>
              <w:t>Expertizare</w:t>
            </w:r>
          </w:p>
        </w:tc>
      </w:tr>
      <w:tr w:rsidR="00CB673F" w:rsidRPr="00B2649B" w:rsidTr="00825909">
        <w:tc>
          <w:tcPr>
            <w:tcW w:w="5918" w:type="dxa"/>
            <w:vMerge w:val="restart"/>
          </w:tcPr>
          <w:p w:rsidR="00CB673F" w:rsidRPr="00A81716" w:rsidRDefault="00CB673F" w:rsidP="003740F3">
            <w:pPr>
              <w:spacing w:after="0" w:line="240" w:lineRule="auto"/>
              <w:rPr>
                <w:rFonts w:ascii="Times New Roman" w:hAnsi="Times New Roman"/>
                <w:b/>
                <w:color w:val="000000"/>
                <w:sz w:val="24"/>
                <w:szCs w:val="24"/>
              </w:rPr>
            </w:pPr>
            <w:r w:rsidRPr="00A81716">
              <w:rPr>
                <w:rFonts w:ascii="Times New Roman" w:hAnsi="Times New Roman"/>
                <w:b/>
                <w:color w:val="000000"/>
                <w:sz w:val="24"/>
                <w:szCs w:val="24"/>
              </w:rPr>
              <w:t>Ministerul Justiției</w:t>
            </w:r>
          </w:p>
          <w:p w:rsidR="00CB673F" w:rsidRPr="00B2649B" w:rsidRDefault="00D30ED1" w:rsidP="003740F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Nr. </w:t>
            </w:r>
            <w:r w:rsidR="00CB673F">
              <w:rPr>
                <w:rFonts w:ascii="Times New Roman" w:hAnsi="Times New Roman"/>
                <w:color w:val="000000"/>
                <w:sz w:val="24"/>
                <w:szCs w:val="24"/>
              </w:rPr>
              <w:t>04/2-11236 din 17.11.2025</w:t>
            </w:r>
          </w:p>
        </w:tc>
        <w:tc>
          <w:tcPr>
            <w:tcW w:w="1001" w:type="dxa"/>
          </w:tcPr>
          <w:p w:rsidR="00CB673F" w:rsidRPr="00B2649B" w:rsidRDefault="000547AB"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031" w:type="dxa"/>
            <w:gridSpan w:val="2"/>
          </w:tcPr>
          <w:p w:rsidR="00CB673F" w:rsidRPr="000D7827" w:rsidRDefault="00CB673F" w:rsidP="00017626">
            <w:pPr>
              <w:spacing w:after="0" w:line="240" w:lineRule="auto"/>
              <w:jc w:val="both"/>
              <w:rPr>
                <w:rFonts w:ascii="Times New Roman" w:hAnsi="Times New Roman"/>
                <w:color w:val="000000"/>
                <w:sz w:val="20"/>
                <w:szCs w:val="20"/>
              </w:rPr>
            </w:pPr>
            <w:r w:rsidRPr="000D7827">
              <w:rPr>
                <w:rFonts w:ascii="Times New Roman" w:hAnsi="Times New Roman"/>
                <w:sz w:val="20"/>
                <w:szCs w:val="20"/>
              </w:rPr>
              <w:t xml:space="preserve">Cu referire la proiectul hotărârii Guvernului pentru aprobarea Regulamentului privind procedurile de evaluare a conformității ale produselor fertilizante (număr unic 776/MAIA/2025), comunicăm următoarele. Proiectul este elaborat în temeiul art. 5 alin. (10) din Legea nr. 21/2025 privind punerea la dispoziție pe piață a produselor fertilizante. Totodată, proiectul hotărârii Guvernului </w:t>
            </w:r>
            <w:r w:rsidRPr="000D7827">
              <w:rPr>
                <w:rFonts w:ascii="Times New Roman" w:hAnsi="Times New Roman"/>
                <w:sz w:val="20"/>
                <w:szCs w:val="20"/>
              </w:rPr>
              <w:lastRenderedPageBreak/>
              <w:t xml:space="preserve">transpune Anexa IV la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 (în continuare - Regulamentul (UE) 2019/1009). Sub aspect conceptual, la proiectul hotărârii se va reține: Potrivit notei de fundamentare, proiectul de hotărâre realizează transpunerea totală a Anexei IV, care reglementează procedurile de evaluare a conformității. Proiectul nu introduce prevederi suplimentare față de cele din Regulamentul (UE) 2019/1009. Transpunerea se realizează integral și fidel textului Anexei IV, fără derogări sau extinderi care să depășească cerințele minime stabilite de legislația UE. Contrar mențiunii din nota de fundamentare, pct. 2 prevede că: „În cazul când alte proceduri nu sunt stabilite, produsele fertilizante MD se supun procedurilor de evaluare a conformității stabilite Categoriilor de materii componente (CMC) aferente, precum și Categoriilor funcționale de produse (CFP) cu excepția prevederilor referitoare la: 2.1. marcajul CE și declarația de conformitate UE; 2.2. examinarea UE de tip.”. Este de menționat, că norma enunțată depășește obiectul de reglementare al Regulamentului, propus spre aprobare (a se vedea, în special, pct. 1 din proiectul Regulamentului). Mai mult, în modul în care este formulată, norma de la pct. 2 constituie o normă primară și urmează a fi indicată în lege și nu în actul normativ subordonat legii. În acest sens este de menționat că, Curtea Constituţională, în jurisprudenţa sa anterioară, a statuat că, actul </w:t>
            </w:r>
            <w:r w:rsidRPr="000D7827">
              <w:rPr>
                <w:rFonts w:ascii="Times New Roman" w:hAnsi="Times New Roman"/>
                <w:sz w:val="20"/>
                <w:szCs w:val="20"/>
              </w:rPr>
              <w:lastRenderedPageBreak/>
              <w:t xml:space="preserve">normativ subordonat legii nu poate conţine norme primare, iar conţinutul actului normativ urmează să fie în strictă corespundere cu normele şi scopul legii sau ale actului normativ superior şi nu poate introduce reglementări noi, altele decât cele stabilite de lege sau actul superior. De asemenea, actul normativ nu poate interveni în domenii nereglementate de lege (Hotărârea Curții Constituționale nr. 29 din 28 octombrie 2016 privind excepţia de  neconstituţionalitate a unor prevederi din pct. 34 al Anexei nr. 3 la Hotărârea Guvernului nr. 360 din 25 iunie 1996 cu privire la controlul de stat al calităţii în construcţii, § 71). Totodată, pct. 2 este formulat greșit, or, produsele fertilizante MD ar urma să fie supuse procedurilor de evaluare a conformității stabilite pentru produsele fertilizante UE în funcție de Categoriile de materii componente aferente și Categoriilor funcționale de produse aferente. În conformitate cu art. 17 alin. (3) din Legea nr. 21/2025, „(3) Producătorul asigură evaluarea conformității produselor fertilizante MD în conformitate cu prevederile art. 4 alin. (2) din prezenta lege și ale Legii nr. 235/2011 privind activitățile de acreditare și evaluare a conformității.”. Potrivit anexei nr. 3 la Legea nr. 235/2011 privind activitățile de acreditate și de evaluare a conformității, din lista domeniilor reglementate fac parte produsele fertilizante UE. În conformitate cu art. 25 alin. (4) și (5) din Legea nr. 235/2011, „(4) Conformitatea produselor din domeniile necuprinse în anexa nr. 3 se evaluează în baza cerințelor esențiale stabilite pentru produsele respective în reglementările tehnice aplicabile. (5) Conformitatea produselor din domeniile necuprinse în anexa nr. 3 cu cerințele esențiale stabilite pentru produsele respective în </w:t>
            </w:r>
            <w:r w:rsidRPr="000D7827">
              <w:rPr>
                <w:rFonts w:ascii="Times New Roman" w:hAnsi="Times New Roman"/>
                <w:sz w:val="20"/>
                <w:szCs w:val="20"/>
              </w:rPr>
              <w:lastRenderedPageBreak/>
              <w:t>reglementările tehnice aplicabile poate fi atestată prin certificate de conformitate, prin certificate şi/sau rapoarte de inspecţie, prin rapoarte de încercări, emise de organismele de evaluare a conformităţii acreditate, precum şi prin declaraţii pe propria răspundere, emise de către producător sau reprezentantul său autorizat.”. Din prevederile legale enunțate, nu rezultă că produsele fertilizante MD pot fi supuse procedurii de evaluare a conformității în funcție de Categoriile de materii componente aferente precum și de Categoriile funcționale de produse aferente. Având în vedere tezele enunțate, pct. 2 se va exclude din proiectul hotărârii.</w:t>
            </w:r>
          </w:p>
        </w:tc>
        <w:tc>
          <w:tcPr>
            <w:tcW w:w="2354" w:type="dxa"/>
          </w:tcPr>
          <w:p w:rsidR="002B3076" w:rsidRPr="00EE5BE8" w:rsidRDefault="00EE5BE8" w:rsidP="00EE5BE8">
            <w:pPr>
              <w:spacing w:after="0" w:line="276" w:lineRule="auto"/>
              <w:jc w:val="center"/>
              <w:rPr>
                <w:rFonts w:ascii="Times New Roman" w:hAnsi="Times New Roman"/>
                <w:sz w:val="20"/>
                <w:szCs w:val="20"/>
              </w:rPr>
            </w:pPr>
            <w:r w:rsidRPr="00EE5BE8">
              <w:rPr>
                <w:rFonts w:ascii="Times New Roman" w:hAnsi="Times New Roman"/>
                <w:i/>
                <w:sz w:val="20"/>
                <w:szCs w:val="20"/>
              </w:rPr>
              <w:lastRenderedPageBreak/>
              <w:t>Se acceptă</w:t>
            </w:r>
          </w:p>
          <w:p w:rsidR="00CF01A1" w:rsidRPr="00CF01A1" w:rsidRDefault="00CF01A1" w:rsidP="00CF01A1">
            <w:pPr>
              <w:spacing w:after="0" w:line="240" w:lineRule="auto"/>
              <w:jc w:val="center"/>
              <w:rPr>
                <w:rFonts w:ascii="Times New Roman" w:hAnsi="Times New Roman"/>
                <w:i/>
                <w:color w:val="000000"/>
                <w:sz w:val="20"/>
                <w:szCs w:val="20"/>
              </w:rPr>
            </w:pP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0547AB"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Complementar, aferent rigorilor normative, menționăm următoarele: În conformitate cu art. 31 alin. (2) din Legea nr. 100/2017 cu privire la actele normative, „(2) Actele normative cu relevanță UE sunt marcate cu sigla „UE” și conțin clauza de armonizare conform modelului aprobat de Guvern”. Având în vedere prevederea legală enunțată, proiectul hotărârii Guvernului se va marca cu sigla „UE”.</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0547AB"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pct. 4, întru corectitudinea redactării, cuvintele „la o lună de la publicarea în Monitorul Oficial” se vor substitui cu cuvintele „la expirarea termenului de o lună de la data publicării în Monitorul Oficial al Republicii Moldova” (a se vedea art. 56 alin. (1) din Legea nr. 100/2017).</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La proiectul Regulamentului: În conformitate cu art. 55 alin. (3) din Legea nr. 100/2017, nu se admite trimiterea la un act normativ de nivel inferior. Categoriile funcționale de produse pentru produsele fertilizante UE sunt indicate în anexa nr. 1 la Ordinul ministrului agriculturii și industriei alimentare nr. </w:t>
            </w:r>
            <w:r w:rsidRPr="000D7827">
              <w:rPr>
                <w:rFonts w:ascii="Times New Roman" w:hAnsi="Times New Roman"/>
                <w:sz w:val="20"/>
                <w:szCs w:val="20"/>
              </w:rPr>
              <w:lastRenderedPageBreak/>
              <w:t>165/2025, iar Categoriile de materii componente pentru produsele fertilizante UE sunt prevăzute în anexa nr. 2 la același ordin. Totodată, în text urmează a se face referință la anexele concrete în care sunt prevăzute funcțiile/materiile și nu la ordinul de aprobare a acestora. Având în vedere obiecția expusă, la pct. 1, textul „astfel cum sunt prevăzute în Ordinul ministrului agriculturii și industriei alimentare nr. 165/2025 cu privire la aprobarea Categoriilor funcționale de produse și a Categoriilor de materii componente pentru produsele fertilizante UE (în continuare - Ordinul nr. 165/2025)” se va substitui cu textul „astfel cum sunt prevăzute la Categoriile de materii componente pentru produsele fertilizante UE și Categoriile funcționale de produse pentru produsele fertilizante UE, aprobate prin ordinul ministrului agriculturii și industriei alimentare”. Astfel, numărul și anul adoptării ordinului urmează a fi excluse (obiecție similară și la pct. 2).</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capitolul I subsecțiunile se vor substitui cu secțiuni, iar secțiunea 1 se va omite, ținând cont de prevederile art. 53 din Legea nr. 100/2017 referitoare la gruparea elementelor structurale ale actului normativ (valabil pentru toate cazurile similare din proiect). Totodată, la secțiunea 1 din capitolul I, menționăm că secțiunea constituie element de structură complex al actului normativ, prin urmare nu poate fi constituită dintr-un singur punct (obiecție similară și la capitolul II secțiunea 1 subsecțiunile 1, 3, 5; secțiunea 2 subsecțiunea 7; secțiunea 3 subsecțiunile 4, 5, 9, 10; secțiunea 4 subsecțiunile 1, 2, 4; secțiunea 5 subsecțiunile 1, 3, 8, 10).</w:t>
            </w:r>
          </w:p>
        </w:tc>
        <w:tc>
          <w:tcPr>
            <w:tcW w:w="2354" w:type="dxa"/>
          </w:tcPr>
          <w:p w:rsidR="00CB673F" w:rsidRPr="000D7827" w:rsidRDefault="001F7B0B" w:rsidP="00B2649B">
            <w:pPr>
              <w:spacing w:after="0" w:line="240" w:lineRule="auto"/>
              <w:jc w:val="center"/>
              <w:rPr>
                <w:rFonts w:ascii="Times New Roman" w:hAnsi="Times New Roman"/>
                <w:i/>
                <w:color w:val="000000"/>
                <w:sz w:val="20"/>
                <w:szCs w:val="20"/>
              </w:rPr>
            </w:pPr>
            <w:r>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La subpct. 2.1, care transpune subpct. 1.1 lit. (a) din Partea I la Anexa IV la Regulamentul </w:t>
            </w:r>
            <w:r w:rsidRPr="000D7827">
              <w:rPr>
                <w:rFonts w:ascii="Times New Roman" w:hAnsi="Times New Roman"/>
                <w:sz w:val="20"/>
                <w:szCs w:val="20"/>
              </w:rPr>
              <w:lastRenderedPageBreak/>
              <w:t>(UE) 2019/1009, textul „(în continuare - CMC 1)”, va fi succedat de textul „astfel cum sunt prevăzute la CMC 1 din Categoriile de materii componente pentru produsele fertilizante UE, aprobate prin Ordinul ministrului agriculturii și industriei alimentare” (obiecție similară și la subpct. 2.2 - 2.5).</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 parțial</w:t>
            </w:r>
          </w:p>
          <w:p w:rsidR="00CB673F" w:rsidRPr="000D7827" w:rsidRDefault="00CB673F" w:rsidP="001F3098">
            <w:pPr>
              <w:spacing w:after="0" w:line="240" w:lineRule="auto"/>
              <w:jc w:val="both"/>
              <w:rPr>
                <w:rFonts w:ascii="Times New Roman" w:hAnsi="Times New Roman"/>
                <w:i/>
                <w:color w:val="000000"/>
                <w:sz w:val="20"/>
                <w:szCs w:val="20"/>
              </w:rPr>
            </w:pPr>
            <w:r w:rsidRPr="000D7827">
              <w:rPr>
                <w:rFonts w:ascii="Times New Roman" w:hAnsi="Times New Roman"/>
                <w:color w:val="222222"/>
                <w:sz w:val="20"/>
                <w:szCs w:val="20"/>
                <w:shd w:val="clear" w:color="auto" w:fill="FFFFFF"/>
              </w:rPr>
              <w:t xml:space="preserve">Menționăm că referirea </w:t>
            </w:r>
            <w:r w:rsidRPr="000D7827">
              <w:rPr>
                <w:rFonts w:ascii="Times New Roman" w:hAnsi="Times New Roman"/>
                <w:color w:val="222222"/>
                <w:sz w:val="20"/>
                <w:szCs w:val="20"/>
                <w:shd w:val="clear" w:color="auto" w:fill="FFFFFF"/>
              </w:rPr>
              <w:lastRenderedPageBreak/>
              <w:t xml:space="preserve">propusă este deja inclusă la pct. 2 al proiectului, iar această prevedere se aplică în mod corespunzător și subpct. 2.1–2.5. </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pct. 3, reiterăm că amestecul de produsele fertilizante este indicat la CFP 7 din Categoriile funcționale de produse pentru produsele fertilizante UE, aprobate prin Ordinul ministrului agriculturii și industriei alimentare. Prin urmare, textul „astfel cum sunt precizate la în Ordinul nr. 165/2025” se va ajusta corespunzător.</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pct. 4, care transpune subpct. 1.3 din Partea I la Anexa IV la Regulamentul (UE) 2019/1009, textul „modulul 1” se va substitui cu textul „modulul A”, astfel cum este indicat la subpct. 1.3.</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4.2, textul „un inhibitor (în continuare - CFP 5), astfel cum este specificat în Ordinul nr. 165/2025” se va substitui cu textul „un inhibitor (în continuare - CFP 5), astfel cum este prevăzut în Categoriile funcționale de produse pentru produse fertilizante UE, aprobate prin Ordinul ministrului agriculturii și industriei alimentare” (obiecție similară și la subpct. 4.3, 6.2, 6.2.1).</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6.1, textul „CMC 1” va fi succedat de textul „din Categoriile de materii componente pentru produse fertilizante UE, aprobate prin Ordinul ministrului agriculturii și industriei alimentare” (obiecție similară și la subpct. 6.3).</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Subpct. 6.2 este constituit dintr-un singur subpunct, prin urmare nu se va numerota.</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EE5BE8">
              <w:rPr>
                <w:rFonts w:ascii="Times New Roman" w:hAnsi="Times New Roman"/>
                <w:sz w:val="20"/>
                <w:szCs w:val="20"/>
              </w:rPr>
              <w:t xml:space="preserve">La subpct. 6.4, se va exclude textul „(în continuare-CMC 10)”, or, referința la Legea nr. </w:t>
            </w:r>
            <w:r w:rsidRPr="00EE5BE8">
              <w:rPr>
                <w:rFonts w:ascii="Times New Roman" w:hAnsi="Times New Roman"/>
                <w:sz w:val="20"/>
                <w:szCs w:val="20"/>
              </w:rPr>
              <w:lastRenderedPageBreak/>
              <w:t>129/2019 nu poate fi succedată de astfel de mențiune.</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Tot la subpct. 6.4, textul „astfel cum se prevede în Ordinul nr. 165/2025” se va substitui cu textul „astfel cum este prevăzut la CMC 10 din Categoriile de materii componente pentru produsele fertilizante UE, aprobate prin Ordinul ministrului agriculturii și industriei alimentare.”.</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Totodată, pentru a exclude expunerea repetată a denumirilor anexelor nr. 1 și nr. 2 la Ordinul ministrului agriculturii și industriei alimentare nr. 165/2025, la prima utilizare în text a Categoriei funcționale de produse pentru produsele fertilizante UE se va indica mențiunea „(în continuare - CFP)”, la Categoriile de materii componente pentru produsele fertilizante UE se va indica mențiunea „(în continuare - CMC)”, iar referința la Ordinul nr. 165/2025 se va exclude.</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În conformitate cu art. 55 alin. (4) din Legea nr. 100/2017, „(4)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 cu excepția cazurilor în care această precizare este necesară pentru a exclude orice echivoc.”. Ținând cont de prevederea legală enunțată, la subpct. 6.5, cuvintele „din prezentul Capitol” se vor exclude ca fiind excedente (obiecție similară și la pct. 22).</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La subpct. 13.2, care transpune subpct. 2.2 lit. (b) din Modulul A Partea II Anexa IV la Regulamentul (UE) 2019/1009, textul „Ordinul nr. 165/2025” se va substitui cu textul „Categoriile de materii componente pentru </w:t>
            </w:r>
            <w:r w:rsidRPr="000D7827">
              <w:rPr>
                <w:rFonts w:ascii="Times New Roman" w:hAnsi="Times New Roman"/>
                <w:sz w:val="20"/>
                <w:szCs w:val="20"/>
              </w:rPr>
              <w:lastRenderedPageBreak/>
              <w:t>produsele fertilizante UE” sau „CMC”, ce transpune anexa II, la care se face referință la subpct. 2.2 lit. (b).</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Potrivit normelor de tehnică legislativă, dacă se face referință la mai mult de două elemente structurale consecutive, enumerarea se redă după următorul exemplu: ,,pct. 2-4”. Astfel, la pct. 19, textul „subsecțiunea a 2-a, a 3-a, a 4-a și a 5-a” se va substitui cu textul „subsecțiunile 2-5”.</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21.2, care transpune subpct. 2.2 lit. (b) din Modulul A1 din Partea II la Anexa IV la Regulamentul (UE) 2019/1009, textul „Ordinul nr. 165/2025” se va substitui cu textul „Categoriile de materii componente pentru produsele fertilizante UE, aprobate prin Ordinul ministrului agriculturii și industriei alimentare”, care transpune Anexa II, la care se face referință la subpct. 2.2 lit. (b).</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Ținând cont de prevederile art. 55 alin. (4) din Legea nr. 100/2017, la subpct. 21.9 se vor exclude cuvintele „a prezentei secțiuni”.</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23.1, care transpune pct. 4 lit. (a) din Modulul A1 din Partea II din Anexa IV la Regulamentul (UE) 2019/1009, cuvintele „cerința privind retenția de ulei menționată la” vor fi succedate de textul „pct. 70 din” care transpune pct. 4 de la CFP 1(C)(I)(a)(i-ii)(A) din anexa I, la care se face referință la pct. 4 lit. (a).</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23.2, care transpune pct. 4 lit. (b) din Modulul A1 din Partea II din Anexa IV la Regulamentul (UE) 2019/1009, cuvintele „cerința privind rezistența la detonare menționată la” vor fi succedate de textul „pct. 71” care transpune punctul 5 de la CFP 1(C)(I)(a)(i-ii)(A) din anexa I la care se face referință la pct. 4 lit. (b) (obiecție valabilă și la Paragraful 1)</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Dispoziția de la subpct. 24.1 este distinctă de dispoziția de la pct. 24, prin urmare, se va numerota cu punctul 25, cu renumerotarea ulterioară a subpunctelor. Totodată, în tabelul de concordanță se va indica mențiunea „prevederi naționale”, 4 or, mențiunea enunțată nu este indicată în Anexa IV la Regulamentul (UE) 2019/1009.</w:t>
            </w:r>
          </w:p>
        </w:tc>
        <w:tc>
          <w:tcPr>
            <w:tcW w:w="2354" w:type="dxa"/>
          </w:tcPr>
          <w:p w:rsidR="00CB673F" w:rsidRPr="000D7827" w:rsidRDefault="00353E67"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p w:rsidR="00353E67" w:rsidRPr="000D7827" w:rsidRDefault="00353E67" w:rsidP="00E020BF">
            <w:pPr>
              <w:spacing w:after="0" w:line="240" w:lineRule="auto"/>
              <w:jc w:val="both"/>
              <w:rPr>
                <w:rFonts w:ascii="Times New Roman" w:hAnsi="Times New Roman"/>
                <w:i/>
                <w:color w:val="000000"/>
                <w:sz w:val="20"/>
                <w:szCs w:val="20"/>
              </w:rPr>
            </w:pP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În denumirea paragrafului 1, care transpune subpct. 4.1 din Modulul A1 din Partea II la Anexa IV la Regulamentul (UE) 2019/1009, textul „CFP 1.3.1.1.1.1. – 1.3.1.1.2.1 în Ordinul nr. 165/2025” se va substitui cu textul „pct. 70 din CFP 1.3.1.1.1.1. – 1.3.1.1.2.1 din Categoria funcțională de produse pentru produsele fertilizante UE, aprobate prin Ordinul ministrului agriculturii și industriei alimentare”, care transpune punctul 4 în cadrul CFP 1(C)(I)(a)(i-ii)(A) din Anexa I, la care se face referință la subpct. 4.1 (obiecție similară și la paragraful 2).</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În denumirea paragrafului 3, care transpune subpct. 4.3 din Modulul A1 din Partea II la Anexa IV la Regulamentul(UE) 2019/1009, textul „CFP 1.3.1.1.1.1. – 1.3.1.1.2.1 în Ordinul nr. 165/2025” se va substitui cu textul „pct. 71 din CFP 1.3.1.1.1.1. – 1.3.1.1.2.1 din Categoria funcțională de produse pentru produsele fertilizante UE, aprobate prin Ordinul ministrului agriculturii și industriei alimentare”, ce transpune pct. 5 în cadrul CFP 1(C)(I)(a)(i-ii)(A) din Anexa I, la care se face referință la subpct. 4.3 (obiecție similară și la paragraful 4).</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La subpct. 38, textul „Figura 1” se va substitui cu textul „Figura nr. 1” (obiecție valabilă și la Figura nr. 1, subpct. 42.1.1, Figura nr. 2, subpct. 42.3.1, Figura nr. 3, subpct. 42.5, subpct. 42.6.1, Figura nr. 4, subpct. 42.5.5, </w:t>
            </w:r>
            <w:r w:rsidRPr="000D7827">
              <w:rPr>
                <w:rFonts w:ascii="Times New Roman" w:hAnsi="Times New Roman"/>
                <w:sz w:val="20"/>
                <w:szCs w:val="20"/>
              </w:rPr>
              <w:lastRenderedPageBreak/>
              <w:t>42.6.2, 42.6.3).</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42.2.2, 42.2.3, 42.2.4, textul „de la pct. 41” se va exclude ca fiind excedent.</w:t>
            </w:r>
          </w:p>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Dispoziția de la subpct. 42.2.5 se va indica din alineat.</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49.2, care transpune subpct. 6.1 lit. (b) din Modulul A1 din Partea II la Anexa IV la Regulamentul (UE) 2019/1009, textul „CFP 1.3.1.1.1.1. – 1.3.1.1.2.1 în Ordinul nr. 165/2025” se va substitui cu textul „pct. 71 din CFP 1.3.1.1.1.1. – 1.3.1.1.2.1 la Categoriile funcționale de produse pentru produsele fertilizante UE, aprobate prin Ordinul ministrului agriculturii și industriei alimentare”, ce transpune punctul 5 în cadrul CFP 1(C)(I)(a)(i-ii)(A) din Anexa I, la care se face referință în subpct. 6.1 lit. (b).</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55.2, care transpune subpct. 2.2 lit. (b) din Modulul B din Partea II la Anexa IV la Regulamentul (UE) 2019/1009, textul „Ordinul nr. 165/2025” se va substitui cu textul „Categoriile de materii componente pentru produsele fertilizante UE, aprobate prin Ordinul ministrului agriculturii și industriei alimentare”, ce transpune Anexa II, la care se face referință în subpct. 2.2 lit. (b).</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55.5, cuvintele „cerințele de etichetare pentru produsele fertilizante stabilite de către autoritatea competentă de elaborarea politicilor” se vor substitui cu cuvintele „cerințele de etichetare pentru produsele fertilizante aprobate de către autoritatea competentă de elaborarea politicilor în conformitate cu competențele stabilite la art. 5 alin. (1) din Legea nr. 21/2025”.</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La pct. 71, care transpune pct. 1 din Modulul C din Partea II la Anexa IV la Regulamentul (UE) 2019/1009, textul „subsecțiunea a 2-a și a 3-a, a secțiunii a 4-a,” se va substitui cu textul </w:t>
            </w:r>
            <w:r w:rsidRPr="000D7827">
              <w:rPr>
                <w:rFonts w:ascii="Times New Roman" w:hAnsi="Times New Roman"/>
                <w:sz w:val="20"/>
                <w:szCs w:val="20"/>
              </w:rPr>
              <w:lastRenderedPageBreak/>
              <w:t>„subsecțiunile 2 și 3”, or, în cazul în care se face referință la două secțiuni, se utilizează cuvântul „secțiunile”, iar textul „secțiunii a 4-a” se va exclude ca fiind excedent.</w:t>
            </w:r>
          </w:p>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Ținând cont de prevederile art. 55 alin. (4) din Legea nr. 100/2017, la pct. 77, cuvintele „a prezentei secțiuni” se vor exclude ca fiind excedente.</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În cadrul procedurii de transpunere nu se admite transpunerea ad-litteram, prin urmare la subpct. 79.2, care transpune subpct. 2.2 lit. (b) din Modulul D1 din Partea II la Anexa IV la Regulamentul (UE) 2019/1009, textul „anexa II” se va substitui cu cuvintele „Categoriile de materii componente pentru produsele fertilizante UE, aprobate prin Ordinul ministrului agriculturii și industriei alimentare”, ce transpune Anexa II din Regulamentul (UE) 2019/1009, la care se face referință la subpct. 2.2 lit. (b) din Modulul D1.</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32</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79.4, care transpune subpct. 2.2 lit. (d) din Modulul D1 din Partea II la Anexa IV la Regulamentul (UE) 2019/1009, textul „Ordinul nr. 165/2025” se va substitui cu cuvintele „Categoriile de materii componente pentru produsele fertilizante UE, aprobate prin Ordinul ministrului agriculturii și industriei alimentare”, ce transpune Anexa II, la care se face referință la subpct. 2.2 lit. (d) din Modulul D1.</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33</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79.7.1, care transpune subpct. 2.2 lit. (ga) din Modulul D1 din Partea II la Anexa IV la Regulamentul (UE) 2019/1009, textul „CMC 13 din Ordinul nr. 165/2025” se va substitui cu textul „</w:t>
            </w:r>
            <w:bookmarkStart w:id="4" w:name="_Hlk214374184"/>
            <w:r w:rsidRPr="000D7827">
              <w:rPr>
                <w:rFonts w:ascii="Times New Roman" w:hAnsi="Times New Roman"/>
                <w:sz w:val="20"/>
                <w:szCs w:val="20"/>
              </w:rPr>
              <w:t>pct. 98 din CMC din Categoriile de materii componente pentru produsele fertilizante UE, aprobate prin Ordinul ministrului agriculturii și industriei alimentare</w:t>
            </w:r>
            <w:bookmarkEnd w:id="4"/>
            <w:r w:rsidRPr="000D7827">
              <w:rPr>
                <w:rFonts w:ascii="Times New Roman" w:hAnsi="Times New Roman"/>
                <w:sz w:val="20"/>
                <w:szCs w:val="20"/>
              </w:rPr>
              <w:t xml:space="preserve">”, ce transpune pct. 6 din CMC 13 </w:t>
            </w:r>
            <w:r w:rsidRPr="000D7827">
              <w:rPr>
                <w:rFonts w:ascii="Times New Roman" w:hAnsi="Times New Roman"/>
                <w:sz w:val="20"/>
                <w:szCs w:val="20"/>
              </w:rPr>
              <w:lastRenderedPageBreak/>
              <w:t>din Partea II a Anexei II, la care se face referință la subpct. 2.2 lit. (ga) din Modulul D1.</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pct. 84, care transpune subpct. 5.1.1.1 din Modulul D1 din Partea II la Anexa IV la Regulamentul (UE) 2019/1009, textul „materiile care fac parte din CMC 3, 5, 12, 13, 14 și 15, astfel cum sunt în Ordinul nr. 165/2025” se va substitui cu textul „materiile care fac parte din CMC 3, 5, 12, 13, 14 și 15, astfel cum sunt definite în Categoriile de materii componente pentru produsele fertilizante UE, aprobate prin Ordinul ministrului agriculturii și industriei alimentare”.</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val="restart"/>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88.5, care transpune subpct. 5.1.3.1 lit. (e) din Modulul D1 din Partea II la Anexa IV la Regulamentul (UE) 2019/1009, reiterăm că în cadrul procedurii de transpunere nu se admite transpunerea ad-litteram, prin urmare, textul „din punctul de vedere al conformității cu cerințele relevante din anexa I” se va substitui cu textul „din punctul de vedere al conformității cu cerințele relevante din Categoriile funcționale de produse pentru produsele fertilizante UE, aprobate prin Ordinul ministrului agriculturii și industriei alimentare”, ce transpune Anexa I, la care se face referință la subpct. 5.1.3.1 lit. (e) din Modulul D1.</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La subpct. 88.6.1, care transpune subpct. 5.1.3.1 lit. (fa) din Modulul D1 din Partea II la Anexa IV la Regulamentul (UE) 2019/1009, textul „ordinul nr. 165/2025” se va substitui cu textul „Categoriile funcționale de produse pentru produsele fertilizante UE și Categoriile de materii componente pentru produsele fertilizante UE, aprobate prin Ordinul ministrului agriculturii și industriei </w:t>
            </w:r>
            <w:r w:rsidRPr="000D7827">
              <w:rPr>
                <w:rFonts w:ascii="Times New Roman" w:hAnsi="Times New Roman"/>
                <w:sz w:val="20"/>
                <w:szCs w:val="20"/>
              </w:rPr>
              <w:lastRenderedPageBreak/>
              <w:t>alimentare”, care transpun Anexele I și II, la care se face referință la subpct. 5.1.3.1 lit. (fa) din Modulul D1.</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4A4B97"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În conformitate cu art. 52 alin. (2) și (3) din Legea nr. 100/2017, „(2) Punctele, de regulă, nu au denumire, sunt expuse fără utilizarea cuvântului „punct” şi se însemnează consecutiv cu numere ordinare, exprimate prin cifre arabe, urmate de punct, începând cu primul și terminând cu ultimul, de la începutul şi până la sfârşitul actului normativ. (3) Pentru interpretare corectă și aplicare comodă, punctele pot fi divizate în subpuncte care se numerotează prin adăugarea consecutivă a cifrelor arabe, până la gradul de detaliere necesar.”. Astfel, la subpct. 88.7.4, textul „pct. 88.6.2.” se va substitui cu textul „subpct. 88.6.2”.</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D050C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pct. 92, care transpune subpct. 5.1.5.1 din Modulul D1 din Partea II la Anexa IV la Regulamentul (UE) 2019/1009, textul „Ordinul nr. 165/2025” se va substitui cu textul „Categoriile de materii componente pentru produsele fertilizante UE, aprobate prin Ordinul ministrului agriculturii și industriei alimentare”, ce transpune Anexa II, la care se face referință la subpct. 5.1.5.1 din Modulul D1.</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D050C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94.4, care transpune subpct. 5.2 liniuța a patra din Modulul D1 din Partea II la Anexa IV la Regulamentul (UE) 2019/1009, textul „elementele prevăzute la pct. 82. – 94.” se va substitui cu textul „elementele prevăzute la pct. 82-93”, ce transpun subpct. 5.1, la care se face referință la subpct. 5.2 liniuța a patra din Modulul D1.</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D050C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La pct. 95, care transpune subpct. 5.3.1 din Modulul D1 din Partea II la Anexa IV la Regulamentul (UE) 2019/1009, textul „la </w:t>
            </w:r>
            <w:r w:rsidRPr="000D7827">
              <w:rPr>
                <w:rFonts w:ascii="Times New Roman" w:hAnsi="Times New Roman"/>
                <w:sz w:val="20"/>
                <w:szCs w:val="20"/>
              </w:rPr>
              <w:lastRenderedPageBreak/>
              <w:t>secțiunea a 5-a, subsecțiunea a 5-a” se va substitui cu textul „pct. 82-93”, ce transpun subpct. 5.1, la care se face referință în subpct. 5.3.1 din Modulul D1, or, secțiunea a 5-a cuprinde și alte puncte (obiecție similară și la pct. 101, care transpune subpct. 5.5.2).</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tc>
      </w:tr>
      <w:tr w:rsidR="00CB673F" w:rsidRPr="00B2649B" w:rsidTr="00825909">
        <w:tc>
          <w:tcPr>
            <w:tcW w:w="5918" w:type="dxa"/>
            <w:vMerge/>
          </w:tcPr>
          <w:p w:rsidR="00CB673F" w:rsidRDefault="00CB673F" w:rsidP="003740F3">
            <w:pPr>
              <w:spacing w:after="0" w:line="240" w:lineRule="auto"/>
              <w:rPr>
                <w:rFonts w:ascii="Times New Roman" w:hAnsi="Times New Roman"/>
                <w:color w:val="000000"/>
                <w:sz w:val="24"/>
                <w:szCs w:val="24"/>
              </w:rPr>
            </w:pPr>
          </w:p>
        </w:tc>
        <w:tc>
          <w:tcPr>
            <w:tcW w:w="1001" w:type="dxa"/>
          </w:tcPr>
          <w:p w:rsidR="00CB673F" w:rsidRPr="00B2649B" w:rsidRDefault="00D050C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41</w:t>
            </w:r>
          </w:p>
        </w:tc>
        <w:tc>
          <w:tcPr>
            <w:tcW w:w="4031" w:type="dxa"/>
            <w:gridSpan w:val="2"/>
          </w:tcPr>
          <w:p w:rsidR="00CB673F" w:rsidRPr="000D7827" w:rsidRDefault="00CB673F" w:rsidP="00017626">
            <w:pPr>
              <w:spacing w:after="0" w:line="240" w:lineRule="auto"/>
              <w:jc w:val="both"/>
              <w:rPr>
                <w:rFonts w:ascii="Times New Roman" w:hAnsi="Times New Roman"/>
                <w:sz w:val="20"/>
                <w:szCs w:val="20"/>
              </w:rPr>
            </w:pPr>
            <w:r w:rsidRPr="000D7827">
              <w:rPr>
                <w:rFonts w:ascii="Times New Roman" w:hAnsi="Times New Roman"/>
                <w:sz w:val="20"/>
                <w:szCs w:val="20"/>
              </w:rPr>
              <w:t>La subpct. 106</w:t>
            </w:r>
            <w:r w:rsidR="0059315E" w:rsidRPr="000D7827">
              <w:rPr>
                <w:rFonts w:ascii="Times New Roman" w:hAnsi="Times New Roman"/>
                <w:sz w:val="20"/>
                <w:szCs w:val="20"/>
              </w:rPr>
              <w:t xml:space="preserve"> </w:t>
            </w:r>
            <w:r w:rsidRPr="000D7827">
              <w:rPr>
                <w:rFonts w:ascii="Times New Roman" w:hAnsi="Times New Roman"/>
                <w:sz w:val="20"/>
                <w:szCs w:val="20"/>
              </w:rPr>
              <w:t>.1 și 106.2, cuvântul „respectiv” se va exclude ca fiind excedent. La pct. 114, textul „subsecțiunea a 3-a, a 7-a, a 8-a” se va substitui cu textul „subsecțiunile 3, 7 și 8”.</w:t>
            </w:r>
          </w:p>
        </w:tc>
        <w:tc>
          <w:tcPr>
            <w:tcW w:w="2354" w:type="dxa"/>
          </w:tcPr>
          <w:p w:rsidR="00CB673F" w:rsidRPr="000D7827" w:rsidRDefault="00CB673F"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t>Se acceptă</w:t>
            </w:r>
          </w:p>
        </w:tc>
      </w:tr>
      <w:tr w:rsidR="00A22CA7" w:rsidRPr="00B2649B" w:rsidTr="00825909">
        <w:tc>
          <w:tcPr>
            <w:tcW w:w="5918" w:type="dxa"/>
          </w:tcPr>
          <w:p w:rsidR="00A22CA7" w:rsidRPr="00D71202" w:rsidRDefault="00A94CC9" w:rsidP="003740F3">
            <w:pPr>
              <w:spacing w:after="0" w:line="240" w:lineRule="auto"/>
              <w:rPr>
                <w:rFonts w:ascii="Times New Roman" w:hAnsi="Times New Roman"/>
                <w:b/>
                <w:color w:val="000000"/>
                <w:sz w:val="24"/>
                <w:szCs w:val="24"/>
              </w:rPr>
            </w:pPr>
            <w:r w:rsidRPr="00D71202">
              <w:rPr>
                <w:rFonts w:ascii="Times New Roman" w:hAnsi="Times New Roman"/>
                <w:b/>
                <w:color w:val="000000"/>
                <w:sz w:val="24"/>
                <w:szCs w:val="24"/>
              </w:rPr>
              <w:t xml:space="preserve">Centrul Național </w:t>
            </w:r>
            <w:r w:rsidR="00615B00" w:rsidRPr="00D71202">
              <w:rPr>
                <w:rFonts w:ascii="Times New Roman" w:hAnsi="Times New Roman"/>
                <w:b/>
                <w:color w:val="000000"/>
                <w:sz w:val="24"/>
                <w:szCs w:val="24"/>
              </w:rPr>
              <w:t xml:space="preserve">Anticorupție </w:t>
            </w:r>
          </w:p>
          <w:p w:rsidR="00615B00" w:rsidRDefault="00615B00" w:rsidP="003740F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nr. </w:t>
            </w:r>
            <w:r w:rsidR="00E2678F">
              <w:rPr>
                <w:rFonts w:ascii="Times New Roman" w:hAnsi="Times New Roman"/>
                <w:color w:val="000000"/>
                <w:sz w:val="24"/>
                <w:szCs w:val="24"/>
              </w:rPr>
              <w:t>06/2/20</w:t>
            </w:r>
            <w:r w:rsidR="00DD6A27">
              <w:rPr>
                <w:rFonts w:ascii="Times New Roman" w:hAnsi="Times New Roman"/>
                <w:color w:val="000000"/>
                <w:sz w:val="24"/>
                <w:szCs w:val="24"/>
              </w:rPr>
              <w:t>506 din 18.11.2025</w:t>
            </w:r>
          </w:p>
          <w:p w:rsidR="00DD6A27" w:rsidRDefault="00DD6A27" w:rsidP="003740F3">
            <w:pPr>
              <w:spacing w:after="0" w:line="240" w:lineRule="auto"/>
              <w:rPr>
                <w:rFonts w:ascii="Times New Roman" w:hAnsi="Times New Roman"/>
                <w:color w:val="000000"/>
                <w:sz w:val="24"/>
                <w:szCs w:val="24"/>
              </w:rPr>
            </w:pPr>
            <w:r>
              <w:rPr>
                <w:rFonts w:ascii="Times New Roman" w:hAnsi="Times New Roman"/>
                <w:color w:val="000000"/>
                <w:sz w:val="24"/>
                <w:szCs w:val="24"/>
              </w:rPr>
              <w:t>nr. EHG25/10951 din 18.11.2025</w:t>
            </w:r>
          </w:p>
        </w:tc>
        <w:tc>
          <w:tcPr>
            <w:tcW w:w="1001" w:type="dxa"/>
          </w:tcPr>
          <w:p w:rsidR="00A22CA7" w:rsidRPr="00B2649B" w:rsidRDefault="00D050C2" w:rsidP="00B264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42</w:t>
            </w:r>
          </w:p>
        </w:tc>
        <w:tc>
          <w:tcPr>
            <w:tcW w:w="4031" w:type="dxa"/>
            <w:gridSpan w:val="2"/>
          </w:tcPr>
          <w:p w:rsidR="006137B9" w:rsidRPr="000D7827" w:rsidRDefault="006137B9" w:rsidP="00017626">
            <w:pPr>
              <w:spacing w:after="0" w:line="240" w:lineRule="auto"/>
              <w:jc w:val="both"/>
              <w:rPr>
                <w:rFonts w:ascii="Times New Roman" w:hAnsi="Times New Roman"/>
                <w:sz w:val="20"/>
                <w:szCs w:val="20"/>
              </w:rPr>
            </w:pPr>
            <w:r w:rsidRPr="000D7827">
              <w:rPr>
                <w:rFonts w:ascii="Times New Roman" w:hAnsi="Times New Roman"/>
                <w:b/>
                <w:sz w:val="20"/>
                <w:szCs w:val="20"/>
              </w:rPr>
              <w:t xml:space="preserve">Raport de expertiză anticorupție </w:t>
            </w:r>
            <w:r w:rsidR="0037329F" w:rsidRPr="000D7827">
              <w:rPr>
                <w:rFonts w:ascii="Times New Roman" w:hAnsi="Times New Roman"/>
                <w:b/>
                <w:sz w:val="20"/>
                <w:szCs w:val="20"/>
              </w:rPr>
              <w:t>la proiectul de hotărâre a Guvernului pentru aprobarea Regulamentului privind procedurile de evaluare a conformității ale produselor fertilizante (număr unic 776/MAIA/2025)</w:t>
            </w:r>
            <w:r w:rsidR="0037329F" w:rsidRPr="000D7827">
              <w:rPr>
                <w:rFonts w:ascii="Times New Roman" w:hAnsi="Times New Roman"/>
                <w:sz w:val="20"/>
                <w:szCs w:val="20"/>
              </w:rPr>
              <w:t xml:space="preserve"> </w:t>
            </w:r>
          </w:p>
          <w:p w:rsidR="006137B9"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sz w:val="20"/>
                <w:szCs w:val="20"/>
              </w:rPr>
              <w:t>Prezentul raport de expertiză anticorupţie a fost întocmit de Centrul Național Anticorupție al Republicii Moldova în baza Legii nr.100/2017 cu privire la actele normative, a Legii nr.1104/2002 cu privire la Centrul Național Anticorupție, a Legii integrității nr.82/2017 și a Metodologiei de efectuare a expertizei anticorupţie a proiectelor de acte legislative și normative, aprobată prin Hotărârea Colegiului Centrului nr.6 din 20 octombrie 2017.</w:t>
            </w:r>
          </w:p>
          <w:p w:rsidR="00280269"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 I. Analiza riscurilor de corupere a procesului de promovare a proiectului </w:t>
            </w:r>
          </w:p>
          <w:p w:rsidR="00280269"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I.1. Pertinența autorului, categoriei propuse a actului și a procedurii de promovare a proiectului </w:t>
            </w:r>
          </w:p>
          <w:p w:rsidR="00280269"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Autor al proiectului de act normativ este Guvernul, iar autor nemijlocit este Ministerul Agriculturii şi Industriei Alimentare, ceea ce corespunde art.102 din Constituție, art.14 din Legea nr.100/2017 cu privire la actele normative. Categoria actului normativ propus este Hotărâre a Guvernului, ceea ce corespunde art.102 din Constituție, art.6 şi art.14 din Legea </w:t>
            </w:r>
            <w:r w:rsidRPr="000D7827">
              <w:rPr>
                <w:rFonts w:ascii="Times New Roman" w:hAnsi="Times New Roman"/>
                <w:sz w:val="20"/>
                <w:szCs w:val="20"/>
              </w:rPr>
              <w:lastRenderedPageBreak/>
              <w:t xml:space="preserve">nr.100/2017 cu privire la actele normative. </w:t>
            </w:r>
          </w:p>
          <w:p w:rsidR="00280269"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I.2. Respectarea rigorilor de transparenţă în procesul decizional la promovarea proiectului </w:t>
            </w:r>
          </w:p>
          <w:p w:rsidR="00280269"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Potrivit art.8 al Legii nr.239/2008 privind transparenţa în procesul decizional „etapele asigurării transparenţei procesului de elaborare a deciziilor sunt: a) informarea publicului referitor la iniţierea elaborării deciziei; b) punerea la dispoziţia părţilor interesate a proiectului de decizie şi a materialelor aferente acestuia; c) consultarea cetăţenilor, asociaţiilor constituite în corespundere cu legea, altor părţi interesate; d) examinarea recomandărilor cetăţenilor, asociaţiilor constituite în corespundere cu legea, altor părţi interesate în procesul de elaborare a proiectelor de decizii; e) informarea publicului referitor la deciziile adoptate". Totodată, art.10 din Legea nr.239/2008 stabileşte expres că: „(1) Autoritatea publică asigură accesul la proiectele de decizii şi la materialele aferente acestora prin publicarea obligatorie a lor pe pagina web oficială a autorităţii publice, prin asigurarea accesului la 1 sediul autorităţii, precum şi prin expediere prin poştă sau prin alte mijloace disponibile, la solicitarea persoanei interesate. (2) Proiectul de decizie şi materialele aferente acestuia se plasează pe pagina web oficială a autorităţii publice responsabile cel puţin pentru perioada recepţionării şi examinării recomandărilor". Proiectul supus expertizei anticorupție a fost publicat pentru consultare publică pe pagina web oficială a Ministerului Agriculturii și Industriei Alimentare, precum și pe portalul guvernamental www. particip.gov.md, asigurând accesul părților interesate pentru a-și exprima opinia și a face recomandări asupra acestuia. Totodată, autorul a asigurat </w:t>
            </w:r>
            <w:r w:rsidRPr="000D7827">
              <w:rPr>
                <w:rFonts w:ascii="Times New Roman" w:hAnsi="Times New Roman"/>
                <w:sz w:val="20"/>
                <w:szCs w:val="20"/>
              </w:rPr>
              <w:lastRenderedPageBreak/>
              <w:t xml:space="preserve">informarea publicului cu privire la inițierea elaborării acestui proiect de decizie. Astfel, se constată că a fost respectată etapa esențială în asigurarea transparenței procesului de elaborare a deciziilor, conform art.8 lit.a) din Legea nr. 239/2008 privind transparența în procesul decizional. Prin urmare, având în vedere că proiectul a fost plasat pe paginile web indicate supra și luând în considerare termenele pentru consultări publice, transparența în procesul decizional a fost asigurată integral. </w:t>
            </w:r>
          </w:p>
          <w:p w:rsidR="00060F48"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I.3. Scopul anunţat și scopul real al proiectului </w:t>
            </w:r>
          </w:p>
          <w:p w:rsidR="00060F48"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Potrivit notei de fundamentare, proiectul are drept scop: ,,instituirea unui cadru normativ secundar care să reglementeze procedurile de evaluare a conformității pentru produsele fertilizante UE”. Totodată, autorul indică că ,,realizarea acestui scop va permite armonizarea completă a legislației naționale cu acquis-ul european, consolidând în același timp siguranța pieței interne și facilitând libera circulație a fertilizanților în spațiul comunitar iar soluțiile propuse va oferi operatorilor economici predictibilitate și încredere, va garanta securitatea utilizatorilor și va asigura condiții de concurență loială pe piața ferilizanților, echivalente celor din Uniunea Europeană”. Analizând normele elaborate s-a constatat că prin proiect se propune aprobarea Regulamentului privind procedurile de evaluare a conformității ale produselor fertilizante. Prin urmare, se constată că scopul declarat de către autor în nota de fundamentare corespunde scopului real al proiectului. </w:t>
            </w:r>
          </w:p>
          <w:p w:rsidR="00060F48"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I.4. Interesul public şi interesele private promovate prin proiect </w:t>
            </w:r>
          </w:p>
          <w:p w:rsidR="00060F48"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Reieșind din argumentele autorului, proiectul de regulament promovează interesul public </w:t>
            </w:r>
            <w:r w:rsidRPr="000D7827">
              <w:rPr>
                <w:rFonts w:ascii="Times New Roman" w:hAnsi="Times New Roman"/>
                <w:sz w:val="20"/>
                <w:szCs w:val="20"/>
              </w:rPr>
              <w:lastRenderedPageBreak/>
              <w:t xml:space="preserve">prin asigurarea siguranței și calității produselor fertilizante, în corespundere cu standardele europene și obiectivele de integrare în piața unică a Uniunii Europene. </w:t>
            </w:r>
          </w:p>
          <w:p w:rsidR="00060F48"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I.5. Justificarea soluțiilor proiectului </w:t>
            </w:r>
          </w:p>
          <w:p w:rsidR="00060F48"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I.5.1. Suficienţa argumentării din nota informativă. </w:t>
            </w:r>
          </w:p>
          <w:p w:rsidR="00470579"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În conformitate cu art.30 al Legii nr.100/2017 cu privire la actele normative, proiectele de acte normative sunt însoțite de „nota de fundamentare care cuprinde: a) denumirea sau numele autorului și, după caz, a/al participanților la elaborarea proiectului actului normativ; b) condițiile ce au impus elaborarea proiectului actului normativ; 2 c) obiectivele urmărite și soluțiile propuse; d) analiza impactului de reglementare; e) compatibilitatea proiectului actului normativ cu legislația UE; f) avizarea și consultarea publică a proiectului actului normativ; h) modul de încorporare a actului în cadrul normativ existent; i) măsurile necesare pentru implementarea prevederilor proiectului actului normativ." Argumentele invocate de autor în nota de fundamentare justifică necesitatea elaborării proiectului, fiind întrunite cerințele art.30 din Legea nr.100/2017 cu privire la actele normative. </w:t>
            </w:r>
          </w:p>
          <w:p w:rsidR="00470579"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I.5.2. Argumentarea economică-financiară. </w:t>
            </w:r>
          </w:p>
          <w:p w:rsidR="00470579"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Conform art.30 lit.d) al Legii nr.100/2017 cu privire la actele normative, nota de fundamentare trebuie să conțină „d) analiza impactului de reglementare". Potrivit autorului: „Implementarea prevederilor proiectului Hotărârii Guvernului privind procedurile de evaluare a conformității produselor fertilizante nu generează un impact financiar direct asupra bugetului de stat. Agenția Națională pentru Siguranța Alimentelor va asigura implementarea prin valorificarea infrastructurii </w:t>
            </w:r>
            <w:r w:rsidRPr="000D7827">
              <w:rPr>
                <w:rFonts w:ascii="Times New Roman" w:hAnsi="Times New Roman"/>
                <w:sz w:val="20"/>
                <w:szCs w:val="20"/>
              </w:rPr>
              <w:lastRenderedPageBreak/>
              <w:t xml:space="preserve">instituționale și a resurselor umane disponibile, fără a fi necesare alocări suplimentare din bugetul public. Costuri potențiale pot apărea la nivelul procesului de evaluare a conformității, acestea vizând menținerea competențelor tehnice, acreditarea laboratoarelor și respectarea obligațiilor de raportare. Pentru operatorii economici, costurile vor include elaborarea și păstrarea documentației tehnice, efectuarea testelor periodice (precum testul de retenție a uleiului și testul de rezistență la detonare pentru îngrășămintele pe bază de azotat de amoniu), precum și eventualele cheltuieli legate de instruirea personalului.” </w:t>
            </w:r>
          </w:p>
          <w:p w:rsidR="00470579"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II. Analiza generală a factorilor de risc ale proiectului </w:t>
            </w:r>
          </w:p>
          <w:p w:rsidR="00470579"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II.1. Limbajul proiectului </w:t>
            </w:r>
          </w:p>
          <w:p w:rsidR="00470579"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sz w:val="20"/>
                <w:szCs w:val="20"/>
              </w:rPr>
              <w:t xml:space="preserve">Potrivit art.54 al Legii nr.100/2017 cu privire la actele normative „textul proiectului actului normativ se elaborează [...] cu respectarea următoarelor reguli: [...] a) se expune într-un limbaj simplu, clar şi concis [...] c) terminologia utilizată este constantă, uniformă și corespunde celei utilizate în alte acte normative, în legislația Uniunii Europene și în alte instrumente internaționale la care Republica Moldova este parte, cu respectarea prevederilor prezentei legi; [...] e) se interzice folosirea neologismelor dacă există sinonime de largă răspândire, [...] f) se evită folosirea [...] a cuvintelor și expresiilor [...] care nu sînt utilizate sau cu sens ambiguu; g) se evită tautologiile juridice; h) se utilizează, pe cât este posibil, noțiuni monosemantice, [...]". Textul proiectului este expus într-un limbaj simplu, clar şi concis, cu respectarea regulilor gramaticale şi de ortografie, întrunind cerinţele prevăzute de art.54 din Legea nr.100/2017. </w:t>
            </w:r>
          </w:p>
          <w:p w:rsidR="00581FC8" w:rsidRPr="000D7827" w:rsidRDefault="0037329F"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II.2. Coerența legislativă a proiectului </w:t>
            </w:r>
          </w:p>
          <w:p w:rsidR="00581FC8"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sz w:val="20"/>
                <w:szCs w:val="20"/>
              </w:rPr>
              <w:lastRenderedPageBreak/>
              <w:t xml:space="preserve">În textul proiectului nu au fost identificate norme contradictorii sau conflicte dintre prevederile acestuia cu reglementările altor acte normative în vigoare. </w:t>
            </w:r>
          </w:p>
          <w:p w:rsidR="00581FC8"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i/>
                <w:sz w:val="20"/>
                <w:szCs w:val="20"/>
              </w:rPr>
              <w:t>II.3. Activitatea agenţilor publici şi a entităților publice reglementată în proiect</w:t>
            </w:r>
            <w:r w:rsidRPr="000D7827">
              <w:rPr>
                <w:rFonts w:ascii="Times New Roman" w:hAnsi="Times New Roman"/>
                <w:sz w:val="20"/>
                <w:szCs w:val="20"/>
              </w:rPr>
              <w:t xml:space="preserve"> Proiectul reglementează activitatea Agenției Naționale pentru Siguranța Alimentelor, care va fi responsabilă de supravegherea pieței produselor fertilizante și de monitorizarea respectării procedurilor de evaluare a conformității. De asemenea, ANSA va asigura gestionarea documentației tehnice și a declarațiilor de conformitate UE. Laboratoarele acreditate vor avea sarcina de a efectua testările prevăzute de cadrul normativ european, inclusiv verificările privind retenția de ulei și rezistența la detonare pentru îngrășămintele pe bază de azotat de amoniu. </w:t>
            </w:r>
          </w:p>
          <w:p w:rsidR="00A22CA7" w:rsidRPr="000D7827" w:rsidRDefault="0037329F" w:rsidP="00017626">
            <w:pPr>
              <w:spacing w:after="0" w:line="240" w:lineRule="auto"/>
              <w:jc w:val="both"/>
              <w:rPr>
                <w:rFonts w:ascii="Times New Roman" w:hAnsi="Times New Roman"/>
                <w:sz w:val="20"/>
                <w:szCs w:val="20"/>
              </w:rPr>
            </w:pPr>
            <w:r w:rsidRPr="000D7827">
              <w:rPr>
                <w:rFonts w:ascii="Times New Roman" w:hAnsi="Times New Roman"/>
                <w:i/>
                <w:sz w:val="20"/>
                <w:szCs w:val="20"/>
              </w:rPr>
              <w:t>II.4. Atingeri ale drepturilor omului care pot fi cauzate la aplicarea proiectului</w:t>
            </w:r>
            <w:r w:rsidRPr="000D7827">
              <w:rPr>
                <w:rFonts w:ascii="Times New Roman" w:hAnsi="Times New Roman"/>
                <w:sz w:val="20"/>
                <w:szCs w:val="20"/>
              </w:rPr>
              <w:t xml:space="preserve"> Prevederile proiectului nu aduc atingere drepturilor fundamentale ale omului consacrate de Constituţia Republicii Moldova, Declaraţia Universală a Drepturilor Omului şi Convenţia Europeană a Drepturilor Omului.</w:t>
            </w:r>
          </w:p>
          <w:p w:rsidR="003D7852" w:rsidRPr="000D7827" w:rsidRDefault="003D7852" w:rsidP="00017626">
            <w:pPr>
              <w:spacing w:after="0" w:line="240" w:lineRule="auto"/>
              <w:jc w:val="both"/>
              <w:rPr>
                <w:rFonts w:ascii="Times New Roman" w:hAnsi="Times New Roman"/>
                <w:i/>
                <w:sz w:val="20"/>
                <w:szCs w:val="20"/>
              </w:rPr>
            </w:pPr>
            <w:r w:rsidRPr="000D7827">
              <w:rPr>
                <w:rFonts w:ascii="Times New Roman" w:hAnsi="Times New Roman"/>
                <w:i/>
                <w:sz w:val="20"/>
                <w:szCs w:val="20"/>
              </w:rPr>
              <w:t>III. Analiza detaliată a factorilor de risc și a riscurilor de corupție ale proiectului</w:t>
            </w:r>
          </w:p>
          <w:p w:rsidR="003D7852" w:rsidRPr="001929AB" w:rsidRDefault="001929AB" w:rsidP="00017626">
            <w:pPr>
              <w:spacing w:after="0" w:line="240" w:lineRule="auto"/>
              <w:jc w:val="both"/>
              <w:rPr>
                <w:rFonts w:ascii="Times New Roman" w:hAnsi="Times New Roman"/>
                <w:sz w:val="20"/>
                <w:szCs w:val="20"/>
              </w:rPr>
            </w:pPr>
            <w:r w:rsidRPr="001929AB">
              <w:rPr>
                <w:rFonts w:ascii="Times New Roman" w:hAnsi="Times New Roman"/>
                <w:sz w:val="20"/>
                <w:szCs w:val="20"/>
              </w:rPr>
              <w:t>Obiecție generală:</w:t>
            </w:r>
          </w:p>
          <w:p w:rsidR="001929AB" w:rsidRPr="001929AB" w:rsidRDefault="001929AB" w:rsidP="00017626">
            <w:pPr>
              <w:spacing w:after="0" w:line="240" w:lineRule="auto"/>
              <w:jc w:val="both"/>
              <w:rPr>
                <w:rFonts w:ascii="Times New Roman" w:hAnsi="Times New Roman"/>
                <w:i/>
                <w:noProof/>
                <w:sz w:val="20"/>
                <w:szCs w:val="20"/>
              </w:rPr>
            </w:pPr>
            <w:r w:rsidRPr="001929AB">
              <w:rPr>
                <w:rFonts w:ascii="Times New Roman" w:hAnsi="Times New Roman"/>
                <w:sz w:val="20"/>
                <w:szCs w:val="20"/>
              </w:rPr>
              <w:t xml:space="preserve">Obiecții: Potrivit autorului proiectul Regulamentului privind procedurile de evaluare a conformității ale produselor fertilizante stabilește aplicabilitatea modulelor procedurii de evaluare a conformității, prevăzute în Capitolul II, în funcție de Categoriile de materii componente (CMC) și Categoriile funcționale de produse (CFP), care sunt prevăzute în Ordinul ministrului agriculturii și industriei alimentare nr. </w:t>
            </w:r>
            <w:r w:rsidRPr="001929AB">
              <w:rPr>
                <w:rFonts w:ascii="Times New Roman" w:hAnsi="Times New Roman"/>
                <w:sz w:val="20"/>
                <w:szCs w:val="20"/>
              </w:rPr>
              <w:lastRenderedPageBreak/>
              <w:t xml:space="preserve">165/2025 cu privire la aprobarea Categoriilor funcționale de produse și a Categoriilor de materii componente pentru produsele fertilizante UE. În acest sens, atragem atenția autorului de condiționarea proiectului de Hotărâre a Guvernului de un act departamental, ceea ce reprezintă o abatere de la principiul legalității și al ierarhiei actelor normative prevăzut de art. 3 alin. (1) lit. a) din Legea nr. 100/2017 cu privire la actele normative. Un astfel de mecanism admis va genera riscuri juridice, întrucât un act normativ inferior (ordinul ministrului) nu poate condiționa aplicarea sau completarea unui act normativ superior (Hotărâre de Guvern). Mai mult, conform art. 3 alin. (1) lit. d)–h) din Legea nr. 100/2017, activitatea de legiferare trebuie să asigure coerență, consecvență, stabilitate, predictibilitate și proporționalitate. Referințele la un act subsecvent aprobat sau în proces de elaborare încalcă aceste principii, afectând în acest mod coerența și stabilitatea. Suplimentar, în contextul transpunerii Regulamentului (UE) 2019/1009, prin Legea nr. 21/2025 privind punerea la dispoziție pe piață a produselor fertilizante, se impune o abordare unitară și sistemică, întrucât reglementările europene privind produsele fertilizante sunt consolidate într-un singur Regulament, însoțit de anexele sale. La caz, admiterea pe tot parcursul proiectului la trimiterile la actul inferior, creează riscul precedentelor defectuoase care se pot aplica la o anumită etapă în mod abuziv și haotic. Respectiv în cazul în care se urmărește stabilirea unei proceduri de evaluare a conformității, atunci actul normativ la etapa transpunerii urmează să completeze legea privind punerea la dispoziție pe piață a produselor fertilizante dar nu fragmentarea </w:t>
            </w:r>
            <w:r w:rsidRPr="001929AB">
              <w:rPr>
                <w:rFonts w:ascii="Times New Roman" w:hAnsi="Times New Roman"/>
                <w:sz w:val="20"/>
                <w:szCs w:val="20"/>
              </w:rPr>
              <w:lastRenderedPageBreak/>
              <w:t xml:space="preserve">defectuoasă a cadrului normativ. Potrivit, opiniei Comisiei de la Veneția asupra proiectul de lege privind Curtea Constituțională bazată pe observațiile raportorilor și a rezultatelor reuniunilor din 10 și 11 februarie 2025, adoptată de Comisia de la Veneția în cadrul celei de-a 142-a sesiuni plenare (Veneția,14 martie 2025), Comisia reține la pct. 94 ,, Comisia de la Veneția a avertizat anterior împotriva unei abordări excesiv de liberale în această privință, care ar implica lăsarea chestiunilor critice care afectează drepturile individuale exclusiv pe seama reglementărilor interne. În schimb, este esențial să se delimiteze care aspecte ar trebui reglementate prin lege și care prin reglementărilor interne. 95. Aspectele fundamentale legate de organizarea și funcționarea Curții Constituționale, cum ar fi statutul judecătorilor, accesul la Curte, cadrul procedural de bază, natura deciziilor pe care Curtea le poate pronunța și principiile care reglementează organizarea sa internă, ar trebui să fie consacrate prin lege. În schimb, aspectele secundare pot fi abordate prin regulamente interne din mai multe motive. 96. În primul rând, din punct de vedere constituțional, astfel de aspecte sunt mai puțin importante comparativ cu normele procedurale fundamentale. În al doilea rând, Curtea Constituțională, în calitate de organ specializat, este mai bine poziționată decât legiuitorul pentru a stabili normele interne care se potrivesc cel mai bine funcționării sale și pentru a le adapta, după caz, la evoluția circumstanțelor. În cele din urmă, permiterea unui anumit grad de reglementare autonomă asigură flexibilitatea și eficiența operațională a Curții40 . 97. În plus, preocupări similare apar </w:t>
            </w:r>
            <w:r w:rsidRPr="001929AB">
              <w:rPr>
                <w:rFonts w:ascii="Times New Roman" w:hAnsi="Times New Roman"/>
                <w:sz w:val="20"/>
                <w:szCs w:val="20"/>
              </w:rPr>
              <w:lastRenderedPageBreak/>
              <w:t>în ceea ce privește problema sensibilă a stabilirii și aplicării sancțiunilor disciplinare în temeiul regulamentelor interne, astfel cum se subliniază la articolul 23 alineatul (2) din proiectul de lege. În paragrafele anterioare ale prezentei opinii, Comisia de la Veneția a subliniat deja problema pragului de vot necesar pentru aplicarea sancțiunilor disciplinare, altele decât ridicarea mandatului, precum și necesitatea de a prevedea garanții procedurale în cadrul legii. Având în vedere importanța acestor aspecte, Comisia consideră că este esențial să se consacre cel puțin principiile directoare pentru măsuri disciplinare în cadrul legal, în loc să le lase în întregime la latitudinea reglementărilor interne. 98. În lumina considerațiilor de mai sus, Comisia de la Veneția recomandă ca articolul 30 alineatul (4) din proiectul de lege să nu se refere exclusiv la Regulamentul Curții Constituționale. În schimb, acesta ar trebui să definească în mod clar domeniile de reglementare respective ale legii și ale regulamentelor interne, eliminând orice ambiguitate. Această abordare ar consolida securitatea juridică și previzibilitatea, asigurând în același timp coerența între dispozițiile legale și normele interne, protejând astfel garanțiile procedurale fundamentale” [...]. Recomandarea Comisiei de la Veneția privind delimitarea clară dintre domeniul de reglementare al legii și al regulamentelor interne este aplicabilă, mutatis mutandis, și în cazul Hotărârilor de Guvern, prin urmare, o Hotărâre de Guvern nu poate depinde de un act inferior pentru a fi aplicată. O astfel de practică normativă poate duce la neclarități și instabilitate în aplicarea normelor.</w:t>
            </w:r>
          </w:p>
          <w:p w:rsidR="0058349C" w:rsidRDefault="001929AB" w:rsidP="00017626">
            <w:pPr>
              <w:spacing w:after="0" w:line="240" w:lineRule="auto"/>
              <w:jc w:val="both"/>
              <w:rPr>
                <w:rFonts w:ascii="Times New Roman" w:hAnsi="Times New Roman"/>
                <w:sz w:val="20"/>
                <w:szCs w:val="20"/>
              </w:rPr>
            </w:pPr>
            <w:r w:rsidRPr="001929AB">
              <w:rPr>
                <w:rFonts w:ascii="Times New Roman" w:hAnsi="Times New Roman"/>
                <w:sz w:val="20"/>
                <w:szCs w:val="20"/>
              </w:rPr>
              <w:t xml:space="preserve">Recomandări: Excluderea pe parcursul </w:t>
            </w:r>
            <w:r w:rsidRPr="001929AB">
              <w:rPr>
                <w:rFonts w:ascii="Times New Roman" w:hAnsi="Times New Roman"/>
                <w:sz w:val="20"/>
                <w:szCs w:val="20"/>
              </w:rPr>
              <w:lastRenderedPageBreak/>
              <w:t>proiectului a trimiterilor la Ordinul ministrului agriculturii și industriei alimentare nr. 165/2025 sau reformularea întregului proiect sub aspectul obiecției descrise.</w:t>
            </w:r>
          </w:p>
          <w:p w:rsidR="00522642" w:rsidRDefault="00522642" w:rsidP="00017626">
            <w:pPr>
              <w:spacing w:after="0" w:line="240" w:lineRule="auto"/>
              <w:jc w:val="both"/>
              <w:rPr>
                <w:rFonts w:ascii="Times New Roman" w:hAnsi="Times New Roman"/>
                <w:sz w:val="20"/>
                <w:szCs w:val="20"/>
              </w:rPr>
            </w:pPr>
            <w:r w:rsidRPr="00522642">
              <w:rPr>
                <w:rFonts w:ascii="Times New Roman" w:hAnsi="Times New Roman"/>
                <w:sz w:val="20"/>
                <w:szCs w:val="20"/>
              </w:rPr>
              <w:t>Factori de risc:</w:t>
            </w:r>
          </w:p>
          <w:p w:rsidR="00522642" w:rsidRDefault="00522642" w:rsidP="00017626">
            <w:pPr>
              <w:spacing w:after="0" w:line="240" w:lineRule="auto"/>
              <w:jc w:val="both"/>
              <w:rPr>
                <w:rFonts w:ascii="Times New Roman" w:hAnsi="Times New Roman"/>
                <w:sz w:val="20"/>
                <w:szCs w:val="20"/>
              </w:rPr>
            </w:pPr>
            <w:r w:rsidRPr="00522642">
              <w:rPr>
                <w:rFonts w:ascii="Times New Roman" w:hAnsi="Times New Roman"/>
                <w:sz w:val="20"/>
                <w:szCs w:val="20"/>
              </w:rPr>
              <w:t xml:space="preserve"> ● Atribuții care admit derogări și interpretări abuzive</w:t>
            </w:r>
          </w:p>
          <w:p w:rsidR="00522642" w:rsidRDefault="00522642" w:rsidP="00017626">
            <w:pPr>
              <w:spacing w:after="0" w:line="240" w:lineRule="auto"/>
              <w:jc w:val="both"/>
              <w:rPr>
                <w:rFonts w:ascii="Times New Roman" w:hAnsi="Times New Roman"/>
                <w:sz w:val="20"/>
                <w:szCs w:val="20"/>
              </w:rPr>
            </w:pPr>
            <w:r w:rsidRPr="00522642">
              <w:rPr>
                <w:rFonts w:ascii="Times New Roman" w:hAnsi="Times New Roman"/>
                <w:sz w:val="20"/>
                <w:szCs w:val="20"/>
              </w:rPr>
              <w:t xml:space="preserve"> ●Lipsa/ambiguitatea procedurilor administrative</w:t>
            </w:r>
            <w:r>
              <w:rPr>
                <w:rFonts w:ascii="Times New Roman" w:hAnsi="Times New Roman"/>
                <w:sz w:val="20"/>
                <w:szCs w:val="20"/>
              </w:rPr>
              <w:t>.</w:t>
            </w:r>
          </w:p>
          <w:p w:rsidR="005D56A6" w:rsidRPr="005D56A6" w:rsidRDefault="00522642" w:rsidP="00017626">
            <w:pPr>
              <w:spacing w:after="0" w:line="240" w:lineRule="auto"/>
              <w:jc w:val="both"/>
              <w:rPr>
                <w:rFonts w:ascii="Times New Roman" w:hAnsi="Times New Roman"/>
                <w:sz w:val="20"/>
                <w:szCs w:val="20"/>
              </w:rPr>
            </w:pPr>
            <w:r w:rsidRPr="005D56A6">
              <w:rPr>
                <w:rFonts w:ascii="Times New Roman" w:hAnsi="Times New Roman"/>
                <w:sz w:val="20"/>
                <w:szCs w:val="20"/>
              </w:rPr>
              <w:t xml:space="preserve">Riscuri de corupţie: </w:t>
            </w:r>
          </w:p>
          <w:p w:rsidR="00522642" w:rsidRPr="005D56A6" w:rsidRDefault="00522642" w:rsidP="00017626">
            <w:pPr>
              <w:spacing w:after="0" w:line="240" w:lineRule="auto"/>
              <w:jc w:val="both"/>
              <w:rPr>
                <w:rFonts w:ascii="Times New Roman" w:hAnsi="Times New Roman"/>
                <w:sz w:val="20"/>
                <w:szCs w:val="20"/>
              </w:rPr>
            </w:pPr>
            <w:r w:rsidRPr="005D56A6">
              <w:rPr>
                <w:rFonts w:ascii="Times New Roman" w:hAnsi="Times New Roman"/>
                <w:sz w:val="20"/>
                <w:szCs w:val="20"/>
              </w:rPr>
              <w:t>● Generale</w:t>
            </w:r>
          </w:p>
          <w:p w:rsidR="0058349C" w:rsidRPr="000D7827" w:rsidRDefault="0058349C" w:rsidP="00017626">
            <w:pPr>
              <w:spacing w:after="0" w:line="240" w:lineRule="auto"/>
              <w:jc w:val="both"/>
              <w:rPr>
                <w:rFonts w:ascii="Times New Roman" w:hAnsi="Times New Roman"/>
                <w:i/>
                <w:sz w:val="20"/>
                <w:szCs w:val="20"/>
              </w:rPr>
            </w:pPr>
            <w:r w:rsidRPr="000D7827">
              <w:rPr>
                <w:rFonts w:ascii="Times New Roman" w:hAnsi="Times New Roman"/>
                <w:i/>
                <w:sz w:val="20"/>
                <w:szCs w:val="20"/>
              </w:rPr>
              <w:t xml:space="preserve">IV. Concluzia expertizei </w:t>
            </w:r>
          </w:p>
          <w:p w:rsidR="0058349C" w:rsidRPr="000D7827" w:rsidRDefault="0058349C" w:rsidP="00017626">
            <w:pPr>
              <w:spacing w:after="0" w:line="240" w:lineRule="auto"/>
              <w:jc w:val="both"/>
              <w:rPr>
                <w:rFonts w:ascii="Times New Roman" w:hAnsi="Times New Roman"/>
                <w:i/>
                <w:sz w:val="20"/>
                <w:szCs w:val="20"/>
              </w:rPr>
            </w:pPr>
            <w:r w:rsidRPr="000D7827">
              <w:rPr>
                <w:rFonts w:ascii="Times New Roman" w:hAnsi="Times New Roman"/>
                <w:sz w:val="20"/>
                <w:szCs w:val="20"/>
              </w:rPr>
              <w:t xml:space="preserve">Proiectul a fost elaborat de Ministerul Agriculturii și Industriei Alimentare și are drept scop instituirea unui cadru normativ secundar care să reglementeze procedurile de evaluare a conformității pentru produsele fertilizante UE. Astfel, prin proiect se propune aprobarea Regulamentului privind procedurile de evaluare a conformității ale produselor fertilizante. Autorul a prezentat Sinteza avizelor parvenite în cadrul procesului de consultare publică a proiectului de către autoritățile responsabile de implementarea prevederilor conţinute în proiect/instituţiilor interesate, fapt ce denotă caracterul definitivat al acestuia și întrunirea condițiilor stabilite de prevederile art.28 din Legea integrității nr.82/2017. În procesul de promovare a proiectului, au fost respectate rigorile de asigurare a transparenţei decizionale statuate de prevederile art.8 lit.a)-d) din Legea nr. 239/2008 privind transparenţa în procesul decizional. Nota informativă a proiectului a fost structurată cu întrunirea exigențelor de tehnică legislativă statuate de prevederile art.30 lit.a)-f) din Legea nr. 100/2017 cu privire la actele normative. Totodată, deși în redacția propusă proiectul nu conține prevederi cu </w:t>
            </w:r>
            <w:r w:rsidRPr="000D7827">
              <w:rPr>
                <w:rFonts w:ascii="Times New Roman" w:hAnsi="Times New Roman"/>
                <w:sz w:val="20"/>
                <w:szCs w:val="20"/>
              </w:rPr>
              <w:lastRenderedPageBreak/>
              <w:t>caracter coruptibil, se recomandă autorului revizuirea trimiterilor incluse în proiect, prin care Hotărârea de Guvern face trimitere la ordinul ministrului. Analiza detaliată a acestor aspecte este prezentată în compartimentul III al prezentului raport de expertiză anticorupție. Implementarea prevederilor propuse poate contribui la realizarea interesului public vizat de proiect, fapt care nu este detrimentul interesului public general în sensul prevederilor Legii integrităţii nr. 82/2017, cu condiția considerării recomandărilor formulate.</w:t>
            </w:r>
          </w:p>
        </w:tc>
        <w:tc>
          <w:tcPr>
            <w:tcW w:w="2354" w:type="dxa"/>
          </w:tcPr>
          <w:p w:rsidR="00A22CA7" w:rsidRPr="000D7827" w:rsidRDefault="00A041F7" w:rsidP="00B2649B">
            <w:pPr>
              <w:spacing w:after="0" w:line="240" w:lineRule="auto"/>
              <w:jc w:val="center"/>
              <w:rPr>
                <w:rFonts w:ascii="Times New Roman" w:hAnsi="Times New Roman"/>
                <w:i/>
                <w:color w:val="000000"/>
                <w:sz w:val="20"/>
                <w:szCs w:val="20"/>
              </w:rPr>
            </w:pPr>
            <w:r w:rsidRPr="000D7827">
              <w:rPr>
                <w:rFonts w:ascii="Times New Roman" w:hAnsi="Times New Roman"/>
                <w:i/>
                <w:color w:val="000000"/>
                <w:sz w:val="20"/>
                <w:szCs w:val="20"/>
              </w:rPr>
              <w:lastRenderedPageBreak/>
              <w:t>Se acceptă</w:t>
            </w:r>
          </w:p>
          <w:p w:rsidR="00A041F7" w:rsidRPr="000D7827" w:rsidRDefault="00E46EAE" w:rsidP="0048297D">
            <w:pPr>
              <w:spacing w:after="0" w:line="240" w:lineRule="auto"/>
              <w:jc w:val="both"/>
              <w:rPr>
                <w:rFonts w:ascii="Times New Roman" w:hAnsi="Times New Roman"/>
                <w:sz w:val="20"/>
                <w:szCs w:val="20"/>
              </w:rPr>
            </w:pPr>
            <w:r w:rsidRPr="000D7827">
              <w:rPr>
                <w:rFonts w:ascii="Times New Roman" w:hAnsi="Times New Roman"/>
                <w:color w:val="000000"/>
                <w:sz w:val="20"/>
                <w:szCs w:val="20"/>
              </w:rPr>
              <w:t xml:space="preserve">În cadrul proiectului, referirea la </w:t>
            </w:r>
            <w:r w:rsidR="00F4441C" w:rsidRPr="000D7827">
              <w:rPr>
                <w:rFonts w:ascii="Times New Roman" w:hAnsi="Times New Roman"/>
                <w:color w:val="000000"/>
                <w:sz w:val="20"/>
                <w:szCs w:val="20"/>
              </w:rPr>
              <w:t>„</w:t>
            </w:r>
            <w:r w:rsidR="00053788" w:rsidRPr="000D7827">
              <w:rPr>
                <w:rFonts w:ascii="Times New Roman" w:hAnsi="Times New Roman"/>
                <w:sz w:val="20"/>
                <w:szCs w:val="20"/>
              </w:rPr>
              <w:t>Ordinul nr. 165/2025</w:t>
            </w:r>
            <w:r w:rsidR="00F4441C" w:rsidRPr="000D7827">
              <w:rPr>
                <w:rFonts w:ascii="Times New Roman" w:hAnsi="Times New Roman"/>
                <w:sz w:val="20"/>
                <w:szCs w:val="20"/>
              </w:rPr>
              <w:t>”,</w:t>
            </w:r>
            <w:r w:rsidRPr="000D7827">
              <w:rPr>
                <w:rFonts w:ascii="Times New Roman" w:hAnsi="Times New Roman"/>
                <w:color w:val="000000"/>
                <w:sz w:val="20"/>
                <w:szCs w:val="20"/>
              </w:rPr>
              <w:t xml:space="preserve"> a fost înlocuită cu </w:t>
            </w:r>
            <w:r w:rsidR="00F4441C" w:rsidRPr="000D7827">
              <w:rPr>
                <w:rFonts w:ascii="Times New Roman" w:hAnsi="Times New Roman"/>
                <w:color w:val="000000"/>
                <w:sz w:val="20"/>
                <w:szCs w:val="20"/>
              </w:rPr>
              <w:t>referința</w:t>
            </w:r>
            <w:r w:rsidRPr="000D7827">
              <w:rPr>
                <w:rFonts w:ascii="Times New Roman" w:hAnsi="Times New Roman"/>
                <w:color w:val="000000"/>
                <w:sz w:val="20"/>
                <w:szCs w:val="20"/>
              </w:rPr>
              <w:t xml:space="preserve"> </w:t>
            </w:r>
            <w:r w:rsidR="00F4441C" w:rsidRPr="000D7827">
              <w:rPr>
                <w:rFonts w:ascii="Times New Roman" w:hAnsi="Times New Roman"/>
                <w:color w:val="000000"/>
                <w:sz w:val="20"/>
                <w:szCs w:val="20"/>
              </w:rPr>
              <w:t>„</w:t>
            </w:r>
            <w:r w:rsidR="00F4441C" w:rsidRPr="000D7827">
              <w:rPr>
                <w:rFonts w:ascii="Times New Roman" w:hAnsi="Times New Roman"/>
                <w:sz w:val="20"/>
                <w:szCs w:val="20"/>
              </w:rPr>
              <w:t>Categoriile de materii componente pentru produsele fertilizante UE, aprobate prin Ordinul ministrului agriculturii și industriei alimentare”</w:t>
            </w:r>
            <w:r w:rsidR="00826275" w:rsidRPr="000D7827">
              <w:rPr>
                <w:rFonts w:ascii="Times New Roman" w:hAnsi="Times New Roman"/>
                <w:sz w:val="20"/>
                <w:szCs w:val="20"/>
              </w:rPr>
              <w:t>.</w:t>
            </w:r>
          </w:p>
          <w:p w:rsidR="00043B98" w:rsidRPr="000D7827" w:rsidRDefault="00043B98" w:rsidP="00EB70CD">
            <w:pPr>
              <w:shd w:val="clear" w:color="auto" w:fill="FFFFFF"/>
              <w:spacing w:after="0" w:line="240" w:lineRule="auto"/>
              <w:jc w:val="both"/>
              <w:rPr>
                <w:rFonts w:ascii="Times New Roman" w:hAnsi="Times New Roman"/>
                <w:sz w:val="20"/>
                <w:szCs w:val="20"/>
              </w:rPr>
            </w:pPr>
            <w:r w:rsidRPr="000D7827">
              <w:rPr>
                <w:rFonts w:ascii="Times New Roman" w:hAnsi="Times New Roman"/>
                <w:sz w:val="20"/>
                <w:szCs w:val="20"/>
              </w:rPr>
              <w:t>Totodată, conform art. 6 al Legii nr. 100/2017, Ordinul</w:t>
            </w:r>
            <w:r w:rsidR="002F53ED" w:rsidRPr="000D7827">
              <w:rPr>
                <w:rFonts w:ascii="Times New Roman" w:hAnsi="Times New Roman"/>
                <w:sz w:val="20"/>
                <w:szCs w:val="20"/>
              </w:rPr>
              <w:t xml:space="preserve"> </w:t>
            </w:r>
            <w:r w:rsidRPr="000D7827">
              <w:rPr>
                <w:rFonts w:ascii="Times New Roman" w:hAnsi="Times New Roman"/>
                <w:sz w:val="20"/>
                <w:szCs w:val="20"/>
              </w:rPr>
              <w:t>MAI</w:t>
            </w:r>
            <w:r w:rsidR="002F53ED" w:rsidRPr="000D7827">
              <w:rPr>
                <w:rFonts w:ascii="Times New Roman" w:hAnsi="Times New Roman"/>
                <w:sz w:val="20"/>
                <w:szCs w:val="20"/>
              </w:rPr>
              <w:t xml:space="preserve">A </w:t>
            </w:r>
            <w:r w:rsidRPr="000D7827">
              <w:rPr>
                <w:rFonts w:ascii="Times New Roman" w:hAnsi="Times New Roman"/>
                <w:sz w:val="20"/>
                <w:szCs w:val="20"/>
              </w:rPr>
              <w:t>nr. 165/2025 face parte din categoria</w:t>
            </w:r>
            <w:r w:rsidR="00C63C7A" w:rsidRPr="000D7827">
              <w:rPr>
                <w:rFonts w:ascii="Times New Roman" w:hAnsi="Times New Roman"/>
                <w:sz w:val="20"/>
                <w:szCs w:val="20"/>
              </w:rPr>
              <w:t xml:space="preserve"> </w:t>
            </w:r>
            <w:r w:rsidRPr="000D7827">
              <w:rPr>
                <w:rFonts w:ascii="Times New Roman" w:hAnsi="Times New Roman"/>
                <w:sz w:val="20"/>
                <w:szCs w:val="20"/>
              </w:rPr>
              <w:t xml:space="preserve">actelor normative ale autorităţilor administrației publice centrale de specialitate, care sunt publicate în Monitorul Oficial și sunt emise sau aprobate numai în temeiul şi pentru executarea legilor și a hotărârilor Parlamentului, a decretelor Preşedintelui Republicii Moldova, a hotărârilor şi ordonanţelor Guvernului. Actele </w:t>
            </w:r>
            <w:r w:rsidRPr="000D7827">
              <w:rPr>
                <w:rFonts w:ascii="Times New Roman" w:hAnsi="Times New Roman"/>
                <w:sz w:val="20"/>
                <w:szCs w:val="20"/>
              </w:rPr>
              <w:lastRenderedPageBreak/>
              <w:t>normative respective se limitează strict la cadrul stabilit de actele normative de nivel superior pentru executarea cărora se emit sau se aprobă şi nu pot contraveni prevederilor actelor respective. În clauza de adoptare a actelor normative ale autorităţilor administraţiei publice centrale de specialitate şi ale autorităţilor publice autonome se indică expres actul normativ superior în temeiul căruia acestea sunt emise sau aprobate.</w:t>
            </w:r>
            <w:r w:rsidR="00EA1C7C" w:rsidRPr="000D7827">
              <w:rPr>
                <w:rFonts w:ascii="Times New Roman" w:hAnsi="Times New Roman"/>
                <w:sz w:val="20"/>
                <w:szCs w:val="20"/>
              </w:rPr>
              <w:t xml:space="preserve"> </w:t>
            </w:r>
            <w:r w:rsidRPr="000D7827">
              <w:rPr>
                <w:rFonts w:ascii="Times New Roman" w:hAnsi="Times New Roman"/>
                <w:sz w:val="20"/>
                <w:szCs w:val="20"/>
              </w:rPr>
              <w:t>Mai</w:t>
            </w:r>
            <w:r w:rsidR="00EA1C7C" w:rsidRPr="000D7827">
              <w:rPr>
                <w:rFonts w:ascii="Times New Roman" w:hAnsi="Times New Roman"/>
                <w:sz w:val="20"/>
                <w:szCs w:val="20"/>
              </w:rPr>
              <w:t xml:space="preserve"> </w:t>
            </w:r>
            <w:r w:rsidRPr="000D7827">
              <w:rPr>
                <w:rFonts w:ascii="Times New Roman" w:hAnsi="Times New Roman"/>
                <w:sz w:val="20"/>
                <w:szCs w:val="20"/>
              </w:rPr>
              <w:t>mult</w:t>
            </w:r>
            <w:r w:rsidR="00EA1C7C" w:rsidRPr="000D7827">
              <w:rPr>
                <w:rFonts w:ascii="Times New Roman" w:hAnsi="Times New Roman"/>
                <w:sz w:val="20"/>
                <w:szCs w:val="20"/>
              </w:rPr>
              <w:t xml:space="preserve">, </w:t>
            </w:r>
            <w:r w:rsidRPr="000D7827">
              <w:rPr>
                <w:rFonts w:ascii="Times New Roman" w:hAnsi="Times New Roman"/>
                <w:sz w:val="20"/>
                <w:szCs w:val="20"/>
              </w:rPr>
              <w:t>fiin</w:t>
            </w:r>
            <w:r w:rsidR="00EA1C7C" w:rsidRPr="000D7827">
              <w:rPr>
                <w:rFonts w:ascii="Times New Roman" w:hAnsi="Times New Roman"/>
                <w:sz w:val="20"/>
                <w:szCs w:val="20"/>
              </w:rPr>
              <w:t xml:space="preserve">d </w:t>
            </w:r>
            <w:r w:rsidRPr="000D7827">
              <w:rPr>
                <w:rFonts w:ascii="Times New Roman" w:hAnsi="Times New Roman"/>
                <w:sz w:val="20"/>
                <w:szCs w:val="20"/>
              </w:rPr>
              <w:t>un act cu sigla UE, acesta se limitează la cadrul juridic necesar pentru implementarea legislației UE.</w:t>
            </w:r>
          </w:p>
          <w:p w:rsidR="00043B98" w:rsidRPr="000D7827" w:rsidRDefault="00043B98" w:rsidP="00EB70CD">
            <w:pPr>
              <w:shd w:val="clear" w:color="auto" w:fill="FFFFFF"/>
              <w:spacing w:after="0" w:line="240" w:lineRule="auto"/>
              <w:jc w:val="both"/>
              <w:rPr>
                <w:rFonts w:ascii="Times New Roman" w:hAnsi="Times New Roman"/>
                <w:sz w:val="20"/>
                <w:szCs w:val="20"/>
              </w:rPr>
            </w:pPr>
            <w:r w:rsidRPr="000D7827">
              <w:rPr>
                <w:rFonts w:ascii="Times New Roman" w:hAnsi="Times New Roman"/>
                <w:sz w:val="20"/>
                <w:szCs w:val="20"/>
              </w:rPr>
              <w:t>Totodată, acesta a fost supus etapelor elaborării actului normativ astfel cum prevede at. 21 Legea nr. 100/2017. </w:t>
            </w:r>
          </w:p>
          <w:p w:rsidR="00043B98" w:rsidRPr="000D7827" w:rsidRDefault="00043B98" w:rsidP="00EB70CD">
            <w:pPr>
              <w:shd w:val="clear" w:color="auto" w:fill="FFFFFF"/>
              <w:spacing w:after="0" w:line="240" w:lineRule="auto"/>
              <w:jc w:val="both"/>
              <w:rPr>
                <w:rFonts w:ascii="Times New Roman" w:hAnsi="Times New Roman"/>
                <w:sz w:val="20"/>
                <w:szCs w:val="20"/>
              </w:rPr>
            </w:pPr>
            <w:r w:rsidRPr="000D7827">
              <w:rPr>
                <w:rFonts w:ascii="Times New Roman" w:hAnsi="Times New Roman"/>
                <w:sz w:val="20"/>
                <w:szCs w:val="20"/>
              </w:rPr>
              <w:t>În plus, fiind un act ce vizează armonizarea legislației naționale cu legislația UE a fost emis tabel de concordanță și expertizei de compatibilitate care la calificativul de tra</w:t>
            </w:r>
            <w:r w:rsidR="008432CD" w:rsidRPr="000D7827">
              <w:rPr>
                <w:rFonts w:ascii="Times New Roman" w:hAnsi="Times New Roman"/>
                <w:sz w:val="20"/>
                <w:szCs w:val="20"/>
              </w:rPr>
              <w:t>n</w:t>
            </w:r>
            <w:r w:rsidRPr="000D7827">
              <w:rPr>
                <w:rFonts w:ascii="Times New Roman" w:hAnsi="Times New Roman"/>
                <w:sz w:val="20"/>
                <w:szCs w:val="20"/>
              </w:rPr>
              <w:t xml:space="preserve">spunere fidelă (totală) </w:t>
            </w:r>
            <w:r w:rsidRPr="000D7827">
              <w:rPr>
                <w:rFonts w:ascii="Times New Roman" w:hAnsi="Times New Roman"/>
                <w:sz w:val="20"/>
                <w:szCs w:val="20"/>
              </w:rPr>
              <w:lastRenderedPageBreak/>
              <w:t>diminuază riscurile la care Comisia de la Veneția a menționat că afectează drepturile individuale prin reglementare internă.</w:t>
            </w:r>
          </w:p>
          <w:p w:rsidR="00043B98" w:rsidRPr="000D7827" w:rsidRDefault="00043B98" w:rsidP="00EB70CD">
            <w:pPr>
              <w:shd w:val="clear" w:color="auto" w:fill="FFFFFF"/>
              <w:spacing w:after="0" w:line="240" w:lineRule="auto"/>
              <w:jc w:val="both"/>
              <w:rPr>
                <w:rFonts w:ascii="Times New Roman" w:hAnsi="Times New Roman"/>
                <w:sz w:val="20"/>
                <w:szCs w:val="20"/>
              </w:rPr>
            </w:pPr>
            <w:r w:rsidRPr="000D7827">
              <w:rPr>
                <w:rFonts w:ascii="Times New Roman" w:hAnsi="Times New Roman"/>
                <w:sz w:val="20"/>
                <w:szCs w:val="20"/>
                <w:shd w:val="clear" w:color="auto" w:fill="FFFFFF"/>
              </w:rPr>
              <w:t>De menționat că</w:t>
            </w:r>
            <w:r w:rsidR="008432CD" w:rsidRPr="000D7827">
              <w:rPr>
                <w:rFonts w:ascii="Times New Roman" w:hAnsi="Times New Roman"/>
                <w:sz w:val="20"/>
                <w:szCs w:val="20"/>
                <w:shd w:val="clear" w:color="auto" w:fill="FFFFFF"/>
              </w:rPr>
              <w:t xml:space="preserve"> a</w:t>
            </w:r>
            <w:r w:rsidRPr="000D7827">
              <w:rPr>
                <w:rFonts w:ascii="Times New Roman" w:hAnsi="Times New Roman"/>
                <w:sz w:val="20"/>
                <w:szCs w:val="20"/>
                <w:shd w:val="clear" w:color="auto" w:fill="FFFFFF"/>
              </w:rPr>
              <w:t>rt. 7 al Legii nr. 100/2017 admite că Limitele de competenţă privind adoptarea, aprobarea sau emiterea actelor normative sunt stabilite de Constituţia Republicii Moldova, de Legea nr. 136/2017 cu privire la Guvern şi de alte acte normative, ce au fost respectate.</w:t>
            </w:r>
          </w:p>
          <w:p w:rsidR="00043B98" w:rsidRPr="000D7827" w:rsidRDefault="00043B98" w:rsidP="00EB70CD">
            <w:pPr>
              <w:shd w:val="clear" w:color="auto" w:fill="FFFFFF"/>
              <w:spacing w:after="0" w:line="240" w:lineRule="auto"/>
              <w:jc w:val="both"/>
              <w:rPr>
                <w:rFonts w:ascii="Times New Roman" w:hAnsi="Times New Roman"/>
                <w:sz w:val="20"/>
                <w:szCs w:val="20"/>
              </w:rPr>
            </w:pPr>
            <w:r w:rsidRPr="000D7827">
              <w:rPr>
                <w:rFonts w:ascii="Times New Roman" w:hAnsi="Times New Roman"/>
                <w:sz w:val="20"/>
                <w:szCs w:val="20"/>
              </w:rPr>
              <w:t>În speță, analogia de la comunicarea Comisiei de la Veneția asupra art</w:t>
            </w:r>
            <w:r w:rsidR="008432CD" w:rsidRPr="000D7827">
              <w:rPr>
                <w:rFonts w:ascii="Times New Roman" w:hAnsi="Times New Roman"/>
                <w:sz w:val="20"/>
                <w:szCs w:val="20"/>
              </w:rPr>
              <w:t>.</w:t>
            </w:r>
            <w:r w:rsidRPr="000D7827">
              <w:rPr>
                <w:rFonts w:ascii="Times New Roman" w:hAnsi="Times New Roman"/>
                <w:sz w:val="20"/>
                <w:szCs w:val="20"/>
              </w:rPr>
              <w:t>30 alin</w:t>
            </w:r>
            <w:r w:rsidR="008432CD" w:rsidRPr="000D7827">
              <w:rPr>
                <w:rFonts w:ascii="Times New Roman" w:hAnsi="Times New Roman"/>
                <w:sz w:val="20"/>
                <w:szCs w:val="20"/>
              </w:rPr>
              <w:t>.</w:t>
            </w:r>
            <w:r w:rsidRPr="000D7827">
              <w:rPr>
                <w:rFonts w:ascii="Times New Roman" w:hAnsi="Times New Roman"/>
                <w:sz w:val="20"/>
                <w:szCs w:val="20"/>
              </w:rPr>
              <w:t xml:space="preserve"> (4) din proiectul de lege să nu se refere exclusiv la Regulamentul Curții Constituționale nu poate fi aplicat</w:t>
            </w:r>
            <w:r w:rsidR="00EB70CD" w:rsidRPr="000D7827">
              <w:rPr>
                <w:rFonts w:ascii="Times New Roman" w:hAnsi="Times New Roman"/>
                <w:sz w:val="20"/>
                <w:szCs w:val="20"/>
              </w:rPr>
              <w:t xml:space="preserve"> </w:t>
            </w:r>
            <w:r w:rsidRPr="000D7827">
              <w:rPr>
                <w:rFonts w:ascii="Times New Roman" w:hAnsi="Times New Roman"/>
                <w:i/>
                <w:iCs/>
                <w:sz w:val="20"/>
                <w:szCs w:val="20"/>
              </w:rPr>
              <w:t>mutatis mutandis</w:t>
            </w:r>
            <w:r w:rsidRPr="000D7827">
              <w:rPr>
                <w:rFonts w:ascii="Times New Roman" w:hAnsi="Times New Roman"/>
                <w:sz w:val="20"/>
                <w:szCs w:val="20"/>
              </w:rPr>
              <w:t xml:space="preserve">, ori chiar dacă </w:t>
            </w:r>
            <w:r w:rsidR="00EB70CD" w:rsidRPr="000D7827">
              <w:rPr>
                <w:rFonts w:ascii="Times New Roman" w:hAnsi="Times New Roman"/>
                <w:sz w:val="20"/>
                <w:szCs w:val="20"/>
              </w:rPr>
              <w:t>a</w:t>
            </w:r>
            <w:r w:rsidRPr="000D7827">
              <w:rPr>
                <w:rFonts w:ascii="Times New Roman" w:hAnsi="Times New Roman"/>
                <w:sz w:val="20"/>
                <w:szCs w:val="20"/>
              </w:rPr>
              <w:t>ctul UE a fost transpus prin</w:t>
            </w:r>
            <w:r w:rsidR="00EB70CD" w:rsidRPr="000D7827">
              <w:rPr>
                <w:rFonts w:ascii="Times New Roman" w:hAnsi="Times New Roman"/>
                <w:sz w:val="20"/>
                <w:szCs w:val="20"/>
              </w:rPr>
              <w:t xml:space="preserve"> </w:t>
            </w:r>
            <w:r w:rsidRPr="000D7827">
              <w:rPr>
                <w:rFonts w:ascii="Times New Roman" w:hAnsi="Times New Roman"/>
                <w:sz w:val="20"/>
                <w:szCs w:val="20"/>
              </w:rPr>
              <w:t>mai</w:t>
            </w:r>
            <w:r w:rsidR="00EB70CD" w:rsidRPr="000D7827">
              <w:rPr>
                <w:rFonts w:ascii="Times New Roman" w:hAnsi="Times New Roman"/>
                <w:sz w:val="20"/>
                <w:szCs w:val="20"/>
              </w:rPr>
              <w:t xml:space="preserve"> </w:t>
            </w:r>
            <w:r w:rsidRPr="000D7827">
              <w:rPr>
                <w:rFonts w:ascii="Times New Roman" w:hAnsi="Times New Roman"/>
                <w:sz w:val="20"/>
                <w:szCs w:val="20"/>
              </w:rPr>
              <w:t>multe acte națioanle de diferite categorii, acesta respectă fidel trimiterile făcute la nivelul UE, iar proiectul de Lege și Regulamentil Curții sunt în exclusivitate acte naționale.</w:t>
            </w:r>
          </w:p>
          <w:p w:rsidR="00043B98" w:rsidRPr="000D7827" w:rsidRDefault="00043B98" w:rsidP="0048297D">
            <w:pPr>
              <w:spacing w:after="0" w:line="240" w:lineRule="auto"/>
              <w:jc w:val="both"/>
              <w:rPr>
                <w:rFonts w:ascii="Times New Roman" w:hAnsi="Times New Roman"/>
                <w:color w:val="000000"/>
                <w:sz w:val="20"/>
                <w:szCs w:val="20"/>
              </w:rPr>
            </w:pPr>
          </w:p>
        </w:tc>
      </w:tr>
    </w:tbl>
    <w:p w:rsidR="00042E31" w:rsidRDefault="00042E31"/>
    <w:sectPr w:rsidR="00042E31" w:rsidSect="0081544F">
      <w:headerReference w:type="default" r:id="rId9"/>
      <w:pgSz w:w="15840" w:h="12240" w:orient="landscape"/>
      <w:pgMar w:top="1440" w:right="1440" w:bottom="1440" w:left="1440"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41B" w:rsidRDefault="00B0141B" w:rsidP="004A3DF4">
      <w:pPr>
        <w:spacing w:after="0" w:line="240" w:lineRule="auto"/>
      </w:pPr>
      <w:r>
        <w:separator/>
      </w:r>
    </w:p>
  </w:endnote>
  <w:endnote w:type="continuationSeparator" w:id="0">
    <w:p w:rsidR="00B0141B" w:rsidRDefault="00B0141B" w:rsidP="004A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41B" w:rsidRDefault="00B0141B" w:rsidP="004A3DF4">
      <w:pPr>
        <w:spacing w:after="0" w:line="240" w:lineRule="auto"/>
      </w:pPr>
      <w:r>
        <w:separator/>
      </w:r>
    </w:p>
  </w:footnote>
  <w:footnote w:type="continuationSeparator" w:id="0">
    <w:p w:rsidR="00B0141B" w:rsidRDefault="00B0141B" w:rsidP="004A3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79C" w:rsidRDefault="000E579C">
    <w:pPr>
      <w:pStyle w:val="Antet"/>
      <w:jc w:val="center"/>
    </w:pPr>
    <w:r>
      <w:fldChar w:fldCharType="begin"/>
    </w:r>
    <w:r>
      <w:instrText>PAGE   \* MERGEFORMAT</w:instrText>
    </w:r>
    <w:r>
      <w:fldChar w:fldCharType="separate"/>
    </w:r>
    <w:r>
      <w:t>2</w:t>
    </w:r>
    <w:r>
      <w:fldChar w:fldCharType="end"/>
    </w:r>
  </w:p>
  <w:p w:rsidR="00C20591" w:rsidRDefault="00C2059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4.5pt" o:bullet="t">
        <v:imagedata r:id="rId1" o:title=""/>
      </v:shape>
    </w:pict>
  </w:numPicBullet>
  <w:abstractNum w:abstractNumId="0" w15:restartNumberingAfterBreak="0">
    <w:nsid w:val="03434C1C"/>
    <w:multiLevelType w:val="hybridMultilevel"/>
    <w:tmpl w:val="23FAA6F0"/>
    <w:lvl w:ilvl="0" w:tplc="BB30C6BC">
      <w:start w:val="1"/>
      <w:numFmt w:val="bullet"/>
      <w:lvlText w:val="•"/>
      <w:lvlPicBulletId w:val="0"/>
      <w:lvlJc w:val="left"/>
      <w:pPr>
        <w:ind w:left="28"/>
      </w:pPr>
      <w:rPr>
        <w:rFonts w:ascii="Times New Roman" w:eastAsia="Times New Roman" w:hAnsi="Times New Roman"/>
        <w:b w:val="0"/>
        <w:i w:val="0"/>
        <w:strike w:val="0"/>
        <w:dstrike w:val="0"/>
        <w:color w:val="000000"/>
        <w:sz w:val="22"/>
        <w:u w:val="none" w:color="000000"/>
        <w:effect w:val="none"/>
        <w:vertAlign w:val="baseline"/>
      </w:rPr>
    </w:lvl>
    <w:lvl w:ilvl="1" w:tplc="AA669CCA">
      <w:start w:val="1"/>
      <w:numFmt w:val="bullet"/>
      <w:lvlText w:val="o"/>
      <w:lvlJc w:val="left"/>
      <w:pPr>
        <w:ind w:left="1877"/>
      </w:pPr>
      <w:rPr>
        <w:rFonts w:ascii="Times New Roman" w:eastAsia="Times New Roman" w:hAnsi="Times New Roman"/>
        <w:b w:val="0"/>
        <w:i w:val="0"/>
        <w:strike w:val="0"/>
        <w:dstrike w:val="0"/>
        <w:color w:val="000000"/>
        <w:sz w:val="22"/>
        <w:u w:val="none" w:color="000000"/>
        <w:effect w:val="none"/>
        <w:vertAlign w:val="baseline"/>
      </w:rPr>
    </w:lvl>
    <w:lvl w:ilvl="2" w:tplc="6792E97A">
      <w:start w:val="1"/>
      <w:numFmt w:val="bullet"/>
      <w:lvlText w:val="▪"/>
      <w:lvlJc w:val="left"/>
      <w:pPr>
        <w:ind w:left="2597"/>
      </w:pPr>
      <w:rPr>
        <w:rFonts w:ascii="Times New Roman" w:eastAsia="Times New Roman" w:hAnsi="Times New Roman"/>
        <w:b w:val="0"/>
        <w:i w:val="0"/>
        <w:strike w:val="0"/>
        <w:dstrike w:val="0"/>
        <w:color w:val="000000"/>
        <w:sz w:val="22"/>
        <w:u w:val="none" w:color="000000"/>
        <w:effect w:val="none"/>
        <w:vertAlign w:val="baseline"/>
      </w:rPr>
    </w:lvl>
    <w:lvl w:ilvl="3" w:tplc="928CADE0">
      <w:start w:val="1"/>
      <w:numFmt w:val="bullet"/>
      <w:lvlText w:val="•"/>
      <w:lvlJc w:val="left"/>
      <w:pPr>
        <w:ind w:left="3317"/>
      </w:pPr>
      <w:rPr>
        <w:rFonts w:ascii="Times New Roman" w:eastAsia="Times New Roman" w:hAnsi="Times New Roman"/>
        <w:b w:val="0"/>
        <w:i w:val="0"/>
        <w:strike w:val="0"/>
        <w:dstrike w:val="0"/>
        <w:color w:val="000000"/>
        <w:sz w:val="22"/>
        <w:u w:val="none" w:color="000000"/>
        <w:effect w:val="none"/>
        <w:vertAlign w:val="baseline"/>
      </w:rPr>
    </w:lvl>
    <w:lvl w:ilvl="4" w:tplc="D7C2D320">
      <w:start w:val="1"/>
      <w:numFmt w:val="bullet"/>
      <w:lvlText w:val="o"/>
      <w:lvlJc w:val="left"/>
      <w:pPr>
        <w:ind w:left="4037"/>
      </w:pPr>
      <w:rPr>
        <w:rFonts w:ascii="Times New Roman" w:eastAsia="Times New Roman" w:hAnsi="Times New Roman"/>
        <w:b w:val="0"/>
        <w:i w:val="0"/>
        <w:strike w:val="0"/>
        <w:dstrike w:val="0"/>
        <w:color w:val="000000"/>
        <w:sz w:val="22"/>
        <w:u w:val="none" w:color="000000"/>
        <w:effect w:val="none"/>
        <w:vertAlign w:val="baseline"/>
      </w:rPr>
    </w:lvl>
    <w:lvl w:ilvl="5" w:tplc="0F302ADE">
      <w:start w:val="1"/>
      <w:numFmt w:val="bullet"/>
      <w:lvlText w:val="▪"/>
      <w:lvlJc w:val="left"/>
      <w:pPr>
        <w:ind w:left="4757"/>
      </w:pPr>
      <w:rPr>
        <w:rFonts w:ascii="Times New Roman" w:eastAsia="Times New Roman" w:hAnsi="Times New Roman"/>
        <w:b w:val="0"/>
        <w:i w:val="0"/>
        <w:strike w:val="0"/>
        <w:dstrike w:val="0"/>
        <w:color w:val="000000"/>
        <w:sz w:val="22"/>
        <w:u w:val="none" w:color="000000"/>
        <w:effect w:val="none"/>
        <w:vertAlign w:val="baseline"/>
      </w:rPr>
    </w:lvl>
    <w:lvl w:ilvl="6" w:tplc="D9B0B050">
      <w:start w:val="1"/>
      <w:numFmt w:val="bullet"/>
      <w:lvlText w:val="•"/>
      <w:lvlJc w:val="left"/>
      <w:pPr>
        <w:ind w:left="5477"/>
      </w:pPr>
      <w:rPr>
        <w:rFonts w:ascii="Times New Roman" w:eastAsia="Times New Roman" w:hAnsi="Times New Roman"/>
        <w:b w:val="0"/>
        <w:i w:val="0"/>
        <w:strike w:val="0"/>
        <w:dstrike w:val="0"/>
        <w:color w:val="000000"/>
        <w:sz w:val="22"/>
        <w:u w:val="none" w:color="000000"/>
        <w:effect w:val="none"/>
        <w:vertAlign w:val="baseline"/>
      </w:rPr>
    </w:lvl>
    <w:lvl w:ilvl="7" w:tplc="5A3A00A2">
      <w:start w:val="1"/>
      <w:numFmt w:val="bullet"/>
      <w:lvlText w:val="o"/>
      <w:lvlJc w:val="left"/>
      <w:pPr>
        <w:ind w:left="6197"/>
      </w:pPr>
      <w:rPr>
        <w:rFonts w:ascii="Times New Roman" w:eastAsia="Times New Roman" w:hAnsi="Times New Roman"/>
        <w:b w:val="0"/>
        <w:i w:val="0"/>
        <w:strike w:val="0"/>
        <w:dstrike w:val="0"/>
        <w:color w:val="000000"/>
        <w:sz w:val="22"/>
        <w:u w:val="none" w:color="000000"/>
        <w:effect w:val="none"/>
        <w:vertAlign w:val="baseline"/>
      </w:rPr>
    </w:lvl>
    <w:lvl w:ilvl="8" w:tplc="C7640068">
      <w:start w:val="1"/>
      <w:numFmt w:val="bullet"/>
      <w:lvlText w:val="▪"/>
      <w:lvlJc w:val="left"/>
      <w:pPr>
        <w:ind w:left="6917"/>
      </w:pPr>
      <w:rPr>
        <w:rFonts w:ascii="Times New Roman" w:eastAsia="Times New Roman" w:hAnsi="Times New Roman"/>
        <w:b w:val="0"/>
        <w:i w:val="0"/>
        <w:strike w:val="0"/>
        <w:dstrike w:val="0"/>
        <w:color w:val="000000"/>
        <w:sz w:val="22"/>
        <w:u w:val="none" w:color="000000"/>
        <w:effect w:val="none"/>
        <w:vertAlign w:val="baseline"/>
      </w:rPr>
    </w:lvl>
  </w:abstractNum>
  <w:abstractNum w:abstractNumId="1" w15:restartNumberingAfterBreak="0">
    <w:nsid w:val="07ED4326"/>
    <w:multiLevelType w:val="multilevel"/>
    <w:tmpl w:val="79C02032"/>
    <w:lvl w:ilvl="0">
      <w:start w:val="3"/>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15:restartNumberingAfterBreak="0">
    <w:nsid w:val="0F351F29"/>
    <w:multiLevelType w:val="hybridMultilevel"/>
    <w:tmpl w:val="9C14574A"/>
    <w:lvl w:ilvl="0" w:tplc="267605D2">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3" w15:restartNumberingAfterBreak="0">
    <w:nsid w:val="138A4E10"/>
    <w:multiLevelType w:val="multilevel"/>
    <w:tmpl w:val="24CE3FA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F544B"/>
    <w:multiLevelType w:val="multilevel"/>
    <w:tmpl w:val="14E642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664634"/>
    <w:multiLevelType w:val="hybridMultilevel"/>
    <w:tmpl w:val="E4486122"/>
    <w:lvl w:ilvl="0" w:tplc="8468289A">
      <w:start w:val="2"/>
      <w:numFmt w:val="decimal"/>
      <w:lvlText w:val="%1."/>
      <w:lvlJc w:val="left"/>
      <w:pPr>
        <w:ind w:left="786" w:hanging="360"/>
      </w:pPr>
      <w:rPr>
        <w:rFonts w:cs="Times New Roman" w:hint="default"/>
      </w:rPr>
    </w:lvl>
    <w:lvl w:ilvl="1" w:tplc="04180019" w:tentative="1">
      <w:start w:val="1"/>
      <w:numFmt w:val="lowerLetter"/>
      <w:lvlText w:val="%2."/>
      <w:lvlJc w:val="left"/>
      <w:pPr>
        <w:ind w:left="1506" w:hanging="360"/>
      </w:pPr>
      <w:rPr>
        <w:rFonts w:cs="Times New Roman"/>
      </w:rPr>
    </w:lvl>
    <w:lvl w:ilvl="2" w:tplc="0418001B" w:tentative="1">
      <w:start w:val="1"/>
      <w:numFmt w:val="lowerRoman"/>
      <w:lvlText w:val="%3."/>
      <w:lvlJc w:val="right"/>
      <w:pPr>
        <w:ind w:left="2226" w:hanging="180"/>
      </w:pPr>
      <w:rPr>
        <w:rFonts w:cs="Times New Roman"/>
      </w:rPr>
    </w:lvl>
    <w:lvl w:ilvl="3" w:tplc="0418000F" w:tentative="1">
      <w:start w:val="1"/>
      <w:numFmt w:val="decimal"/>
      <w:lvlText w:val="%4."/>
      <w:lvlJc w:val="left"/>
      <w:pPr>
        <w:ind w:left="2946" w:hanging="360"/>
      </w:pPr>
      <w:rPr>
        <w:rFonts w:cs="Times New Roman"/>
      </w:rPr>
    </w:lvl>
    <w:lvl w:ilvl="4" w:tplc="04180019" w:tentative="1">
      <w:start w:val="1"/>
      <w:numFmt w:val="lowerLetter"/>
      <w:lvlText w:val="%5."/>
      <w:lvlJc w:val="left"/>
      <w:pPr>
        <w:ind w:left="3666" w:hanging="360"/>
      </w:pPr>
      <w:rPr>
        <w:rFonts w:cs="Times New Roman"/>
      </w:rPr>
    </w:lvl>
    <w:lvl w:ilvl="5" w:tplc="0418001B" w:tentative="1">
      <w:start w:val="1"/>
      <w:numFmt w:val="lowerRoman"/>
      <w:lvlText w:val="%6."/>
      <w:lvlJc w:val="right"/>
      <w:pPr>
        <w:ind w:left="4386" w:hanging="180"/>
      </w:pPr>
      <w:rPr>
        <w:rFonts w:cs="Times New Roman"/>
      </w:rPr>
    </w:lvl>
    <w:lvl w:ilvl="6" w:tplc="0418000F" w:tentative="1">
      <w:start w:val="1"/>
      <w:numFmt w:val="decimal"/>
      <w:lvlText w:val="%7."/>
      <w:lvlJc w:val="left"/>
      <w:pPr>
        <w:ind w:left="5106" w:hanging="360"/>
      </w:pPr>
      <w:rPr>
        <w:rFonts w:cs="Times New Roman"/>
      </w:rPr>
    </w:lvl>
    <w:lvl w:ilvl="7" w:tplc="04180019" w:tentative="1">
      <w:start w:val="1"/>
      <w:numFmt w:val="lowerLetter"/>
      <w:lvlText w:val="%8."/>
      <w:lvlJc w:val="left"/>
      <w:pPr>
        <w:ind w:left="5826" w:hanging="360"/>
      </w:pPr>
      <w:rPr>
        <w:rFonts w:cs="Times New Roman"/>
      </w:rPr>
    </w:lvl>
    <w:lvl w:ilvl="8" w:tplc="0418001B" w:tentative="1">
      <w:start w:val="1"/>
      <w:numFmt w:val="lowerRoman"/>
      <w:lvlText w:val="%9."/>
      <w:lvlJc w:val="right"/>
      <w:pPr>
        <w:ind w:left="6546" w:hanging="180"/>
      </w:pPr>
      <w:rPr>
        <w:rFonts w:cs="Times New Roman"/>
      </w:rPr>
    </w:lvl>
  </w:abstractNum>
  <w:abstractNum w:abstractNumId="6" w15:restartNumberingAfterBreak="0">
    <w:nsid w:val="27E83855"/>
    <w:multiLevelType w:val="hybridMultilevel"/>
    <w:tmpl w:val="01768308"/>
    <w:lvl w:ilvl="0" w:tplc="86C82E7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20364D2"/>
    <w:multiLevelType w:val="hybridMultilevel"/>
    <w:tmpl w:val="272C0872"/>
    <w:lvl w:ilvl="0" w:tplc="4E64B6EC">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535D3A"/>
    <w:multiLevelType w:val="hybridMultilevel"/>
    <w:tmpl w:val="A5D42850"/>
    <w:lvl w:ilvl="0" w:tplc="FD6CC76A">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E2E2AB6">
      <w:start w:val="1"/>
      <w:numFmt w:val="decimal"/>
      <w:lvlText w:val="%2)"/>
      <w:lvlJc w:val="left"/>
      <w:pPr>
        <w:ind w:left="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7A6BA2">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86872">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5C5808">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8A457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9E49B2">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022CC2">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B43A8E">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3F3212E"/>
    <w:multiLevelType w:val="hybridMultilevel"/>
    <w:tmpl w:val="DF043E76"/>
    <w:lvl w:ilvl="0" w:tplc="3D60D870">
      <w:start w:val="1"/>
      <w:numFmt w:val="decimal"/>
      <w:lvlText w:val="%1."/>
      <w:lvlJc w:val="left"/>
      <w:pPr>
        <w:ind w:left="786"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0" w15:restartNumberingAfterBreak="0">
    <w:nsid w:val="38AA0AE3"/>
    <w:multiLevelType w:val="multilevel"/>
    <w:tmpl w:val="C89ED8D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1966E4"/>
    <w:multiLevelType w:val="hybridMultilevel"/>
    <w:tmpl w:val="8800F61C"/>
    <w:lvl w:ilvl="0" w:tplc="04180001">
      <w:start w:val="1"/>
      <w:numFmt w:val="bullet"/>
      <w:lvlText w:val=""/>
      <w:lvlJc w:val="left"/>
      <w:pPr>
        <w:ind w:left="722" w:hanging="360"/>
      </w:pPr>
      <w:rPr>
        <w:rFonts w:ascii="Symbol" w:hAnsi="Symbol" w:hint="default"/>
      </w:rPr>
    </w:lvl>
    <w:lvl w:ilvl="1" w:tplc="04180003" w:tentative="1">
      <w:start w:val="1"/>
      <w:numFmt w:val="bullet"/>
      <w:lvlText w:val="o"/>
      <w:lvlJc w:val="left"/>
      <w:pPr>
        <w:ind w:left="1442" w:hanging="360"/>
      </w:pPr>
      <w:rPr>
        <w:rFonts w:ascii="Courier New" w:hAnsi="Courier New" w:cs="Courier New" w:hint="default"/>
      </w:rPr>
    </w:lvl>
    <w:lvl w:ilvl="2" w:tplc="04180005" w:tentative="1">
      <w:start w:val="1"/>
      <w:numFmt w:val="bullet"/>
      <w:lvlText w:val=""/>
      <w:lvlJc w:val="left"/>
      <w:pPr>
        <w:ind w:left="2162" w:hanging="360"/>
      </w:pPr>
      <w:rPr>
        <w:rFonts w:ascii="Wingdings" w:hAnsi="Wingdings" w:hint="default"/>
      </w:rPr>
    </w:lvl>
    <w:lvl w:ilvl="3" w:tplc="04180001" w:tentative="1">
      <w:start w:val="1"/>
      <w:numFmt w:val="bullet"/>
      <w:lvlText w:val=""/>
      <w:lvlJc w:val="left"/>
      <w:pPr>
        <w:ind w:left="2882" w:hanging="360"/>
      </w:pPr>
      <w:rPr>
        <w:rFonts w:ascii="Symbol" w:hAnsi="Symbol" w:hint="default"/>
      </w:rPr>
    </w:lvl>
    <w:lvl w:ilvl="4" w:tplc="04180003" w:tentative="1">
      <w:start w:val="1"/>
      <w:numFmt w:val="bullet"/>
      <w:lvlText w:val="o"/>
      <w:lvlJc w:val="left"/>
      <w:pPr>
        <w:ind w:left="3602" w:hanging="360"/>
      </w:pPr>
      <w:rPr>
        <w:rFonts w:ascii="Courier New" w:hAnsi="Courier New" w:cs="Courier New" w:hint="default"/>
      </w:rPr>
    </w:lvl>
    <w:lvl w:ilvl="5" w:tplc="04180005" w:tentative="1">
      <w:start w:val="1"/>
      <w:numFmt w:val="bullet"/>
      <w:lvlText w:val=""/>
      <w:lvlJc w:val="left"/>
      <w:pPr>
        <w:ind w:left="4322" w:hanging="360"/>
      </w:pPr>
      <w:rPr>
        <w:rFonts w:ascii="Wingdings" w:hAnsi="Wingdings" w:hint="default"/>
      </w:rPr>
    </w:lvl>
    <w:lvl w:ilvl="6" w:tplc="04180001" w:tentative="1">
      <w:start w:val="1"/>
      <w:numFmt w:val="bullet"/>
      <w:lvlText w:val=""/>
      <w:lvlJc w:val="left"/>
      <w:pPr>
        <w:ind w:left="5042" w:hanging="360"/>
      </w:pPr>
      <w:rPr>
        <w:rFonts w:ascii="Symbol" w:hAnsi="Symbol" w:hint="default"/>
      </w:rPr>
    </w:lvl>
    <w:lvl w:ilvl="7" w:tplc="04180003" w:tentative="1">
      <w:start w:val="1"/>
      <w:numFmt w:val="bullet"/>
      <w:lvlText w:val="o"/>
      <w:lvlJc w:val="left"/>
      <w:pPr>
        <w:ind w:left="5762" w:hanging="360"/>
      </w:pPr>
      <w:rPr>
        <w:rFonts w:ascii="Courier New" w:hAnsi="Courier New" w:cs="Courier New" w:hint="default"/>
      </w:rPr>
    </w:lvl>
    <w:lvl w:ilvl="8" w:tplc="04180005" w:tentative="1">
      <w:start w:val="1"/>
      <w:numFmt w:val="bullet"/>
      <w:lvlText w:val=""/>
      <w:lvlJc w:val="left"/>
      <w:pPr>
        <w:ind w:left="6482" w:hanging="360"/>
      </w:pPr>
      <w:rPr>
        <w:rFonts w:ascii="Wingdings" w:hAnsi="Wingdings" w:hint="default"/>
      </w:rPr>
    </w:lvl>
  </w:abstractNum>
  <w:abstractNum w:abstractNumId="12" w15:restartNumberingAfterBreak="0">
    <w:nsid w:val="3C8F7139"/>
    <w:multiLevelType w:val="hybridMultilevel"/>
    <w:tmpl w:val="DF289782"/>
    <w:lvl w:ilvl="0" w:tplc="EC98265C">
      <w:start w:val="1"/>
      <w:numFmt w:val="upperRoman"/>
      <w:lvlText w:val="%1."/>
      <w:lvlJc w:val="left"/>
      <w:pPr>
        <w:ind w:left="861" w:hanging="720"/>
      </w:pPr>
      <w:rPr>
        <w:rFonts w:cs="Times New Roman" w:hint="default"/>
      </w:rPr>
    </w:lvl>
    <w:lvl w:ilvl="1" w:tplc="04180019" w:tentative="1">
      <w:start w:val="1"/>
      <w:numFmt w:val="lowerLetter"/>
      <w:lvlText w:val="%2."/>
      <w:lvlJc w:val="left"/>
      <w:pPr>
        <w:ind w:left="1221" w:hanging="360"/>
      </w:pPr>
      <w:rPr>
        <w:rFonts w:cs="Times New Roman"/>
      </w:rPr>
    </w:lvl>
    <w:lvl w:ilvl="2" w:tplc="0418001B" w:tentative="1">
      <w:start w:val="1"/>
      <w:numFmt w:val="lowerRoman"/>
      <w:lvlText w:val="%3."/>
      <w:lvlJc w:val="right"/>
      <w:pPr>
        <w:ind w:left="1941" w:hanging="180"/>
      </w:pPr>
      <w:rPr>
        <w:rFonts w:cs="Times New Roman"/>
      </w:rPr>
    </w:lvl>
    <w:lvl w:ilvl="3" w:tplc="0418000F" w:tentative="1">
      <w:start w:val="1"/>
      <w:numFmt w:val="decimal"/>
      <w:lvlText w:val="%4."/>
      <w:lvlJc w:val="left"/>
      <w:pPr>
        <w:ind w:left="2661" w:hanging="360"/>
      </w:pPr>
      <w:rPr>
        <w:rFonts w:cs="Times New Roman"/>
      </w:rPr>
    </w:lvl>
    <w:lvl w:ilvl="4" w:tplc="04180019" w:tentative="1">
      <w:start w:val="1"/>
      <w:numFmt w:val="lowerLetter"/>
      <w:lvlText w:val="%5."/>
      <w:lvlJc w:val="left"/>
      <w:pPr>
        <w:ind w:left="3381" w:hanging="360"/>
      </w:pPr>
      <w:rPr>
        <w:rFonts w:cs="Times New Roman"/>
      </w:rPr>
    </w:lvl>
    <w:lvl w:ilvl="5" w:tplc="0418001B" w:tentative="1">
      <w:start w:val="1"/>
      <w:numFmt w:val="lowerRoman"/>
      <w:lvlText w:val="%6."/>
      <w:lvlJc w:val="right"/>
      <w:pPr>
        <w:ind w:left="4101" w:hanging="180"/>
      </w:pPr>
      <w:rPr>
        <w:rFonts w:cs="Times New Roman"/>
      </w:rPr>
    </w:lvl>
    <w:lvl w:ilvl="6" w:tplc="0418000F" w:tentative="1">
      <w:start w:val="1"/>
      <w:numFmt w:val="decimal"/>
      <w:lvlText w:val="%7."/>
      <w:lvlJc w:val="left"/>
      <w:pPr>
        <w:ind w:left="4821" w:hanging="360"/>
      </w:pPr>
      <w:rPr>
        <w:rFonts w:cs="Times New Roman"/>
      </w:rPr>
    </w:lvl>
    <w:lvl w:ilvl="7" w:tplc="04180019" w:tentative="1">
      <w:start w:val="1"/>
      <w:numFmt w:val="lowerLetter"/>
      <w:lvlText w:val="%8."/>
      <w:lvlJc w:val="left"/>
      <w:pPr>
        <w:ind w:left="5541" w:hanging="360"/>
      </w:pPr>
      <w:rPr>
        <w:rFonts w:cs="Times New Roman"/>
      </w:rPr>
    </w:lvl>
    <w:lvl w:ilvl="8" w:tplc="0418001B" w:tentative="1">
      <w:start w:val="1"/>
      <w:numFmt w:val="lowerRoman"/>
      <w:lvlText w:val="%9."/>
      <w:lvlJc w:val="right"/>
      <w:pPr>
        <w:ind w:left="6261" w:hanging="180"/>
      </w:pPr>
      <w:rPr>
        <w:rFonts w:cs="Times New Roman"/>
      </w:rPr>
    </w:lvl>
  </w:abstractNum>
  <w:abstractNum w:abstractNumId="13" w15:restartNumberingAfterBreak="0">
    <w:nsid w:val="3D471547"/>
    <w:multiLevelType w:val="hybridMultilevel"/>
    <w:tmpl w:val="EB7453EA"/>
    <w:lvl w:ilvl="0" w:tplc="69205ABA">
      <w:start w:val="1"/>
      <w:numFmt w:val="decimal"/>
      <w:lvlText w:val="%1."/>
      <w:lvlJc w:val="left"/>
      <w:pPr>
        <w:ind w:left="720" w:hanging="360"/>
      </w:pPr>
      <w:rPr>
        <w:rFonts w:cs="Times New Roman" w:hint="default"/>
        <w:b w:val="0"/>
        <w:color w:val="00000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D5B1F9A"/>
    <w:multiLevelType w:val="hybridMultilevel"/>
    <w:tmpl w:val="3A1A4BE4"/>
    <w:lvl w:ilvl="0" w:tplc="9BFEE4A6">
      <w:start w:val="1"/>
      <w:numFmt w:val="decimal"/>
      <w:lvlText w:val="%1."/>
      <w:lvlJc w:val="left"/>
      <w:pPr>
        <w:ind w:left="720" w:hanging="360"/>
      </w:pPr>
      <w:rPr>
        <w:rFonts w:hint="default"/>
        <w:b w:val="0"/>
        <w:i w:val="0"/>
        <w:sz w:val="2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E7256F5"/>
    <w:multiLevelType w:val="hybridMultilevel"/>
    <w:tmpl w:val="FAFAE4A0"/>
    <w:lvl w:ilvl="0" w:tplc="801AD76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F1519EA"/>
    <w:multiLevelType w:val="multilevel"/>
    <w:tmpl w:val="CD885392"/>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sz w:val="20"/>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7" w15:restartNumberingAfterBreak="0">
    <w:nsid w:val="5319221C"/>
    <w:multiLevelType w:val="hybridMultilevel"/>
    <w:tmpl w:val="A91E5B82"/>
    <w:lvl w:ilvl="0" w:tplc="3608202C">
      <w:start w:val="1"/>
      <w:numFmt w:val="decimal"/>
      <w:lvlText w:val="%1."/>
      <w:lvlJc w:val="left"/>
      <w:pPr>
        <w:ind w:left="435" w:hanging="360"/>
      </w:pPr>
      <w:rPr>
        <w:rFonts w:cs="Times New Roman" w:hint="default"/>
      </w:rPr>
    </w:lvl>
    <w:lvl w:ilvl="1" w:tplc="04180019" w:tentative="1">
      <w:start w:val="1"/>
      <w:numFmt w:val="lowerLetter"/>
      <w:lvlText w:val="%2."/>
      <w:lvlJc w:val="left"/>
      <w:pPr>
        <w:ind w:left="1155" w:hanging="360"/>
      </w:pPr>
      <w:rPr>
        <w:rFonts w:cs="Times New Roman"/>
      </w:rPr>
    </w:lvl>
    <w:lvl w:ilvl="2" w:tplc="0418001B" w:tentative="1">
      <w:start w:val="1"/>
      <w:numFmt w:val="lowerRoman"/>
      <w:lvlText w:val="%3."/>
      <w:lvlJc w:val="right"/>
      <w:pPr>
        <w:ind w:left="1875" w:hanging="180"/>
      </w:pPr>
      <w:rPr>
        <w:rFonts w:cs="Times New Roman"/>
      </w:rPr>
    </w:lvl>
    <w:lvl w:ilvl="3" w:tplc="0418000F" w:tentative="1">
      <w:start w:val="1"/>
      <w:numFmt w:val="decimal"/>
      <w:lvlText w:val="%4."/>
      <w:lvlJc w:val="left"/>
      <w:pPr>
        <w:ind w:left="2595" w:hanging="360"/>
      </w:pPr>
      <w:rPr>
        <w:rFonts w:cs="Times New Roman"/>
      </w:rPr>
    </w:lvl>
    <w:lvl w:ilvl="4" w:tplc="04180019" w:tentative="1">
      <w:start w:val="1"/>
      <w:numFmt w:val="lowerLetter"/>
      <w:lvlText w:val="%5."/>
      <w:lvlJc w:val="left"/>
      <w:pPr>
        <w:ind w:left="3315" w:hanging="360"/>
      </w:pPr>
      <w:rPr>
        <w:rFonts w:cs="Times New Roman"/>
      </w:rPr>
    </w:lvl>
    <w:lvl w:ilvl="5" w:tplc="0418001B" w:tentative="1">
      <w:start w:val="1"/>
      <w:numFmt w:val="lowerRoman"/>
      <w:lvlText w:val="%6."/>
      <w:lvlJc w:val="right"/>
      <w:pPr>
        <w:ind w:left="4035" w:hanging="180"/>
      </w:pPr>
      <w:rPr>
        <w:rFonts w:cs="Times New Roman"/>
      </w:rPr>
    </w:lvl>
    <w:lvl w:ilvl="6" w:tplc="0418000F" w:tentative="1">
      <w:start w:val="1"/>
      <w:numFmt w:val="decimal"/>
      <w:lvlText w:val="%7."/>
      <w:lvlJc w:val="left"/>
      <w:pPr>
        <w:ind w:left="4755" w:hanging="360"/>
      </w:pPr>
      <w:rPr>
        <w:rFonts w:cs="Times New Roman"/>
      </w:rPr>
    </w:lvl>
    <w:lvl w:ilvl="7" w:tplc="04180019" w:tentative="1">
      <w:start w:val="1"/>
      <w:numFmt w:val="lowerLetter"/>
      <w:lvlText w:val="%8."/>
      <w:lvlJc w:val="left"/>
      <w:pPr>
        <w:ind w:left="5475" w:hanging="360"/>
      </w:pPr>
      <w:rPr>
        <w:rFonts w:cs="Times New Roman"/>
      </w:rPr>
    </w:lvl>
    <w:lvl w:ilvl="8" w:tplc="0418001B" w:tentative="1">
      <w:start w:val="1"/>
      <w:numFmt w:val="lowerRoman"/>
      <w:lvlText w:val="%9."/>
      <w:lvlJc w:val="right"/>
      <w:pPr>
        <w:ind w:left="6195" w:hanging="180"/>
      </w:pPr>
      <w:rPr>
        <w:rFonts w:cs="Times New Roman"/>
      </w:rPr>
    </w:lvl>
  </w:abstractNum>
  <w:abstractNum w:abstractNumId="18" w15:restartNumberingAfterBreak="0">
    <w:nsid w:val="57397E19"/>
    <w:multiLevelType w:val="hybridMultilevel"/>
    <w:tmpl w:val="C7660E88"/>
    <w:lvl w:ilvl="0" w:tplc="1AC2F962">
      <w:start w:val="3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1414B55"/>
    <w:multiLevelType w:val="hybridMultilevel"/>
    <w:tmpl w:val="655AC6BE"/>
    <w:lvl w:ilvl="0" w:tplc="F4C0EF52">
      <w:start w:val="1"/>
      <w:numFmt w:val="bullet"/>
      <w:lvlText w:val="-"/>
      <w:lvlJc w:val="left"/>
      <w:pPr>
        <w:ind w:left="47"/>
      </w:pPr>
      <w:rPr>
        <w:rFonts w:ascii="Times New Roman" w:eastAsia="Times New Roman" w:hAnsi="Times New Roman"/>
        <w:b w:val="0"/>
        <w:i w:val="0"/>
        <w:strike w:val="0"/>
        <w:dstrike w:val="0"/>
        <w:color w:val="000000"/>
        <w:sz w:val="26"/>
        <w:u w:val="none" w:color="000000"/>
        <w:vertAlign w:val="baseline"/>
      </w:rPr>
    </w:lvl>
    <w:lvl w:ilvl="1" w:tplc="B78297BA">
      <w:start w:val="1"/>
      <w:numFmt w:val="bullet"/>
      <w:lvlText w:val="o"/>
      <w:lvlJc w:val="left"/>
      <w:pPr>
        <w:ind w:left="1931"/>
      </w:pPr>
      <w:rPr>
        <w:rFonts w:ascii="Times New Roman" w:eastAsia="Times New Roman" w:hAnsi="Times New Roman"/>
        <w:b w:val="0"/>
        <w:i w:val="0"/>
        <w:strike w:val="0"/>
        <w:dstrike w:val="0"/>
        <w:color w:val="000000"/>
        <w:sz w:val="26"/>
        <w:u w:val="none" w:color="000000"/>
        <w:vertAlign w:val="baseline"/>
      </w:rPr>
    </w:lvl>
    <w:lvl w:ilvl="2" w:tplc="4552D9D8">
      <w:start w:val="1"/>
      <w:numFmt w:val="bullet"/>
      <w:lvlText w:val="▪"/>
      <w:lvlJc w:val="left"/>
      <w:pPr>
        <w:ind w:left="2651"/>
      </w:pPr>
      <w:rPr>
        <w:rFonts w:ascii="Times New Roman" w:eastAsia="Times New Roman" w:hAnsi="Times New Roman"/>
        <w:b w:val="0"/>
        <w:i w:val="0"/>
        <w:strike w:val="0"/>
        <w:dstrike w:val="0"/>
        <w:color w:val="000000"/>
        <w:sz w:val="26"/>
        <w:u w:val="none" w:color="000000"/>
        <w:vertAlign w:val="baseline"/>
      </w:rPr>
    </w:lvl>
    <w:lvl w:ilvl="3" w:tplc="B17C5D40">
      <w:start w:val="1"/>
      <w:numFmt w:val="bullet"/>
      <w:lvlText w:val="•"/>
      <w:lvlJc w:val="left"/>
      <w:pPr>
        <w:ind w:left="3371"/>
      </w:pPr>
      <w:rPr>
        <w:rFonts w:ascii="Times New Roman" w:eastAsia="Times New Roman" w:hAnsi="Times New Roman"/>
        <w:b w:val="0"/>
        <w:i w:val="0"/>
        <w:strike w:val="0"/>
        <w:dstrike w:val="0"/>
        <w:color w:val="000000"/>
        <w:sz w:val="26"/>
        <w:u w:val="none" w:color="000000"/>
        <w:vertAlign w:val="baseline"/>
      </w:rPr>
    </w:lvl>
    <w:lvl w:ilvl="4" w:tplc="EE4C6C38">
      <w:start w:val="1"/>
      <w:numFmt w:val="bullet"/>
      <w:lvlText w:val="o"/>
      <w:lvlJc w:val="left"/>
      <w:pPr>
        <w:ind w:left="4091"/>
      </w:pPr>
      <w:rPr>
        <w:rFonts w:ascii="Times New Roman" w:eastAsia="Times New Roman" w:hAnsi="Times New Roman"/>
        <w:b w:val="0"/>
        <w:i w:val="0"/>
        <w:strike w:val="0"/>
        <w:dstrike w:val="0"/>
        <w:color w:val="000000"/>
        <w:sz w:val="26"/>
        <w:u w:val="none" w:color="000000"/>
        <w:vertAlign w:val="baseline"/>
      </w:rPr>
    </w:lvl>
    <w:lvl w:ilvl="5" w:tplc="069619A2">
      <w:start w:val="1"/>
      <w:numFmt w:val="bullet"/>
      <w:lvlText w:val="▪"/>
      <w:lvlJc w:val="left"/>
      <w:pPr>
        <w:ind w:left="4811"/>
      </w:pPr>
      <w:rPr>
        <w:rFonts w:ascii="Times New Roman" w:eastAsia="Times New Roman" w:hAnsi="Times New Roman"/>
        <w:b w:val="0"/>
        <w:i w:val="0"/>
        <w:strike w:val="0"/>
        <w:dstrike w:val="0"/>
        <w:color w:val="000000"/>
        <w:sz w:val="26"/>
        <w:u w:val="none" w:color="000000"/>
        <w:vertAlign w:val="baseline"/>
      </w:rPr>
    </w:lvl>
    <w:lvl w:ilvl="6" w:tplc="DAF21F08">
      <w:start w:val="1"/>
      <w:numFmt w:val="bullet"/>
      <w:lvlText w:val="•"/>
      <w:lvlJc w:val="left"/>
      <w:pPr>
        <w:ind w:left="5531"/>
      </w:pPr>
      <w:rPr>
        <w:rFonts w:ascii="Times New Roman" w:eastAsia="Times New Roman" w:hAnsi="Times New Roman"/>
        <w:b w:val="0"/>
        <w:i w:val="0"/>
        <w:strike w:val="0"/>
        <w:dstrike w:val="0"/>
        <w:color w:val="000000"/>
        <w:sz w:val="26"/>
        <w:u w:val="none" w:color="000000"/>
        <w:vertAlign w:val="baseline"/>
      </w:rPr>
    </w:lvl>
    <w:lvl w:ilvl="7" w:tplc="B6D471E2">
      <w:start w:val="1"/>
      <w:numFmt w:val="bullet"/>
      <w:lvlText w:val="o"/>
      <w:lvlJc w:val="left"/>
      <w:pPr>
        <w:ind w:left="6251"/>
      </w:pPr>
      <w:rPr>
        <w:rFonts w:ascii="Times New Roman" w:eastAsia="Times New Roman" w:hAnsi="Times New Roman"/>
        <w:b w:val="0"/>
        <w:i w:val="0"/>
        <w:strike w:val="0"/>
        <w:dstrike w:val="0"/>
        <w:color w:val="000000"/>
        <w:sz w:val="26"/>
        <w:u w:val="none" w:color="000000"/>
        <w:vertAlign w:val="baseline"/>
      </w:rPr>
    </w:lvl>
    <w:lvl w:ilvl="8" w:tplc="89B8F7A4">
      <w:start w:val="1"/>
      <w:numFmt w:val="bullet"/>
      <w:lvlText w:val="▪"/>
      <w:lvlJc w:val="left"/>
      <w:pPr>
        <w:ind w:left="6971"/>
      </w:pPr>
      <w:rPr>
        <w:rFonts w:ascii="Times New Roman" w:eastAsia="Times New Roman" w:hAnsi="Times New Roman"/>
        <w:b w:val="0"/>
        <w:i w:val="0"/>
        <w:strike w:val="0"/>
        <w:dstrike w:val="0"/>
        <w:color w:val="000000"/>
        <w:sz w:val="26"/>
        <w:u w:val="none" w:color="000000"/>
        <w:vertAlign w:val="baseline"/>
      </w:rPr>
    </w:lvl>
  </w:abstractNum>
  <w:abstractNum w:abstractNumId="20" w15:restartNumberingAfterBreak="0">
    <w:nsid w:val="6BE613DA"/>
    <w:multiLevelType w:val="multilevel"/>
    <w:tmpl w:val="9852EB6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9A712F"/>
    <w:multiLevelType w:val="multilevel"/>
    <w:tmpl w:val="CC7A074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2F0601"/>
    <w:multiLevelType w:val="hybridMultilevel"/>
    <w:tmpl w:val="F69AF4C8"/>
    <w:lvl w:ilvl="0" w:tplc="2CE6C58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6"/>
  </w:num>
  <w:num w:numId="4">
    <w:abstractNumId w:val="18"/>
  </w:num>
  <w:num w:numId="5">
    <w:abstractNumId w:val="17"/>
  </w:num>
  <w:num w:numId="6">
    <w:abstractNumId w:val="9"/>
  </w:num>
  <w:num w:numId="7">
    <w:abstractNumId w:val="5"/>
  </w:num>
  <w:num w:numId="8">
    <w:abstractNumId w:val="0"/>
    <w:lvlOverride w:ilvl="0"/>
    <w:lvlOverride w:ilvl="1"/>
    <w:lvlOverride w:ilvl="2"/>
    <w:lvlOverride w:ilvl="3"/>
    <w:lvlOverride w:ilvl="4"/>
    <w:lvlOverride w:ilvl="5"/>
    <w:lvlOverride w:ilvl="6"/>
    <w:lvlOverride w:ilvl="7"/>
    <w:lvlOverride w:ilvl="8"/>
  </w:num>
  <w:num w:numId="9">
    <w:abstractNumId w:val="7"/>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1"/>
  </w:num>
  <w:num w:numId="14">
    <w:abstractNumId w:val="13"/>
  </w:num>
  <w:num w:numId="15">
    <w:abstractNumId w:val="22"/>
  </w:num>
  <w:num w:numId="16">
    <w:abstractNumId w:val="6"/>
  </w:num>
  <w:num w:numId="17">
    <w:abstractNumId w:val="15"/>
  </w:num>
  <w:num w:numId="18">
    <w:abstractNumId w:val="10"/>
  </w:num>
  <w:num w:numId="19">
    <w:abstractNumId w:val="3"/>
  </w:num>
  <w:num w:numId="20">
    <w:abstractNumId w:val="21"/>
  </w:num>
  <w:num w:numId="21">
    <w:abstractNumId w:val="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7C"/>
    <w:rsid w:val="00002EDF"/>
    <w:rsid w:val="0000449E"/>
    <w:rsid w:val="00004B13"/>
    <w:rsid w:val="00005697"/>
    <w:rsid w:val="000056DF"/>
    <w:rsid w:val="00005FCD"/>
    <w:rsid w:val="00012F47"/>
    <w:rsid w:val="0001416F"/>
    <w:rsid w:val="000144C6"/>
    <w:rsid w:val="00017626"/>
    <w:rsid w:val="000207A5"/>
    <w:rsid w:val="00021A0D"/>
    <w:rsid w:val="000228CF"/>
    <w:rsid w:val="00026232"/>
    <w:rsid w:val="0002675D"/>
    <w:rsid w:val="00026B1E"/>
    <w:rsid w:val="00030A38"/>
    <w:rsid w:val="000317A2"/>
    <w:rsid w:val="00033644"/>
    <w:rsid w:val="00033E9C"/>
    <w:rsid w:val="00034324"/>
    <w:rsid w:val="00034669"/>
    <w:rsid w:val="000346E3"/>
    <w:rsid w:val="000349C2"/>
    <w:rsid w:val="00042E31"/>
    <w:rsid w:val="00043760"/>
    <w:rsid w:val="00043B98"/>
    <w:rsid w:val="000447F8"/>
    <w:rsid w:val="0004529C"/>
    <w:rsid w:val="0004616A"/>
    <w:rsid w:val="00046EF9"/>
    <w:rsid w:val="000475E7"/>
    <w:rsid w:val="0005098C"/>
    <w:rsid w:val="00051AD2"/>
    <w:rsid w:val="00052DE7"/>
    <w:rsid w:val="00053788"/>
    <w:rsid w:val="000547AB"/>
    <w:rsid w:val="000556D2"/>
    <w:rsid w:val="000562CE"/>
    <w:rsid w:val="000574C0"/>
    <w:rsid w:val="000579B6"/>
    <w:rsid w:val="00057A9C"/>
    <w:rsid w:val="000608BA"/>
    <w:rsid w:val="00060F48"/>
    <w:rsid w:val="000622EE"/>
    <w:rsid w:val="0006469E"/>
    <w:rsid w:val="00064CBC"/>
    <w:rsid w:val="00064E26"/>
    <w:rsid w:val="000650FB"/>
    <w:rsid w:val="0006559A"/>
    <w:rsid w:val="00065B19"/>
    <w:rsid w:val="00071A83"/>
    <w:rsid w:val="0007723D"/>
    <w:rsid w:val="00084A13"/>
    <w:rsid w:val="00085127"/>
    <w:rsid w:val="00086500"/>
    <w:rsid w:val="000911CC"/>
    <w:rsid w:val="00091232"/>
    <w:rsid w:val="0009440A"/>
    <w:rsid w:val="000963AC"/>
    <w:rsid w:val="000A1BAB"/>
    <w:rsid w:val="000A1C09"/>
    <w:rsid w:val="000A2025"/>
    <w:rsid w:val="000A2D86"/>
    <w:rsid w:val="000A3613"/>
    <w:rsid w:val="000A48F4"/>
    <w:rsid w:val="000A59F7"/>
    <w:rsid w:val="000A5C9E"/>
    <w:rsid w:val="000A68C8"/>
    <w:rsid w:val="000A6D9C"/>
    <w:rsid w:val="000B13F2"/>
    <w:rsid w:val="000C050E"/>
    <w:rsid w:val="000C0577"/>
    <w:rsid w:val="000D063D"/>
    <w:rsid w:val="000D1B0D"/>
    <w:rsid w:val="000D22A5"/>
    <w:rsid w:val="000D7827"/>
    <w:rsid w:val="000E0981"/>
    <w:rsid w:val="000E0E7C"/>
    <w:rsid w:val="000E3E37"/>
    <w:rsid w:val="000E579C"/>
    <w:rsid w:val="000E5904"/>
    <w:rsid w:val="000E66D5"/>
    <w:rsid w:val="000F020D"/>
    <w:rsid w:val="000F049B"/>
    <w:rsid w:val="000F0A04"/>
    <w:rsid w:val="000F6000"/>
    <w:rsid w:val="00101579"/>
    <w:rsid w:val="00107681"/>
    <w:rsid w:val="00107897"/>
    <w:rsid w:val="001101B7"/>
    <w:rsid w:val="001120B1"/>
    <w:rsid w:val="00114295"/>
    <w:rsid w:val="0011525A"/>
    <w:rsid w:val="001179C0"/>
    <w:rsid w:val="00117F70"/>
    <w:rsid w:val="00122DE6"/>
    <w:rsid w:val="00126580"/>
    <w:rsid w:val="0014013D"/>
    <w:rsid w:val="0014098D"/>
    <w:rsid w:val="00141C3F"/>
    <w:rsid w:val="0014394A"/>
    <w:rsid w:val="00150171"/>
    <w:rsid w:val="00151944"/>
    <w:rsid w:val="00152F21"/>
    <w:rsid w:val="00153118"/>
    <w:rsid w:val="00161B3F"/>
    <w:rsid w:val="00161BB2"/>
    <w:rsid w:val="00161D5D"/>
    <w:rsid w:val="00162DF9"/>
    <w:rsid w:val="001641F4"/>
    <w:rsid w:val="00164A6C"/>
    <w:rsid w:val="00167A51"/>
    <w:rsid w:val="00170DB3"/>
    <w:rsid w:val="00176FFE"/>
    <w:rsid w:val="00181D4F"/>
    <w:rsid w:val="00182A4D"/>
    <w:rsid w:val="00182AF8"/>
    <w:rsid w:val="0018470B"/>
    <w:rsid w:val="00191365"/>
    <w:rsid w:val="001929AB"/>
    <w:rsid w:val="00193F24"/>
    <w:rsid w:val="00196668"/>
    <w:rsid w:val="001A523C"/>
    <w:rsid w:val="001A6DA3"/>
    <w:rsid w:val="001B0767"/>
    <w:rsid w:val="001B346D"/>
    <w:rsid w:val="001B3B44"/>
    <w:rsid w:val="001B6BE8"/>
    <w:rsid w:val="001B769F"/>
    <w:rsid w:val="001C11E5"/>
    <w:rsid w:val="001C295A"/>
    <w:rsid w:val="001C4774"/>
    <w:rsid w:val="001C5390"/>
    <w:rsid w:val="001C63A5"/>
    <w:rsid w:val="001D321A"/>
    <w:rsid w:val="001D51E0"/>
    <w:rsid w:val="001D6B8E"/>
    <w:rsid w:val="001E0EB3"/>
    <w:rsid w:val="001E1973"/>
    <w:rsid w:val="001E22FD"/>
    <w:rsid w:val="001E2DDB"/>
    <w:rsid w:val="001E385B"/>
    <w:rsid w:val="001E3F92"/>
    <w:rsid w:val="001E41CB"/>
    <w:rsid w:val="001E4893"/>
    <w:rsid w:val="001E5EB0"/>
    <w:rsid w:val="001F3098"/>
    <w:rsid w:val="001F6749"/>
    <w:rsid w:val="001F67E6"/>
    <w:rsid w:val="001F7B0B"/>
    <w:rsid w:val="0020274B"/>
    <w:rsid w:val="00203A56"/>
    <w:rsid w:val="00203EC1"/>
    <w:rsid w:val="00204E5E"/>
    <w:rsid w:val="00205027"/>
    <w:rsid w:val="00205362"/>
    <w:rsid w:val="00205402"/>
    <w:rsid w:val="00211C77"/>
    <w:rsid w:val="00211D5A"/>
    <w:rsid w:val="0021244E"/>
    <w:rsid w:val="00212D88"/>
    <w:rsid w:val="00213466"/>
    <w:rsid w:val="002141AA"/>
    <w:rsid w:val="00214519"/>
    <w:rsid w:val="00214D87"/>
    <w:rsid w:val="00216189"/>
    <w:rsid w:val="002163BD"/>
    <w:rsid w:val="002215D2"/>
    <w:rsid w:val="00226148"/>
    <w:rsid w:val="002270B4"/>
    <w:rsid w:val="0023207D"/>
    <w:rsid w:val="00234080"/>
    <w:rsid w:val="00234F3B"/>
    <w:rsid w:val="002359C8"/>
    <w:rsid w:val="00240CF3"/>
    <w:rsid w:val="0024479A"/>
    <w:rsid w:val="0024542B"/>
    <w:rsid w:val="00245E7C"/>
    <w:rsid w:val="00247D80"/>
    <w:rsid w:val="00251941"/>
    <w:rsid w:val="00257EFD"/>
    <w:rsid w:val="0026332A"/>
    <w:rsid w:val="00272C87"/>
    <w:rsid w:val="00273ABA"/>
    <w:rsid w:val="00273C04"/>
    <w:rsid w:val="00275F1D"/>
    <w:rsid w:val="00277E81"/>
    <w:rsid w:val="00280269"/>
    <w:rsid w:val="00281BB3"/>
    <w:rsid w:val="00283551"/>
    <w:rsid w:val="00287179"/>
    <w:rsid w:val="00290AD8"/>
    <w:rsid w:val="002939DE"/>
    <w:rsid w:val="00295798"/>
    <w:rsid w:val="00295CB1"/>
    <w:rsid w:val="002A6249"/>
    <w:rsid w:val="002A644E"/>
    <w:rsid w:val="002A7E97"/>
    <w:rsid w:val="002B3076"/>
    <w:rsid w:val="002B4D57"/>
    <w:rsid w:val="002B6148"/>
    <w:rsid w:val="002B7DF2"/>
    <w:rsid w:val="002C1D2F"/>
    <w:rsid w:val="002C237D"/>
    <w:rsid w:val="002C3276"/>
    <w:rsid w:val="002C60C4"/>
    <w:rsid w:val="002C61B3"/>
    <w:rsid w:val="002C7F2D"/>
    <w:rsid w:val="002D1582"/>
    <w:rsid w:val="002D3748"/>
    <w:rsid w:val="002D49A4"/>
    <w:rsid w:val="002D6AAB"/>
    <w:rsid w:val="002D7CA1"/>
    <w:rsid w:val="002F1DAB"/>
    <w:rsid w:val="002F53ED"/>
    <w:rsid w:val="00311854"/>
    <w:rsid w:val="00314AFA"/>
    <w:rsid w:val="00316A02"/>
    <w:rsid w:val="00320366"/>
    <w:rsid w:val="00321563"/>
    <w:rsid w:val="003244CC"/>
    <w:rsid w:val="00324763"/>
    <w:rsid w:val="00326B95"/>
    <w:rsid w:val="003316AC"/>
    <w:rsid w:val="00331D32"/>
    <w:rsid w:val="00331D9E"/>
    <w:rsid w:val="003350F2"/>
    <w:rsid w:val="0033549A"/>
    <w:rsid w:val="00335CD0"/>
    <w:rsid w:val="00336998"/>
    <w:rsid w:val="0033733B"/>
    <w:rsid w:val="00341238"/>
    <w:rsid w:val="00342509"/>
    <w:rsid w:val="00343386"/>
    <w:rsid w:val="00343B8F"/>
    <w:rsid w:val="00344BE7"/>
    <w:rsid w:val="003510F0"/>
    <w:rsid w:val="003517F4"/>
    <w:rsid w:val="00351D8A"/>
    <w:rsid w:val="0035287F"/>
    <w:rsid w:val="0035291E"/>
    <w:rsid w:val="00353E67"/>
    <w:rsid w:val="00360A8E"/>
    <w:rsid w:val="003617DF"/>
    <w:rsid w:val="0036304F"/>
    <w:rsid w:val="00363BF8"/>
    <w:rsid w:val="00364720"/>
    <w:rsid w:val="00364DC0"/>
    <w:rsid w:val="003655F9"/>
    <w:rsid w:val="00366B70"/>
    <w:rsid w:val="0037329F"/>
    <w:rsid w:val="00373388"/>
    <w:rsid w:val="0037344E"/>
    <w:rsid w:val="00373A7E"/>
    <w:rsid w:val="003740F3"/>
    <w:rsid w:val="00374701"/>
    <w:rsid w:val="00376093"/>
    <w:rsid w:val="00376B56"/>
    <w:rsid w:val="00382E70"/>
    <w:rsid w:val="00386929"/>
    <w:rsid w:val="00386C6D"/>
    <w:rsid w:val="00390053"/>
    <w:rsid w:val="003903D9"/>
    <w:rsid w:val="0039067C"/>
    <w:rsid w:val="003929AB"/>
    <w:rsid w:val="003A4FCC"/>
    <w:rsid w:val="003A538C"/>
    <w:rsid w:val="003A5799"/>
    <w:rsid w:val="003A5BFC"/>
    <w:rsid w:val="003A5FA2"/>
    <w:rsid w:val="003A7A6D"/>
    <w:rsid w:val="003B57EE"/>
    <w:rsid w:val="003B6113"/>
    <w:rsid w:val="003B6F8E"/>
    <w:rsid w:val="003C0926"/>
    <w:rsid w:val="003C14A4"/>
    <w:rsid w:val="003C2AD7"/>
    <w:rsid w:val="003C5B5F"/>
    <w:rsid w:val="003C627D"/>
    <w:rsid w:val="003C710B"/>
    <w:rsid w:val="003D0304"/>
    <w:rsid w:val="003D6905"/>
    <w:rsid w:val="003D7852"/>
    <w:rsid w:val="003E16D5"/>
    <w:rsid w:val="003E44A1"/>
    <w:rsid w:val="003E5F86"/>
    <w:rsid w:val="003F0685"/>
    <w:rsid w:val="003F0B9C"/>
    <w:rsid w:val="003F299D"/>
    <w:rsid w:val="003F320E"/>
    <w:rsid w:val="003F3730"/>
    <w:rsid w:val="00400196"/>
    <w:rsid w:val="00402837"/>
    <w:rsid w:val="00403580"/>
    <w:rsid w:val="0041098B"/>
    <w:rsid w:val="00411472"/>
    <w:rsid w:val="00412366"/>
    <w:rsid w:val="004139FB"/>
    <w:rsid w:val="00420554"/>
    <w:rsid w:val="00420C34"/>
    <w:rsid w:val="00422830"/>
    <w:rsid w:val="0042340C"/>
    <w:rsid w:val="00424060"/>
    <w:rsid w:val="0042449B"/>
    <w:rsid w:val="00430AC2"/>
    <w:rsid w:val="00437E58"/>
    <w:rsid w:val="00440CF5"/>
    <w:rsid w:val="0044113B"/>
    <w:rsid w:val="00446B49"/>
    <w:rsid w:val="004578A1"/>
    <w:rsid w:val="00460DB9"/>
    <w:rsid w:val="00461120"/>
    <w:rsid w:val="00461C13"/>
    <w:rsid w:val="00463647"/>
    <w:rsid w:val="00464A2B"/>
    <w:rsid w:val="00466CD4"/>
    <w:rsid w:val="00470579"/>
    <w:rsid w:val="0047645D"/>
    <w:rsid w:val="004768FF"/>
    <w:rsid w:val="00476A20"/>
    <w:rsid w:val="004800C1"/>
    <w:rsid w:val="00480FEA"/>
    <w:rsid w:val="00481018"/>
    <w:rsid w:val="0048142A"/>
    <w:rsid w:val="0048297D"/>
    <w:rsid w:val="00484FC4"/>
    <w:rsid w:val="00486CFB"/>
    <w:rsid w:val="004872EB"/>
    <w:rsid w:val="00490536"/>
    <w:rsid w:val="0049407C"/>
    <w:rsid w:val="00494EFE"/>
    <w:rsid w:val="00495715"/>
    <w:rsid w:val="0049609D"/>
    <w:rsid w:val="004A38DB"/>
    <w:rsid w:val="004A3DF4"/>
    <w:rsid w:val="004A4B97"/>
    <w:rsid w:val="004B0F17"/>
    <w:rsid w:val="004B29C8"/>
    <w:rsid w:val="004B37D7"/>
    <w:rsid w:val="004B5ACF"/>
    <w:rsid w:val="004B66C1"/>
    <w:rsid w:val="004B6BD1"/>
    <w:rsid w:val="004C278A"/>
    <w:rsid w:val="004C3519"/>
    <w:rsid w:val="004C41BC"/>
    <w:rsid w:val="004C5882"/>
    <w:rsid w:val="004D127C"/>
    <w:rsid w:val="004D1710"/>
    <w:rsid w:val="004D19BA"/>
    <w:rsid w:val="004D641D"/>
    <w:rsid w:val="004D71FE"/>
    <w:rsid w:val="004E0D77"/>
    <w:rsid w:val="004E245B"/>
    <w:rsid w:val="004E24DB"/>
    <w:rsid w:val="004E2F40"/>
    <w:rsid w:val="004E30EB"/>
    <w:rsid w:val="004E35D4"/>
    <w:rsid w:val="004E7BA6"/>
    <w:rsid w:val="004E7C2A"/>
    <w:rsid w:val="004F0B10"/>
    <w:rsid w:val="004F248C"/>
    <w:rsid w:val="004F4BEC"/>
    <w:rsid w:val="004F73BE"/>
    <w:rsid w:val="004F7E15"/>
    <w:rsid w:val="00500E7C"/>
    <w:rsid w:val="0050257E"/>
    <w:rsid w:val="00502E40"/>
    <w:rsid w:val="00507B68"/>
    <w:rsid w:val="00510D5D"/>
    <w:rsid w:val="0051165A"/>
    <w:rsid w:val="00512296"/>
    <w:rsid w:val="00514746"/>
    <w:rsid w:val="0051514D"/>
    <w:rsid w:val="0051708D"/>
    <w:rsid w:val="00522642"/>
    <w:rsid w:val="0052571D"/>
    <w:rsid w:val="00526AF7"/>
    <w:rsid w:val="00530D19"/>
    <w:rsid w:val="00531BD8"/>
    <w:rsid w:val="00532378"/>
    <w:rsid w:val="00533A1A"/>
    <w:rsid w:val="0053618F"/>
    <w:rsid w:val="00537542"/>
    <w:rsid w:val="00542144"/>
    <w:rsid w:val="005452F2"/>
    <w:rsid w:val="00546E95"/>
    <w:rsid w:val="00547583"/>
    <w:rsid w:val="005476D8"/>
    <w:rsid w:val="00547DF7"/>
    <w:rsid w:val="00547FDB"/>
    <w:rsid w:val="00550922"/>
    <w:rsid w:val="005510F9"/>
    <w:rsid w:val="005549EA"/>
    <w:rsid w:val="00556D8A"/>
    <w:rsid w:val="00560584"/>
    <w:rsid w:val="00566025"/>
    <w:rsid w:val="00570CFB"/>
    <w:rsid w:val="0057259C"/>
    <w:rsid w:val="00575A8F"/>
    <w:rsid w:val="00576E57"/>
    <w:rsid w:val="00581FC8"/>
    <w:rsid w:val="00582EC4"/>
    <w:rsid w:val="0058349C"/>
    <w:rsid w:val="00590CB5"/>
    <w:rsid w:val="00591FED"/>
    <w:rsid w:val="0059226B"/>
    <w:rsid w:val="00592BAE"/>
    <w:rsid w:val="00593136"/>
    <w:rsid w:val="0059315E"/>
    <w:rsid w:val="0059490E"/>
    <w:rsid w:val="0059679C"/>
    <w:rsid w:val="005A7FDF"/>
    <w:rsid w:val="005B0695"/>
    <w:rsid w:val="005B3239"/>
    <w:rsid w:val="005B406A"/>
    <w:rsid w:val="005B6A17"/>
    <w:rsid w:val="005B6B35"/>
    <w:rsid w:val="005B71B2"/>
    <w:rsid w:val="005C0C97"/>
    <w:rsid w:val="005D01ED"/>
    <w:rsid w:val="005D56A6"/>
    <w:rsid w:val="005D7021"/>
    <w:rsid w:val="005E0A5F"/>
    <w:rsid w:val="005E2EAB"/>
    <w:rsid w:val="005E4FCC"/>
    <w:rsid w:val="005E5EBB"/>
    <w:rsid w:val="005F5754"/>
    <w:rsid w:val="005F5BA3"/>
    <w:rsid w:val="006007E1"/>
    <w:rsid w:val="00602E20"/>
    <w:rsid w:val="00602F87"/>
    <w:rsid w:val="00603481"/>
    <w:rsid w:val="0060510C"/>
    <w:rsid w:val="0060521D"/>
    <w:rsid w:val="0060724D"/>
    <w:rsid w:val="00607EE8"/>
    <w:rsid w:val="0061001F"/>
    <w:rsid w:val="00612C5B"/>
    <w:rsid w:val="006137B9"/>
    <w:rsid w:val="00615AAF"/>
    <w:rsid w:val="00615B00"/>
    <w:rsid w:val="00615B90"/>
    <w:rsid w:val="006172C0"/>
    <w:rsid w:val="00620B6E"/>
    <w:rsid w:val="00623398"/>
    <w:rsid w:val="006241A7"/>
    <w:rsid w:val="00625C48"/>
    <w:rsid w:val="00631786"/>
    <w:rsid w:val="006336BB"/>
    <w:rsid w:val="00634881"/>
    <w:rsid w:val="006373BF"/>
    <w:rsid w:val="00640F7E"/>
    <w:rsid w:val="00641BD0"/>
    <w:rsid w:val="006424C5"/>
    <w:rsid w:val="00646545"/>
    <w:rsid w:val="00646C25"/>
    <w:rsid w:val="00650219"/>
    <w:rsid w:val="006518C0"/>
    <w:rsid w:val="0065249C"/>
    <w:rsid w:val="00652B69"/>
    <w:rsid w:val="00653BC1"/>
    <w:rsid w:val="0065494E"/>
    <w:rsid w:val="006602C7"/>
    <w:rsid w:val="00661A0E"/>
    <w:rsid w:val="00662543"/>
    <w:rsid w:val="00662E22"/>
    <w:rsid w:val="0066610A"/>
    <w:rsid w:val="00670196"/>
    <w:rsid w:val="00671930"/>
    <w:rsid w:val="00681A71"/>
    <w:rsid w:val="00682F59"/>
    <w:rsid w:val="00684988"/>
    <w:rsid w:val="0068617F"/>
    <w:rsid w:val="00691145"/>
    <w:rsid w:val="0069173C"/>
    <w:rsid w:val="006920A0"/>
    <w:rsid w:val="00696089"/>
    <w:rsid w:val="00696967"/>
    <w:rsid w:val="00697017"/>
    <w:rsid w:val="00697BB0"/>
    <w:rsid w:val="006A3305"/>
    <w:rsid w:val="006A4508"/>
    <w:rsid w:val="006A55A3"/>
    <w:rsid w:val="006A6D09"/>
    <w:rsid w:val="006A7847"/>
    <w:rsid w:val="006B0EAF"/>
    <w:rsid w:val="006B1129"/>
    <w:rsid w:val="006B2702"/>
    <w:rsid w:val="006B7AAA"/>
    <w:rsid w:val="006C04A0"/>
    <w:rsid w:val="006C6064"/>
    <w:rsid w:val="006D13F4"/>
    <w:rsid w:val="006D2026"/>
    <w:rsid w:val="006D618A"/>
    <w:rsid w:val="006E1C90"/>
    <w:rsid w:val="006E5EE8"/>
    <w:rsid w:val="006F2B47"/>
    <w:rsid w:val="006F3F6A"/>
    <w:rsid w:val="006F4530"/>
    <w:rsid w:val="006F4F00"/>
    <w:rsid w:val="006F5461"/>
    <w:rsid w:val="006F5CD1"/>
    <w:rsid w:val="0070058E"/>
    <w:rsid w:val="007052D5"/>
    <w:rsid w:val="00705CCA"/>
    <w:rsid w:val="00710410"/>
    <w:rsid w:val="00714E0F"/>
    <w:rsid w:val="0071516B"/>
    <w:rsid w:val="007153B6"/>
    <w:rsid w:val="00715F4F"/>
    <w:rsid w:val="0071653B"/>
    <w:rsid w:val="00726023"/>
    <w:rsid w:val="00726370"/>
    <w:rsid w:val="00730520"/>
    <w:rsid w:val="0073179B"/>
    <w:rsid w:val="007352CD"/>
    <w:rsid w:val="00735457"/>
    <w:rsid w:val="007355EC"/>
    <w:rsid w:val="0073577B"/>
    <w:rsid w:val="00735933"/>
    <w:rsid w:val="00736292"/>
    <w:rsid w:val="00737A88"/>
    <w:rsid w:val="00737F46"/>
    <w:rsid w:val="0074030B"/>
    <w:rsid w:val="007415E2"/>
    <w:rsid w:val="007416E0"/>
    <w:rsid w:val="00746563"/>
    <w:rsid w:val="00752992"/>
    <w:rsid w:val="007545AB"/>
    <w:rsid w:val="00754735"/>
    <w:rsid w:val="007559F0"/>
    <w:rsid w:val="00762078"/>
    <w:rsid w:val="00762F7A"/>
    <w:rsid w:val="00763A0B"/>
    <w:rsid w:val="007664F5"/>
    <w:rsid w:val="0077018B"/>
    <w:rsid w:val="00770E6C"/>
    <w:rsid w:val="00772431"/>
    <w:rsid w:val="00776CD6"/>
    <w:rsid w:val="00776DEA"/>
    <w:rsid w:val="00780B51"/>
    <w:rsid w:val="007810AA"/>
    <w:rsid w:val="0078150B"/>
    <w:rsid w:val="00785733"/>
    <w:rsid w:val="00785DA0"/>
    <w:rsid w:val="00786B05"/>
    <w:rsid w:val="00786FDC"/>
    <w:rsid w:val="00793DB8"/>
    <w:rsid w:val="00796661"/>
    <w:rsid w:val="0079751D"/>
    <w:rsid w:val="007A0D15"/>
    <w:rsid w:val="007A4B73"/>
    <w:rsid w:val="007A7A5D"/>
    <w:rsid w:val="007A7C9F"/>
    <w:rsid w:val="007B5D89"/>
    <w:rsid w:val="007C0CD2"/>
    <w:rsid w:val="007C3098"/>
    <w:rsid w:val="007C31D0"/>
    <w:rsid w:val="007D491E"/>
    <w:rsid w:val="007D49D3"/>
    <w:rsid w:val="007D54E7"/>
    <w:rsid w:val="007E08EF"/>
    <w:rsid w:val="007E3677"/>
    <w:rsid w:val="007E44A9"/>
    <w:rsid w:val="007F060C"/>
    <w:rsid w:val="007F21C7"/>
    <w:rsid w:val="0080153F"/>
    <w:rsid w:val="00801BC5"/>
    <w:rsid w:val="00803A71"/>
    <w:rsid w:val="00804C0D"/>
    <w:rsid w:val="00805D91"/>
    <w:rsid w:val="00806185"/>
    <w:rsid w:val="00807025"/>
    <w:rsid w:val="008144BE"/>
    <w:rsid w:val="008144E6"/>
    <w:rsid w:val="00814B7F"/>
    <w:rsid w:val="0081544F"/>
    <w:rsid w:val="00821615"/>
    <w:rsid w:val="00823EDA"/>
    <w:rsid w:val="008257DC"/>
    <w:rsid w:val="00825909"/>
    <w:rsid w:val="00826275"/>
    <w:rsid w:val="008316E3"/>
    <w:rsid w:val="00833F26"/>
    <w:rsid w:val="00834B75"/>
    <w:rsid w:val="00840E16"/>
    <w:rsid w:val="008432CD"/>
    <w:rsid w:val="00845731"/>
    <w:rsid w:val="008462DE"/>
    <w:rsid w:val="0084770A"/>
    <w:rsid w:val="0084775B"/>
    <w:rsid w:val="00850041"/>
    <w:rsid w:val="008556C7"/>
    <w:rsid w:val="008564FF"/>
    <w:rsid w:val="00860F74"/>
    <w:rsid w:val="00862254"/>
    <w:rsid w:val="0086363C"/>
    <w:rsid w:val="0086497A"/>
    <w:rsid w:val="0086575C"/>
    <w:rsid w:val="0086649C"/>
    <w:rsid w:val="00867702"/>
    <w:rsid w:val="00867E13"/>
    <w:rsid w:val="00882BB3"/>
    <w:rsid w:val="00884B0B"/>
    <w:rsid w:val="00884EAF"/>
    <w:rsid w:val="0088557F"/>
    <w:rsid w:val="00886D0E"/>
    <w:rsid w:val="00887B09"/>
    <w:rsid w:val="00891870"/>
    <w:rsid w:val="00892E98"/>
    <w:rsid w:val="008A228A"/>
    <w:rsid w:val="008A42C4"/>
    <w:rsid w:val="008A54FD"/>
    <w:rsid w:val="008A719E"/>
    <w:rsid w:val="008A7988"/>
    <w:rsid w:val="008B42D8"/>
    <w:rsid w:val="008B4B32"/>
    <w:rsid w:val="008B7033"/>
    <w:rsid w:val="008B7200"/>
    <w:rsid w:val="008B754E"/>
    <w:rsid w:val="008B797E"/>
    <w:rsid w:val="008C14D0"/>
    <w:rsid w:val="008C3386"/>
    <w:rsid w:val="008C53E1"/>
    <w:rsid w:val="008D1C0C"/>
    <w:rsid w:val="008D3B2C"/>
    <w:rsid w:val="008D6565"/>
    <w:rsid w:val="008E5309"/>
    <w:rsid w:val="008E58E8"/>
    <w:rsid w:val="008E6CF0"/>
    <w:rsid w:val="008F69AF"/>
    <w:rsid w:val="008F7463"/>
    <w:rsid w:val="008F748A"/>
    <w:rsid w:val="00900892"/>
    <w:rsid w:val="009012B3"/>
    <w:rsid w:val="00901F7B"/>
    <w:rsid w:val="00905E72"/>
    <w:rsid w:val="0090678F"/>
    <w:rsid w:val="009078E6"/>
    <w:rsid w:val="00907E72"/>
    <w:rsid w:val="009104D7"/>
    <w:rsid w:val="00914BDF"/>
    <w:rsid w:val="0091587D"/>
    <w:rsid w:val="00915C4A"/>
    <w:rsid w:val="009164BE"/>
    <w:rsid w:val="00916A19"/>
    <w:rsid w:val="00924D03"/>
    <w:rsid w:val="00927389"/>
    <w:rsid w:val="0093592B"/>
    <w:rsid w:val="00936EC0"/>
    <w:rsid w:val="00941E50"/>
    <w:rsid w:val="00942B81"/>
    <w:rsid w:val="0094355B"/>
    <w:rsid w:val="00943FD2"/>
    <w:rsid w:val="0094449B"/>
    <w:rsid w:val="00946EFF"/>
    <w:rsid w:val="009507AF"/>
    <w:rsid w:val="00950AAB"/>
    <w:rsid w:val="00950F79"/>
    <w:rsid w:val="00953C73"/>
    <w:rsid w:val="009566BF"/>
    <w:rsid w:val="0095687A"/>
    <w:rsid w:val="00957FE7"/>
    <w:rsid w:val="009622C9"/>
    <w:rsid w:val="00963B34"/>
    <w:rsid w:val="00967B80"/>
    <w:rsid w:val="009709E1"/>
    <w:rsid w:val="0097183C"/>
    <w:rsid w:val="00973F9D"/>
    <w:rsid w:val="00975D60"/>
    <w:rsid w:val="00980DD0"/>
    <w:rsid w:val="00981613"/>
    <w:rsid w:val="00984C70"/>
    <w:rsid w:val="00986AEC"/>
    <w:rsid w:val="00986DBA"/>
    <w:rsid w:val="0099034A"/>
    <w:rsid w:val="00991BD3"/>
    <w:rsid w:val="00992384"/>
    <w:rsid w:val="00994D1F"/>
    <w:rsid w:val="0099791F"/>
    <w:rsid w:val="009A3242"/>
    <w:rsid w:val="009A5BFB"/>
    <w:rsid w:val="009A7ECF"/>
    <w:rsid w:val="009B294C"/>
    <w:rsid w:val="009B3BC0"/>
    <w:rsid w:val="009B3F90"/>
    <w:rsid w:val="009B46C6"/>
    <w:rsid w:val="009B4F6D"/>
    <w:rsid w:val="009B65C8"/>
    <w:rsid w:val="009C045E"/>
    <w:rsid w:val="009C6FAD"/>
    <w:rsid w:val="009C7A76"/>
    <w:rsid w:val="009D1219"/>
    <w:rsid w:val="009E29A4"/>
    <w:rsid w:val="009E6684"/>
    <w:rsid w:val="009F03B6"/>
    <w:rsid w:val="009F0C32"/>
    <w:rsid w:val="009F138D"/>
    <w:rsid w:val="009F2D0D"/>
    <w:rsid w:val="009F5711"/>
    <w:rsid w:val="009F685D"/>
    <w:rsid w:val="009F6FCC"/>
    <w:rsid w:val="00A0370B"/>
    <w:rsid w:val="00A03768"/>
    <w:rsid w:val="00A03957"/>
    <w:rsid w:val="00A041F7"/>
    <w:rsid w:val="00A04B31"/>
    <w:rsid w:val="00A04E6E"/>
    <w:rsid w:val="00A066BC"/>
    <w:rsid w:val="00A06FC8"/>
    <w:rsid w:val="00A07B44"/>
    <w:rsid w:val="00A131AF"/>
    <w:rsid w:val="00A131FB"/>
    <w:rsid w:val="00A16F7D"/>
    <w:rsid w:val="00A22CA7"/>
    <w:rsid w:val="00A24662"/>
    <w:rsid w:val="00A25632"/>
    <w:rsid w:val="00A25BA6"/>
    <w:rsid w:val="00A26274"/>
    <w:rsid w:val="00A270C4"/>
    <w:rsid w:val="00A312D7"/>
    <w:rsid w:val="00A31410"/>
    <w:rsid w:val="00A361B6"/>
    <w:rsid w:val="00A368C3"/>
    <w:rsid w:val="00A44214"/>
    <w:rsid w:val="00A4654D"/>
    <w:rsid w:val="00A51355"/>
    <w:rsid w:val="00A51500"/>
    <w:rsid w:val="00A55423"/>
    <w:rsid w:val="00A55E5B"/>
    <w:rsid w:val="00A63DC2"/>
    <w:rsid w:val="00A63F65"/>
    <w:rsid w:val="00A64CE0"/>
    <w:rsid w:val="00A72CA3"/>
    <w:rsid w:val="00A74C04"/>
    <w:rsid w:val="00A76A27"/>
    <w:rsid w:val="00A76DEF"/>
    <w:rsid w:val="00A800B7"/>
    <w:rsid w:val="00A8049E"/>
    <w:rsid w:val="00A81716"/>
    <w:rsid w:val="00A85776"/>
    <w:rsid w:val="00A878F1"/>
    <w:rsid w:val="00A91029"/>
    <w:rsid w:val="00A92EF8"/>
    <w:rsid w:val="00A94CC9"/>
    <w:rsid w:val="00A9583C"/>
    <w:rsid w:val="00A95B40"/>
    <w:rsid w:val="00A97901"/>
    <w:rsid w:val="00AA04AA"/>
    <w:rsid w:val="00AA2012"/>
    <w:rsid w:val="00AA45A6"/>
    <w:rsid w:val="00AA7506"/>
    <w:rsid w:val="00AA7C34"/>
    <w:rsid w:val="00AB3066"/>
    <w:rsid w:val="00AB342E"/>
    <w:rsid w:val="00AB36DB"/>
    <w:rsid w:val="00AB7B57"/>
    <w:rsid w:val="00AC2428"/>
    <w:rsid w:val="00AC352A"/>
    <w:rsid w:val="00AC4020"/>
    <w:rsid w:val="00AC59ED"/>
    <w:rsid w:val="00AC722D"/>
    <w:rsid w:val="00AC7443"/>
    <w:rsid w:val="00AD287F"/>
    <w:rsid w:val="00AD321E"/>
    <w:rsid w:val="00AD3B57"/>
    <w:rsid w:val="00AD5EEA"/>
    <w:rsid w:val="00AE0AE9"/>
    <w:rsid w:val="00AE279F"/>
    <w:rsid w:val="00AE2E6D"/>
    <w:rsid w:val="00AE58FC"/>
    <w:rsid w:val="00AF1F64"/>
    <w:rsid w:val="00AF1FCB"/>
    <w:rsid w:val="00AF216C"/>
    <w:rsid w:val="00AF3E6E"/>
    <w:rsid w:val="00AF47EE"/>
    <w:rsid w:val="00AF4D2A"/>
    <w:rsid w:val="00AF6F60"/>
    <w:rsid w:val="00AF7DFE"/>
    <w:rsid w:val="00B0141B"/>
    <w:rsid w:val="00B02D81"/>
    <w:rsid w:val="00B03911"/>
    <w:rsid w:val="00B03D65"/>
    <w:rsid w:val="00B06310"/>
    <w:rsid w:val="00B06A82"/>
    <w:rsid w:val="00B128E2"/>
    <w:rsid w:val="00B1443E"/>
    <w:rsid w:val="00B1449E"/>
    <w:rsid w:val="00B169D5"/>
    <w:rsid w:val="00B16D0B"/>
    <w:rsid w:val="00B1759E"/>
    <w:rsid w:val="00B207D9"/>
    <w:rsid w:val="00B21D99"/>
    <w:rsid w:val="00B22192"/>
    <w:rsid w:val="00B231A0"/>
    <w:rsid w:val="00B24C23"/>
    <w:rsid w:val="00B2507D"/>
    <w:rsid w:val="00B2649B"/>
    <w:rsid w:val="00B26E24"/>
    <w:rsid w:val="00B27034"/>
    <w:rsid w:val="00B27A9E"/>
    <w:rsid w:val="00B27E7C"/>
    <w:rsid w:val="00B32434"/>
    <w:rsid w:val="00B328FF"/>
    <w:rsid w:val="00B33195"/>
    <w:rsid w:val="00B339A3"/>
    <w:rsid w:val="00B4045D"/>
    <w:rsid w:val="00B43A40"/>
    <w:rsid w:val="00B43BA4"/>
    <w:rsid w:val="00B43D64"/>
    <w:rsid w:val="00B45EC6"/>
    <w:rsid w:val="00B46611"/>
    <w:rsid w:val="00B50732"/>
    <w:rsid w:val="00B616C1"/>
    <w:rsid w:val="00B62884"/>
    <w:rsid w:val="00B63259"/>
    <w:rsid w:val="00B6441F"/>
    <w:rsid w:val="00B706EE"/>
    <w:rsid w:val="00B72CE5"/>
    <w:rsid w:val="00B746FB"/>
    <w:rsid w:val="00B84022"/>
    <w:rsid w:val="00B84E86"/>
    <w:rsid w:val="00B872A1"/>
    <w:rsid w:val="00B964A5"/>
    <w:rsid w:val="00B96D2C"/>
    <w:rsid w:val="00B97B30"/>
    <w:rsid w:val="00BA03CD"/>
    <w:rsid w:val="00BA5FC4"/>
    <w:rsid w:val="00BA6271"/>
    <w:rsid w:val="00BA763D"/>
    <w:rsid w:val="00BB018E"/>
    <w:rsid w:val="00BB1501"/>
    <w:rsid w:val="00BB72B6"/>
    <w:rsid w:val="00BC085F"/>
    <w:rsid w:val="00BC3BC4"/>
    <w:rsid w:val="00BC4416"/>
    <w:rsid w:val="00BC615D"/>
    <w:rsid w:val="00BC6220"/>
    <w:rsid w:val="00BC70E4"/>
    <w:rsid w:val="00BC7F07"/>
    <w:rsid w:val="00BD0261"/>
    <w:rsid w:val="00BD180D"/>
    <w:rsid w:val="00BD206D"/>
    <w:rsid w:val="00BD32F8"/>
    <w:rsid w:val="00BD3E9E"/>
    <w:rsid w:val="00BE16BE"/>
    <w:rsid w:val="00BE2DC2"/>
    <w:rsid w:val="00BE30D6"/>
    <w:rsid w:val="00BE4CF3"/>
    <w:rsid w:val="00BE57B4"/>
    <w:rsid w:val="00BE7036"/>
    <w:rsid w:val="00BF05FB"/>
    <w:rsid w:val="00BF0964"/>
    <w:rsid w:val="00BF360C"/>
    <w:rsid w:val="00BF3E1F"/>
    <w:rsid w:val="00BF7442"/>
    <w:rsid w:val="00C02C1B"/>
    <w:rsid w:val="00C03D03"/>
    <w:rsid w:val="00C0487C"/>
    <w:rsid w:val="00C07DBA"/>
    <w:rsid w:val="00C129A5"/>
    <w:rsid w:val="00C1443B"/>
    <w:rsid w:val="00C16D9E"/>
    <w:rsid w:val="00C17A17"/>
    <w:rsid w:val="00C20591"/>
    <w:rsid w:val="00C20CF6"/>
    <w:rsid w:val="00C21212"/>
    <w:rsid w:val="00C2253C"/>
    <w:rsid w:val="00C238F3"/>
    <w:rsid w:val="00C24981"/>
    <w:rsid w:val="00C25465"/>
    <w:rsid w:val="00C27BBB"/>
    <w:rsid w:val="00C304E7"/>
    <w:rsid w:val="00C30725"/>
    <w:rsid w:val="00C31EE2"/>
    <w:rsid w:val="00C322A0"/>
    <w:rsid w:val="00C34A37"/>
    <w:rsid w:val="00C35172"/>
    <w:rsid w:val="00C354A1"/>
    <w:rsid w:val="00C37190"/>
    <w:rsid w:val="00C3732E"/>
    <w:rsid w:val="00C37B70"/>
    <w:rsid w:val="00C43F36"/>
    <w:rsid w:val="00C43F6B"/>
    <w:rsid w:val="00C44049"/>
    <w:rsid w:val="00C441C6"/>
    <w:rsid w:val="00C47BED"/>
    <w:rsid w:val="00C50500"/>
    <w:rsid w:val="00C52D2A"/>
    <w:rsid w:val="00C62BE8"/>
    <w:rsid w:val="00C63C7A"/>
    <w:rsid w:val="00C6527C"/>
    <w:rsid w:val="00C652DF"/>
    <w:rsid w:val="00C65A13"/>
    <w:rsid w:val="00C6625E"/>
    <w:rsid w:val="00C6634A"/>
    <w:rsid w:val="00C718BE"/>
    <w:rsid w:val="00C7366D"/>
    <w:rsid w:val="00C813D6"/>
    <w:rsid w:val="00C831CD"/>
    <w:rsid w:val="00C8591E"/>
    <w:rsid w:val="00C86D11"/>
    <w:rsid w:val="00C91048"/>
    <w:rsid w:val="00C918A6"/>
    <w:rsid w:val="00C9478E"/>
    <w:rsid w:val="00C955AA"/>
    <w:rsid w:val="00C9734E"/>
    <w:rsid w:val="00CA3569"/>
    <w:rsid w:val="00CA41B1"/>
    <w:rsid w:val="00CA655B"/>
    <w:rsid w:val="00CA700A"/>
    <w:rsid w:val="00CB01DD"/>
    <w:rsid w:val="00CB0F65"/>
    <w:rsid w:val="00CB673F"/>
    <w:rsid w:val="00CC21AC"/>
    <w:rsid w:val="00CC792C"/>
    <w:rsid w:val="00CD1D9F"/>
    <w:rsid w:val="00CD2355"/>
    <w:rsid w:val="00CD2621"/>
    <w:rsid w:val="00CD6098"/>
    <w:rsid w:val="00CE0E04"/>
    <w:rsid w:val="00CE2F01"/>
    <w:rsid w:val="00CE420B"/>
    <w:rsid w:val="00CE532A"/>
    <w:rsid w:val="00CE55D2"/>
    <w:rsid w:val="00CE5B26"/>
    <w:rsid w:val="00CF01A1"/>
    <w:rsid w:val="00CF2235"/>
    <w:rsid w:val="00CF6095"/>
    <w:rsid w:val="00CF6563"/>
    <w:rsid w:val="00D02C9C"/>
    <w:rsid w:val="00D050C2"/>
    <w:rsid w:val="00D0615A"/>
    <w:rsid w:val="00D079D6"/>
    <w:rsid w:val="00D1130A"/>
    <w:rsid w:val="00D12669"/>
    <w:rsid w:val="00D12960"/>
    <w:rsid w:val="00D13AFA"/>
    <w:rsid w:val="00D17191"/>
    <w:rsid w:val="00D30ED1"/>
    <w:rsid w:val="00D338FB"/>
    <w:rsid w:val="00D41C5B"/>
    <w:rsid w:val="00D42B42"/>
    <w:rsid w:val="00D45B9F"/>
    <w:rsid w:val="00D46381"/>
    <w:rsid w:val="00D50021"/>
    <w:rsid w:val="00D50BED"/>
    <w:rsid w:val="00D51A6B"/>
    <w:rsid w:val="00D51C4F"/>
    <w:rsid w:val="00D51F10"/>
    <w:rsid w:val="00D57343"/>
    <w:rsid w:val="00D57427"/>
    <w:rsid w:val="00D60082"/>
    <w:rsid w:val="00D60534"/>
    <w:rsid w:val="00D624BC"/>
    <w:rsid w:val="00D650D8"/>
    <w:rsid w:val="00D65800"/>
    <w:rsid w:val="00D672BF"/>
    <w:rsid w:val="00D71202"/>
    <w:rsid w:val="00D73ABA"/>
    <w:rsid w:val="00D75527"/>
    <w:rsid w:val="00D76DDB"/>
    <w:rsid w:val="00D76F8F"/>
    <w:rsid w:val="00D8353A"/>
    <w:rsid w:val="00D9105F"/>
    <w:rsid w:val="00D91DEE"/>
    <w:rsid w:val="00D9436F"/>
    <w:rsid w:val="00D963C0"/>
    <w:rsid w:val="00DA287B"/>
    <w:rsid w:val="00DA391D"/>
    <w:rsid w:val="00DA4EB8"/>
    <w:rsid w:val="00DA71E2"/>
    <w:rsid w:val="00DB25A1"/>
    <w:rsid w:val="00DB38D2"/>
    <w:rsid w:val="00DB663C"/>
    <w:rsid w:val="00DB766F"/>
    <w:rsid w:val="00DC7A9D"/>
    <w:rsid w:val="00DD12FA"/>
    <w:rsid w:val="00DD4F37"/>
    <w:rsid w:val="00DD6A27"/>
    <w:rsid w:val="00DE0D40"/>
    <w:rsid w:val="00DE10D2"/>
    <w:rsid w:val="00DE13D9"/>
    <w:rsid w:val="00DE2AED"/>
    <w:rsid w:val="00DE43DD"/>
    <w:rsid w:val="00DE5DBF"/>
    <w:rsid w:val="00DF1F32"/>
    <w:rsid w:val="00DF6397"/>
    <w:rsid w:val="00E003E3"/>
    <w:rsid w:val="00E0066B"/>
    <w:rsid w:val="00E01919"/>
    <w:rsid w:val="00E020BF"/>
    <w:rsid w:val="00E0405B"/>
    <w:rsid w:val="00E04185"/>
    <w:rsid w:val="00E04FFD"/>
    <w:rsid w:val="00E06114"/>
    <w:rsid w:val="00E13D60"/>
    <w:rsid w:val="00E1616F"/>
    <w:rsid w:val="00E235DD"/>
    <w:rsid w:val="00E24D70"/>
    <w:rsid w:val="00E2678F"/>
    <w:rsid w:val="00E2690B"/>
    <w:rsid w:val="00E309B6"/>
    <w:rsid w:val="00E31195"/>
    <w:rsid w:val="00E33C35"/>
    <w:rsid w:val="00E341A9"/>
    <w:rsid w:val="00E42562"/>
    <w:rsid w:val="00E42CC2"/>
    <w:rsid w:val="00E445D5"/>
    <w:rsid w:val="00E460FC"/>
    <w:rsid w:val="00E46EAE"/>
    <w:rsid w:val="00E503FA"/>
    <w:rsid w:val="00E50EA6"/>
    <w:rsid w:val="00E52061"/>
    <w:rsid w:val="00E56242"/>
    <w:rsid w:val="00E56B7F"/>
    <w:rsid w:val="00E57FCD"/>
    <w:rsid w:val="00E61CC4"/>
    <w:rsid w:val="00E71B8F"/>
    <w:rsid w:val="00E72C7E"/>
    <w:rsid w:val="00E75448"/>
    <w:rsid w:val="00E75BE3"/>
    <w:rsid w:val="00E76F8B"/>
    <w:rsid w:val="00E81265"/>
    <w:rsid w:val="00E83587"/>
    <w:rsid w:val="00E90738"/>
    <w:rsid w:val="00E9597D"/>
    <w:rsid w:val="00E962AC"/>
    <w:rsid w:val="00E970D7"/>
    <w:rsid w:val="00EA1222"/>
    <w:rsid w:val="00EA1C7C"/>
    <w:rsid w:val="00EA2775"/>
    <w:rsid w:val="00EA57AE"/>
    <w:rsid w:val="00EA7BA7"/>
    <w:rsid w:val="00EB08A9"/>
    <w:rsid w:val="00EB0E59"/>
    <w:rsid w:val="00EB1346"/>
    <w:rsid w:val="00EB3880"/>
    <w:rsid w:val="00EB525A"/>
    <w:rsid w:val="00EB70CD"/>
    <w:rsid w:val="00EB715A"/>
    <w:rsid w:val="00EC03B1"/>
    <w:rsid w:val="00EC28A6"/>
    <w:rsid w:val="00EC39C4"/>
    <w:rsid w:val="00EC49F0"/>
    <w:rsid w:val="00EC5301"/>
    <w:rsid w:val="00EC617B"/>
    <w:rsid w:val="00EC6C7C"/>
    <w:rsid w:val="00ED0924"/>
    <w:rsid w:val="00ED2B5A"/>
    <w:rsid w:val="00EE021A"/>
    <w:rsid w:val="00EE3613"/>
    <w:rsid w:val="00EE3A88"/>
    <w:rsid w:val="00EE4AA4"/>
    <w:rsid w:val="00EE4F39"/>
    <w:rsid w:val="00EE5BE8"/>
    <w:rsid w:val="00EE5F50"/>
    <w:rsid w:val="00F00DE6"/>
    <w:rsid w:val="00F057C9"/>
    <w:rsid w:val="00F05FF8"/>
    <w:rsid w:val="00F1234B"/>
    <w:rsid w:val="00F16A61"/>
    <w:rsid w:val="00F1766B"/>
    <w:rsid w:val="00F20E43"/>
    <w:rsid w:val="00F237BA"/>
    <w:rsid w:val="00F24225"/>
    <w:rsid w:val="00F24992"/>
    <w:rsid w:val="00F27BC9"/>
    <w:rsid w:val="00F30157"/>
    <w:rsid w:val="00F332D8"/>
    <w:rsid w:val="00F33338"/>
    <w:rsid w:val="00F339CA"/>
    <w:rsid w:val="00F4441C"/>
    <w:rsid w:val="00F447C3"/>
    <w:rsid w:val="00F47940"/>
    <w:rsid w:val="00F514B4"/>
    <w:rsid w:val="00F51720"/>
    <w:rsid w:val="00F522A3"/>
    <w:rsid w:val="00F534E9"/>
    <w:rsid w:val="00F54B29"/>
    <w:rsid w:val="00F56BBE"/>
    <w:rsid w:val="00F5723A"/>
    <w:rsid w:val="00F61B71"/>
    <w:rsid w:val="00F63D1C"/>
    <w:rsid w:val="00F66127"/>
    <w:rsid w:val="00F6771A"/>
    <w:rsid w:val="00F71A33"/>
    <w:rsid w:val="00F75A14"/>
    <w:rsid w:val="00F77D9B"/>
    <w:rsid w:val="00F8236E"/>
    <w:rsid w:val="00F873D8"/>
    <w:rsid w:val="00F878D0"/>
    <w:rsid w:val="00F929C7"/>
    <w:rsid w:val="00F93802"/>
    <w:rsid w:val="00F93BD9"/>
    <w:rsid w:val="00F941FA"/>
    <w:rsid w:val="00F967B8"/>
    <w:rsid w:val="00F975D9"/>
    <w:rsid w:val="00FA0FAD"/>
    <w:rsid w:val="00FB3C09"/>
    <w:rsid w:val="00FB6173"/>
    <w:rsid w:val="00FB6588"/>
    <w:rsid w:val="00FB7491"/>
    <w:rsid w:val="00FC14CE"/>
    <w:rsid w:val="00FC3270"/>
    <w:rsid w:val="00FC488B"/>
    <w:rsid w:val="00FC54EC"/>
    <w:rsid w:val="00FC7388"/>
    <w:rsid w:val="00FD0DF4"/>
    <w:rsid w:val="00FD3DFC"/>
    <w:rsid w:val="00FE0726"/>
    <w:rsid w:val="00FE0BC0"/>
    <w:rsid w:val="00FE351F"/>
    <w:rsid w:val="00FE5027"/>
    <w:rsid w:val="00FE74E6"/>
    <w:rsid w:val="00FE7DFA"/>
    <w:rsid w:val="00FF05B2"/>
    <w:rsid w:val="00FF1277"/>
    <w:rsid w:val="00FF4649"/>
    <w:rsid w:val="00FF6F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AA8DEC-6036-4627-87C8-A0C26F5A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Times New Roman"/>
      <w:sz w:val="22"/>
      <w:szCs w:val="22"/>
    </w:rPr>
  </w:style>
  <w:style w:type="paragraph" w:styleId="Titlu1">
    <w:name w:val="heading 1"/>
    <w:basedOn w:val="Normal"/>
    <w:next w:val="Normal"/>
    <w:link w:val="Titlu1Caracter"/>
    <w:uiPriority w:val="9"/>
    <w:qFormat/>
    <w:rsid w:val="00A361B6"/>
    <w:pPr>
      <w:keepNext/>
      <w:spacing w:before="240" w:after="60"/>
      <w:outlineLvl w:val="0"/>
    </w:pPr>
    <w:rPr>
      <w:rFonts w:ascii="Calibri Light" w:hAnsi="Calibri Light"/>
      <w:b/>
      <w:bCs/>
      <w:kern w:val="32"/>
      <w:sz w:val="32"/>
      <w:szCs w:val="32"/>
    </w:rPr>
  </w:style>
  <w:style w:type="paragraph" w:styleId="Titlu4">
    <w:name w:val="heading 4"/>
    <w:basedOn w:val="Normal"/>
    <w:link w:val="Titlu4Caracter"/>
    <w:uiPriority w:val="9"/>
    <w:qFormat/>
    <w:rsid w:val="00CD1D9F"/>
    <w:pPr>
      <w:spacing w:before="100" w:beforeAutospacing="1" w:after="100" w:afterAutospacing="1" w:line="240" w:lineRule="auto"/>
      <w:outlineLvl w:val="3"/>
    </w:pPr>
    <w:rPr>
      <w:rFonts w:ascii="Times New Roman" w:hAnsi="Times New Roman"/>
      <w:b/>
      <w:bCs/>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9407C"/>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44956,bqiaagaaeyqcaaagiaiaaap9pwaabquoaaaaaaaaaaaaaaaaaaaaaaaaaaaaaaaaaaaaaaaaaaaaaaaaaaaaaaaaaaaaaaaaaaaaaaaaaaaaaaaaaaaaaaaaaaaaaaaaaaaaaaaaaaaaaaaaaaaaaaaaaaaaaaaaaaaaaaaaaaaaaaaaaaaaaaaaaaaaaaaaaaaaaaaaaaaaaaaaaaaaaaaaaaaaaaaaaaaaaa"/>
    <w:basedOn w:val="Normal"/>
    <w:rsid w:val="0049407C"/>
    <w:pPr>
      <w:spacing w:before="100" w:beforeAutospacing="1" w:after="100" w:afterAutospacing="1" w:line="240" w:lineRule="auto"/>
    </w:pPr>
    <w:rPr>
      <w:rFonts w:ascii="Times New Roman" w:hAnsi="Times New Roman"/>
      <w:sz w:val="24"/>
      <w:szCs w:val="24"/>
    </w:rPr>
  </w:style>
  <w:style w:type="character" w:customStyle="1" w:styleId="Titlu4Caracter">
    <w:name w:val="Titlu 4 Caracter"/>
    <w:link w:val="Titlu4"/>
    <w:uiPriority w:val="9"/>
    <w:locked/>
    <w:rsid w:val="00CD1D9F"/>
    <w:rPr>
      <w:rFonts w:ascii="Times New Roman" w:hAnsi="Times New Roman" w:cs="Times New Roman"/>
      <w:b/>
      <w:bCs/>
      <w:sz w:val="24"/>
      <w:szCs w:val="24"/>
    </w:rPr>
  </w:style>
  <w:style w:type="character" w:customStyle="1" w:styleId="Titlu1Caracter">
    <w:name w:val="Titlu 1 Caracter"/>
    <w:link w:val="Titlu1"/>
    <w:uiPriority w:val="9"/>
    <w:locked/>
    <w:rsid w:val="00A361B6"/>
    <w:rPr>
      <w:rFonts w:ascii="Calibri Light" w:eastAsia="Times New Roman" w:hAnsi="Calibri Light" w:cs="Times New Roman"/>
      <w:b/>
      <w:bCs/>
      <w:kern w:val="32"/>
      <w:sz w:val="32"/>
      <w:szCs w:val="32"/>
    </w:rPr>
  </w:style>
  <w:style w:type="paragraph" w:customStyle="1" w:styleId="title-fam-member-star">
    <w:name w:val="title-fam-member-star"/>
    <w:basedOn w:val="Normal"/>
    <w:rsid w:val="000E66D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0E66D5"/>
    <w:rPr>
      <w:rFonts w:cs="Times New Roman"/>
      <w:color w:val="0000FF"/>
      <w:u w:val="single"/>
    </w:rPr>
  </w:style>
  <w:style w:type="paragraph" w:styleId="Antet">
    <w:name w:val="header"/>
    <w:basedOn w:val="Normal"/>
    <w:link w:val="AntetCaracter"/>
    <w:uiPriority w:val="99"/>
    <w:unhideWhenUsed/>
    <w:rsid w:val="004A3DF4"/>
    <w:pPr>
      <w:tabs>
        <w:tab w:val="center" w:pos="4513"/>
        <w:tab w:val="right" w:pos="9026"/>
      </w:tabs>
    </w:pPr>
  </w:style>
  <w:style w:type="table" w:styleId="Tabelgril">
    <w:name w:val="Table Grid"/>
    <w:basedOn w:val="TabelNormal"/>
    <w:uiPriority w:val="39"/>
    <w:rsid w:val="009D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4A3DF4"/>
    <w:pPr>
      <w:tabs>
        <w:tab w:val="center" w:pos="4513"/>
        <w:tab w:val="right" w:pos="9026"/>
      </w:tabs>
    </w:pPr>
  </w:style>
  <w:style w:type="paragraph" w:customStyle="1" w:styleId="pb">
    <w:name w:val="pb"/>
    <w:basedOn w:val="Normal"/>
    <w:rsid w:val="0000449E"/>
    <w:pPr>
      <w:spacing w:before="100" w:beforeAutospacing="1" w:after="100" w:afterAutospacing="1" w:line="240" w:lineRule="auto"/>
    </w:pPr>
    <w:rPr>
      <w:rFonts w:ascii="Times New Roman" w:hAnsi="Times New Roman"/>
      <w:sz w:val="24"/>
      <w:szCs w:val="24"/>
      <w:lang w:val="en-US" w:eastAsia="en-US"/>
    </w:rPr>
  </w:style>
  <w:style w:type="character" w:customStyle="1" w:styleId="AntetCaracter">
    <w:name w:val="Antet Caracter"/>
    <w:link w:val="Antet"/>
    <w:uiPriority w:val="99"/>
    <w:locked/>
    <w:rsid w:val="004A3DF4"/>
    <w:rPr>
      <w:rFonts w:cs="Times New Roman"/>
    </w:rPr>
  </w:style>
  <w:style w:type="character" w:customStyle="1" w:styleId="SubsolCaracter">
    <w:name w:val="Subsol Caracter"/>
    <w:link w:val="Subsol"/>
    <w:uiPriority w:val="99"/>
    <w:locked/>
    <w:rsid w:val="004A3DF4"/>
    <w:rPr>
      <w:rFonts w:cs="Times New Roman"/>
    </w:rPr>
  </w:style>
  <w:style w:type="paragraph" w:styleId="Listparagraf">
    <w:name w:val="List Paragraph"/>
    <w:aliases w:val="Scriptoria bullet points,HotarirePunct1,List Paragraph 1,Bullets,List Paragraph (numbered (a)),Numbered Paragraph,Main numbered paragraph,Akapit z listą BS,Lettre d'introduction,List Paragraph11,Lapis Bulleted List,Dot pt"/>
    <w:basedOn w:val="Normal"/>
    <w:link w:val="ListparagrafCaracter"/>
    <w:uiPriority w:val="34"/>
    <w:qFormat/>
    <w:rsid w:val="00012F47"/>
    <w:pPr>
      <w:ind w:left="720"/>
      <w:contextualSpacing/>
    </w:pPr>
    <w:rPr>
      <w:lang w:val="en-US" w:eastAsia="en-US"/>
    </w:rPr>
  </w:style>
  <w:style w:type="paragraph" w:styleId="TextnBalon">
    <w:name w:val="Balloon Text"/>
    <w:basedOn w:val="Normal"/>
    <w:link w:val="TextnBalonCaracter"/>
    <w:uiPriority w:val="99"/>
    <w:semiHidden/>
    <w:unhideWhenUsed/>
    <w:rsid w:val="00986DBA"/>
    <w:pPr>
      <w:spacing w:after="0" w:line="240" w:lineRule="auto"/>
    </w:pPr>
    <w:rPr>
      <w:rFonts w:ascii="Segoe UI" w:hAnsi="Segoe UI" w:cs="Segoe UI"/>
      <w:sz w:val="18"/>
      <w:szCs w:val="18"/>
    </w:rPr>
  </w:style>
  <w:style w:type="paragraph" w:customStyle="1" w:styleId="tt">
    <w:name w:val="tt"/>
    <w:basedOn w:val="Normal"/>
    <w:rsid w:val="006007E1"/>
    <w:pPr>
      <w:spacing w:before="100" w:beforeAutospacing="1" w:after="100" w:afterAutospacing="1" w:line="240" w:lineRule="auto"/>
    </w:pPr>
    <w:rPr>
      <w:rFonts w:ascii="Times New Roman" w:hAnsi="Times New Roman"/>
      <w:sz w:val="24"/>
      <w:szCs w:val="24"/>
      <w:lang w:val="en-US" w:eastAsia="en-US"/>
    </w:rPr>
  </w:style>
  <w:style w:type="character" w:styleId="Robust">
    <w:name w:val="Strong"/>
    <w:uiPriority w:val="22"/>
    <w:qFormat/>
    <w:rsid w:val="00CD1D9F"/>
    <w:rPr>
      <w:rFonts w:cs="Times New Roman"/>
      <w:b/>
    </w:rPr>
  </w:style>
  <w:style w:type="character" w:customStyle="1" w:styleId="TextnBalonCaracter">
    <w:name w:val="Text în Balon Caracter"/>
    <w:link w:val="TextnBalon"/>
    <w:uiPriority w:val="99"/>
    <w:semiHidden/>
    <w:locked/>
    <w:rsid w:val="00986DBA"/>
    <w:rPr>
      <w:rFonts w:ascii="Segoe UI" w:hAnsi="Segoe UI" w:cs="Segoe UI"/>
      <w:sz w:val="18"/>
      <w:szCs w:val="18"/>
    </w:rPr>
  </w:style>
  <w:style w:type="character" w:customStyle="1" w:styleId="ListparagrafCaracter">
    <w:name w:val="Listă paragraf Caracter"/>
    <w:aliases w:val="Scriptoria bullet points Caracter,HotarirePunct1 Caracter,List Paragraph 1 Caracter,Bullets Caracter,List Paragraph (numbered (a)) Caracter,Numbered Paragraph Caracter,Main numbered paragraph Caracter,Akapit z listą BS Caracter"/>
    <w:link w:val="Listparagraf"/>
    <w:uiPriority w:val="34"/>
    <w:qFormat/>
    <w:locked/>
    <w:rsid w:val="00030A38"/>
    <w:rPr>
      <w:sz w:val="22"/>
      <w:lang w:val="en-US" w:eastAsia="en-US"/>
    </w:rPr>
  </w:style>
  <w:style w:type="paragraph" w:customStyle="1" w:styleId="oj-doc-ti">
    <w:name w:val="oj-doc-ti"/>
    <w:basedOn w:val="Normal"/>
    <w:rsid w:val="008E6CF0"/>
    <w:pPr>
      <w:spacing w:before="100" w:beforeAutospacing="1" w:after="100" w:afterAutospacing="1" w:line="240" w:lineRule="auto"/>
    </w:pPr>
    <w:rPr>
      <w:rFonts w:ascii="Times New Roman" w:hAnsi="Times New Roman"/>
      <w:sz w:val="24"/>
      <w:szCs w:val="24"/>
    </w:rPr>
  </w:style>
  <w:style w:type="paragraph" w:styleId="Corptext">
    <w:name w:val="Body Text"/>
    <w:basedOn w:val="Normal"/>
    <w:link w:val="CorptextCaracter"/>
    <w:uiPriority w:val="1"/>
    <w:qFormat/>
    <w:rsid w:val="009F6FCC"/>
    <w:pPr>
      <w:widowControl w:val="0"/>
      <w:autoSpaceDE w:val="0"/>
      <w:autoSpaceDN w:val="0"/>
      <w:spacing w:after="0" w:line="240" w:lineRule="auto"/>
    </w:pPr>
    <w:rPr>
      <w:rFonts w:ascii="Verdana" w:eastAsia="Verdana" w:hAnsi="Verdana" w:cs="Verdana"/>
      <w:sz w:val="23"/>
      <w:szCs w:val="23"/>
      <w:lang w:eastAsia="en-US"/>
    </w:rPr>
  </w:style>
  <w:style w:type="character" w:customStyle="1" w:styleId="CorptextCaracter">
    <w:name w:val="Corp text Caracter"/>
    <w:link w:val="Corptext"/>
    <w:uiPriority w:val="1"/>
    <w:rsid w:val="009F6FCC"/>
    <w:rPr>
      <w:rFonts w:ascii="Verdana" w:eastAsia="Verdana" w:hAnsi="Verdana" w:cs="Verdana"/>
      <w:sz w:val="23"/>
      <w:szCs w:val="23"/>
      <w:lang w:eastAsia="en-US"/>
    </w:rPr>
  </w:style>
  <w:style w:type="character" w:styleId="Accentuat">
    <w:name w:val="Emphasis"/>
    <w:uiPriority w:val="20"/>
    <w:qFormat/>
    <w:rsid w:val="00682F59"/>
    <w:rPr>
      <w:i/>
      <w:iCs/>
    </w:rPr>
  </w:style>
  <w:style w:type="character" w:customStyle="1" w:styleId="Heading1">
    <w:name w:val="Heading #1_"/>
    <w:link w:val="Heading10"/>
    <w:rsid w:val="0099034A"/>
    <w:rPr>
      <w:rFonts w:ascii="Times New Roman" w:hAnsi="Times New Roman" w:cs="Times New Roman"/>
      <w:b/>
      <w:bCs/>
    </w:rPr>
  </w:style>
  <w:style w:type="paragraph" w:customStyle="1" w:styleId="Heading10">
    <w:name w:val="Heading #1"/>
    <w:basedOn w:val="Normal"/>
    <w:link w:val="Heading1"/>
    <w:rsid w:val="0099034A"/>
    <w:pPr>
      <w:widowControl w:val="0"/>
      <w:spacing w:after="280" w:line="276" w:lineRule="auto"/>
      <w:ind w:firstLine="460"/>
      <w:outlineLvl w:val="0"/>
    </w:pPr>
    <w:rPr>
      <w:rFonts w:ascii="Times New Roman" w:hAnsi="Times New Roman"/>
      <w:b/>
      <w:bCs/>
      <w:sz w:val="20"/>
      <w:szCs w:val="20"/>
    </w:rPr>
  </w:style>
  <w:style w:type="character" w:styleId="MeniuneNerezolvat">
    <w:name w:val="Unresolved Mention"/>
    <w:uiPriority w:val="99"/>
    <w:semiHidden/>
    <w:unhideWhenUsed/>
    <w:rsid w:val="00602F87"/>
    <w:rPr>
      <w:color w:val="605E5C"/>
      <w:shd w:val="clear" w:color="auto" w:fill="E1DFDD"/>
    </w:rPr>
  </w:style>
  <w:style w:type="paragraph" w:styleId="Revizuire">
    <w:name w:val="Revision"/>
    <w:hidden/>
    <w:uiPriority w:val="99"/>
    <w:semiHidden/>
    <w:rsid w:val="00351D8A"/>
    <w:rPr>
      <w:rFonts w:cs="Times New Roman"/>
      <w:sz w:val="22"/>
      <w:szCs w:val="22"/>
    </w:rPr>
  </w:style>
  <w:style w:type="character" w:customStyle="1" w:styleId="object">
    <w:name w:val="object"/>
    <w:rsid w:val="00043B98"/>
  </w:style>
  <w:style w:type="character" w:styleId="Referincomentariu">
    <w:name w:val="annotation reference"/>
    <w:uiPriority w:val="99"/>
    <w:semiHidden/>
    <w:unhideWhenUsed/>
    <w:rsid w:val="00FB6173"/>
    <w:rPr>
      <w:sz w:val="16"/>
      <w:szCs w:val="16"/>
    </w:rPr>
  </w:style>
  <w:style w:type="paragraph" w:styleId="Textcomentariu">
    <w:name w:val="annotation text"/>
    <w:basedOn w:val="Normal"/>
    <w:link w:val="TextcomentariuCaracter"/>
    <w:uiPriority w:val="99"/>
    <w:unhideWhenUsed/>
    <w:rsid w:val="00FB6173"/>
    <w:rPr>
      <w:sz w:val="20"/>
      <w:szCs w:val="20"/>
    </w:rPr>
  </w:style>
  <w:style w:type="character" w:customStyle="1" w:styleId="TextcomentariuCaracter">
    <w:name w:val="Text comentariu Caracter"/>
    <w:link w:val="Textcomentariu"/>
    <w:uiPriority w:val="99"/>
    <w:rsid w:val="00FB6173"/>
    <w:rPr>
      <w:rFonts w:cs="Times New Roman"/>
      <w:lang w:val="ro-RO" w:eastAsia="ro-RO"/>
    </w:rPr>
  </w:style>
  <w:style w:type="paragraph" w:styleId="SubiectComentariu">
    <w:name w:val="annotation subject"/>
    <w:basedOn w:val="Textcomentariu"/>
    <w:next w:val="Textcomentariu"/>
    <w:link w:val="SubiectComentariuCaracter"/>
    <w:uiPriority w:val="99"/>
    <w:semiHidden/>
    <w:unhideWhenUsed/>
    <w:rsid w:val="00FB6173"/>
    <w:rPr>
      <w:b/>
      <w:bCs/>
    </w:rPr>
  </w:style>
  <w:style w:type="character" w:customStyle="1" w:styleId="SubiectComentariuCaracter">
    <w:name w:val="Subiect Comentariu Caracter"/>
    <w:link w:val="SubiectComentariu"/>
    <w:uiPriority w:val="99"/>
    <w:semiHidden/>
    <w:rsid w:val="00FB6173"/>
    <w:rPr>
      <w:rFonts w:cs="Times New Roman"/>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48312">
      <w:marLeft w:val="0"/>
      <w:marRight w:val="0"/>
      <w:marTop w:val="0"/>
      <w:marBottom w:val="0"/>
      <w:divBdr>
        <w:top w:val="none" w:sz="0" w:space="0" w:color="auto"/>
        <w:left w:val="none" w:sz="0" w:space="0" w:color="auto"/>
        <w:bottom w:val="none" w:sz="0" w:space="0" w:color="auto"/>
        <w:right w:val="none" w:sz="0" w:space="0" w:color="auto"/>
      </w:divBdr>
    </w:div>
    <w:div w:id="183248313">
      <w:marLeft w:val="0"/>
      <w:marRight w:val="0"/>
      <w:marTop w:val="0"/>
      <w:marBottom w:val="0"/>
      <w:divBdr>
        <w:top w:val="none" w:sz="0" w:space="0" w:color="auto"/>
        <w:left w:val="none" w:sz="0" w:space="0" w:color="auto"/>
        <w:bottom w:val="none" w:sz="0" w:space="0" w:color="auto"/>
        <w:right w:val="none" w:sz="0" w:space="0" w:color="auto"/>
      </w:divBdr>
    </w:div>
    <w:div w:id="183248314">
      <w:marLeft w:val="0"/>
      <w:marRight w:val="0"/>
      <w:marTop w:val="0"/>
      <w:marBottom w:val="0"/>
      <w:divBdr>
        <w:top w:val="none" w:sz="0" w:space="0" w:color="auto"/>
        <w:left w:val="none" w:sz="0" w:space="0" w:color="auto"/>
        <w:bottom w:val="none" w:sz="0" w:space="0" w:color="auto"/>
        <w:right w:val="none" w:sz="0" w:space="0" w:color="auto"/>
      </w:divBdr>
    </w:div>
    <w:div w:id="183248315">
      <w:marLeft w:val="0"/>
      <w:marRight w:val="0"/>
      <w:marTop w:val="0"/>
      <w:marBottom w:val="0"/>
      <w:divBdr>
        <w:top w:val="none" w:sz="0" w:space="0" w:color="auto"/>
        <w:left w:val="none" w:sz="0" w:space="0" w:color="auto"/>
        <w:bottom w:val="none" w:sz="0" w:space="0" w:color="auto"/>
        <w:right w:val="none" w:sz="0" w:space="0" w:color="auto"/>
      </w:divBdr>
    </w:div>
    <w:div w:id="183248316">
      <w:marLeft w:val="0"/>
      <w:marRight w:val="0"/>
      <w:marTop w:val="0"/>
      <w:marBottom w:val="0"/>
      <w:divBdr>
        <w:top w:val="none" w:sz="0" w:space="0" w:color="auto"/>
        <w:left w:val="none" w:sz="0" w:space="0" w:color="auto"/>
        <w:bottom w:val="none" w:sz="0" w:space="0" w:color="auto"/>
        <w:right w:val="none" w:sz="0" w:space="0" w:color="auto"/>
      </w:divBdr>
    </w:div>
    <w:div w:id="183248317">
      <w:marLeft w:val="0"/>
      <w:marRight w:val="0"/>
      <w:marTop w:val="0"/>
      <w:marBottom w:val="0"/>
      <w:divBdr>
        <w:top w:val="none" w:sz="0" w:space="0" w:color="auto"/>
        <w:left w:val="none" w:sz="0" w:space="0" w:color="auto"/>
        <w:bottom w:val="none" w:sz="0" w:space="0" w:color="auto"/>
        <w:right w:val="none" w:sz="0" w:space="0" w:color="auto"/>
      </w:divBdr>
    </w:div>
    <w:div w:id="183248318">
      <w:marLeft w:val="0"/>
      <w:marRight w:val="0"/>
      <w:marTop w:val="0"/>
      <w:marBottom w:val="0"/>
      <w:divBdr>
        <w:top w:val="none" w:sz="0" w:space="0" w:color="auto"/>
        <w:left w:val="none" w:sz="0" w:space="0" w:color="auto"/>
        <w:bottom w:val="none" w:sz="0" w:space="0" w:color="auto"/>
        <w:right w:val="none" w:sz="0" w:space="0" w:color="auto"/>
      </w:divBdr>
    </w:div>
    <w:div w:id="183248319">
      <w:marLeft w:val="0"/>
      <w:marRight w:val="0"/>
      <w:marTop w:val="0"/>
      <w:marBottom w:val="0"/>
      <w:divBdr>
        <w:top w:val="none" w:sz="0" w:space="0" w:color="auto"/>
        <w:left w:val="none" w:sz="0" w:space="0" w:color="auto"/>
        <w:bottom w:val="none" w:sz="0" w:space="0" w:color="auto"/>
        <w:right w:val="none" w:sz="0" w:space="0" w:color="auto"/>
      </w:divBdr>
    </w:div>
    <w:div w:id="469250138">
      <w:bodyDiv w:val="1"/>
      <w:marLeft w:val="0"/>
      <w:marRight w:val="0"/>
      <w:marTop w:val="0"/>
      <w:marBottom w:val="0"/>
      <w:divBdr>
        <w:top w:val="none" w:sz="0" w:space="0" w:color="auto"/>
        <w:left w:val="none" w:sz="0" w:space="0" w:color="auto"/>
        <w:bottom w:val="none" w:sz="0" w:space="0" w:color="auto"/>
        <w:right w:val="none" w:sz="0" w:space="0" w:color="auto"/>
      </w:divBdr>
    </w:div>
    <w:div w:id="576473655">
      <w:bodyDiv w:val="1"/>
      <w:marLeft w:val="0"/>
      <w:marRight w:val="0"/>
      <w:marTop w:val="0"/>
      <w:marBottom w:val="0"/>
      <w:divBdr>
        <w:top w:val="none" w:sz="0" w:space="0" w:color="auto"/>
        <w:left w:val="none" w:sz="0" w:space="0" w:color="auto"/>
        <w:bottom w:val="none" w:sz="0" w:space="0" w:color="auto"/>
        <w:right w:val="none" w:sz="0" w:space="0" w:color="auto"/>
      </w:divBdr>
    </w:div>
    <w:div w:id="725643873">
      <w:bodyDiv w:val="1"/>
      <w:marLeft w:val="0"/>
      <w:marRight w:val="0"/>
      <w:marTop w:val="0"/>
      <w:marBottom w:val="0"/>
      <w:divBdr>
        <w:top w:val="none" w:sz="0" w:space="0" w:color="auto"/>
        <w:left w:val="none" w:sz="0" w:space="0" w:color="auto"/>
        <w:bottom w:val="none" w:sz="0" w:space="0" w:color="auto"/>
        <w:right w:val="none" w:sz="0" w:space="0" w:color="auto"/>
      </w:divBdr>
    </w:div>
    <w:div w:id="753939851">
      <w:bodyDiv w:val="1"/>
      <w:marLeft w:val="0"/>
      <w:marRight w:val="0"/>
      <w:marTop w:val="0"/>
      <w:marBottom w:val="0"/>
      <w:divBdr>
        <w:top w:val="none" w:sz="0" w:space="0" w:color="auto"/>
        <w:left w:val="none" w:sz="0" w:space="0" w:color="auto"/>
        <w:bottom w:val="none" w:sz="0" w:space="0" w:color="auto"/>
        <w:right w:val="none" w:sz="0" w:space="0" w:color="auto"/>
      </w:divBdr>
    </w:div>
    <w:div w:id="1153525012">
      <w:bodyDiv w:val="1"/>
      <w:marLeft w:val="0"/>
      <w:marRight w:val="0"/>
      <w:marTop w:val="0"/>
      <w:marBottom w:val="0"/>
      <w:divBdr>
        <w:top w:val="none" w:sz="0" w:space="0" w:color="auto"/>
        <w:left w:val="none" w:sz="0" w:space="0" w:color="auto"/>
        <w:bottom w:val="none" w:sz="0" w:space="0" w:color="auto"/>
        <w:right w:val="none" w:sz="0" w:space="0" w:color="auto"/>
      </w:divBdr>
    </w:div>
    <w:div w:id="1444956927">
      <w:bodyDiv w:val="1"/>
      <w:marLeft w:val="0"/>
      <w:marRight w:val="0"/>
      <w:marTop w:val="0"/>
      <w:marBottom w:val="0"/>
      <w:divBdr>
        <w:top w:val="none" w:sz="0" w:space="0" w:color="auto"/>
        <w:left w:val="none" w:sz="0" w:space="0" w:color="auto"/>
        <w:bottom w:val="none" w:sz="0" w:space="0" w:color="auto"/>
        <w:right w:val="none" w:sz="0" w:space="0" w:color="auto"/>
      </w:divBdr>
      <w:divsChild>
        <w:div w:id="846795162">
          <w:marLeft w:val="0"/>
          <w:marRight w:val="0"/>
          <w:marTop w:val="0"/>
          <w:marBottom w:val="0"/>
          <w:divBdr>
            <w:top w:val="none" w:sz="0" w:space="0" w:color="auto"/>
            <w:left w:val="none" w:sz="0" w:space="0" w:color="auto"/>
            <w:bottom w:val="none" w:sz="0" w:space="0" w:color="auto"/>
            <w:right w:val="none" w:sz="0" w:space="0" w:color="auto"/>
          </w:divBdr>
          <w:divsChild>
            <w:div w:id="1543135734">
              <w:marLeft w:val="0"/>
              <w:marRight w:val="0"/>
              <w:marTop w:val="0"/>
              <w:marBottom w:val="0"/>
              <w:divBdr>
                <w:top w:val="none" w:sz="0" w:space="0" w:color="auto"/>
                <w:left w:val="none" w:sz="0" w:space="0" w:color="auto"/>
                <w:bottom w:val="none" w:sz="0" w:space="0" w:color="auto"/>
                <w:right w:val="none" w:sz="0" w:space="0" w:color="auto"/>
              </w:divBdr>
            </w:div>
          </w:divsChild>
        </w:div>
        <w:div w:id="1192959851">
          <w:marLeft w:val="0"/>
          <w:marRight w:val="0"/>
          <w:marTop w:val="0"/>
          <w:marBottom w:val="0"/>
          <w:divBdr>
            <w:top w:val="none" w:sz="0" w:space="0" w:color="auto"/>
            <w:left w:val="none" w:sz="0" w:space="0" w:color="auto"/>
            <w:bottom w:val="none" w:sz="0" w:space="0" w:color="auto"/>
            <w:right w:val="none" w:sz="0" w:space="0" w:color="auto"/>
          </w:divBdr>
          <w:divsChild>
            <w:div w:id="196234119">
              <w:marLeft w:val="0"/>
              <w:marRight w:val="0"/>
              <w:marTop w:val="0"/>
              <w:marBottom w:val="0"/>
              <w:divBdr>
                <w:top w:val="none" w:sz="0" w:space="0" w:color="auto"/>
                <w:left w:val="none" w:sz="0" w:space="0" w:color="auto"/>
                <w:bottom w:val="none" w:sz="0" w:space="0" w:color="auto"/>
                <w:right w:val="none" w:sz="0" w:space="0" w:color="auto"/>
              </w:divBdr>
            </w:div>
            <w:div w:id="425461672">
              <w:marLeft w:val="0"/>
              <w:marRight w:val="0"/>
              <w:marTop w:val="0"/>
              <w:marBottom w:val="0"/>
              <w:divBdr>
                <w:top w:val="none" w:sz="0" w:space="0" w:color="auto"/>
                <w:left w:val="none" w:sz="0" w:space="0" w:color="auto"/>
                <w:bottom w:val="none" w:sz="0" w:space="0" w:color="auto"/>
                <w:right w:val="none" w:sz="0" w:space="0" w:color="auto"/>
              </w:divBdr>
            </w:div>
            <w:div w:id="19187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20ro/document%20/stages/%20anunt-privind-consultarea-publica-a-proiectului-de-hotarare-pentru-aprobarea-regulamentului-privind-procedurile-de-evaluare-a-conformitatii-ale-produselor-fertilizante/151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79BE-09C4-4603-A1C8-68C4EDF2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10568</Words>
  <Characters>61299</Characters>
  <Application>Microsoft Office Word</Application>
  <DocSecurity>0</DocSecurity>
  <Lines>510</Lines>
  <Paragraphs>143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71724</CharactersWithSpaces>
  <SharedDoc>false</SharedDoc>
  <HLinks>
    <vt:vector size="6" baseType="variant">
      <vt:variant>
        <vt:i4>2424882</vt:i4>
      </vt:variant>
      <vt:variant>
        <vt:i4>0</vt:i4>
      </vt:variant>
      <vt:variant>
        <vt:i4>0</vt:i4>
      </vt:variant>
      <vt:variant>
        <vt:i4>5</vt:i4>
      </vt:variant>
      <vt:variant>
        <vt:lpwstr>https://particip.gov.md/ ro/document /stages/ anunt-privind-consultarea-publica-a-proiectului-de-hotarare-pentru-aprobarea-regulamentului-privind-procedurile-de-evaluare-a-conformitatii-ale-produselor-fertilizante/15104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sedinte online</cp:lastModifiedBy>
  <cp:revision>2</cp:revision>
  <cp:lastPrinted>2025-11-13T07:56:00Z</cp:lastPrinted>
  <dcterms:created xsi:type="dcterms:W3CDTF">2026-02-26T13:56:00Z</dcterms:created>
  <dcterms:modified xsi:type="dcterms:W3CDTF">2026-02-26T13:56:00Z</dcterms:modified>
</cp:coreProperties>
</file>