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9B9A9" w14:textId="77777777" w:rsidR="00C264FF" w:rsidRPr="00C4754A" w:rsidRDefault="00BB3AA2">
      <w:pPr>
        <w:spacing w:before="240" w:after="240" w:line="240" w:lineRule="auto"/>
        <w:jc w:val="center"/>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NOTA DE FUNDAMENTARE</w:t>
      </w:r>
    </w:p>
    <w:p w14:paraId="77D44096" w14:textId="1FCB78DA" w:rsidR="00C264FF" w:rsidRPr="00C4754A" w:rsidRDefault="00807D98" w:rsidP="00807D98">
      <w:pPr>
        <w:pBdr>
          <w:top w:val="nil"/>
          <w:left w:val="nil"/>
          <w:bottom w:val="nil"/>
          <w:right w:val="nil"/>
          <w:between w:val="nil"/>
        </w:pBdr>
        <w:spacing w:after="0" w:line="240" w:lineRule="auto"/>
        <w:ind w:right="141"/>
        <w:jc w:val="center"/>
        <w:rPr>
          <w:rFonts w:ascii="Times New Roman" w:eastAsia="Times New Roman" w:hAnsi="Times New Roman" w:cs="Times New Roman"/>
          <w:b/>
          <w:color w:val="000000"/>
          <w:sz w:val="24"/>
          <w:szCs w:val="24"/>
          <w:lang w:val="ro-MD"/>
        </w:rPr>
      </w:pPr>
      <w:r>
        <w:rPr>
          <w:rFonts w:ascii="Times New Roman" w:eastAsia="Times New Roman" w:hAnsi="Times New Roman" w:cs="Times New Roman"/>
          <w:b/>
          <w:color w:val="000000"/>
          <w:sz w:val="24"/>
          <w:szCs w:val="24"/>
          <w:lang w:val="ro-MD"/>
        </w:rPr>
        <w:t>la proiectul</w:t>
      </w:r>
      <w:r w:rsidR="003A2C90">
        <w:rPr>
          <w:rFonts w:ascii="Times New Roman" w:eastAsia="Times New Roman" w:hAnsi="Times New Roman" w:cs="Times New Roman"/>
          <w:b/>
          <w:color w:val="000000"/>
          <w:sz w:val="24"/>
          <w:szCs w:val="24"/>
          <w:lang w:val="ro-MD"/>
        </w:rPr>
        <w:t xml:space="preserve"> de Ordin privind modificarea</w:t>
      </w:r>
      <w:r>
        <w:rPr>
          <w:rFonts w:ascii="Times New Roman" w:eastAsia="Times New Roman" w:hAnsi="Times New Roman" w:cs="Times New Roman"/>
          <w:b/>
          <w:color w:val="000000"/>
          <w:sz w:val="24"/>
          <w:szCs w:val="24"/>
          <w:lang w:val="ro-MD"/>
        </w:rPr>
        <w:t xml:space="preserve"> Regulamentului de atestare a cadrelor didactice din învățământul general, profesional tehnic și din cadrul structurilor</w:t>
      </w:r>
      <w:r w:rsidR="00F03E8F">
        <w:rPr>
          <w:rFonts w:ascii="Times New Roman" w:eastAsia="Times New Roman" w:hAnsi="Times New Roman" w:cs="Times New Roman"/>
          <w:b/>
          <w:color w:val="000000"/>
          <w:sz w:val="24"/>
          <w:szCs w:val="24"/>
          <w:lang w:val="ro-MD"/>
        </w:rPr>
        <w:t xml:space="preserve"> teritoriale</w:t>
      </w:r>
      <w:r>
        <w:rPr>
          <w:rFonts w:ascii="Times New Roman" w:eastAsia="Times New Roman" w:hAnsi="Times New Roman" w:cs="Times New Roman"/>
          <w:b/>
          <w:color w:val="000000"/>
          <w:sz w:val="24"/>
          <w:szCs w:val="24"/>
          <w:lang w:val="ro-MD"/>
        </w:rPr>
        <w:t xml:space="preserve"> de asistență psihopedagogică</w:t>
      </w:r>
      <w:r w:rsidR="003A2C90">
        <w:rPr>
          <w:rFonts w:ascii="Times New Roman" w:eastAsia="Times New Roman" w:hAnsi="Times New Roman" w:cs="Times New Roman"/>
          <w:b/>
          <w:color w:val="000000"/>
          <w:sz w:val="24"/>
          <w:szCs w:val="24"/>
          <w:lang w:val="ro-MD"/>
        </w:rPr>
        <w:t>, aprobat prin Ordinul ministrului educației, culturii și cercetării nr. 1091/2020</w:t>
      </w:r>
    </w:p>
    <w:p w14:paraId="24BEC38A" w14:textId="77777777" w:rsidR="00C264FF" w:rsidRPr="00C4754A" w:rsidRDefault="00C264FF">
      <w:pPr>
        <w:spacing w:after="0" w:line="240" w:lineRule="auto"/>
        <w:ind w:right="141"/>
        <w:jc w:val="both"/>
        <w:rPr>
          <w:rFonts w:ascii="Times New Roman" w:eastAsia="Times New Roman" w:hAnsi="Times New Roman" w:cs="Times New Roman"/>
          <w:b/>
          <w:color w:val="000000"/>
          <w:sz w:val="24"/>
          <w:szCs w:val="24"/>
          <w:highlight w:val="yellow"/>
          <w:lang w:val="ro-MD"/>
        </w:rPr>
      </w:pPr>
    </w:p>
    <w:tbl>
      <w:tblPr>
        <w:tblStyle w:val="a"/>
        <w:tblW w:w="10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264FF" w:rsidRPr="00C4754A" w14:paraId="18B03B9A" w14:textId="77777777" w:rsidTr="00EB750B">
        <w:trPr>
          <w:trHeight w:val="194"/>
        </w:trPr>
        <w:tc>
          <w:tcPr>
            <w:tcW w:w="10170" w:type="dxa"/>
            <w:shd w:val="clear" w:color="auto" w:fill="3D85C6"/>
            <w:vAlign w:val="center"/>
          </w:tcPr>
          <w:p w14:paraId="45604126" w14:textId="77777777" w:rsidR="00C264FF" w:rsidRPr="00C4754A" w:rsidRDefault="00BB3AA2" w:rsidP="0025532F">
            <w:pPr>
              <w:spacing w:after="0" w:line="240" w:lineRule="auto"/>
              <w:ind w:right="141"/>
              <w:rPr>
                <w:rFonts w:ascii="Times New Roman" w:eastAsia="Times New Roman" w:hAnsi="Times New Roman" w:cs="Times New Roman"/>
                <w:sz w:val="24"/>
                <w:szCs w:val="24"/>
                <w:highlight w:val="yellow"/>
                <w:lang w:val="ro-MD"/>
              </w:rPr>
            </w:pPr>
            <w:r w:rsidRPr="00C4754A">
              <w:rPr>
                <w:rFonts w:ascii="Times New Roman" w:eastAsia="Times New Roman" w:hAnsi="Times New Roman" w:cs="Times New Roman"/>
                <w:b/>
                <w:sz w:val="24"/>
                <w:szCs w:val="24"/>
                <w:lang w:val="ro-MD"/>
              </w:rPr>
              <w:t>1. Denumirea sau numele autorului și, după caz, a/al participanților la elaborarea proiectului actului normativ</w:t>
            </w:r>
          </w:p>
        </w:tc>
      </w:tr>
      <w:tr w:rsidR="00C264FF" w:rsidRPr="00C4754A" w14:paraId="4DD7EDC3" w14:textId="77777777" w:rsidTr="00EB750B">
        <w:trPr>
          <w:trHeight w:val="1"/>
        </w:trPr>
        <w:tc>
          <w:tcPr>
            <w:tcW w:w="10170" w:type="dxa"/>
            <w:shd w:val="clear" w:color="auto" w:fill="FFFFFF"/>
          </w:tcPr>
          <w:p w14:paraId="3BEB52E5" w14:textId="74F56D1B" w:rsidR="00C264FF" w:rsidRPr="00C4754A" w:rsidRDefault="00807D98" w:rsidP="00006CEC">
            <w:pPr>
              <w:pBdr>
                <w:top w:val="nil"/>
                <w:left w:val="nil"/>
                <w:bottom w:val="nil"/>
                <w:right w:val="nil"/>
                <w:between w:val="nil"/>
              </w:pBdr>
              <w:spacing w:after="0" w:line="276" w:lineRule="auto"/>
              <w:ind w:firstLine="554"/>
              <w:jc w:val="both"/>
              <w:rPr>
                <w:rFonts w:ascii="Times New Roman" w:eastAsia="Times New Roman" w:hAnsi="Times New Roman" w:cs="Times New Roman"/>
                <w:color w:val="000000"/>
                <w:sz w:val="24"/>
                <w:szCs w:val="24"/>
                <w:highlight w:val="yellow"/>
                <w:lang w:val="ro-MD"/>
              </w:rPr>
            </w:pPr>
            <w:r>
              <w:rPr>
                <w:rFonts w:ascii="Times New Roman" w:eastAsia="Times New Roman" w:hAnsi="Times New Roman" w:cs="Times New Roman"/>
                <w:color w:val="000000"/>
                <w:sz w:val="24"/>
                <w:szCs w:val="24"/>
                <w:lang w:val="ro-MD"/>
              </w:rPr>
              <w:t>Prezentul proiect a</w:t>
            </w:r>
            <w:r w:rsidR="00EB2FC7">
              <w:rPr>
                <w:rFonts w:ascii="Times New Roman" w:eastAsia="Times New Roman" w:hAnsi="Times New Roman" w:cs="Times New Roman"/>
                <w:color w:val="000000"/>
                <w:sz w:val="24"/>
                <w:szCs w:val="24"/>
                <w:lang w:val="ro-MD"/>
              </w:rPr>
              <w:t>l</w:t>
            </w:r>
            <w:r>
              <w:rPr>
                <w:rFonts w:ascii="Times New Roman" w:eastAsia="Times New Roman" w:hAnsi="Times New Roman" w:cs="Times New Roman"/>
                <w:color w:val="000000"/>
                <w:sz w:val="24"/>
                <w:szCs w:val="24"/>
                <w:lang w:val="ro-MD"/>
              </w:rPr>
              <w:t xml:space="preserve"> </w:t>
            </w:r>
            <w:r w:rsidR="003A2C90">
              <w:rPr>
                <w:rFonts w:ascii="Times New Roman" w:eastAsia="Times New Roman" w:hAnsi="Times New Roman" w:cs="Times New Roman"/>
                <w:color w:val="000000"/>
                <w:sz w:val="24"/>
                <w:szCs w:val="24"/>
                <w:lang w:val="ro-MD"/>
              </w:rPr>
              <w:t xml:space="preserve">Ordinului privind modificarea </w:t>
            </w:r>
            <w:r>
              <w:rPr>
                <w:rFonts w:ascii="Times New Roman" w:eastAsia="Times New Roman" w:hAnsi="Times New Roman" w:cs="Times New Roman"/>
                <w:color w:val="000000"/>
                <w:sz w:val="24"/>
                <w:szCs w:val="24"/>
                <w:lang w:val="ro-MD"/>
              </w:rPr>
              <w:t xml:space="preserve">Regulamentului de atestare a cadrelor didactice din învățământul general, profesional tehnic și din cadrul structurilor </w:t>
            </w:r>
            <w:r w:rsidR="00F03E8F">
              <w:rPr>
                <w:rFonts w:ascii="Times New Roman" w:eastAsia="Times New Roman" w:hAnsi="Times New Roman" w:cs="Times New Roman"/>
                <w:color w:val="000000"/>
                <w:sz w:val="24"/>
                <w:szCs w:val="24"/>
                <w:lang w:val="ro-MD"/>
              </w:rPr>
              <w:t xml:space="preserve">teritoriale </w:t>
            </w:r>
            <w:r>
              <w:rPr>
                <w:rFonts w:ascii="Times New Roman" w:eastAsia="Times New Roman" w:hAnsi="Times New Roman" w:cs="Times New Roman"/>
                <w:color w:val="000000"/>
                <w:sz w:val="24"/>
                <w:szCs w:val="24"/>
                <w:lang w:val="ro-MD"/>
              </w:rPr>
              <w:t>de asistență psihopedagogică</w:t>
            </w:r>
            <w:r w:rsidR="003A2C90">
              <w:rPr>
                <w:rFonts w:ascii="Times New Roman" w:eastAsia="Times New Roman" w:hAnsi="Times New Roman" w:cs="Times New Roman"/>
                <w:color w:val="000000"/>
                <w:sz w:val="24"/>
                <w:szCs w:val="24"/>
                <w:lang w:val="ro-MD"/>
              </w:rPr>
              <w:t>, aprobat prin Ordinul ministrului educației, culturii și cercetării nr. 1091/2020</w:t>
            </w:r>
            <w:r>
              <w:rPr>
                <w:rFonts w:ascii="Times New Roman" w:eastAsia="Times New Roman" w:hAnsi="Times New Roman" w:cs="Times New Roman"/>
                <w:color w:val="000000"/>
                <w:sz w:val="24"/>
                <w:szCs w:val="24"/>
                <w:lang w:val="ro-MD"/>
              </w:rPr>
              <w:t xml:space="preserve"> </w:t>
            </w:r>
            <w:r w:rsidR="00BB3AA2" w:rsidRPr="00C4754A">
              <w:rPr>
                <w:rFonts w:ascii="Times New Roman" w:eastAsia="Times New Roman" w:hAnsi="Times New Roman" w:cs="Times New Roman"/>
                <w:color w:val="000000"/>
                <w:sz w:val="24"/>
                <w:szCs w:val="24"/>
                <w:lang w:val="ro-MD"/>
              </w:rPr>
              <w:t>este elaborat de către Ministerul Educației</w:t>
            </w:r>
            <w:r>
              <w:rPr>
                <w:rFonts w:ascii="Times New Roman" w:eastAsia="Times New Roman" w:hAnsi="Times New Roman" w:cs="Times New Roman"/>
                <w:color w:val="000000"/>
                <w:sz w:val="24"/>
                <w:szCs w:val="24"/>
                <w:lang w:val="ro-MD"/>
              </w:rPr>
              <w:t xml:space="preserve"> și Cercetării.</w:t>
            </w:r>
          </w:p>
        </w:tc>
      </w:tr>
      <w:tr w:rsidR="00C264FF" w:rsidRPr="00C4754A" w14:paraId="1494B8C4" w14:textId="77777777" w:rsidTr="00EB750B">
        <w:trPr>
          <w:trHeight w:val="132"/>
        </w:trPr>
        <w:tc>
          <w:tcPr>
            <w:tcW w:w="10170" w:type="dxa"/>
            <w:shd w:val="clear" w:color="auto" w:fill="3D85C6"/>
            <w:vAlign w:val="center"/>
          </w:tcPr>
          <w:p w14:paraId="6FC9321F"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 Condițiile ce au impus elaborarea proiectului actului normativ</w:t>
            </w:r>
          </w:p>
        </w:tc>
      </w:tr>
      <w:tr w:rsidR="00C264FF" w:rsidRPr="00C4754A" w14:paraId="7347F76F" w14:textId="77777777" w:rsidTr="00EB750B">
        <w:trPr>
          <w:trHeight w:val="132"/>
        </w:trPr>
        <w:tc>
          <w:tcPr>
            <w:tcW w:w="10170" w:type="dxa"/>
            <w:shd w:val="clear" w:color="auto" w:fill="DEEBF6"/>
            <w:vAlign w:val="center"/>
          </w:tcPr>
          <w:p w14:paraId="2880E117"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2.1. Temeiul legal sau, după caz, sursa proiectului actului normativ</w:t>
            </w:r>
          </w:p>
        </w:tc>
      </w:tr>
      <w:tr w:rsidR="00C264FF" w:rsidRPr="00C4754A" w14:paraId="7475F5F4" w14:textId="77777777" w:rsidTr="00EB750B">
        <w:trPr>
          <w:trHeight w:val="132"/>
        </w:trPr>
        <w:tc>
          <w:tcPr>
            <w:tcW w:w="10170" w:type="dxa"/>
            <w:vAlign w:val="center"/>
          </w:tcPr>
          <w:p w14:paraId="639A592D" w14:textId="3F7ABAD5" w:rsidR="003D7177" w:rsidRPr="00D13508" w:rsidRDefault="00187E64" w:rsidP="00006CEC">
            <w:pPr>
              <w:pStyle w:val="Titlu4"/>
              <w:shd w:val="clear" w:color="auto" w:fill="FFFFFF"/>
              <w:spacing w:before="0" w:beforeAutospacing="0" w:after="0" w:afterAutospacing="0" w:line="276" w:lineRule="auto"/>
              <w:ind w:firstLine="554"/>
              <w:jc w:val="both"/>
              <w:rPr>
                <w:b w:val="0"/>
                <w:bCs w:val="0"/>
                <w:color w:val="000000"/>
                <w:lang w:val="ro-MD"/>
              </w:rPr>
            </w:pPr>
            <w:r w:rsidRPr="00D13508">
              <w:rPr>
                <w:b w:val="0"/>
                <w:bCs w:val="0"/>
                <w:color w:val="000000"/>
                <w:lang w:val="ro-MD"/>
              </w:rPr>
              <w:t>Modificarea Regulamentului de atestare a cadrelor didactice din învățământul general, profesional tehnic și din cadrul structurilor teritoriale de asistență psihopedagogică</w:t>
            </w:r>
            <w:r w:rsidR="0034177E">
              <w:rPr>
                <w:b w:val="0"/>
                <w:bCs w:val="0"/>
                <w:color w:val="000000"/>
                <w:lang w:val="ro-MD"/>
              </w:rPr>
              <w:t xml:space="preserve"> (</w:t>
            </w:r>
            <w:r w:rsidR="0034177E" w:rsidRPr="00981F9C">
              <w:rPr>
                <w:b w:val="0"/>
                <w:bCs w:val="0"/>
                <w:i/>
                <w:color w:val="000000"/>
                <w:lang w:val="ro-MD"/>
              </w:rPr>
              <w:t>în continuare Regulament</w:t>
            </w:r>
            <w:r w:rsidR="0034177E">
              <w:rPr>
                <w:b w:val="0"/>
                <w:bCs w:val="0"/>
                <w:color w:val="000000"/>
                <w:lang w:val="ro-MD"/>
              </w:rPr>
              <w:t>)</w:t>
            </w:r>
            <w:r w:rsidRPr="00D13508">
              <w:rPr>
                <w:b w:val="0"/>
                <w:bCs w:val="0"/>
                <w:color w:val="000000"/>
                <w:lang w:val="ro-MD"/>
              </w:rPr>
              <w:t xml:space="preserve"> </w:t>
            </w:r>
            <w:r w:rsidR="003D7177" w:rsidRPr="003D7177">
              <w:rPr>
                <w:b w:val="0"/>
                <w:bCs w:val="0"/>
                <w:color w:val="000000"/>
                <w:lang w:val="ro-MD"/>
              </w:rPr>
              <w:t xml:space="preserve">este determinată de necesitatea punerii în aplicare a prevederilor </w:t>
            </w:r>
            <w:r w:rsidR="00DD554A">
              <w:rPr>
                <w:b w:val="0"/>
                <w:bCs w:val="0"/>
                <w:color w:val="000000"/>
                <w:lang w:val="ro-MD"/>
              </w:rPr>
              <w:t xml:space="preserve">art. 131 </w:t>
            </w:r>
            <w:r w:rsidR="00DD554A" w:rsidRPr="003D7177">
              <w:rPr>
                <w:b w:val="0"/>
                <w:bCs w:val="0"/>
                <w:color w:val="000000"/>
                <w:lang w:val="ro-MD"/>
              </w:rPr>
              <w:t>al</w:t>
            </w:r>
            <w:r w:rsidR="00DD554A">
              <w:rPr>
                <w:b w:val="0"/>
                <w:bCs w:val="0"/>
                <w:color w:val="000000"/>
                <w:lang w:val="ro-MD"/>
              </w:rPr>
              <w:t>in. (3</w:t>
            </w:r>
            <w:r w:rsidR="00DD554A" w:rsidRPr="003D7177">
              <w:rPr>
                <w:b w:val="0"/>
                <w:bCs w:val="0"/>
                <w:color w:val="000000"/>
                <w:lang w:val="ro-MD"/>
              </w:rPr>
              <w:t xml:space="preserve">) </w:t>
            </w:r>
            <w:r w:rsidR="00DD554A">
              <w:rPr>
                <w:b w:val="0"/>
                <w:bCs w:val="0"/>
                <w:color w:val="000000"/>
                <w:lang w:val="ro-MD"/>
              </w:rPr>
              <w:t xml:space="preserve">și </w:t>
            </w:r>
            <w:r w:rsidR="003D7177" w:rsidRPr="003D7177">
              <w:rPr>
                <w:b w:val="0"/>
                <w:bCs w:val="0"/>
                <w:color w:val="000000"/>
                <w:lang w:val="ro-MD"/>
              </w:rPr>
              <w:t>art. 132 alin. (1) lit. d) din Codul educației al Republicii Moldova nr. 152/2014.</w:t>
            </w:r>
          </w:p>
          <w:p w14:paraId="3C571964" w14:textId="2E146D33" w:rsidR="00261806" w:rsidRPr="00D13508" w:rsidRDefault="00261806" w:rsidP="00006CEC">
            <w:pPr>
              <w:pStyle w:val="Titlu4"/>
              <w:shd w:val="clear" w:color="auto" w:fill="FFFFFF"/>
              <w:spacing w:before="0" w:beforeAutospacing="0" w:after="0" w:afterAutospacing="0" w:line="276" w:lineRule="auto"/>
              <w:ind w:firstLine="412"/>
              <w:jc w:val="both"/>
              <w:rPr>
                <w:rFonts w:ascii="PT Serif" w:hAnsi="PT Serif"/>
                <w:b w:val="0"/>
                <w:bCs w:val="0"/>
                <w:color w:val="333333"/>
              </w:rPr>
            </w:pPr>
          </w:p>
        </w:tc>
      </w:tr>
      <w:tr w:rsidR="00C264FF" w:rsidRPr="00C4754A" w14:paraId="28B9810B" w14:textId="77777777" w:rsidTr="00EB750B">
        <w:trPr>
          <w:trHeight w:val="132"/>
        </w:trPr>
        <w:tc>
          <w:tcPr>
            <w:tcW w:w="10170" w:type="dxa"/>
            <w:shd w:val="clear" w:color="auto" w:fill="DEEBF6"/>
            <w:vAlign w:val="center"/>
          </w:tcPr>
          <w:p w14:paraId="6C698FAB"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2.2. Descrierea situației actuale și a problemelor care impun intervenția, inclusiv a cadrului normativ aplicabil și a deficiențelor/lacunelor normative</w:t>
            </w:r>
          </w:p>
        </w:tc>
      </w:tr>
      <w:tr w:rsidR="00C264FF" w:rsidRPr="00C4754A" w14:paraId="6F0D0E4F" w14:textId="77777777" w:rsidTr="00EB750B">
        <w:trPr>
          <w:trHeight w:val="1"/>
        </w:trPr>
        <w:tc>
          <w:tcPr>
            <w:tcW w:w="10170" w:type="dxa"/>
            <w:shd w:val="clear" w:color="auto" w:fill="FFFFFF"/>
          </w:tcPr>
          <w:p w14:paraId="5DE9A66D" w14:textId="77777777" w:rsidR="00E71776" w:rsidRPr="00E71776"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r w:rsidRPr="00E71776">
              <w:rPr>
                <w:rFonts w:ascii="Times New Roman" w:eastAsia="Times New Roman" w:hAnsi="Times New Roman" w:cs="Times New Roman"/>
                <w:sz w:val="24"/>
                <w:szCs w:val="24"/>
                <w:lang w:val="ro-MD"/>
              </w:rPr>
              <w:t>Deficitul de cadre didactice și necesitatea menținerii acestora în sistemul educațional constituie o problemă majoră, care impune adoptarea unor măsuri de stimulare profesională și de reducere a sarcinilor administrative excesive.</w:t>
            </w:r>
          </w:p>
          <w:p w14:paraId="64C08929" w14:textId="77777777" w:rsidR="00E71776" w:rsidRPr="00E71776"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r w:rsidRPr="00E71776">
              <w:rPr>
                <w:rFonts w:ascii="Times New Roman" w:eastAsia="Times New Roman" w:hAnsi="Times New Roman" w:cs="Times New Roman"/>
                <w:sz w:val="24"/>
                <w:szCs w:val="24"/>
                <w:lang w:val="ro-MD"/>
              </w:rPr>
              <w:t>Procesul de atestare reprezintă un instrument important de dezvoltare profesională și de avansare în cariera didactică, contribuind la creșterea prestigiului profesiei și la motivarea cadrelor didactice.</w:t>
            </w:r>
          </w:p>
          <w:p w14:paraId="3DCE2A08" w14:textId="77777777" w:rsidR="00E71776" w:rsidRPr="00E71776"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r w:rsidRPr="00E71776">
              <w:rPr>
                <w:rFonts w:ascii="Times New Roman" w:eastAsia="Times New Roman" w:hAnsi="Times New Roman" w:cs="Times New Roman"/>
                <w:sz w:val="24"/>
                <w:szCs w:val="24"/>
                <w:lang w:val="ro-MD"/>
              </w:rPr>
              <w:t xml:space="preserve">Potrivit art. 132 alin. (1) lit. d) din Codul educației nr. 152/2014, cerințele minime de calificare pentru ocuparea funcțiilor didactice în învățământul profesional tehnic presupun deținerea unei calificări de cel puțin nivelul 5 ISCED pentru învățământul profesional tehnic </w:t>
            </w:r>
            <w:proofErr w:type="spellStart"/>
            <w:r w:rsidRPr="00E71776">
              <w:rPr>
                <w:rFonts w:ascii="Times New Roman" w:eastAsia="Times New Roman" w:hAnsi="Times New Roman" w:cs="Times New Roman"/>
                <w:sz w:val="24"/>
                <w:szCs w:val="24"/>
                <w:lang w:val="ro-MD"/>
              </w:rPr>
              <w:t>postsecundar</w:t>
            </w:r>
            <w:proofErr w:type="spellEnd"/>
            <w:r w:rsidRPr="00E71776">
              <w:rPr>
                <w:rFonts w:ascii="Times New Roman" w:eastAsia="Times New Roman" w:hAnsi="Times New Roman" w:cs="Times New Roman"/>
                <w:sz w:val="24"/>
                <w:szCs w:val="24"/>
                <w:lang w:val="ro-MD"/>
              </w:rPr>
              <w:t xml:space="preserve"> </w:t>
            </w:r>
            <w:proofErr w:type="spellStart"/>
            <w:r w:rsidRPr="00E71776">
              <w:rPr>
                <w:rFonts w:ascii="Times New Roman" w:eastAsia="Times New Roman" w:hAnsi="Times New Roman" w:cs="Times New Roman"/>
                <w:sz w:val="24"/>
                <w:szCs w:val="24"/>
                <w:lang w:val="ro-MD"/>
              </w:rPr>
              <w:t>nonterțiar</w:t>
            </w:r>
            <w:proofErr w:type="spellEnd"/>
            <w:r w:rsidRPr="00E71776">
              <w:rPr>
                <w:rFonts w:ascii="Times New Roman" w:eastAsia="Times New Roman" w:hAnsi="Times New Roman" w:cs="Times New Roman"/>
                <w:sz w:val="24"/>
                <w:szCs w:val="24"/>
                <w:lang w:val="ro-MD"/>
              </w:rPr>
              <w:t>, în programe de profil, cu excepția maiștrilor-instructori.</w:t>
            </w:r>
          </w:p>
          <w:p w14:paraId="18C9F198" w14:textId="77777777" w:rsidR="00E71776" w:rsidRPr="00E71776"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r w:rsidRPr="00E71776">
              <w:rPr>
                <w:rFonts w:ascii="Times New Roman" w:eastAsia="Times New Roman" w:hAnsi="Times New Roman" w:cs="Times New Roman"/>
                <w:sz w:val="24"/>
                <w:szCs w:val="24"/>
                <w:lang w:val="ro-MD"/>
              </w:rPr>
              <w:t>Întrucât această prevedere nu impune obligativitatea deținerii nivelului 5 ISCED pentru ocuparea funcției de maistru-instructor, se impune asigurarea respectării principiului egalității șanselor de afirmare profesională, prin oferirea posibilității tuturor cadrelor didactice, inclusiv maiștrilor-instructori, de a solicita conferirea gradelor didactice.</w:t>
            </w:r>
          </w:p>
          <w:p w14:paraId="1887FEFE" w14:textId="77777777" w:rsidR="00E71776" w:rsidRPr="00E71776"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r w:rsidRPr="00E71776">
              <w:rPr>
                <w:rFonts w:ascii="Times New Roman" w:eastAsia="Times New Roman" w:hAnsi="Times New Roman" w:cs="Times New Roman"/>
                <w:sz w:val="24"/>
                <w:szCs w:val="24"/>
                <w:lang w:val="ro-MD"/>
              </w:rPr>
              <w:t>Totodată, Regulamentul în vigoare prevede confirmarea periodică, la fiecare 5 ani, a gradelor didactice doi și unu. Aplicarea acestor prevederi a demonstrat că reconfirmarea repetată, în lipsa unor modificări esențiale în statutul profesional sau în performanța cadrului didactic, generează un volum excesiv de sarcini administrative, fără un impact proporțional asupra calității procesului educațional.</w:t>
            </w:r>
          </w:p>
          <w:p w14:paraId="331D824D" w14:textId="77777777" w:rsidR="00E71776" w:rsidRPr="00E71776"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r w:rsidRPr="00E71776">
              <w:rPr>
                <w:rFonts w:ascii="Times New Roman" w:eastAsia="Times New Roman" w:hAnsi="Times New Roman" w:cs="Times New Roman"/>
                <w:sz w:val="24"/>
                <w:szCs w:val="24"/>
                <w:lang w:val="ro-MD"/>
              </w:rPr>
              <w:t>În cazul gradului didactic doi, competențele profesionale sunt deja validate prin două confirmări consecutive. Menținerea obligației de reconfirmare ulterioară conduce la repetarea unor proceduri fără valoare adăugată, atât pentru cadrele didactice, cât și pentru structurile administrative implicate.</w:t>
            </w:r>
          </w:p>
          <w:p w14:paraId="76C8B54E" w14:textId="77777777" w:rsidR="00E71776" w:rsidRPr="00E71776"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r w:rsidRPr="00E71776">
              <w:rPr>
                <w:rFonts w:ascii="Times New Roman" w:eastAsia="Times New Roman" w:hAnsi="Times New Roman" w:cs="Times New Roman"/>
                <w:sz w:val="24"/>
                <w:szCs w:val="24"/>
                <w:lang w:val="ro-MD"/>
              </w:rPr>
              <w:t>În mod similar, gradul didactic unu reprezintă un nivel avansat de calificare profesională, obținut în urma unui proces riguros de evaluare. Confirmarea acestui grad o singură dată este suficientă pentru a certifica menținerea competențelor profesionale la un nivel corespunzător. Reconfirmările ulterioare nu aduc elemente suplimentare relevante din perspectiva evaluării profesionale, ci sporesc povara administrativă.</w:t>
            </w:r>
          </w:p>
          <w:p w14:paraId="5E807B11" w14:textId="77777777" w:rsidR="00BF262A"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r w:rsidRPr="00E71776">
              <w:rPr>
                <w:rFonts w:ascii="Times New Roman" w:eastAsia="Times New Roman" w:hAnsi="Times New Roman" w:cs="Times New Roman"/>
                <w:sz w:val="24"/>
                <w:szCs w:val="24"/>
                <w:lang w:val="ro-MD"/>
              </w:rPr>
              <w:lastRenderedPageBreak/>
              <w:t>De asemenea, reducerea numărului de credite profesionale acumulate în perioada premergătoare atestării, în conformitate cu Harta creditară și metodologia de cuantificare, acumulare și recunoaștere a creditelor profesionale, va contribui la simplificarea și eficientizarea procesului de atestare.</w:t>
            </w:r>
          </w:p>
          <w:p w14:paraId="073A9FB1" w14:textId="19F4C6EF" w:rsidR="00E71776" w:rsidRPr="00C4754A" w:rsidRDefault="00E71776" w:rsidP="00006CEC">
            <w:pPr>
              <w:pBdr>
                <w:top w:val="nil"/>
                <w:left w:val="nil"/>
                <w:bottom w:val="nil"/>
                <w:right w:val="nil"/>
                <w:between w:val="nil"/>
              </w:pBdr>
              <w:shd w:val="clear" w:color="auto" w:fill="FFFFFF"/>
              <w:spacing w:after="0" w:line="276" w:lineRule="auto"/>
              <w:ind w:firstLine="460"/>
              <w:jc w:val="both"/>
              <w:rPr>
                <w:rFonts w:ascii="Times New Roman" w:eastAsia="Times New Roman" w:hAnsi="Times New Roman" w:cs="Times New Roman"/>
                <w:sz w:val="24"/>
                <w:szCs w:val="24"/>
                <w:lang w:val="ro-MD"/>
              </w:rPr>
            </w:pPr>
          </w:p>
        </w:tc>
      </w:tr>
      <w:tr w:rsidR="00C264FF" w:rsidRPr="00C4754A" w14:paraId="657BBA88" w14:textId="77777777" w:rsidTr="00EB750B">
        <w:trPr>
          <w:trHeight w:val="1"/>
        </w:trPr>
        <w:tc>
          <w:tcPr>
            <w:tcW w:w="10170" w:type="dxa"/>
            <w:shd w:val="clear" w:color="auto" w:fill="3D85C6"/>
          </w:tcPr>
          <w:p w14:paraId="62EAD1B3" w14:textId="77777777"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lastRenderedPageBreak/>
              <w:t xml:space="preserve">3. </w:t>
            </w:r>
            <w:r w:rsidRPr="00C4754A">
              <w:rPr>
                <w:rFonts w:ascii="Times New Roman" w:eastAsia="Times New Roman" w:hAnsi="Times New Roman" w:cs="Times New Roman"/>
                <w:b/>
                <w:sz w:val="24"/>
                <w:szCs w:val="24"/>
                <w:lang w:val="ro-MD"/>
              </w:rPr>
              <w:t>Obiectivele urmărite și soluțiile propuse</w:t>
            </w:r>
          </w:p>
        </w:tc>
      </w:tr>
      <w:tr w:rsidR="00C264FF" w:rsidRPr="00AA6018" w14:paraId="37079A82" w14:textId="77777777" w:rsidTr="00EB750B">
        <w:trPr>
          <w:trHeight w:val="1"/>
        </w:trPr>
        <w:tc>
          <w:tcPr>
            <w:tcW w:w="10170" w:type="dxa"/>
            <w:shd w:val="clear" w:color="auto" w:fill="A4C2F4"/>
          </w:tcPr>
          <w:p w14:paraId="56AFF2EF" w14:textId="77777777" w:rsidR="00C264FF" w:rsidRPr="00AA6018" w:rsidRDefault="00BB3AA2" w:rsidP="007F3A9B">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lang w:val="ro-MD"/>
              </w:rPr>
            </w:pPr>
            <w:r w:rsidRPr="00AA6018">
              <w:rPr>
                <w:rFonts w:ascii="Times New Roman" w:eastAsia="Times New Roman" w:hAnsi="Times New Roman" w:cs="Times New Roman"/>
                <w:sz w:val="24"/>
                <w:szCs w:val="24"/>
                <w:lang w:val="ro-MD"/>
              </w:rPr>
              <w:t>3.1. Principalele prevederi ale proiectului și evidențierea elementelor noi</w:t>
            </w:r>
          </w:p>
        </w:tc>
      </w:tr>
      <w:tr w:rsidR="00C264FF" w:rsidRPr="00C4754A" w14:paraId="60DCF016" w14:textId="77777777" w:rsidTr="00EB750B">
        <w:trPr>
          <w:trHeight w:val="1"/>
        </w:trPr>
        <w:tc>
          <w:tcPr>
            <w:tcW w:w="10170" w:type="dxa"/>
          </w:tcPr>
          <w:p w14:paraId="6FE53C96" w14:textId="006C240B" w:rsidR="00B2298C" w:rsidRPr="00B2298C" w:rsidRDefault="006643E7" w:rsidP="004F55C0">
            <w:pPr>
              <w:pStyle w:val="Titlu4"/>
              <w:shd w:val="clear" w:color="auto" w:fill="FFFFFF"/>
              <w:spacing w:before="0" w:beforeAutospacing="0" w:after="0" w:afterAutospacing="0" w:line="276" w:lineRule="auto"/>
              <w:ind w:firstLine="554"/>
              <w:jc w:val="both"/>
              <w:rPr>
                <w:b w:val="0"/>
                <w:bCs w:val="0"/>
                <w:lang w:val="ro-MD"/>
              </w:rPr>
            </w:pPr>
            <w:r w:rsidRPr="00FC0361">
              <w:rPr>
                <w:b w:val="0"/>
                <w:bCs w:val="0"/>
                <w:lang w:val="ro-MD"/>
              </w:rPr>
              <w:t xml:space="preserve">Proiectul </w:t>
            </w:r>
            <w:r w:rsidR="00167854">
              <w:rPr>
                <w:b w:val="0"/>
                <w:bCs w:val="0"/>
                <w:lang w:val="ro-MD"/>
              </w:rPr>
              <w:t xml:space="preserve">ordinului </w:t>
            </w:r>
            <w:r w:rsidRPr="00FC0361">
              <w:rPr>
                <w:b w:val="0"/>
                <w:bCs w:val="0"/>
                <w:lang w:val="ro-MD"/>
              </w:rPr>
              <w:t xml:space="preserve"> </w:t>
            </w:r>
            <w:r w:rsidR="00B2298C" w:rsidRPr="00B2298C">
              <w:rPr>
                <w:b w:val="0"/>
                <w:bCs w:val="0"/>
                <w:lang w:val="ro-MD"/>
              </w:rPr>
              <w:t>are drept scop:</w:t>
            </w:r>
          </w:p>
          <w:p w14:paraId="17356F00" w14:textId="7664E8C5" w:rsidR="00B2298C" w:rsidRPr="00B2298C"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motivarea cadrelor didactice pentru avansarea în ierarhia gradelor didactice;</w:t>
            </w:r>
          </w:p>
          <w:p w14:paraId="5009D2E9" w14:textId="5205F6C1" w:rsidR="00B2298C" w:rsidRPr="00B2298C"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susținerea dezvoltării profesionale;</w:t>
            </w:r>
          </w:p>
          <w:p w14:paraId="5B149CE7" w14:textId="2328A6C2" w:rsidR="00B2298C" w:rsidRPr="00B2298C"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debirocratizarea procesului de atestare.</w:t>
            </w:r>
          </w:p>
          <w:p w14:paraId="40D43956" w14:textId="77777777" w:rsidR="00B2298C" w:rsidRPr="00B2298C" w:rsidRDefault="00B2298C" w:rsidP="004F55C0">
            <w:pPr>
              <w:pStyle w:val="Titlu4"/>
              <w:shd w:val="clear" w:color="auto" w:fill="FFFFFF"/>
              <w:spacing w:before="0" w:beforeAutospacing="0" w:after="0" w:afterAutospacing="0" w:line="276" w:lineRule="auto"/>
              <w:ind w:firstLine="554"/>
              <w:jc w:val="both"/>
              <w:rPr>
                <w:b w:val="0"/>
                <w:bCs w:val="0"/>
                <w:lang w:val="ro-MD"/>
              </w:rPr>
            </w:pPr>
          </w:p>
          <w:p w14:paraId="28A875E8" w14:textId="77777777" w:rsidR="00B2298C" w:rsidRPr="00B2298C" w:rsidRDefault="00B2298C" w:rsidP="004F55C0">
            <w:pPr>
              <w:pStyle w:val="Titlu4"/>
              <w:shd w:val="clear" w:color="auto" w:fill="FFFFFF"/>
              <w:spacing w:before="0" w:beforeAutospacing="0" w:after="0" w:afterAutospacing="0" w:line="276" w:lineRule="auto"/>
              <w:ind w:firstLine="554"/>
              <w:jc w:val="both"/>
              <w:rPr>
                <w:b w:val="0"/>
                <w:bCs w:val="0"/>
                <w:lang w:val="ro-MD"/>
              </w:rPr>
            </w:pPr>
            <w:r w:rsidRPr="00B2298C">
              <w:rPr>
                <w:b w:val="0"/>
                <w:bCs w:val="0"/>
                <w:lang w:val="ro-MD"/>
              </w:rPr>
              <w:t>Principalele elemente de noutate sunt:</w:t>
            </w:r>
          </w:p>
          <w:p w14:paraId="661AD859" w14:textId="7340DBEC" w:rsidR="00B2298C" w:rsidRPr="00020A8F"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instituirea menținerii pe perioadă nedeterminată, fără confirmări ulterioare, a gradelor didactice doi, unu și superior;</w:t>
            </w:r>
          </w:p>
          <w:p w14:paraId="2EEACCAA" w14:textId="1D8C0D81" w:rsidR="00B2298C" w:rsidRPr="00B2298C"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acordarea posibilității maiștrilor-instructori din instituțiile de învățământ profesional tehnic, inclusiv celor cu studii profesional-tehnice secundare, de a solicita conferirea gradelor didactice;</w:t>
            </w:r>
          </w:p>
          <w:p w14:paraId="0702842D" w14:textId="4E6B5F29" w:rsidR="00B2298C" w:rsidRPr="00B2298C"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revizuirea și simplificarea hărții creditare și a fișei de atestare, prin limitarea acestora la activitățile relevante și oblig</w:t>
            </w:r>
            <w:r w:rsidR="0058258D">
              <w:rPr>
                <w:b w:val="0"/>
                <w:bCs w:val="0"/>
                <w:lang w:val="ro-MD"/>
              </w:rPr>
              <w:t>atorii, prevăzute de Regulament.</w:t>
            </w:r>
          </w:p>
          <w:p w14:paraId="56447953" w14:textId="77777777" w:rsidR="00B2298C" w:rsidRPr="00B2298C" w:rsidRDefault="00B2298C" w:rsidP="004F55C0">
            <w:pPr>
              <w:pStyle w:val="Titlu4"/>
              <w:shd w:val="clear" w:color="auto" w:fill="FFFFFF"/>
              <w:spacing w:before="0" w:beforeAutospacing="0" w:after="0" w:afterAutospacing="0" w:line="276" w:lineRule="auto"/>
              <w:jc w:val="both"/>
              <w:rPr>
                <w:b w:val="0"/>
                <w:bCs w:val="0"/>
                <w:lang w:val="ro-MD"/>
              </w:rPr>
            </w:pPr>
          </w:p>
          <w:p w14:paraId="1BEF3DFB" w14:textId="7FE23A06" w:rsidR="00B2298C" w:rsidRPr="00B2298C" w:rsidRDefault="00B2298C" w:rsidP="004F55C0">
            <w:pPr>
              <w:pStyle w:val="Titlu4"/>
              <w:shd w:val="clear" w:color="auto" w:fill="FFFFFF"/>
              <w:spacing w:before="0" w:beforeAutospacing="0" w:after="0" w:afterAutospacing="0" w:line="276" w:lineRule="auto"/>
              <w:ind w:firstLine="554"/>
              <w:jc w:val="both"/>
              <w:rPr>
                <w:b w:val="0"/>
                <w:bCs w:val="0"/>
                <w:lang w:val="ro-MD"/>
              </w:rPr>
            </w:pPr>
            <w:r w:rsidRPr="00B2298C">
              <w:rPr>
                <w:b w:val="0"/>
                <w:bCs w:val="0"/>
                <w:lang w:val="ro-MD"/>
              </w:rPr>
              <w:t xml:space="preserve">Se propune </w:t>
            </w:r>
            <w:r w:rsidR="007D6283">
              <w:rPr>
                <w:b w:val="0"/>
                <w:bCs w:val="0"/>
                <w:lang w:val="ro-MD"/>
              </w:rPr>
              <w:t xml:space="preserve">eliminarea procedurilor administrative repetitive, prin </w:t>
            </w:r>
            <w:r w:rsidRPr="00B2298C">
              <w:rPr>
                <w:b w:val="0"/>
                <w:bCs w:val="0"/>
                <w:lang w:val="ro-MD"/>
              </w:rPr>
              <w:t>menținerea pe perioadă nedeterminată:</w:t>
            </w:r>
          </w:p>
          <w:p w14:paraId="0AF882D9" w14:textId="4C6F4BB7" w:rsidR="00B2298C" w:rsidRPr="00B2298C"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a gradului didactic doi, după două confirmări consecutive;</w:t>
            </w:r>
          </w:p>
          <w:p w14:paraId="449D6A7B" w14:textId="6FEDF764" w:rsidR="00B2298C" w:rsidRPr="00B2298C"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a gradului didactic unu, după o confirmare;</w:t>
            </w:r>
          </w:p>
          <w:p w14:paraId="0618FC0A" w14:textId="37489938" w:rsidR="000649AB" w:rsidRPr="000649AB" w:rsidRDefault="00B2298C" w:rsidP="004F55C0">
            <w:pPr>
              <w:pStyle w:val="Titlu4"/>
              <w:numPr>
                <w:ilvl w:val="0"/>
                <w:numId w:val="5"/>
              </w:numPr>
              <w:shd w:val="clear" w:color="auto" w:fill="FFFFFF"/>
              <w:spacing w:before="0" w:beforeAutospacing="0" w:after="0" w:afterAutospacing="0" w:line="276" w:lineRule="auto"/>
              <w:jc w:val="both"/>
              <w:rPr>
                <w:b w:val="0"/>
                <w:bCs w:val="0"/>
                <w:lang w:val="ro-MD"/>
              </w:rPr>
            </w:pPr>
            <w:r w:rsidRPr="00B2298C">
              <w:rPr>
                <w:b w:val="0"/>
                <w:bCs w:val="0"/>
                <w:lang w:val="ro-MD"/>
              </w:rPr>
              <w:t>a gradului didactic superior, după conferire.</w:t>
            </w:r>
          </w:p>
          <w:p w14:paraId="61CB7FDD" w14:textId="77777777" w:rsidR="000649AB" w:rsidRDefault="000649AB" w:rsidP="004F55C0">
            <w:pPr>
              <w:pStyle w:val="Titlu4"/>
              <w:shd w:val="clear" w:color="auto" w:fill="FFFFFF"/>
              <w:spacing w:before="0" w:beforeAutospacing="0" w:after="0" w:afterAutospacing="0" w:line="276" w:lineRule="auto"/>
              <w:jc w:val="both"/>
              <w:rPr>
                <w:b w:val="0"/>
                <w:bCs w:val="0"/>
                <w:lang w:val="ro-MD"/>
              </w:rPr>
            </w:pPr>
            <w:bookmarkStart w:id="0" w:name="_GoBack"/>
            <w:bookmarkEnd w:id="0"/>
          </w:p>
          <w:p w14:paraId="7675F9A9" w14:textId="77777777" w:rsidR="00C264FF" w:rsidRDefault="00B2298C" w:rsidP="004F55C0">
            <w:pPr>
              <w:pStyle w:val="Titlu4"/>
              <w:shd w:val="clear" w:color="auto" w:fill="FFFFFF"/>
              <w:spacing w:before="0" w:beforeAutospacing="0" w:after="0" w:afterAutospacing="0" w:line="276" w:lineRule="auto"/>
              <w:ind w:firstLine="554"/>
              <w:jc w:val="both"/>
              <w:rPr>
                <w:b w:val="0"/>
                <w:bCs w:val="0"/>
                <w:lang w:val="ro-MD"/>
              </w:rPr>
            </w:pPr>
            <w:r w:rsidRPr="00C558BE">
              <w:rPr>
                <w:b w:val="0"/>
                <w:bCs w:val="0"/>
                <w:lang w:val="ro-MD"/>
              </w:rPr>
              <w:t>Modificările propuse</w:t>
            </w:r>
            <w:r>
              <w:rPr>
                <w:b w:val="0"/>
                <w:bCs w:val="0"/>
                <w:lang w:val="ro-MD"/>
              </w:rPr>
              <w:t xml:space="preserve"> urmăresc instituirea </w:t>
            </w:r>
            <w:r w:rsidRPr="00B8377F">
              <w:rPr>
                <w:b w:val="0"/>
                <w:bCs w:val="0"/>
                <w:lang w:val="ro-MD"/>
              </w:rPr>
              <w:t>menține</w:t>
            </w:r>
            <w:r>
              <w:rPr>
                <w:b w:val="0"/>
                <w:bCs w:val="0"/>
                <w:lang w:val="ro-MD"/>
              </w:rPr>
              <w:t>rii</w:t>
            </w:r>
            <w:r w:rsidRPr="00B8377F">
              <w:rPr>
                <w:b w:val="0"/>
                <w:bCs w:val="0"/>
                <w:lang w:val="ro-MD"/>
              </w:rPr>
              <w:t xml:space="preserve"> pe perioadă nelimit</w:t>
            </w:r>
            <w:r>
              <w:rPr>
                <w:b w:val="0"/>
                <w:bCs w:val="0"/>
                <w:lang w:val="ro-MD"/>
              </w:rPr>
              <w:t xml:space="preserve">ată, fără confirmări ulterioare </w:t>
            </w:r>
            <w:r w:rsidRPr="00C558BE">
              <w:rPr>
                <w:b w:val="0"/>
                <w:bCs w:val="0"/>
                <w:lang w:val="ro-MD"/>
              </w:rPr>
              <w:t>a gradelor didactice doi, unu, superior</w:t>
            </w:r>
            <w:r>
              <w:rPr>
                <w:b w:val="0"/>
                <w:bCs w:val="0"/>
                <w:lang w:val="ro-MD"/>
              </w:rPr>
              <w:t xml:space="preserve">, după validarea competențelor profesionale prin confirmări realizate conform cerințelor Regulamentului, ca măsură de debirocratizare și eficientizare a procesului de atestare. </w:t>
            </w:r>
          </w:p>
          <w:p w14:paraId="4E424EFC" w14:textId="2339AB86" w:rsidR="00006CEC" w:rsidRPr="00C558BE" w:rsidRDefault="00006CEC" w:rsidP="004F55C0">
            <w:pPr>
              <w:pStyle w:val="Titlu4"/>
              <w:shd w:val="clear" w:color="auto" w:fill="FFFFFF"/>
              <w:spacing w:before="0" w:beforeAutospacing="0" w:after="0" w:afterAutospacing="0" w:line="276" w:lineRule="auto"/>
              <w:ind w:firstLine="554"/>
              <w:jc w:val="both"/>
              <w:rPr>
                <w:b w:val="0"/>
                <w:bCs w:val="0"/>
                <w:lang w:val="ro-MD"/>
              </w:rPr>
            </w:pPr>
          </w:p>
        </w:tc>
      </w:tr>
      <w:tr w:rsidR="00C264FF" w:rsidRPr="00C4754A" w14:paraId="14C2896B" w14:textId="77777777" w:rsidTr="00EB750B">
        <w:trPr>
          <w:trHeight w:val="1"/>
        </w:trPr>
        <w:tc>
          <w:tcPr>
            <w:tcW w:w="10170" w:type="dxa"/>
            <w:shd w:val="clear" w:color="auto" w:fill="A4C2F4"/>
          </w:tcPr>
          <w:p w14:paraId="16F37454" w14:textId="77777777"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3.2. Opțiunile alternative analizate și motivele pentru care acestea nu au fost luate în considerare</w:t>
            </w:r>
          </w:p>
        </w:tc>
      </w:tr>
      <w:tr w:rsidR="00C264FF" w:rsidRPr="00C4754A" w14:paraId="5CDED349" w14:textId="77777777" w:rsidTr="00EB750B">
        <w:trPr>
          <w:trHeight w:val="351"/>
        </w:trPr>
        <w:tc>
          <w:tcPr>
            <w:tcW w:w="10170" w:type="dxa"/>
            <w:shd w:val="clear" w:color="auto" w:fill="FFFFFF"/>
          </w:tcPr>
          <w:p w14:paraId="061E8B9E" w14:textId="750216B6" w:rsidR="00667D52" w:rsidRPr="00A178A7" w:rsidRDefault="00BF5ACB" w:rsidP="00006CE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42"/>
              <w:jc w:val="both"/>
              <w:rPr>
                <w:rFonts w:ascii="Times New Roman" w:eastAsia="Times New Roman" w:hAnsi="Times New Roman" w:cs="Times New Roman"/>
                <w:color w:val="000000"/>
                <w:sz w:val="24"/>
                <w:szCs w:val="24"/>
                <w:lang w:val="ro-MD"/>
              </w:rPr>
            </w:pPr>
            <w:r w:rsidRPr="00BF5ACB">
              <w:rPr>
                <w:rFonts w:ascii="Times New Roman" w:eastAsia="Times New Roman" w:hAnsi="Times New Roman" w:cs="Times New Roman"/>
                <w:color w:val="000000"/>
                <w:sz w:val="24"/>
                <w:szCs w:val="24"/>
                <w:lang w:val="ro-MD"/>
              </w:rPr>
              <w:t>Nu au fost identificate opțiuni alternative care să asigure în aceeași măsură simplificarea procedurilor și menținerea standardelor de calitate profesională.</w:t>
            </w:r>
          </w:p>
        </w:tc>
      </w:tr>
      <w:tr w:rsidR="00C264FF" w:rsidRPr="00C4754A" w14:paraId="5605361E" w14:textId="77777777" w:rsidTr="00EB750B">
        <w:trPr>
          <w:trHeight w:val="378"/>
        </w:trPr>
        <w:tc>
          <w:tcPr>
            <w:tcW w:w="10170" w:type="dxa"/>
            <w:shd w:val="clear" w:color="auto" w:fill="3D85C6"/>
            <w:vAlign w:val="center"/>
          </w:tcPr>
          <w:p w14:paraId="6B5C7BC5"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 xml:space="preserve">4. Analiza impactului de reglementare </w:t>
            </w:r>
          </w:p>
        </w:tc>
      </w:tr>
      <w:tr w:rsidR="00C264FF" w:rsidRPr="00C4754A" w14:paraId="30D1BE74" w14:textId="77777777" w:rsidTr="00EB750B">
        <w:trPr>
          <w:trHeight w:val="378"/>
        </w:trPr>
        <w:tc>
          <w:tcPr>
            <w:tcW w:w="10170" w:type="dxa"/>
            <w:shd w:val="clear" w:color="auto" w:fill="EDEDED"/>
            <w:tcMar>
              <w:top w:w="0" w:type="dxa"/>
              <w:left w:w="100" w:type="dxa"/>
              <w:bottom w:w="0" w:type="dxa"/>
              <w:right w:w="100" w:type="dxa"/>
            </w:tcMar>
          </w:tcPr>
          <w:p w14:paraId="20F9F8FD"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4.1. Impactul asupra sectorului public</w:t>
            </w:r>
          </w:p>
        </w:tc>
      </w:tr>
      <w:tr w:rsidR="00C264FF" w:rsidRPr="00C4754A" w14:paraId="608B1B5F" w14:textId="77777777" w:rsidTr="00EB750B">
        <w:trPr>
          <w:trHeight w:val="378"/>
        </w:trPr>
        <w:tc>
          <w:tcPr>
            <w:tcW w:w="10170" w:type="dxa"/>
            <w:tcMar>
              <w:top w:w="0" w:type="dxa"/>
              <w:left w:w="100" w:type="dxa"/>
              <w:bottom w:w="0" w:type="dxa"/>
              <w:right w:w="100" w:type="dxa"/>
            </w:tcMar>
          </w:tcPr>
          <w:p w14:paraId="798438FC" w14:textId="409545E1" w:rsidR="00241C89" w:rsidRPr="00C4754A" w:rsidRDefault="00A178A7" w:rsidP="00006CEC">
            <w:pPr>
              <w:spacing w:after="0" w:line="276" w:lineRule="auto"/>
              <w:ind w:firstLine="318"/>
              <w:jc w:val="both"/>
              <w:rPr>
                <w:rFonts w:ascii="Times New Roman" w:eastAsia="Times New Roman" w:hAnsi="Times New Roman" w:cs="Times New Roman"/>
                <w:sz w:val="24"/>
                <w:szCs w:val="24"/>
                <w:lang w:val="ro-MD"/>
              </w:rPr>
            </w:pPr>
            <w:r w:rsidRPr="00CC424E">
              <w:rPr>
                <w:rFonts w:ascii="Times New Roman" w:eastAsia="Times New Roman" w:hAnsi="Times New Roman" w:cs="Times New Roman"/>
                <w:sz w:val="24"/>
                <w:szCs w:val="24"/>
                <w:lang w:val="ro-MD"/>
              </w:rPr>
              <w:t xml:space="preserve">Implementarea </w:t>
            </w:r>
            <w:r w:rsidRPr="00B15472">
              <w:rPr>
                <w:rFonts w:ascii="Times New Roman" w:eastAsia="Times New Roman" w:hAnsi="Times New Roman" w:cs="Times New Roman"/>
                <w:sz w:val="24"/>
                <w:szCs w:val="24"/>
                <w:lang w:val="ro-MD"/>
              </w:rPr>
              <w:t xml:space="preserve">proiectului de </w:t>
            </w:r>
            <w:r w:rsidR="00167854">
              <w:rPr>
                <w:rFonts w:ascii="Times New Roman" w:eastAsia="Times New Roman" w:hAnsi="Times New Roman" w:cs="Times New Roman"/>
                <w:sz w:val="24"/>
                <w:szCs w:val="24"/>
                <w:lang w:val="ro-MD"/>
              </w:rPr>
              <w:t>ordin</w:t>
            </w:r>
            <w:r w:rsidRPr="00B15472">
              <w:rPr>
                <w:rFonts w:ascii="Times New Roman" w:eastAsia="Times New Roman" w:hAnsi="Times New Roman" w:cs="Times New Roman"/>
                <w:sz w:val="24"/>
                <w:szCs w:val="24"/>
                <w:lang w:val="ro-MD"/>
              </w:rPr>
              <w:t xml:space="preserve"> va contribui la </w:t>
            </w:r>
            <w:r>
              <w:rPr>
                <w:rFonts w:ascii="Times New Roman" w:eastAsia="Times New Roman" w:hAnsi="Times New Roman" w:cs="Times New Roman"/>
                <w:sz w:val="24"/>
                <w:szCs w:val="24"/>
                <w:lang w:val="ro-MD"/>
              </w:rPr>
              <w:t xml:space="preserve">motivarea cadrelor didactice de a se menține în sistem, </w:t>
            </w:r>
            <w:r w:rsidR="00241C89" w:rsidRPr="00241C89">
              <w:rPr>
                <w:rFonts w:ascii="Times New Roman" w:eastAsia="Times New Roman" w:hAnsi="Times New Roman" w:cs="Times New Roman"/>
                <w:sz w:val="24"/>
                <w:szCs w:val="24"/>
                <w:lang w:val="ro-MD"/>
              </w:rPr>
              <w:t>la reducerea sarcinilor administrative aferente procesului de atestare și la eficientizarea activității structurilor implicate.</w:t>
            </w:r>
          </w:p>
        </w:tc>
      </w:tr>
      <w:tr w:rsidR="00C264FF" w:rsidRPr="00C4754A" w14:paraId="236FC4EA" w14:textId="77777777" w:rsidTr="00EB750B">
        <w:trPr>
          <w:trHeight w:val="378"/>
        </w:trPr>
        <w:tc>
          <w:tcPr>
            <w:tcW w:w="10170" w:type="dxa"/>
            <w:shd w:val="clear" w:color="auto" w:fill="EDEDED"/>
            <w:tcMar>
              <w:top w:w="0" w:type="dxa"/>
              <w:left w:w="100" w:type="dxa"/>
              <w:bottom w:w="0" w:type="dxa"/>
              <w:right w:w="100" w:type="dxa"/>
            </w:tcMar>
          </w:tcPr>
          <w:p w14:paraId="53A60738"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4.2. Impactul financiar și argumentarea costurilor estimative</w:t>
            </w:r>
          </w:p>
        </w:tc>
      </w:tr>
      <w:tr w:rsidR="00C264FF" w:rsidRPr="00C4754A" w14:paraId="2784A203" w14:textId="77777777" w:rsidTr="00EB750B">
        <w:trPr>
          <w:trHeight w:val="378"/>
        </w:trPr>
        <w:tc>
          <w:tcPr>
            <w:tcW w:w="10170" w:type="dxa"/>
            <w:tcMar>
              <w:top w:w="0" w:type="dxa"/>
              <w:left w:w="100" w:type="dxa"/>
              <w:bottom w:w="0" w:type="dxa"/>
              <w:right w:w="100" w:type="dxa"/>
            </w:tcMar>
          </w:tcPr>
          <w:p w14:paraId="11E2091F" w14:textId="6539EE33" w:rsidR="00C264FF" w:rsidRPr="00C4754A" w:rsidRDefault="00BB3AA2" w:rsidP="00006CEC">
            <w:pPr>
              <w:spacing w:after="0" w:line="276" w:lineRule="auto"/>
              <w:ind w:right="34" w:firstLine="176"/>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Pentru punerea în aplicare a prevederilor proiectului </w:t>
            </w:r>
            <w:r w:rsidR="006A43AB">
              <w:rPr>
                <w:rFonts w:ascii="Times New Roman" w:eastAsia="Times New Roman" w:hAnsi="Times New Roman" w:cs="Times New Roman"/>
                <w:sz w:val="24"/>
                <w:szCs w:val="24"/>
                <w:lang w:val="ro-MD"/>
              </w:rPr>
              <w:t>de ordin</w:t>
            </w:r>
            <w:r w:rsidRPr="00C4754A">
              <w:rPr>
                <w:rFonts w:ascii="Times New Roman" w:eastAsia="Times New Roman" w:hAnsi="Times New Roman" w:cs="Times New Roman"/>
                <w:sz w:val="24"/>
                <w:szCs w:val="24"/>
                <w:lang w:val="ro-MD"/>
              </w:rPr>
              <w:t xml:space="preserve"> nu se necesită cheltuieli suplimentare din contul bugetului de stat.  </w:t>
            </w:r>
          </w:p>
        </w:tc>
      </w:tr>
      <w:tr w:rsidR="00C264FF" w:rsidRPr="00C4754A" w14:paraId="3419830A" w14:textId="77777777" w:rsidTr="00EB750B">
        <w:trPr>
          <w:trHeight w:val="378"/>
        </w:trPr>
        <w:tc>
          <w:tcPr>
            <w:tcW w:w="10170" w:type="dxa"/>
            <w:shd w:val="clear" w:color="auto" w:fill="EDEDED"/>
            <w:tcMar>
              <w:top w:w="0" w:type="dxa"/>
              <w:left w:w="100" w:type="dxa"/>
              <w:bottom w:w="0" w:type="dxa"/>
              <w:right w:w="100" w:type="dxa"/>
            </w:tcMar>
          </w:tcPr>
          <w:p w14:paraId="264805F6"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4.3. Impactul asupra sectorului privat</w:t>
            </w:r>
          </w:p>
        </w:tc>
      </w:tr>
      <w:tr w:rsidR="00C264FF" w:rsidRPr="00C4754A" w14:paraId="07001509" w14:textId="77777777" w:rsidTr="00EB750B">
        <w:trPr>
          <w:trHeight w:val="378"/>
        </w:trPr>
        <w:tc>
          <w:tcPr>
            <w:tcW w:w="10170" w:type="dxa"/>
            <w:tcMar>
              <w:top w:w="0" w:type="dxa"/>
              <w:left w:w="100" w:type="dxa"/>
              <w:bottom w:w="0" w:type="dxa"/>
              <w:right w:w="100" w:type="dxa"/>
            </w:tcMar>
          </w:tcPr>
          <w:p w14:paraId="51C4D3D9" w14:textId="77777777" w:rsidR="00C264FF" w:rsidRPr="00C4754A" w:rsidRDefault="006B6A3B" w:rsidP="00055101">
            <w:pPr>
              <w:spacing w:after="0" w:line="240" w:lineRule="auto"/>
              <w:ind w:right="34"/>
              <w:jc w:val="both"/>
              <w:rPr>
                <w:rFonts w:ascii="Times New Roman" w:eastAsia="Times New Roman" w:hAnsi="Times New Roman" w:cs="Times New Roman"/>
                <w:sz w:val="24"/>
                <w:szCs w:val="24"/>
                <w:lang w:val="ro-MD"/>
              </w:rPr>
            </w:pPr>
            <w:r w:rsidRPr="00055101">
              <w:rPr>
                <w:rFonts w:ascii="Times New Roman" w:eastAsia="Times New Roman" w:hAnsi="Times New Roman" w:cs="Times New Roman"/>
                <w:sz w:val="24"/>
                <w:szCs w:val="24"/>
                <w:lang w:val="ro-MD"/>
              </w:rPr>
              <w:t>Nu este aplicabil</w:t>
            </w:r>
          </w:p>
        </w:tc>
      </w:tr>
      <w:tr w:rsidR="00C264FF" w:rsidRPr="00C4754A" w14:paraId="3EBFC882" w14:textId="77777777" w:rsidTr="00EB750B">
        <w:trPr>
          <w:trHeight w:val="378"/>
        </w:trPr>
        <w:tc>
          <w:tcPr>
            <w:tcW w:w="10170" w:type="dxa"/>
            <w:shd w:val="clear" w:color="auto" w:fill="EDEDED"/>
            <w:tcMar>
              <w:top w:w="0" w:type="dxa"/>
              <w:left w:w="100" w:type="dxa"/>
              <w:bottom w:w="0" w:type="dxa"/>
              <w:right w:w="100" w:type="dxa"/>
            </w:tcMar>
          </w:tcPr>
          <w:p w14:paraId="2933AEA5"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lastRenderedPageBreak/>
              <w:t>4.4. Impactul social</w:t>
            </w:r>
          </w:p>
        </w:tc>
      </w:tr>
      <w:tr w:rsidR="00C264FF" w:rsidRPr="00C4754A" w14:paraId="53ED9AC3" w14:textId="77777777" w:rsidTr="00EB750B">
        <w:trPr>
          <w:trHeight w:val="378"/>
        </w:trPr>
        <w:tc>
          <w:tcPr>
            <w:tcW w:w="10170" w:type="dxa"/>
            <w:tcMar>
              <w:top w:w="0" w:type="dxa"/>
              <w:left w:w="100" w:type="dxa"/>
              <w:bottom w:w="0" w:type="dxa"/>
              <w:right w:w="100" w:type="dxa"/>
            </w:tcMar>
          </w:tcPr>
          <w:p w14:paraId="5E7BF186" w14:textId="70D1AE30" w:rsidR="00C264FF" w:rsidRPr="00C4754A" w:rsidRDefault="00EB750B" w:rsidP="00E87BD1">
            <w:pPr>
              <w:spacing w:after="0" w:line="276" w:lineRule="auto"/>
              <w:jc w:val="both"/>
              <w:rPr>
                <w:rFonts w:ascii="Times New Roman" w:eastAsia="Times New Roman" w:hAnsi="Times New Roman" w:cs="Times New Roman"/>
                <w:sz w:val="24"/>
                <w:szCs w:val="24"/>
                <w:lang w:val="ro-MD"/>
              </w:rPr>
            </w:pPr>
            <w:r w:rsidRPr="00EB750B">
              <w:rPr>
                <w:rFonts w:ascii="Times New Roman" w:eastAsia="Times New Roman" w:hAnsi="Times New Roman" w:cs="Times New Roman"/>
                <w:sz w:val="24"/>
                <w:szCs w:val="24"/>
                <w:lang w:val="ro-MD"/>
              </w:rPr>
              <w:t xml:space="preserve">Proiectul </w:t>
            </w:r>
            <w:r>
              <w:rPr>
                <w:rFonts w:ascii="Times New Roman" w:eastAsia="Times New Roman" w:hAnsi="Times New Roman" w:cs="Times New Roman"/>
                <w:sz w:val="24"/>
                <w:szCs w:val="24"/>
                <w:lang w:val="ro-MD"/>
              </w:rPr>
              <w:t xml:space="preserve">de ordin </w:t>
            </w:r>
            <w:r w:rsidRPr="00EB750B">
              <w:rPr>
                <w:rFonts w:ascii="Times New Roman" w:eastAsia="Times New Roman" w:hAnsi="Times New Roman" w:cs="Times New Roman"/>
                <w:sz w:val="24"/>
                <w:szCs w:val="24"/>
                <w:lang w:val="ro-MD"/>
              </w:rPr>
              <w:t>va avea un impact social pozitiv, prin stimularea menținerii cadrelor didactice în sistemul educațional și consolidarea calității actului educațional.</w:t>
            </w:r>
          </w:p>
        </w:tc>
      </w:tr>
      <w:tr w:rsidR="00C264FF" w:rsidRPr="00C4754A" w14:paraId="716935B4" w14:textId="77777777" w:rsidTr="00EB750B">
        <w:trPr>
          <w:trHeight w:val="378"/>
        </w:trPr>
        <w:tc>
          <w:tcPr>
            <w:tcW w:w="10170" w:type="dxa"/>
            <w:shd w:val="clear" w:color="auto" w:fill="D9D9D9"/>
            <w:tcMar>
              <w:top w:w="0" w:type="dxa"/>
              <w:left w:w="100" w:type="dxa"/>
              <w:bottom w:w="0" w:type="dxa"/>
              <w:right w:w="100" w:type="dxa"/>
            </w:tcMar>
          </w:tcPr>
          <w:p w14:paraId="5D57190F"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4.4.1. Impactul asupra datelor cu caracter personal</w:t>
            </w:r>
          </w:p>
        </w:tc>
      </w:tr>
      <w:tr w:rsidR="00C264FF" w:rsidRPr="00C4754A" w14:paraId="29077A3A" w14:textId="77777777" w:rsidTr="00EB750B">
        <w:trPr>
          <w:trHeight w:val="378"/>
        </w:trPr>
        <w:tc>
          <w:tcPr>
            <w:tcW w:w="10170" w:type="dxa"/>
            <w:tcMar>
              <w:top w:w="0" w:type="dxa"/>
              <w:left w:w="100" w:type="dxa"/>
              <w:bottom w:w="0" w:type="dxa"/>
              <w:right w:w="100" w:type="dxa"/>
            </w:tcMar>
          </w:tcPr>
          <w:p w14:paraId="6C3E31C0" w14:textId="77777777" w:rsidR="00C264FF" w:rsidRPr="00C4754A" w:rsidRDefault="006B6A3B" w:rsidP="00055101">
            <w:pPr>
              <w:spacing w:after="0" w:line="240" w:lineRule="auto"/>
              <w:jc w:val="both"/>
              <w:rPr>
                <w:rFonts w:ascii="Times New Roman" w:eastAsia="Times New Roman" w:hAnsi="Times New Roman" w:cs="Times New Roman"/>
                <w:sz w:val="25"/>
                <w:szCs w:val="25"/>
                <w:lang w:val="ro-MD"/>
              </w:rPr>
            </w:pPr>
            <w:r w:rsidRPr="00055101">
              <w:rPr>
                <w:rFonts w:ascii="Times New Roman" w:eastAsia="Times New Roman" w:hAnsi="Times New Roman" w:cs="Times New Roman"/>
                <w:sz w:val="24"/>
                <w:szCs w:val="24"/>
                <w:lang w:val="ro-MD"/>
              </w:rPr>
              <w:t>Nu este aplicabil</w:t>
            </w:r>
          </w:p>
        </w:tc>
      </w:tr>
      <w:tr w:rsidR="00C264FF" w:rsidRPr="00C4754A" w14:paraId="658F7267" w14:textId="77777777" w:rsidTr="00EB750B">
        <w:trPr>
          <w:trHeight w:val="378"/>
        </w:trPr>
        <w:tc>
          <w:tcPr>
            <w:tcW w:w="10170" w:type="dxa"/>
            <w:shd w:val="clear" w:color="auto" w:fill="D9D9D9"/>
            <w:tcMar>
              <w:top w:w="0" w:type="dxa"/>
              <w:left w:w="100" w:type="dxa"/>
              <w:bottom w:w="0" w:type="dxa"/>
              <w:right w:w="100" w:type="dxa"/>
            </w:tcMar>
          </w:tcPr>
          <w:p w14:paraId="1EE8D711"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4.4.2. Impactul asupra echității și egalității de gen</w:t>
            </w:r>
          </w:p>
        </w:tc>
      </w:tr>
      <w:tr w:rsidR="00C264FF" w:rsidRPr="00C4754A" w14:paraId="5C1A2455" w14:textId="77777777" w:rsidTr="00EB750B">
        <w:trPr>
          <w:trHeight w:val="378"/>
        </w:trPr>
        <w:tc>
          <w:tcPr>
            <w:tcW w:w="10170" w:type="dxa"/>
            <w:tcMar>
              <w:top w:w="0" w:type="dxa"/>
              <w:left w:w="100" w:type="dxa"/>
              <w:bottom w:w="0" w:type="dxa"/>
              <w:right w:w="100" w:type="dxa"/>
            </w:tcMar>
          </w:tcPr>
          <w:p w14:paraId="4B24C158" w14:textId="77777777" w:rsidR="00C264FF" w:rsidRPr="00C4754A" w:rsidRDefault="00055101" w:rsidP="000E473E">
            <w:p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Nu este aplicabil</w:t>
            </w:r>
          </w:p>
        </w:tc>
      </w:tr>
      <w:tr w:rsidR="00C264FF" w:rsidRPr="00C4754A" w14:paraId="3D613203" w14:textId="77777777" w:rsidTr="00EB750B">
        <w:trPr>
          <w:trHeight w:val="378"/>
        </w:trPr>
        <w:tc>
          <w:tcPr>
            <w:tcW w:w="10170" w:type="dxa"/>
            <w:shd w:val="clear" w:color="auto" w:fill="EDEDED"/>
            <w:tcMar>
              <w:top w:w="0" w:type="dxa"/>
              <w:left w:w="100" w:type="dxa"/>
              <w:bottom w:w="0" w:type="dxa"/>
              <w:right w:w="100" w:type="dxa"/>
            </w:tcMar>
          </w:tcPr>
          <w:p w14:paraId="71F0C923"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4.5. Impactul asupra mediului</w:t>
            </w:r>
          </w:p>
        </w:tc>
      </w:tr>
      <w:tr w:rsidR="00C264FF" w:rsidRPr="00C4754A" w14:paraId="25EF8385" w14:textId="77777777" w:rsidTr="00EB750B">
        <w:trPr>
          <w:trHeight w:val="378"/>
        </w:trPr>
        <w:tc>
          <w:tcPr>
            <w:tcW w:w="10170" w:type="dxa"/>
            <w:tcMar>
              <w:top w:w="0" w:type="dxa"/>
              <w:left w:w="100" w:type="dxa"/>
              <w:bottom w:w="0" w:type="dxa"/>
              <w:right w:w="100" w:type="dxa"/>
            </w:tcMar>
          </w:tcPr>
          <w:p w14:paraId="54C85EF3" w14:textId="77777777" w:rsidR="00C264FF" w:rsidRPr="00C4754A" w:rsidRDefault="006B6A3B" w:rsidP="0025532F">
            <w:pPr>
              <w:spacing w:after="0" w:line="240" w:lineRule="auto"/>
              <w:rPr>
                <w:rFonts w:ascii="Times New Roman" w:eastAsia="Times New Roman" w:hAnsi="Times New Roman" w:cs="Times New Roman"/>
                <w:sz w:val="25"/>
                <w:szCs w:val="25"/>
                <w:lang w:val="ro-MD"/>
              </w:rPr>
            </w:pPr>
            <w:r w:rsidRPr="00C4754A">
              <w:rPr>
                <w:rFonts w:ascii="Times New Roman" w:hAnsi="Times New Roman" w:cs="Times New Roman"/>
                <w:sz w:val="24"/>
                <w:szCs w:val="24"/>
                <w:lang w:val="ro-MD"/>
              </w:rPr>
              <w:t>Nu este aplicabil</w:t>
            </w:r>
          </w:p>
        </w:tc>
      </w:tr>
      <w:tr w:rsidR="00C264FF" w:rsidRPr="00C4754A" w14:paraId="29C73D5D" w14:textId="77777777" w:rsidTr="00EB750B">
        <w:trPr>
          <w:trHeight w:val="378"/>
        </w:trPr>
        <w:tc>
          <w:tcPr>
            <w:tcW w:w="10170" w:type="dxa"/>
            <w:shd w:val="clear" w:color="auto" w:fill="EDEDED"/>
            <w:tcMar>
              <w:top w:w="0" w:type="dxa"/>
              <w:left w:w="100" w:type="dxa"/>
              <w:bottom w:w="0" w:type="dxa"/>
              <w:right w:w="100" w:type="dxa"/>
            </w:tcMar>
          </w:tcPr>
          <w:p w14:paraId="709546BA"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4.6. Alte impacturi și informații relevante</w:t>
            </w:r>
          </w:p>
        </w:tc>
      </w:tr>
      <w:tr w:rsidR="00C264FF" w:rsidRPr="00C4754A" w14:paraId="56393547" w14:textId="77777777" w:rsidTr="00EB750B">
        <w:trPr>
          <w:trHeight w:val="303"/>
        </w:trPr>
        <w:tc>
          <w:tcPr>
            <w:tcW w:w="10170" w:type="dxa"/>
            <w:tcMar>
              <w:top w:w="0" w:type="dxa"/>
              <w:left w:w="100" w:type="dxa"/>
              <w:bottom w:w="0" w:type="dxa"/>
              <w:right w:w="100" w:type="dxa"/>
            </w:tcMar>
          </w:tcPr>
          <w:p w14:paraId="5B89F2EC" w14:textId="77777777" w:rsidR="00C264FF" w:rsidRPr="00C4754A" w:rsidRDefault="006B6A3B" w:rsidP="0025532F">
            <w:pPr>
              <w:spacing w:after="0" w:line="240" w:lineRule="auto"/>
              <w:rPr>
                <w:rFonts w:ascii="Times New Roman" w:eastAsia="Times New Roman" w:hAnsi="Times New Roman" w:cs="Times New Roman"/>
                <w:sz w:val="24"/>
                <w:szCs w:val="24"/>
                <w:lang w:val="ro-MD"/>
              </w:rPr>
            </w:pPr>
            <w:r w:rsidRPr="00C4754A">
              <w:rPr>
                <w:rFonts w:ascii="Times New Roman" w:hAnsi="Times New Roman" w:cs="Times New Roman"/>
                <w:sz w:val="24"/>
                <w:szCs w:val="24"/>
                <w:lang w:val="ro-MD"/>
              </w:rPr>
              <w:t>Nu este aplicabil</w:t>
            </w:r>
          </w:p>
        </w:tc>
      </w:tr>
      <w:tr w:rsidR="00C264FF" w:rsidRPr="00C4754A" w14:paraId="6C7D3989" w14:textId="77777777" w:rsidTr="00EB750B">
        <w:trPr>
          <w:trHeight w:val="368"/>
        </w:trPr>
        <w:tc>
          <w:tcPr>
            <w:tcW w:w="10170" w:type="dxa"/>
            <w:shd w:val="clear" w:color="auto" w:fill="3D85C6"/>
            <w:vAlign w:val="center"/>
          </w:tcPr>
          <w:p w14:paraId="6BBDD40F"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 xml:space="preserve">5. Compatibilitatea proiectului actului normativ cu legislația UE </w:t>
            </w:r>
          </w:p>
        </w:tc>
      </w:tr>
      <w:tr w:rsidR="00C264FF" w:rsidRPr="00C4754A" w14:paraId="14981ED5" w14:textId="77777777" w:rsidTr="00EB750B">
        <w:trPr>
          <w:trHeight w:val="201"/>
        </w:trPr>
        <w:tc>
          <w:tcPr>
            <w:tcW w:w="10170" w:type="dxa"/>
            <w:shd w:val="clear" w:color="auto" w:fill="C9DAF8"/>
            <w:tcMar>
              <w:top w:w="0" w:type="dxa"/>
              <w:left w:w="100" w:type="dxa"/>
              <w:bottom w:w="0" w:type="dxa"/>
              <w:right w:w="100" w:type="dxa"/>
            </w:tcMar>
          </w:tcPr>
          <w:p w14:paraId="1B1520CD" w14:textId="77777777"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5.1. Măsuri normative necesare pentru transpunerea actelor juridice ale UE în legislația națională</w:t>
            </w:r>
          </w:p>
        </w:tc>
      </w:tr>
      <w:tr w:rsidR="00C264FF" w:rsidRPr="00C4754A" w14:paraId="78A5921C" w14:textId="77777777" w:rsidTr="00EB750B">
        <w:trPr>
          <w:trHeight w:val="737"/>
        </w:trPr>
        <w:tc>
          <w:tcPr>
            <w:tcW w:w="10170" w:type="dxa"/>
            <w:shd w:val="clear" w:color="auto" w:fill="FFFFFF"/>
            <w:vAlign w:val="center"/>
          </w:tcPr>
          <w:p w14:paraId="2AE39A5C" w14:textId="77777777" w:rsidR="00C264FF" w:rsidRPr="00C4754A" w:rsidRDefault="00BB3AA2" w:rsidP="00E87BD1">
            <w:pPr>
              <w:spacing w:after="0" w:line="276"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sz w:val="24"/>
                <w:szCs w:val="24"/>
                <w:lang w:val="ro-MD"/>
              </w:rPr>
              <w:t>Proiectul nu intră în categoria actelor normative care necesită expertiza de compatibilitate cu legislația Uniunii Europene.</w:t>
            </w:r>
          </w:p>
        </w:tc>
      </w:tr>
      <w:tr w:rsidR="00C264FF" w:rsidRPr="00C4754A" w14:paraId="6378D612" w14:textId="77777777" w:rsidTr="00EB750B">
        <w:trPr>
          <w:trHeight w:val="443"/>
        </w:trPr>
        <w:tc>
          <w:tcPr>
            <w:tcW w:w="10170" w:type="dxa"/>
            <w:shd w:val="clear" w:color="auto" w:fill="C9DAF8"/>
            <w:tcMar>
              <w:top w:w="0" w:type="dxa"/>
              <w:left w:w="100" w:type="dxa"/>
              <w:bottom w:w="0" w:type="dxa"/>
              <w:right w:w="100" w:type="dxa"/>
            </w:tcMar>
          </w:tcPr>
          <w:p w14:paraId="02E34273" w14:textId="77777777"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5.2. Măsuri normative care urmăresc crearea cadrului juridic intern necesar pentru implementarea legislației UE</w:t>
            </w:r>
          </w:p>
        </w:tc>
      </w:tr>
      <w:tr w:rsidR="00C264FF" w:rsidRPr="00C4754A" w14:paraId="3A0DE0E7" w14:textId="77777777" w:rsidTr="00EB750B">
        <w:trPr>
          <w:trHeight w:val="353"/>
        </w:trPr>
        <w:tc>
          <w:tcPr>
            <w:tcW w:w="10170" w:type="dxa"/>
            <w:shd w:val="clear" w:color="auto" w:fill="auto"/>
          </w:tcPr>
          <w:p w14:paraId="2DB95565" w14:textId="77777777" w:rsidR="00C264FF" w:rsidRPr="00C4754A" w:rsidRDefault="004C4936" w:rsidP="004C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cs="Times New Roman"/>
                <w:sz w:val="24"/>
                <w:szCs w:val="24"/>
                <w:highlight w:val="white"/>
                <w:lang w:val="ro-MD"/>
              </w:rPr>
            </w:pPr>
            <w:r>
              <w:rPr>
                <w:rFonts w:ascii="Times New Roman" w:eastAsia="Times New Roman" w:hAnsi="Times New Roman" w:cs="Times New Roman"/>
                <w:sz w:val="24"/>
                <w:szCs w:val="24"/>
                <w:lang w:val="ro-MD"/>
              </w:rPr>
              <w:t>Nu este aplicabil</w:t>
            </w:r>
          </w:p>
        </w:tc>
      </w:tr>
      <w:tr w:rsidR="00C264FF" w:rsidRPr="00C4754A" w14:paraId="7A1D81BB" w14:textId="77777777" w:rsidTr="00EB750B">
        <w:trPr>
          <w:trHeight w:val="423"/>
        </w:trPr>
        <w:tc>
          <w:tcPr>
            <w:tcW w:w="10170" w:type="dxa"/>
            <w:shd w:val="clear" w:color="auto" w:fill="3D85C6"/>
            <w:vAlign w:val="center"/>
          </w:tcPr>
          <w:p w14:paraId="4179D642"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6. Avizarea și consultarea publică a proiectului actului normativ</w:t>
            </w:r>
          </w:p>
        </w:tc>
      </w:tr>
      <w:tr w:rsidR="00C264FF" w:rsidRPr="00C4754A" w14:paraId="1F4E8E93" w14:textId="77777777" w:rsidTr="00EB750B">
        <w:trPr>
          <w:trHeight w:val="1"/>
        </w:trPr>
        <w:tc>
          <w:tcPr>
            <w:tcW w:w="10170" w:type="dxa"/>
            <w:shd w:val="clear" w:color="auto" w:fill="FFFFFF"/>
          </w:tcPr>
          <w:p w14:paraId="790DBE68" w14:textId="5A732D2F" w:rsidR="00C264FF" w:rsidRPr="00C4754A" w:rsidRDefault="00EC275D" w:rsidP="005772EC">
            <w:pPr>
              <w:spacing w:after="0" w:line="276" w:lineRule="auto"/>
              <w:ind w:firstLine="162"/>
              <w:jc w:val="both"/>
              <w:rPr>
                <w:rFonts w:ascii="Times New Roman" w:eastAsia="Times New Roman" w:hAnsi="Times New Roman" w:cs="Times New Roman"/>
                <w:sz w:val="24"/>
                <w:szCs w:val="24"/>
                <w:lang w:val="ro-MD"/>
              </w:rPr>
            </w:pPr>
            <w:r w:rsidRPr="00EC275D">
              <w:rPr>
                <w:rFonts w:ascii="Times New Roman" w:eastAsia="Times New Roman" w:hAnsi="Times New Roman" w:cs="Times New Roman"/>
                <w:sz w:val="24"/>
                <w:szCs w:val="24"/>
                <w:lang w:val="ro-MD"/>
              </w:rPr>
              <w:t xml:space="preserve">În conformitate cu Legea nr. 239/2008 privind transparența în procesul decizional, anunțul privind </w:t>
            </w:r>
            <w:r w:rsidR="00E965CE">
              <w:rPr>
                <w:rFonts w:ascii="Times New Roman" w:eastAsia="Times New Roman" w:hAnsi="Times New Roman" w:cs="Times New Roman"/>
                <w:sz w:val="24"/>
                <w:szCs w:val="24"/>
                <w:lang w:val="ro-MD"/>
              </w:rPr>
              <w:t xml:space="preserve">consultarea publică a </w:t>
            </w:r>
            <w:r w:rsidRPr="00EC275D">
              <w:rPr>
                <w:rFonts w:ascii="Times New Roman" w:eastAsia="Times New Roman" w:hAnsi="Times New Roman" w:cs="Times New Roman"/>
                <w:sz w:val="24"/>
                <w:szCs w:val="24"/>
                <w:lang w:val="ro-MD"/>
              </w:rPr>
              <w:t>proiectului a fost plasat pe pagina web oficială a Ministerului Educației și Cercetării, la secțiu</w:t>
            </w:r>
            <w:r w:rsidR="00E965CE">
              <w:rPr>
                <w:rFonts w:ascii="Times New Roman" w:eastAsia="Times New Roman" w:hAnsi="Times New Roman" w:cs="Times New Roman"/>
                <w:sz w:val="24"/>
                <w:szCs w:val="24"/>
                <w:lang w:val="ro-MD"/>
              </w:rPr>
              <w:t xml:space="preserve">nea „Transparență decizională”. </w:t>
            </w:r>
          </w:p>
        </w:tc>
      </w:tr>
      <w:tr w:rsidR="00C264FF" w:rsidRPr="00C4754A" w14:paraId="257E074E" w14:textId="77777777" w:rsidTr="00EB750B">
        <w:trPr>
          <w:trHeight w:val="483"/>
        </w:trPr>
        <w:tc>
          <w:tcPr>
            <w:tcW w:w="10170" w:type="dxa"/>
            <w:shd w:val="clear" w:color="auto" w:fill="3D85C6"/>
            <w:vAlign w:val="center"/>
          </w:tcPr>
          <w:p w14:paraId="23C05B5F"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7. Concluziile expertizelor</w:t>
            </w:r>
          </w:p>
        </w:tc>
      </w:tr>
      <w:tr w:rsidR="00C264FF" w:rsidRPr="00C4754A" w14:paraId="4B4D7462" w14:textId="77777777" w:rsidTr="00EB750B">
        <w:trPr>
          <w:trHeight w:val="483"/>
        </w:trPr>
        <w:tc>
          <w:tcPr>
            <w:tcW w:w="10170" w:type="dxa"/>
            <w:vAlign w:val="center"/>
          </w:tcPr>
          <w:p w14:paraId="6EEB1339" w14:textId="69FD0D30" w:rsidR="00C264FF" w:rsidRPr="00C4754A" w:rsidRDefault="004C4936" w:rsidP="0025532F">
            <w:pPr>
              <w:tabs>
                <w:tab w:val="left" w:pos="993"/>
              </w:tabs>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Proiectul va fi expertizat de</w:t>
            </w:r>
            <w:r w:rsidR="00EB2FC7">
              <w:rPr>
                <w:rFonts w:ascii="Times New Roman" w:eastAsia="Times New Roman" w:hAnsi="Times New Roman" w:cs="Times New Roman"/>
                <w:sz w:val="24"/>
                <w:szCs w:val="24"/>
                <w:lang w:val="ro-MD"/>
              </w:rPr>
              <w:t xml:space="preserve"> către Ministerul Justiției și</w:t>
            </w:r>
            <w:r>
              <w:rPr>
                <w:rFonts w:ascii="Times New Roman" w:eastAsia="Times New Roman" w:hAnsi="Times New Roman" w:cs="Times New Roman"/>
                <w:sz w:val="24"/>
                <w:szCs w:val="24"/>
                <w:lang w:val="ro-MD"/>
              </w:rPr>
              <w:t xml:space="preserve"> Centrul Național </w:t>
            </w:r>
            <w:r w:rsidR="00EB2FC7">
              <w:rPr>
                <w:rFonts w:ascii="Times New Roman" w:eastAsia="Times New Roman" w:hAnsi="Times New Roman" w:cs="Times New Roman"/>
                <w:sz w:val="24"/>
                <w:szCs w:val="24"/>
                <w:lang w:val="ro-MD"/>
              </w:rPr>
              <w:t>Anticorupție</w:t>
            </w:r>
          </w:p>
        </w:tc>
      </w:tr>
      <w:tr w:rsidR="00C264FF" w:rsidRPr="00C4754A" w14:paraId="63A6A835" w14:textId="77777777" w:rsidTr="00EB750B">
        <w:trPr>
          <w:trHeight w:val="483"/>
        </w:trPr>
        <w:tc>
          <w:tcPr>
            <w:tcW w:w="10170" w:type="dxa"/>
            <w:shd w:val="clear" w:color="auto" w:fill="3D85C6"/>
            <w:vAlign w:val="center"/>
          </w:tcPr>
          <w:p w14:paraId="7576A50C"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8. Modul de încorporare a actului în cadrul normativ existent</w:t>
            </w:r>
          </w:p>
        </w:tc>
      </w:tr>
      <w:tr w:rsidR="00C264FF" w:rsidRPr="00C4754A" w14:paraId="27C48FD7" w14:textId="77777777" w:rsidTr="00EB750B">
        <w:trPr>
          <w:trHeight w:val="483"/>
        </w:trPr>
        <w:tc>
          <w:tcPr>
            <w:tcW w:w="10170" w:type="dxa"/>
            <w:vAlign w:val="center"/>
          </w:tcPr>
          <w:p w14:paraId="0B8FD3FF" w14:textId="5DFC3982" w:rsidR="00C264FF" w:rsidRPr="00C4754A" w:rsidRDefault="004C4936" w:rsidP="003651FD">
            <w:pPr>
              <w:spacing w:after="0" w:line="240" w:lineRule="auto"/>
              <w:ind w:right="141"/>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 xml:space="preserve">Proiectul de </w:t>
            </w:r>
            <w:r w:rsidR="003651FD">
              <w:rPr>
                <w:rFonts w:ascii="Times New Roman" w:eastAsia="Times New Roman" w:hAnsi="Times New Roman" w:cs="Times New Roman"/>
                <w:sz w:val="24"/>
                <w:szCs w:val="24"/>
                <w:lang w:val="ro-MD"/>
              </w:rPr>
              <w:t>ordin</w:t>
            </w:r>
            <w:r>
              <w:rPr>
                <w:rFonts w:ascii="Times New Roman" w:eastAsia="Times New Roman" w:hAnsi="Times New Roman" w:cs="Times New Roman"/>
                <w:sz w:val="24"/>
                <w:szCs w:val="24"/>
                <w:lang w:val="ro-MD"/>
              </w:rPr>
              <w:t xml:space="preserve"> nu implică modificarea altor acte normative</w:t>
            </w:r>
            <w:r w:rsidR="003651FD">
              <w:rPr>
                <w:rFonts w:ascii="Times New Roman" w:eastAsia="Times New Roman" w:hAnsi="Times New Roman" w:cs="Times New Roman"/>
                <w:sz w:val="24"/>
                <w:szCs w:val="24"/>
                <w:lang w:val="ro-MD"/>
              </w:rPr>
              <w:t>.</w:t>
            </w:r>
          </w:p>
        </w:tc>
      </w:tr>
      <w:tr w:rsidR="00C264FF" w:rsidRPr="00C4754A" w14:paraId="3142DD81" w14:textId="77777777" w:rsidTr="00EB750B">
        <w:trPr>
          <w:trHeight w:val="483"/>
        </w:trPr>
        <w:tc>
          <w:tcPr>
            <w:tcW w:w="10170" w:type="dxa"/>
            <w:shd w:val="clear" w:color="auto" w:fill="3D85C6"/>
            <w:vAlign w:val="center"/>
          </w:tcPr>
          <w:p w14:paraId="3ACEF968"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9. Măsurile necesare pentru implementarea prevederilor proiectului actului normativ</w:t>
            </w:r>
          </w:p>
        </w:tc>
      </w:tr>
      <w:tr w:rsidR="00C264FF" w:rsidRPr="00C4754A" w14:paraId="27A3251A" w14:textId="77777777" w:rsidTr="00EB750B">
        <w:trPr>
          <w:trHeight w:val="483"/>
        </w:trPr>
        <w:tc>
          <w:tcPr>
            <w:tcW w:w="10170" w:type="dxa"/>
            <w:vAlign w:val="center"/>
          </w:tcPr>
          <w:p w14:paraId="6D3865B8" w14:textId="0A735B91" w:rsidR="00C264FF" w:rsidRPr="00C4754A" w:rsidRDefault="003651FD" w:rsidP="0058258D">
            <w:pPr>
              <w:spacing w:line="276" w:lineRule="auto"/>
              <w:jc w:val="both"/>
              <w:rPr>
                <w:rFonts w:ascii="Times New Roman" w:eastAsia="Times New Roman" w:hAnsi="Times New Roman" w:cs="Times New Roman"/>
                <w:sz w:val="24"/>
                <w:szCs w:val="24"/>
                <w:lang w:val="ro-MD"/>
              </w:rPr>
            </w:pPr>
            <w:r w:rsidRPr="003651FD">
              <w:rPr>
                <w:rFonts w:ascii="Times New Roman" w:eastAsia="Times New Roman" w:hAnsi="Times New Roman" w:cs="Times New Roman"/>
                <w:sz w:val="24"/>
                <w:szCs w:val="24"/>
                <w:lang w:val="ro-MD"/>
              </w:rPr>
              <w:t xml:space="preserve">Se propune ca prevederile proiectului </w:t>
            </w:r>
            <w:r w:rsidR="00D24C0A">
              <w:rPr>
                <w:rFonts w:ascii="Times New Roman" w:eastAsia="Times New Roman" w:hAnsi="Times New Roman" w:cs="Times New Roman"/>
                <w:sz w:val="24"/>
                <w:szCs w:val="24"/>
                <w:lang w:val="ro-MD"/>
              </w:rPr>
              <w:t xml:space="preserve">de ordin </w:t>
            </w:r>
            <w:r w:rsidRPr="003651FD">
              <w:rPr>
                <w:rFonts w:ascii="Times New Roman" w:eastAsia="Times New Roman" w:hAnsi="Times New Roman" w:cs="Times New Roman"/>
                <w:sz w:val="24"/>
                <w:szCs w:val="24"/>
                <w:lang w:val="ro-MD"/>
              </w:rPr>
              <w:t xml:space="preserve">să intre în vigoare la data </w:t>
            </w:r>
            <w:r w:rsidR="0058258D">
              <w:rPr>
                <w:rFonts w:ascii="Times New Roman" w:eastAsia="Times New Roman" w:hAnsi="Times New Roman" w:cs="Times New Roman"/>
                <w:sz w:val="24"/>
                <w:szCs w:val="24"/>
                <w:lang w:val="ro-MD"/>
              </w:rPr>
              <w:t>de 01 septembrie 2026.</w:t>
            </w:r>
          </w:p>
        </w:tc>
      </w:tr>
    </w:tbl>
    <w:p w14:paraId="38D32798"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17A2C132"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01EA827F"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1C9CF371" w14:textId="77777777" w:rsidR="00C264FF" w:rsidRPr="00C4754A" w:rsidRDefault="00BB3AA2">
      <w:pPr>
        <w:spacing w:after="0" w:line="240" w:lineRule="auto"/>
        <w:ind w:right="141"/>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Ministru                                         Dan PERCIUN</w:t>
      </w:r>
    </w:p>
    <w:p w14:paraId="4C33FD76"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018F6652"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0E548997"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0F994483" w14:textId="77777777" w:rsidR="00E965CE" w:rsidRDefault="00E965CE">
      <w:pPr>
        <w:spacing w:after="0" w:line="240" w:lineRule="auto"/>
        <w:ind w:right="141"/>
        <w:rPr>
          <w:rFonts w:ascii="Times New Roman" w:eastAsia="Times New Roman" w:hAnsi="Times New Roman" w:cs="Times New Roman"/>
          <w:i/>
          <w:iCs/>
          <w:color w:val="000000"/>
          <w:sz w:val="18"/>
          <w:szCs w:val="18"/>
          <w:lang w:val="ro-MD"/>
        </w:rPr>
      </w:pPr>
    </w:p>
    <w:p w14:paraId="05E6004E" w14:textId="77777777" w:rsidR="00E965CE" w:rsidRDefault="00E965CE">
      <w:pPr>
        <w:spacing w:after="0" w:line="240" w:lineRule="auto"/>
        <w:ind w:right="141"/>
        <w:rPr>
          <w:rFonts w:ascii="Times New Roman" w:eastAsia="Times New Roman" w:hAnsi="Times New Roman" w:cs="Times New Roman"/>
          <w:i/>
          <w:iCs/>
          <w:color w:val="000000"/>
          <w:sz w:val="18"/>
          <w:szCs w:val="18"/>
          <w:lang w:val="ro-MD"/>
        </w:rPr>
      </w:pPr>
    </w:p>
    <w:p w14:paraId="63A651FA" w14:textId="77777777" w:rsidR="00E965CE" w:rsidRDefault="00E965CE">
      <w:pPr>
        <w:spacing w:after="0" w:line="240" w:lineRule="auto"/>
        <w:ind w:right="141"/>
        <w:rPr>
          <w:rFonts w:ascii="Times New Roman" w:eastAsia="Times New Roman" w:hAnsi="Times New Roman" w:cs="Times New Roman"/>
          <w:i/>
          <w:iCs/>
          <w:color w:val="000000"/>
          <w:sz w:val="18"/>
          <w:szCs w:val="18"/>
          <w:lang w:val="ro-MD"/>
        </w:rPr>
      </w:pPr>
    </w:p>
    <w:p w14:paraId="7EA3D303" w14:textId="77777777" w:rsidR="00E965CE" w:rsidRDefault="00E965CE">
      <w:pPr>
        <w:spacing w:after="0" w:line="240" w:lineRule="auto"/>
        <w:ind w:right="141"/>
        <w:rPr>
          <w:rFonts w:ascii="Times New Roman" w:eastAsia="Times New Roman" w:hAnsi="Times New Roman" w:cs="Times New Roman"/>
          <w:i/>
          <w:iCs/>
          <w:color w:val="000000"/>
          <w:sz w:val="18"/>
          <w:szCs w:val="18"/>
          <w:lang w:val="ro-MD"/>
        </w:rPr>
      </w:pPr>
    </w:p>
    <w:p w14:paraId="6DE30935" w14:textId="77777777" w:rsidR="00E965CE" w:rsidRDefault="00E965CE">
      <w:pPr>
        <w:spacing w:after="0" w:line="240" w:lineRule="auto"/>
        <w:ind w:right="141"/>
        <w:rPr>
          <w:rFonts w:ascii="Times New Roman" w:eastAsia="Times New Roman" w:hAnsi="Times New Roman" w:cs="Times New Roman"/>
          <w:i/>
          <w:iCs/>
          <w:color w:val="000000"/>
          <w:sz w:val="18"/>
          <w:szCs w:val="18"/>
          <w:lang w:val="ro-MD"/>
        </w:rPr>
      </w:pPr>
    </w:p>
    <w:p w14:paraId="39E51E7B" w14:textId="77777777" w:rsidR="00E965CE" w:rsidRDefault="00E965CE">
      <w:pPr>
        <w:spacing w:after="0" w:line="240" w:lineRule="auto"/>
        <w:ind w:right="141"/>
        <w:rPr>
          <w:rFonts w:ascii="Times New Roman" w:eastAsia="Times New Roman" w:hAnsi="Times New Roman" w:cs="Times New Roman"/>
          <w:i/>
          <w:iCs/>
          <w:color w:val="000000"/>
          <w:sz w:val="18"/>
          <w:szCs w:val="18"/>
          <w:lang w:val="ro-MD"/>
        </w:rPr>
      </w:pPr>
    </w:p>
    <w:p w14:paraId="181F0A35"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2C9988D9" w14:textId="7452BDD1" w:rsidR="00C264FF" w:rsidRDefault="003676CC">
      <w:pPr>
        <w:spacing w:after="0" w:line="240" w:lineRule="auto"/>
        <w:ind w:right="141"/>
        <w:rPr>
          <w:rFonts w:ascii="Times New Roman" w:eastAsia="Times New Roman" w:hAnsi="Times New Roman" w:cs="Times New Roman"/>
          <w:i/>
          <w:iCs/>
          <w:color w:val="000000"/>
          <w:sz w:val="18"/>
          <w:szCs w:val="18"/>
          <w:lang w:val="ro-MD"/>
        </w:rPr>
      </w:pPr>
      <w:r w:rsidRPr="00AE7DA4">
        <w:rPr>
          <w:rFonts w:ascii="Times New Roman" w:eastAsia="Times New Roman" w:hAnsi="Times New Roman" w:cs="Times New Roman"/>
          <w:i/>
          <w:iCs/>
          <w:color w:val="000000"/>
          <w:sz w:val="18"/>
          <w:szCs w:val="18"/>
          <w:lang w:val="ro-MD"/>
        </w:rPr>
        <w:t xml:space="preserve">Ex.: </w:t>
      </w:r>
      <w:r w:rsidR="00DF104E">
        <w:rPr>
          <w:rFonts w:ascii="Times New Roman" w:eastAsia="Times New Roman" w:hAnsi="Times New Roman" w:cs="Times New Roman"/>
          <w:i/>
          <w:iCs/>
          <w:color w:val="000000"/>
          <w:sz w:val="18"/>
          <w:szCs w:val="18"/>
          <w:lang w:val="ro-MD"/>
        </w:rPr>
        <w:t>M</w:t>
      </w:r>
      <w:r w:rsidRPr="00AE7DA4">
        <w:rPr>
          <w:rFonts w:ascii="Times New Roman" w:eastAsia="Times New Roman" w:hAnsi="Times New Roman" w:cs="Times New Roman"/>
          <w:i/>
          <w:iCs/>
          <w:color w:val="000000"/>
          <w:sz w:val="18"/>
          <w:szCs w:val="18"/>
          <w:lang w:val="ro-MD"/>
        </w:rPr>
        <w:t>. Baleca</w:t>
      </w:r>
      <w:r w:rsidR="00AE7DA4" w:rsidRPr="00AE7DA4">
        <w:rPr>
          <w:rFonts w:ascii="Times New Roman" w:eastAsia="Times New Roman" w:hAnsi="Times New Roman" w:cs="Times New Roman"/>
          <w:i/>
          <w:iCs/>
          <w:color w:val="000000"/>
          <w:sz w:val="18"/>
          <w:szCs w:val="18"/>
          <w:lang w:val="ro-MD"/>
        </w:rPr>
        <w:t>, tel. 0(22) 23 32 12</w:t>
      </w:r>
    </w:p>
    <w:p w14:paraId="31C882E8" w14:textId="647F5FD0" w:rsidR="00DF104E" w:rsidRPr="00AE7DA4" w:rsidRDefault="00717C4E">
      <w:pPr>
        <w:spacing w:after="0" w:line="240" w:lineRule="auto"/>
        <w:ind w:right="141"/>
        <w:rPr>
          <w:rFonts w:ascii="Times New Roman" w:eastAsia="Times New Roman" w:hAnsi="Times New Roman" w:cs="Times New Roman"/>
          <w:i/>
          <w:iCs/>
          <w:color w:val="000000"/>
          <w:sz w:val="18"/>
          <w:szCs w:val="18"/>
          <w:lang w:val="ro-MD"/>
        </w:rPr>
      </w:pPr>
      <w:r>
        <w:rPr>
          <w:rFonts w:ascii="Times New Roman" w:eastAsia="Times New Roman" w:hAnsi="Times New Roman" w:cs="Times New Roman"/>
          <w:i/>
          <w:iCs/>
          <w:color w:val="000000"/>
          <w:sz w:val="18"/>
          <w:szCs w:val="18"/>
          <w:lang w:val="ro-MD"/>
        </w:rPr>
        <w:t xml:space="preserve">       D. </w:t>
      </w:r>
      <w:proofErr w:type="spellStart"/>
      <w:r>
        <w:rPr>
          <w:rFonts w:ascii="Times New Roman" w:eastAsia="Times New Roman" w:hAnsi="Times New Roman" w:cs="Times New Roman"/>
          <w:i/>
          <w:iCs/>
          <w:color w:val="000000"/>
          <w:sz w:val="18"/>
          <w:szCs w:val="18"/>
          <w:lang w:val="ro-MD"/>
        </w:rPr>
        <w:t>Clipaci</w:t>
      </w:r>
      <w:proofErr w:type="spellEnd"/>
      <w:r w:rsidR="00DF104E">
        <w:rPr>
          <w:rFonts w:ascii="Times New Roman" w:eastAsia="Times New Roman" w:hAnsi="Times New Roman" w:cs="Times New Roman"/>
          <w:i/>
          <w:iCs/>
          <w:color w:val="000000"/>
          <w:sz w:val="18"/>
          <w:szCs w:val="18"/>
          <w:lang w:val="ro-MD"/>
        </w:rPr>
        <w:t xml:space="preserve">, tel. </w:t>
      </w:r>
      <w:r>
        <w:rPr>
          <w:rFonts w:ascii="Times New Roman" w:eastAsia="Times New Roman" w:hAnsi="Times New Roman" w:cs="Times New Roman"/>
          <w:i/>
          <w:iCs/>
          <w:color w:val="000000"/>
          <w:sz w:val="18"/>
          <w:szCs w:val="18"/>
          <w:lang w:val="ro-MD"/>
        </w:rPr>
        <w:t>067664701</w:t>
      </w:r>
    </w:p>
    <w:sectPr w:rsidR="00DF104E" w:rsidRPr="00AE7DA4" w:rsidSect="00E87BD1">
      <w:footerReference w:type="default" r:id="rId8"/>
      <w:pgSz w:w="11906" w:h="16838"/>
      <w:pgMar w:top="851" w:right="707" w:bottom="709" w:left="1276"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7A62" w14:textId="77777777" w:rsidR="00C34DC8" w:rsidRDefault="00C34DC8">
      <w:pPr>
        <w:spacing w:after="0" w:line="240" w:lineRule="auto"/>
      </w:pPr>
      <w:r>
        <w:separator/>
      </w:r>
    </w:p>
  </w:endnote>
  <w:endnote w:type="continuationSeparator" w:id="0">
    <w:p w14:paraId="739518E3" w14:textId="77777777" w:rsidR="00C34DC8" w:rsidRDefault="00C3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CF9B" w14:textId="77777777" w:rsidR="0013340C" w:rsidRDefault="0013340C">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4F55C0">
      <w:rPr>
        <w:rFonts w:eastAsia="Calibri"/>
        <w:noProof/>
        <w:color w:val="000000"/>
      </w:rPr>
      <w:t>3</w:t>
    </w:r>
    <w:r>
      <w:rPr>
        <w:rFonts w:eastAsia="Calibri"/>
        <w:color w:val="000000"/>
      </w:rPr>
      <w:fldChar w:fldCharType="end"/>
    </w:r>
  </w:p>
  <w:p w14:paraId="11672249" w14:textId="77777777" w:rsidR="0013340C" w:rsidRDefault="0013340C">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0A01C" w14:textId="77777777" w:rsidR="00C34DC8" w:rsidRDefault="00C34DC8">
      <w:pPr>
        <w:spacing w:after="0" w:line="240" w:lineRule="auto"/>
      </w:pPr>
      <w:r>
        <w:separator/>
      </w:r>
    </w:p>
  </w:footnote>
  <w:footnote w:type="continuationSeparator" w:id="0">
    <w:p w14:paraId="30400CDD" w14:textId="77777777" w:rsidR="00C34DC8" w:rsidRDefault="00C34D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5646"/>
    <w:multiLevelType w:val="hybridMultilevel"/>
    <w:tmpl w:val="FDC07B5C"/>
    <w:lvl w:ilvl="0" w:tplc="B00E73FC">
      <w:start w:val="2"/>
      <w:numFmt w:val="bullet"/>
      <w:lvlText w:val="-"/>
      <w:lvlJc w:val="left"/>
      <w:pPr>
        <w:ind w:left="914" w:hanging="360"/>
      </w:pPr>
      <w:rPr>
        <w:rFonts w:ascii="Times New Roman" w:eastAsia="Times New Roman" w:hAnsi="Times New Roman" w:cs="Times New Roman" w:hint="default"/>
      </w:rPr>
    </w:lvl>
    <w:lvl w:ilvl="1" w:tplc="04190003" w:tentative="1">
      <w:start w:val="1"/>
      <w:numFmt w:val="bullet"/>
      <w:lvlText w:val="o"/>
      <w:lvlJc w:val="left"/>
      <w:pPr>
        <w:ind w:left="1634" w:hanging="360"/>
      </w:pPr>
      <w:rPr>
        <w:rFonts w:ascii="Courier New" w:hAnsi="Courier New" w:cs="Courier New" w:hint="default"/>
      </w:rPr>
    </w:lvl>
    <w:lvl w:ilvl="2" w:tplc="04190005" w:tentative="1">
      <w:start w:val="1"/>
      <w:numFmt w:val="bullet"/>
      <w:lvlText w:val=""/>
      <w:lvlJc w:val="left"/>
      <w:pPr>
        <w:ind w:left="2354" w:hanging="360"/>
      </w:pPr>
      <w:rPr>
        <w:rFonts w:ascii="Wingdings" w:hAnsi="Wingdings" w:hint="default"/>
      </w:rPr>
    </w:lvl>
    <w:lvl w:ilvl="3" w:tplc="04190001" w:tentative="1">
      <w:start w:val="1"/>
      <w:numFmt w:val="bullet"/>
      <w:lvlText w:val=""/>
      <w:lvlJc w:val="left"/>
      <w:pPr>
        <w:ind w:left="3074" w:hanging="360"/>
      </w:pPr>
      <w:rPr>
        <w:rFonts w:ascii="Symbol" w:hAnsi="Symbol" w:hint="default"/>
      </w:rPr>
    </w:lvl>
    <w:lvl w:ilvl="4" w:tplc="04190003" w:tentative="1">
      <w:start w:val="1"/>
      <w:numFmt w:val="bullet"/>
      <w:lvlText w:val="o"/>
      <w:lvlJc w:val="left"/>
      <w:pPr>
        <w:ind w:left="3794" w:hanging="360"/>
      </w:pPr>
      <w:rPr>
        <w:rFonts w:ascii="Courier New" w:hAnsi="Courier New" w:cs="Courier New" w:hint="default"/>
      </w:rPr>
    </w:lvl>
    <w:lvl w:ilvl="5" w:tplc="04190005" w:tentative="1">
      <w:start w:val="1"/>
      <w:numFmt w:val="bullet"/>
      <w:lvlText w:val=""/>
      <w:lvlJc w:val="left"/>
      <w:pPr>
        <w:ind w:left="4514" w:hanging="360"/>
      </w:pPr>
      <w:rPr>
        <w:rFonts w:ascii="Wingdings" w:hAnsi="Wingdings" w:hint="default"/>
      </w:rPr>
    </w:lvl>
    <w:lvl w:ilvl="6" w:tplc="04190001" w:tentative="1">
      <w:start w:val="1"/>
      <w:numFmt w:val="bullet"/>
      <w:lvlText w:val=""/>
      <w:lvlJc w:val="left"/>
      <w:pPr>
        <w:ind w:left="5234" w:hanging="360"/>
      </w:pPr>
      <w:rPr>
        <w:rFonts w:ascii="Symbol" w:hAnsi="Symbol" w:hint="default"/>
      </w:rPr>
    </w:lvl>
    <w:lvl w:ilvl="7" w:tplc="04190003" w:tentative="1">
      <w:start w:val="1"/>
      <w:numFmt w:val="bullet"/>
      <w:lvlText w:val="o"/>
      <w:lvlJc w:val="left"/>
      <w:pPr>
        <w:ind w:left="5954" w:hanging="360"/>
      </w:pPr>
      <w:rPr>
        <w:rFonts w:ascii="Courier New" w:hAnsi="Courier New" w:cs="Courier New" w:hint="default"/>
      </w:rPr>
    </w:lvl>
    <w:lvl w:ilvl="8" w:tplc="04190005" w:tentative="1">
      <w:start w:val="1"/>
      <w:numFmt w:val="bullet"/>
      <w:lvlText w:val=""/>
      <w:lvlJc w:val="left"/>
      <w:pPr>
        <w:ind w:left="6674" w:hanging="360"/>
      </w:pPr>
      <w:rPr>
        <w:rFonts w:ascii="Wingdings" w:hAnsi="Wingdings" w:hint="default"/>
      </w:rPr>
    </w:lvl>
  </w:abstractNum>
  <w:abstractNum w:abstractNumId="1" w15:restartNumberingAfterBreak="0">
    <w:nsid w:val="39B461F2"/>
    <w:multiLevelType w:val="hybridMultilevel"/>
    <w:tmpl w:val="ACE8DAE0"/>
    <w:lvl w:ilvl="0" w:tplc="25D6DAC0">
      <w:start w:val="2"/>
      <w:numFmt w:val="bullet"/>
      <w:lvlText w:val="-"/>
      <w:lvlJc w:val="left"/>
      <w:pPr>
        <w:ind w:left="720" w:hanging="360"/>
      </w:pPr>
      <w:rPr>
        <w:rFonts w:ascii="Times New Roman" w:eastAsia="Times New Roman" w:hAnsi="Times New Roman" w:cs="Times New Roman" w:hint="default"/>
        <w:b/>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C0346FB"/>
    <w:multiLevelType w:val="hybridMultilevel"/>
    <w:tmpl w:val="80F84C3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61B9329B"/>
    <w:multiLevelType w:val="hybridMultilevel"/>
    <w:tmpl w:val="03BC7BA0"/>
    <w:lvl w:ilvl="0" w:tplc="595ED6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5B6DC1"/>
    <w:multiLevelType w:val="multilevel"/>
    <w:tmpl w:val="AC50E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FF"/>
    <w:rsid w:val="00001BA2"/>
    <w:rsid w:val="00006CEC"/>
    <w:rsid w:val="00020A8F"/>
    <w:rsid w:val="00021521"/>
    <w:rsid w:val="00023CF1"/>
    <w:rsid w:val="00041E0C"/>
    <w:rsid w:val="00055101"/>
    <w:rsid w:val="000649AB"/>
    <w:rsid w:val="00083CC3"/>
    <w:rsid w:val="00094B90"/>
    <w:rsid w:val="00096C53"/>
    <w:rsid w:val="000B135F"/>
    <w:rsid w:val="000C1D11"/>
    <w:rsid w:val="000C3C46"/>
    <w:rsid w:val="000E473E"/>
    <w:rsid w:val="0013340C"/>
    <w:rsid w:val="00137C80"/>
    <w:rsid w:val="0014509E"/>
    <w:rsid w:val="00152D90"/>
    <w:rsid w:val="00167854"/>
    <w:rsid w:val="00172A0F"/>
    <w:rsid w:val="00175A3F"/>
    <w:rsid w:val="001878EB"/>
    <w:rsid w:val="00187E64"/>
    <w:rsid w:val="00193FB9"/>
    <w:rsid w:val="00195ACA"/>
    <w:rsid w:val="001B69A6"/>
    <w:rsid w:val="001F123B"/>
    <w:rsid w:val="002200D7"/>
    <w:rsid w:val="00235C3A"/>
    <w:rsid w:val="00241C89"/>
    <w:rsid w:val="0025532F"/>
    <w:rsid w:val="00257685"/>
    <w:rsid w:val="00261806"/>
    <w:rsid w:val="00271B72"/>
    <w:rsid w:val="002B5F77"/>
    <w:rsid w:val="002D3E1E"/>
    <w:rsid w:val="002E0683"/>
    <w:rsid w:val="002E20A9"/>
    <w:rsid w:val="002F6780"/>
    <w:rsid w:val="003007BB"/>
    <w:rsid w:val="0030515C"/>
    <w:rsid w:val="00322197"/>
    <w:rsid w:val="00324025"/>
    <w:rsid w:val="003309E1"/>
    <w:rsid w:val="0034177E"/>
    <w:rsid w:val="00356E40"/>
    <w:rsid w:val="00362367"/>
    <w:rsid w:val="003651FD"/>
    <w:rsid w:val="003676CC"/>
    <w:rsid w:val="0037039C"/>
    <w:rsid w:val="0038471B"/>
    <w:rsid w:val="003A2C90"/>
    <w:rsid w:val="003B054F"/>
    <w:rsid w:val="003D573E"/>
    <w:rsid w:val="003D7177"/>
    <w:rsid w:val="003F11BA"/>
    <w:rsid w:val="003F1BD4"/>
    <w:rsid w:val="00402A50"/>
    <w:rsid w:val="00417650"/>
    <w:rsid w:val="004951F3"/>
    <w:rsid w:val="004A56ED"/>
    <w:rsid w:val="004C20EC"/>
    <w:rsid w:val="004C473C"/>
    <w:rsid w:val="004C4936"/>
    <w:rsid w:val="004C4DDC"/>
    <w:rsid w:val="004F55C0"/>
    <w:rsid w:val="0053529C"/>
    <w:rsid w:val="00544F1B"/>
    <w:rsid w:val="00547216"/>
    <w:rsid w:val="00564943"/>
    <w:rsid w:val="005772EC"/>
    <w:rsid w:val="00580FE2"/>
    <w:rsid w:val="0058258D"/>
    <w:rsid w:val="00585EA8"/>
    <w:rsid w:val="005A07A0"/>
    <w:rsid w:val="005A2347"/>
    <w:rsid w:val="005B030E"/>
    <w:rsid w:val="005E73A2"/>
    <w:rsid w:val="00632761"/>
    <w:rsid w:val="00640840"/>
    <w:rsid w:val="0064778F"/>
    <w:rsid w:val="006478AB"/>
    <w:rsid w:val="006643E7"/>
    <w:rsid w:val="00667D52"/>
    <w:rsid w:val="006A43AB"/>
    <w:rsid w:val="006B0BA7"/>
    <w:rsid w:val="006B6A3B"/>
    <w:rsid w:val="006D4981"/>
    <w:rsid w:val="00700478"/>
    <w:rsid w:val="00705F76"/>
    <w:rsid w:val="00717C4E"/>
    <w:rsid w:val="00723175"/>
    <w:rsid w:val="00751C85"/>
    <w:rsid w:val="00772B5D"/>
    <w:rsid w:val="007804A8"/>
    <w:rsid w:val="00782BB1"/>
    <w:rsid w:val="007833CC"/>
    <w:rsid w:val="007836EA"/>
    <w:rsid w:val="00794192"/>
    <w:rsid w:val="007B5D10"/>
    <w:rsid w:val="007C3D2C"/>
    <w:rsid w:val="007D3AB1"/>
    <w:rsid w:val="007D6283"/>
    <w:rsid w:val="007F3A9B"/>
    <w:rsid w:val="007F69FB"/>
    <w:rsid w:val="00801133"/>
    <w:rsid w:val="00807D98"/>
    <w:rsid w:val="00810120"/>
    <w:rsid w:val="008209B0"/>
    <w:rsid w:val="008617FE"/>
    <w:rsid w:val="00873A54"/>
    <w:rsid w:val="008A4CF8"/>
    <w:rsid w:val="008C38EC"/>
    <w:rsid w:val="008E14D0"/>
    <w:rsid w:val="008F5BFC"/>
    <w:rsid w:val="0090615A"/>
    <w:rsid w:val="00981F9C"/>
    <w:rsid w:val="009916EF"/>
    <w:rsid w:val="00A0711B"/>
    <w:rsid w:val="00A113E7"/>
    <w:rsid w:val="00A114ED"/>
    <w:rsid w:val="00A178A7"/>
    <w:rsid w:val="00A41E70"/>
    <w:rsid w:val="00A466D1"/>
    <w:rsid w:val="00A5753B"/>
    <w:rsid w:val="00A82984"/>
    <w:rsid w:val="00A92C36"/>
    <w:rsid w:val="00AA6018"/>
    <w:rsid w:val="00AE7DA4"/>
    <w:rsid w:val="00B15472"/>
    <w:rsid w:val="00B2298C"/>
    <w:rsid w:val="00B312DC"/>
    <w:rsid w:val="00B37AB5"/>
    <w:rsid w:val="00B4184B"/>
    <w:rsid w:val="00B45852"/>
    <w:rsid w:val="00B46018"/>
    <w:rsid w:val="00B47B5D"/>
    <w:rsid w:val="00B47FF6"/>
    <w:rsid w:val="00B55965"/>
    <w:rsid w:val="00B65620"/>
    <w:rsid w:val="00B67F6F"/>
    <w:rsid w:val="00B745CC"/>
    <w:rsid w:val="00B8377F"/>
    <w:rsid w:val="00BB3AA2"/>
    <w:rsid w:val="00BC025E"/>
    <w:rsid w:val="00BC0BFD"/>
    <w:rsid w:val="00BF262A"/>
    <w:rsid w:val="00BF5ACB"/>
    <w:rsid w:val="00C05826"/>
    <w:rsid w:val="00C264FF"/>
    <w:rsid w:val="00C27274"/>
    <w:rsid w:val="00C34DC8"/>
    <w:rsid w:val="00C42D5C"/>
    <w:rsid w:val="00C4754A"/>
    <w:rsid w:val="00C558BE"/>
    <w:rsid w:val="00C55F8F"/>
    <w:rsid w:val="00C57D80"/>
    <w:rsid w:val="00C727EE"/>
    <w:rsid w:val="00C80BE6"/>
    <w:rsid w:val="00C83073"/>
    <w:rsid w:val="00C92635"/>
    <w:rsid w:val="00CA5143"/>
    <w:rsid w:val="00CA5419"/>
    <w:rsid w:val="00CA54E4"/>
    <w:rsid w:val="00CB00BE"/>
    <w:rsid w:val="00CB5143"/>
    <w:rsid w:val="00CC424E"/>
    <w:rsid w:val="00CE132A"/>
    <w:rsid w:val="00CE3EDC"/>
    <w:rsid w:val="00CF1008"/>
    <w:rsid w:val="00CF3B89"/>
    <w:rsid w:val="00D00BA3"/>
    <w:rsid w:val="00D13508"/>
    <w:rsid w:val="00D21801"/>
    <w:rsid w:val="00D24C0A"/>
    <w:rsid w:val="00D53C46"/>
    <w:rsid w:val="00D713E1"/>
    <w:rsid w:val="00D81210"/>
    <w:rsid w:val="00D842A9"/>
    <w:rsid w:val="00DC096E"/>
    <w:rsid w:val="00DC707D"/>
    <w:rsid w:val="00DD554A"/>
    <w:rsid w:val="00DE7F16"/>
    <w:rsid w:val="00DF104E"/>
    <w:rsid w:val="00E00D95"/>
    <w:rsid w:val="00E07BBA"/>
    <w:rsid w:val="00E223C5"/>
    <w:rsid w:val="00E61443"/>
    <w:rsid w:val="00E71776"/>
    <w:rsid w:val="00E74095"/>
    <w:rsid w:val="00E87BD1"/>
    <w:rsid w:val="00E9382E"/>
    <w:rsid w:val="00E965CE"/>
    <w:rsid w:val="00EB2FC7"/>
    <w:rsid w:val="00EB3090"/>
    <w:rsid w:val="00EB4162"/>
    <w:rsid w:val="00EB750B"/>
    <w:rsid w:val="00EC0111"/>
    <w:rsid w:val="00EC1FB3"/>
    <w:rsid w:val="00EC275D"/>
    <w:rsid w:val="00EC2CE1"/>
    <w:rsid w:val="00EC4508"/>
    <w:rsid w:val="00EF0428"/>
    <w:rsid w:val="00EF3647"/>
    <w:rsid w:val="00F03E8F"/>
    <w:rsid w:val="00F11AF7"/>
    <w:rsid w:val="00F26F15"/>
    <w:rsid w:val="00F348D9"/>
    <w:rsid w:val="00F55B0B"/>
    <w:rsid w:val="00F74E2E"/>
    <w:rsid w:val="00F94041"/>
    <w:rsid w:val="00FB1519"/>
    <w:rsid w:val="00FB465C"/>
    <w:rsid w:val="00FC0361"/>
    <w:rsid w:val="00FF1333"/>
    <w:rsid w:val="00FF3063"/>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C52D"/>
  <w15:docId w15:val="{122FFCA0-4523-4B63-9068-A9485B0D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5E3"/>
    <w:rPr>
      <w:rFonts w:eastAsiaTheme="minorEastAsia"/>
    </w:rPr>
  </w:style>
  <w:style w:type="paragraph" w:styleId="Titlu1">
    <w:name w:val="heading 1"/>
    <w:basedOn w:val="Normal"/>
    <w:next w:val="Normal"/>
    <w:pPr>
      <w:keepNext/>
      <w:keepLines/>
      <w:spacing w:before="48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link w:val="Titlu4Caracte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pPr>
    <w:rPr>
      <w:b/>
      <w:sz w:val="72"/>
      <w:szCs w:val="72"/>
    </w:rPr>
  </w:style>
  <w:style w:type="paragraph" w:styleId="NormalWeb">
    <w:name w:val="Normal (Web)"/>
    <w:basedOn w:val="Normal"/>
    <w:uiPriority w:val="99"/>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Indentcorptext">
    <w:name w:val="Body Text Indent"/>
    <w:basedOn w:val="Normal"/>
    <w:link w:val="IndentcorptextCaracter"/>
    <w:rsid w:val="000948CB"/>
    <w:pPr>
      <w:autoSpaceDE w:val="0"/>
      <w:autoSpaceDN w:val="0"/>
      <w:spacing w:after="0" w:line="240" w:lineRule="auto"/>
      <w:ind w:firstLine="540"/>
      <w:jc w:val="both"/>
    </w:pPr>
    <w:rPr>
      <w:rFonts w:ascii="Times New Roman" w:eastAsia="Times New Roman" w:hAnsi="Times New Roman" w:cs="Arial"/>
      <w:sz w:val="28"/>
      <w:szCs w:val="20"/>
      <w:lang w:eastAsia="ru-RU"/>
    </w:rPr>
  </w:style>
  <w:style w:type="character" w:customStyle="1" w:styleId="IndentcorptextCaracter">
    <w:name w:val="Indent corp text Caracter"/>
    <w:basedOn w:val="Fontdeparagrafimplicit"/>
    <w:link w:val="Indentcorptext"/>
    <w:rsid w:val="000948CB"/>
    <w:rPr>
      <w:rFonts w:ascii="Times New Roman" w:eastAsia="Times New Roman" w:hAnsi="Times New Roman" w:cs="Arial"/>
      <w:sz w:val="28"/>
      <w:szCs w:val="20"/>
      <w:lang w:val="ro-RO" w:eastAsia="ru-RU"/>
    </w:rPr>
  </w:style>
  <w:style w:type="paragraph" w:styleId="PreformatatHTML">
    <w:name w:val="HTML Preformatted"/>
    <w:basedOn w:val="Normal"/>
    <w:link w:val="PreformatatHTMLCaracte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rsid w:val="000948CB"/>
    <w:rPr>
      <w:rFonts w:ascii="Courier New" w:eastAsia="Times New Roman" w:hAnsi="Courier New" w:cs="Courier New"/>
      <w:sz w:val="20"/>
      <w:szCs w:val="20"/>
      <w:lang w:eastAsia="ru-RU"/>
    </w:rPr>
  </w:style>
  <w:style w:type="paragraph" w:styleId="Listparagraf">
    <w:name w:val="List Paragraph"/>
    <w:basedOn w:val="Normal"/>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TextnBalon">
    <w:name w:val="Balloon Text"/>
    <w:basedOn w:val="Normal"/>
    <w:link w:val="TextnBalonCaracter"/>
    <w:uiPriority w:val="99"/>
    <w:semiHidden/>
    <w:unhideWhenUsed/>
    <w:rsid w:val="00684D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84DF8"/>
    <w:rPr>
      <w:rFonts w:ascii="Segoe UI" w:eastAsiaTheme="minorEastAsia" w:hAnsi="Segoe UI" w:cs="Segoe UI"/>
      <w:sz w:val="18"/>
      <w:szCs w:val="18"/>
    </w:rPr>
  </w:style>
  <w:style w:type="character" w:styleId="Referincomentariu">
    <w:name w:val="annotation reference"/>
    <w:basedOn w:val="Fontdeparagrafimplicit"/>
    <w:uiPriority w:val="99"/>
    <w:semiHidden/>
    <w:unhideWhenUsed/>
    <w:rsid w:val="00416C98"/>
    <w:rPr>
      <w:sz w:val="16"/>
      <w:szCs w:val="16"/>
    </w:rPr>
  </w:style>
  <w:style w:type="paragraph" w:styleId="Textcomentariu">
    <w:name w:val="annotation text"/>
    <w:basedOn w:val="Normal"/>
    <w:link w:val="TextcomentariuCaracter"/>
    <w:uiPriority w:val="99"/>
    <w:semiHidden/>
    <w:unhideWhenUsed/>
    <w:rsid w:val="00416C9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16C98"/>
    <w:rPr>
      <w:rFonts w:eastAsiaTheme="minorEastAsia"/>
      <w:sz w:val="20"/>
      <w:szCs w:val="20"/>
    </w:rPr>
  </w:style>
  <w:style w:type="paragraph" w:styleId="SubiectComentariu">
    <w:name w:val="annotation subject"/>
    <w:basedOn w:val="Textcomentariu"/>
    <w:next w:val="Textcomentariu"/>
    <w:link w:val="SubiectComentariuCaracter"/>
    <w:uiPriority w:val="99"/>
    <w:semiHidden/>
    <w:unhideWhenUsed/>
    <w:rsid w:val="00416C98"/>
    <w:rPr>
      <w:b/>
      <w:bCs/>
    </w:rPr>
  </w:style>
  <w:style w:type="character" w:customStyle="1" w:styleId="SubiectComentariuCaracter">
    <w:name w:val="Subiect Comentariu Caracter"/>
    <w:basedOn w:val="TextcomentariuCaracter"/>
    <w:link w:val="SubiectComentariu"/>
    <w:uiPriority w:val="99"/>
    <w:semiHidden/>
    <w:rsid w:val="00416C98"/>
    <w:rPr>
      <w:rFonts w:eastAsiaTheme="minorEastAsia"/>
      <w:b/>
      <w:bCs/>
      <w:sz w:val="20"/>
      <w:szCs w:val="20"/>
    </w:rPr>
  </w:style>
  <w:style w:type="paragraph" w:styleId="Revizuire">
    <w:name w:val="Revision"/>
    <w:hidden/>
    <w:uiPriority w:val="99"/>
    <w:semiHidden/>
    <w:rsid w:val="00001EFD"/>
    <w:pPr>
      <w:spacing w:after="0" w:line="240" w:lineRule="auto"/>
    </w:pPr>
    <w:rPr>
      <w:rFonts w:eastAsiaTheme="minorEastAsia"/>
    </w:rPr>
  </w:style>
  <w:style w:type="character" w:customStyle="1" w:styleId="object">
    <w:name w:val="object"/>
    <w:basedOn w:val="Fontdeparagrafimplicit"/>
    <w:rsid w:val="00DA5D62"/>
  </w:style>
  <w:style w:type="character" w:styleId="Accentuat">
    <w:name w:val="Emphasis"/>
    <w:basedOn w:val="Fontdeparagrafimplicit"/>
    <w:uiPriority w:val="20"/>
    <w:qFormat/>
    <w:rsid w:val="00DA5D62"/>
    <w:rPr>
      <w:i/>
      <w:iCs/>
    </w:rPr>
  </w:style>
  <w:style w:type="character" w:customStyle="1" w:styleId="Titlu4Caracter">
    <w:name w:val="Titlu 4 Caracter"/>
    <w:basedOn w:val="Fontdeparagrafimplicit"/>
    <w:link w:val="Titlu4"/>
    <w:uiPriority w:val="9"/>
    <w:rsid w:val="00A6124F"/>
    <w:rPr>
      <w:rFonts w:ascii="Times New Roman" w:eastAsia="Times New Roman" w:hAnsi="Times New Roman" w:cs="Times New Roman"/>
      <w:b/>
      <w:bCs/>
      <w:sz w:val="24"/>
      <w:szCs w:val="24"/>
      <w:lang w:val="en-US"/>
    </w:rPr>
  </w:style>
  <w:style w:type="character" w:styleId="Robust">
    <w:name w:val="Strong"/>
    <w:basedOn w:val="Fontdeparagrafimplicit"/>
    <w:uiPriority w:val="22"/>
    <w:qFormat/>
    <w:rsid w:val="00A6124F"/>
    <w:rPr>
      <w:b/>
      <w:bCs/>
    </w:rPr>
  </w:style>
  <w:style w:type="paragraph" w:styleId="Antet">
    <w:name w:val="header"/>
    <w:basedOn w:val="Normal"/>
    <w:link w:val="AntetCaracter"/>
    <w:uiPriority w:val="99"/>
    <w:unhideWhenUsed/>
    <w:rsid w:val="007B03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B032A"/>
    <w:rPr>
      <w:rFonts w:eastAsiaTheme="minorEastAsia"/>
      <w:sz w:val="21"/>
      <w:szCs w:val="21"/>
    </w:rPr>
  </w:style>
  <w:style w:type="paragraph" w:styleId="Subsol">
    <w:name w:val="footer"/>
    <w:basedOn w:val="Normal"/>
    <w:link w:val="SubsolCaracter"/>
    <w:uiPriority w:val="99"/>
    <w:unhideWhenUsed/>
    <w:rsid w:val="007B03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B032A"/>
    <w:rPr>
      <w:rFonts w:eastAsiaTheme="minorEastAsia"/>
      <w:sz w:val="21"/>
      <w:szCs w:val="21"/>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5603">
      <w:bodyDiv w:val="1"/>
      <w:marLeft w:val="0"/>
      <w:marRight w:val="0"/>
      <w:marTop w:val="0"/>
      <w:marBottom w:val="0"/>
      <w:divBdr>
        <w:top w:val="none" w:sz="0" w:space="0" w:color="auto"/>
        <w:left w:val="none" w:sz="0" w:space="0" w:color="auto"/>
        <w:bottom w:val="none" w:sz="0" w:space="0" w:color="auto"/>
        <w:right w:val="none" w:sz="0" w:space="0" w:color="auto"/>
      </w:divBdr>
    </w:div>
    <w:div w:id="99570313">
      <w:bodyDiv w:val="1"/>
      <w:marLeft w:val="0"/>
      <w:marRight w:val="0"/>
      <w:marTop w:val="0"/>
      <w:marBottom w:val="0"/>
      <w:divBdr>
        <w:top w:val="none" w:sz="0" w:space="0" w:color="auto"/>
        <w:left w:val="none" w:sz="0" w:space="0" w:color="auto"/>
        <w:bottom w:val="none" w:sz="0" w:space="0" w:color="auto"/>
        <w:right w:val="none" w:sz="0" w:space="0" w:color="auto"/>
      </w:divBdr>
    </w:div>
    <w:div w:id="210457049">
      <w:bodyDiv w:val="1"/>
      <w:marLeft w:val="0"/>
      <w:marRight w:val="0"/>
      <w:marTop w:val="0"/>
      <w:marBottom w:val="0"/>
      <w:divBdr>
        <w:top w:val="none" w:sz="0" w:space="0" w:color="auto"/>
        <w:left w:val="none" w:sz="0" w:space="0" w:color="auto"/>
        <w:bottom w:val="none" w:sz="0" w:space="0" w:color="auto"/>
        <w:right w:val="none" w:sz="0" w:space="0" w:color="auto"/>
      </w:divBdr>
      <w:divsChild>
        <w:div w:id="2085182965">
          <w:marLeft w:val="0"/>
          <w:marRight w:val="0"/>
          <w:marTop w:val="0"/>
          <w:marBottom w:val="0"/>
          <w:divBdr>
            <w:top w:val="none" w:sz="0" w:space="0" w:color="auto"/>
            <w:left w:val="none" w:sz="0" w:space="0" w:color="auto"/>
            <w:bottom w:val="none" w:sz="0" w:space="0" w:color="auto"/>
            <w:right w:val="none" w:sz="0" w:space="0" w:color="auto"/>
          </w:divBdr>
        </w:div>
        <w:div w:id="710616354">
          <w:marLeft w:val="0"/>
          <w:marRight w:val="0"/>
          <w:marTop w:val="0"/>
          <w:marBottom w:val="0"/>
          <w:divBdr>
            <w:top w:val="none" w:sz="0" w:space="0" w:color="auto"/>
            <w:left w:val="none" w:sz="0" w:space="0" w:color="auto"/>
            <w:bottom w:val="none" w:sz="0" w:space="0" w:color="auto"/>
            <w:right w:val="none" w:sz="0" w:space="0" w:color="auto"/>
          </w:divBdr>
        </w:div>
        <w:div w:id="271936548">
          <w:marLeft w:val="0"/>
          <w:marRight w:val="0"/>
          <w:marTop w:val="0"/>
          <w:marBottom w:val="0"/>
          <w:divBdr>
            <w:top w:val="none" w:sz="0" w:space="0" w:color="auto"/>
            <w:left w:val="none" w:sz="0" w:space="0" w:color="auto"/>
            <w:bottom w:val="none" w:sz="0" w:space="0" w:color="auto"/>
            <w:right w:val="none" w:sz="0" w:space="0" w:color="auto"/>
          </w:divBdr>
        </w:div>
        <w:div w:id="1199322686">
          <w:marLeft w:val="0"/>
          <w:marRight w:val="0"/>
          <w:marTop w:val="0"/>
          <w:marBottom w:val="0"/>
          <w:divBdr>
            <w:top w:val="none" w:sz="0" w:space="0" w:color="auto"/>
            <w:left w:val="none" w:sz="0" w:space="0" w:color="auto"/>
            <w:bottom w:val="none" w:sz="0" w:space="0" w:color="auto"/>
            <w:right w:val="none" w:sz="0" w:space="0" w:color="auto"/>
          </w:divBdr>
        </w:div>
      </w:divsChild>
    </w:div>
    <w:div w:id="634606034">
      <w:bodyDiv w:val="1"/>
      <w:marLeft w:val="0"/>
      <w:marRight w:val="0"/>
      <w:marTop w:val="0"/>
      <w:marBottom w:val="0"/>
      <w:divBdr>
        <w:top w:val="none" w:sz="0" w:space="0" w:color="auto"/>
        <w:left w:val="none" w:sz="0" w:space="0" w:color="auto"/>
        <w:bottom w:val="none" w:sz="0" w:space="0" w:color="auto"/>
        <w:right w:val="none" w:sz="0" w:space="0" w:color="auto"/>
      </w:divBdr>
    </w:div>
    <w:div w:id="667026034">
      <w:bodyDiv w:val="1"/>
      <w:marLeft w:val="0"/>
      <w:marRight w:val="0"/>
      <w:marTop w:val="0"/>
      <w:marBottom w:val="0"/>
      <w:divBdr>
        <w:top w:val="none" w:sz="0" w:space="0" w:color="auto"/>
        <w:left w:val="none" w:sz="0" w:space="0" w:color="auto"/>
        <w:bottom w:val="none" w:sz="0" w:space="0" w:color="auto"/>
        <w:right w:val="none" w:sz="0" w:space="0" w:color="auto"/>
      </w:divBdr>
    </w:div>
    <w:div w:id="682439097">
      <w:bodyDiv w:val="1"/>
      <w:marLeft w:val="0"/>
      <w:marRight w:val="0"/>
      <w:marTop w:val="0"/>
      <w:marBottom w:val="0"/>
      <w:divBdr>
        <w:top w:val="none" w:sz="0" w:space="0" w:color="auto"/>
        <w:left w:val="none" w:sz="0" w:space="0" w:color="auto"/>
        <w:bottom w:val="none" w:sz="0" w:space="0" w:color="auto"/>
        <w:right w:val="none" w:sz="0" w:space="0" w:color="auto"/>
      </w:divBdr>
    </w:div>
    <w:div w:id="1010066559">
      <w:bodyDiv w:val="1"/>
      <w:marLeft w:val="0"/>
      <w:marRight w:val="0"/>
      <w:marTop w:val="0"/>
      <w:marBottom w:val="0"/>
      <w:divBdr>
        <w:top w:val="none" w:sz="0" w:space="0" w:color="auto"/>
        <w:left w:val="none" w:sz="0" w:space="0" w:color="auto"/>
        <w:bottom w:val="none" w:sz="0" w:space="0" w:color="auto"/>
        <w:right w:val="none" w:sz="0" w:space="0" w:color="auto"/>
      </w:divBdr>
    </w:div>
    <w:div w:id="1192953898">
      <w:bodyDiv w:val="1"/>
      <w:marLeft w:val="0"/>
      <w:marRight w:val="0"/>
      <w:marTop w:val="0"/>
      <w:marBottom w:val="0"/>
      <w:divBdr>
        <w:top w:val="none" w:sz="0" w:space="0" w:color="auto"/>
        <w:left w:val="none" w:sz="0" w:space="0" w:color="auto"/>
        <w:bottom w:val="none" w:sz="0" w:space="0" w:color="auto"/>
        <w:right w:val="none" w:sz="0" w:space="0" w:color="auto"/>
      </w:divBdr>
    </w:div>
    <w:div w:id="1543909129">
      <w:bodyDiv w:val="1"/>
      <w:marLeft w:val="0"/>
      <w:marRight w:val="0"/>
      <w:marTop w:val="0"/>
      <w:marBottom w:val="0"/>
      <w:divBdr>
        <w:top w:val="none" w:sz="0" w:space="0" w:color="auto"/>
        <w:left w:val="none" w:sz="0" w:space="0" w:color="auto"/>
        <w:bottom w:val="none" w:sz="0" w:space="0" w:color="auto"/>
        <w:right w:val="none" w:sz="0" w:space="0" w:color="auto"/>
      </w:divBdr>
      <w:divsChild>
        <w:div w:id="535854442">
          <w:marLeft w:val="0"/>
          <w:marRight w:val="0"/>
          <w:marTop w:val="0"/>
          <w:marBottom w:val="0"/>
          <w:divBdr>
            <w:top w:val="none" w:sz="0" w:space="0" w:color="auto"/>
            <w:left w:val="none" w:sz="0" w:space="0" w:color="auto"/>
            <w:bottom w:val="none" w:sz="0" w:space="0" w:color="auto"/>
            <w:right w:val="none" w:sz="0" w:space="0" w:color="auto"/>
          </w:divBdr>
        </w:div>
        <w:div w:id="1858883205">
          <w:marLeft w:val="0"/>
          <w:marRight w:val="0"/>
          <w:marTop w:val="0"/>
          <w:marBottom w:val="0"/>
          <w:divBdr>
            <w:top w:val="none" w:sz="0" w:space="0" w:color="auto"/>
            <w:left w:val="none" w:sz="0" w:space="0" w:color="auto"/>
            <w:bottom w:val="none" w:sz="0" w:space="0" w:color="auto"/>
            <w:right w:val="none" w:sz="0" w:space="0" w:color="auto"/>
          </w:divBdr>
        </w:div>
      </w:divsChild>
    </w:div>
    <w:div w:id="1871718924">
      <w:bodyDiv w:val="1"/>
      <w:marLeft w:val="0"/>
      <w:marRight w:val="0"/>
      <w:marTop w:val="0"/>
      <w:marBottom w:val="0"/>
      <w:divBdr>
        <w:top w:val="none" w:sz="0" w:space="0" w:color="auto"/>
        <w:left w:val="none" w:sz="0" w:space="0" w:color="auto"/>
        <w:bottom w:val="none" w:sz="0" w:space="0" w:color="auto"/>
        <w:right w:val="none" w:sz="0" w:space="0" w:color="auto"/>
      </w:divBdr>
    </w:div>
    <w:div w:id="1887796501">
      <w:bodyDiv w:val="1"/>
      <w:marLeft w:val="0"/>
      <w:marRight w:val="0"/>
      <w:marTop w:val="0"/>
      <w:marBottom w:val="0"/>
      <w:divBdr>
        <w:top w:val="none" w:sz="0" w:space="0" w:color="auto"/>
        <w:left w:val="none" w:sz="0" w:space="0" w:color="auto"/>
        <w:bottom w:val="none" w:sz="0" w:space="0" w:color="auto"/>
        <w:right w:val="none" w:sz="0" w:space="0" w:color="auto"/>
      </w:divBdr>
    </w:div>
    <w:div w:id="192827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yZoMavkMdjR80ts+xztpV+qWw==">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1199</Words>
  <Characters>6839</Characters>
  <Application>Microsoft Office Word</Application>
  <DocSecurity>0</DocSecurity>
  <Lines>56</Lines>
  <Paragraphs>16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User</cp:lastModifiedBy>
  <cp:revision>35</cp:revision>
  <cp:lastPrinted>2025-07-18T06:24:00Z</cp:lastPrinted>
  <dcterms:created xsi:type="dcterms:W3CDTF">2026-02-18T17:01:00Z</dcterms:created>
  <dcterms:modified xsi:type="dcterms:W3CDTF">2026-02-20T14:12:00Z</dcterms:modified>
</cp:coreProperties>
</file>