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0EA56" w14:textId="77777777" w:rsidR="00D97D99" w:rsidRPr="00D97D99" w:rsidRDefault="00D97D99" w:rsidP="00D97D99">
      <w:pPr>
        <w:spacing w:after="0"/>
        <w:ind w:firstLine="709"/>
        <w:jc w:val="center"/>
        <w:rPr>
          <w:b/>
          <w:sz w:val="24"/>
          <w:szCs w:val="24"/>
        </w:rPr>
      </w:pPr>
      <w:bookmarkStart w:id="0" w:name="_GoBack"/>
      <w:bookmarkEnd w:id="0"/>
      <w:r w:rsidRPr="00D97D99">
        <w:rPr>
          <w:b/>
          <w:sz w:val="24"/>
          <w:szCs w:val="24"/>
        </w:rPr>
        <w:t>TABEL DE CONCORDANȚĂ</w:t>
      </w:r>
    </w:p>
    <w:p w14:paraId="2BFAADA9" w14:textId="77777777" w:rsidR="00D97D99" w:rsidRPr="00D97D99" w:rsidRDefault="00D97D99" w:rsidP="00D97D99">
      <w:pPr>
        <w:spacing w:after="0"/>
        <w:ind w:firstLine="709"/>
        <w:jc w:val="both"/>
        <w:rPr>
          <w:b/>
          <w:sz w:val="24"/>
          <w:szCs w:val="24"/>
        </w:rPr>
      </w:pPr>
    </w:p>
    <w:tbl>
      <w:tblPr>
        <w:tblW w:w="4993" w:type="pct"/>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5"/>
        <w:gridCol w:w="2090"/>
        <w:gridCol w:w="2486"/>
        <w:gridCol w:w="4396"/>
        <w:gridCol w:w="2873"/>
        <w:gridCol w:w="2297"/>
      </w:tblGrid>
      <w:tr w:rsidR="00A3544D" w:rsidRPr="005B679B" w14:paraId="52DB87E7" w14:textId="77777777" w:rsidTr="0014248B">
        <w:tc>
          <w:tcPr>
            <w:tcW w:w="136" w:type="pct"/>
            <w:hideMark/>
          </w:tcPr>
          <w:p w14:paraId="4AE5085E" w14:textId="77777777" w:rsidR="00D97D99" w:rsidRPr="005B679B" w:rsidRDefault="00D97D99" w:rsidP="004E6BE5">
            <w:pPr>
              <w:spacing w:after="0"/>
              <w:ind w:firstLine="22"/>
              <w:jc w:val="both"/>
              <w:rPr>
                <w:b/>
                <w:color w:val="0D0D0D" w:themeColor="text1" w:themeTint="F2"/>
                <w:sz w:val="20"/>
                <w:szCs w:val="20"/>
              </w:rPr>
            </w:pPr>
            <w:r w:rsidRPr="005B679B">
              <w:rPr>
                <w:b/>
                <w:color w:val="0D0D0D" w:themeColor="text1" w:themeTint="F2"/>
                <w:sz w:val="20"/>
                <w:szCs w:val="20"/>
              </w:rPr>
              <w:t>1</w:t>
            </w:r>
          </w:p>
        </w:tc>
        <w:tc>
          <w:tcPr>
            <w:tcW w:w="4864" w:type="pct"/>
            <w:gridSpan w:val="5"/>
            <w:hideMark/>
          </w:tcPr>
          <w:p w14:paraId="0B9C2B23" w14:textId="77777777" w:rsidR="00D97D99" w:rsidRPr="005B679B" w:rsidRDefault="00D97D99" w:rsidP="004E6BE5">
            <w:pPr>
              <w:spacing w:after="0"/>
              <w:ind w:firstLine="22"/>
              <w:jc w:val="both"/>
              <w:rPr>
                <w:b/>
                <w:color w:val="0D0D0D" w:themeColor="text1" w:themeTint="F2"/>
                <w:sz w:val="20"/>
                <w:szCs w:val="20"/>
              </w:rPr>
            </w:pPr>
            <w:r w:rsidRPr="005B679B">
              <w:rPr>
                <w:b/>
                <w:color w:val="0D0D0D" w:themeColor="text1" w:themeTint="F2"/>
                <w:sz w:val="20"/>
                <w:szCs w:val="20"/>
              </w:rPr>
              <w:t>Titlul actului UE, inclusiv cea mai recentă modificare, nr. CELEX</w:t>
            </w:r>
            <w:r w:rsidR="00CC5DB0" w:rsidRPr="005B679B">
              <w:rPr>
                <w:b/>
                <w:color w:val="0D0D0D" w:themeColor="text1" w:themeTint="F2"/>
                <w:sz w:val="20"/>
                <w:szCs w:val="20"/>
              </w:rPr>
              <w:t xml:space="preserve"> </w:t>
            </w:r>
          </w:p>
          <w:p w14:paraId="4F7EE9C8" w14:textId="4DB1E112" w:rsidR="00CC5DB0" w:rsidRPr="005B679B" w:rsidRDefault="005B679B" w:rsidP="00084574">
            <w:pPr>
              <w:spacing w:after="0"/>
              <w:ind w:firstLine="22"/>
              <w:jc w:val="both"/>
              <w:rPr>
                <w:color w:val="0D0D0D" w:themeColor="text1" w:themeTint="F2"/>
                <w:sz w:val="20"/>
                <w:szCs w:val="20"/>
              </w:rPr>
            </w:pPr>
            <w:r w:rsidRPr="005B679B">
              <w:rPr>
                <w:sz w:val="20"/>
                <w:szCs w:val="20"/>
              </w:rPr>
              <w:t>Directiva 2002/53/CE a Consiliului din 13 iunie 2002 privind Catalogul comun al soiurilor de plante agricole (CELEX: 32002L0053), publicată în Jurnalul Oficial al Uniunii Europene L 193 din 20 iulie 2003, așa cum a fost modificată ultima oară prin Regulamentul (CE) nr. 1829/2003 al Parlamentului European și al Consiliului din 22 septembrie 2003 privind produsel</w:t>
            </w:r>
            <w:r w:rsidR="004E3042">
              <w:rPr>
                <w:sz w:val="20"/>
                <w:szCs w:val="20"/>
              </w:rPr>
              <w:t>e alimentare și furajele modifi</w:t>
            </w:r>
            <w:r w:rsidRPr="005B679B">
              <w:rPr>
                <w:sz w:val="20"/>
                <w:szCs w:val="20"/>
              </w:rPr>
              <w:t>cate genetic.</w:t>
            </w:r>
          </w:p>
        </w:tc>
      </w:tr>
      <w:tr w:rsidR="00A3544D" w:rsidRPr="005B679B" w14:paraId="2DC7657D" w14:textId="77777777" w:rsidTr="0014248B">
        <w:tc>
          <w:tcPr>
            <w:tcW w:w="136" w:type="pct"/>
            <w:hideMark/>
          </w:tcPr>
          <w:p w14:paraId="4AF9987C" w14:textId="012F8E6C" w:rsidR="00D97D99" w:rsidRPr="005B679B" w:rsidRDefault="00D97D99" w:rsidP="004E6BE5">
            <w:pPr>
              <w:spacing w:after="0"/>
              <w:ind w:firstLine="22"/>
              <w:jc w:val="both"/>
              <w:rPr>
                <w:b/>
                <w:color w:val="0D0D0D" w:themeColor="text1" w:themeTint="F2"/>
                <w:sz w:val="20"/>
                <w:szCs w:val="20"/>
              </w:rPr>
            </w:pPr>
            <w:r w:rsidRPr="005B679B">
              <w:rPr>
                <w:b/>
                <w:color w:val="0D0D0D" w:themeColor="text1" w:themeTint="F2"/>
                <w:sz w:val="20"/>
                <w:szCs w:val="20"/>
              </w:rPr>
              <w:t>2</w:t>
            </w:r>
          </w:p>
        </w:tc>
        <w:tc>
          <w:tcPr>
            <w:tcW w:w="4864" w:type="pct"/>
            <w:gridSpan w:val="5"/>
            <w:hideMark/>
          </w:tcPr>
          <w:p w14:paraId="62D1C31C" w14:textId="77777777" w:rsidR="00D97D99" w:rsidRPr="005B679B" w:rsidRDefault="00D97D99" w:rsidP="004E6BE5">
            <w:pPr>
              <w:spacing w:after="0"/>
              <w:ind w:firstLine="22"/>
              <w:jc w:val="both"/>
              <w:rPr>
                <w:b/>
                <w:color w:val="0D0D0D" w:themeColor="text1" w:themeTint="F2"/>
                <w:sz w:val="20"/>
                <w:szCs w:val="20"/>
              </w:rPr>
            </w:pPr>
            <w:r w:rsidRPr="005B679B">
              <w:rPr>
                <w:b/>
                <w:color w:val="0D0D0D" w:themeColor="text1" w:themeTint="F2"/>
                <w:sz w:val="20"/>
                <w:szCs w:val="20"/>
              </w:rPr>
              <w:t>Titlul proiectului de act normativ național</w:t>
            </w:r>
          </w:p>
          <w:p w14:paraId="645BB8A4" w14:textId="75AFB1F0" w:rsidR="00CC5DB0" w:rsidRPr="005B679B" w:rsidRDefault="00CC5DB0" w:rsidP="00084574">
            <w:pPr>
              <w:spacing w:after="0"/>
              <w:ind w:firstLine="22"/>
              <w:jc w:val="both"/>
              <w:rPr>
                <w:color w:val="0D0D0D" w:themeColor="text1" w:themeTint="F2"/>
                <w:sz w:val="20"/>
                <w:szCs w:val="20"/>
              </w:rPr>
            </w:pPr>
            <w:r w:rsidRPr="005B679B">
              <w:rPr>
                <w:color w:val="0D0D0D" w:themeColor="text1" w:themeTint="F2"/>
                <w:sz w:val="20"/>
                <w:szCs w:val="20"/>
              </w:rPr>
              <w:t xml:space="preserve">Proiect de </w:t>
            </w:r>
            <w:r w:rsidR="00081DEA" w:rsidRPr="005B679B">
              <w:rPr>
                <w:color w:val="0D0D0D" w:themeColor="text1" w:themeTint="F2"/>
                <w:sz w:val="20"/>
                <w:szCs w:val="20"/>
              </w:rPr>
              <w:t>Hotărâre</w:t>
            </w:r>
            <w:r w:rsidR="00084574" w:rsidRPr="005B679B">
              <w:rPr>
                <w:color w:val="0D0D0D" w:themeColor="text1" w:themeTint="F2"/>
                <w:sz w:val="20"/>
                <w:szCs w:val="20"/>
              </w:rPr>
              <w:t xml:space="preserve"> de Guvern cu privire la modificarea Hotărârii Guvernului nr. 43/2013 pentru aprobarea Regulamentului privind testarea </w:t>
            </w:r>
            <w:proofErr w:type="spellStart"/>
            <w:r w:rsidR="00084574" w:rsidRPr="005B679B">
              <w:rPr>
                <w:color w:val="0D0D0D" w:themeColor="text1" w:themeTint="F2"/>
                <w:sz w:val="20"/>
                <w:szCs w:val="20"/>
              </w:rPr>
              <w:t>şi</w:t>
            </w:r>
            <w:proofErr w:type="spellEnd"/>
            <w:r w:rsidR="00084574" w:rsidRPr="005B679B">
              <w:rPr>
                <w:color w:val="0D0D0D" w:themeColor="text1" w:themeTint="F2"/>
                <w:sz w:val="20"/>
                <w:szCs w:val="20"/>
              </w:rPr>
              <w:t xml:space="preserve"> admiterea soiurilor în Catalogul soiurilor de plante</w:t>
            </w:r>
          </w:p>
        </w:tc>
      </w:tr>
      <w:tr w:rsidR="00A3544D" w:rsidRPr="005B679B" w14:paraId="2814457A" w14:textId="77777777" w:rsidTr="0014248B">
        <w:tc>
          <w:tcPr>
            <w:tcW w:w="136" w:type="pct"/>
            <w:hideMark/>
          </w:tcPr>
          <w:p w14:paraId="558D3431" w14:textId="77777777" w:rsidR="00D97D99" w:rsidRPr="005B679B" w:rsidRDefault="00D97D99" w:rsidP="004E6BE5">
            <w:pPr>
              <w:spacing w:after="0"/>
              <w:ind w:firstLine="22"/>
              <w:jc w:val="both"/>
              <w:rPr>
                <w:b/>
                <w:color w:val="0D0D0D" w:themeColor="text1" w:themeTint="F2"/>
                <w:sz w:val="20"/>
                <w:szCs w:val="20"/>
              </w:rPr>
            </w:pPr>
            <w:r w:rsidRPr="005B679B">
              <w:rPr>
                <w:b/>
                <w:color w:val="0D0D0D" w:themeColor="text1" w:themeTint="F2"/>
                <w:sz w:val="20"/>
                <w:szCs w:val="20"/>
              </w:rPr>
              <w:t>3</w:t>
            </w:r>
          </w:p>
        </w:tc>
        <w:tc>
          <w:tcPr>
            <w:tcW w:w="4864" w:type="pct"/>
            <w:gridSpan w:val="5"/>
            <w:hideMark/>
          </w:tcPr>
          <w:p w14:paraId="45B0A919" w14:textId="77777777" w:rsidR="00D97D99" w:rsidRPr="005B679B" w:rsidRDefault="00D97D99" w:rsidP="004E6BE5">
            <w:pPr>
              <w:spacing w:after="0"/>
              <w:ind w:firstLine="22"/>
              <w:jc w:val="both"/>
              <w:rPr>
                <w:b/>
                <w:color w:val="0D0D0D" w:themeColor="text1" w:themeTint="F2"/>
                <w:sz w:val="20"/>
                <w:szCs w:val="20"/>
              </w:rPr>
            </w:pPr>
            <w:r w:rsidRPr="005B679B">
              <w:rPr>
                <w:b/>
                <w:color w:val="0D0D0D" w:themeColor="text1" w:themeTint="F2"/>
                <w:sz w:val="20"/>
                <w:szCs w:val="20"/>
              </w:rPr>
              <w:t>Gradul general de compatibilitate</w:t>
            </w:r>
          </w:p>
          <w:p w14:paraId="25181617" w14:textId="3438AECC" w:rsidR="00CC5DB0" w:rsidRPr="005B679B" w:rsidRDefault="00001A7C" w:rsidP="004E6BE5">
            <w:pPr>
              <w:spacing w:after="0"/>
              <w:ind w:firstLine="22"/>
              <w:jc w:val="both"/>
              <w:rPr>
                <w:color w:val="0D0D0D" w:themeColor="text1" w:themeTint="F2"/>
                <w:sz w:val="20"/>
                <w:szCs w:val="20"/>
              </w:rPr>
            </w:pPr>
            <w:r w:rsidRPr="005B679B">
              <w:rPr>
                <w:color w:val="0D0D0D" w:themeColor="text1" w:themeTint="F2"/>
                <w:sz w:val="20"/>
                <w:szCs w:val="20"/>
              </w:rPr>
              <w:t>Compatibil</w:t>
            </w:r>
          </w:p>
        </w:tc>
      </w:tr>
      <w:tr w:rsidR="00A3544D" w:rsidRPr="005B679B" w14:paraId="27F801CE" w14:textId="77777777" w:rsidTr="0014248B">
        <w:tc>
          <w:tcPr>
            <w:tcW w:w="136" w:type="pct"/>
          </w:tcPr>
          <w:p w14:paraId="2CBA19FC" w14:textId="77777777" w:rsidR="00D97D99" w:rsidRPr="005B679B" w:rsidRDefault="00D97D99" w:rsidP="004E6BE5">
            <w:pPr>
              <w:spacing w:after="0"/>
              <w:ind w:firstLine="22"/>
              <w:jc w:val="both"/>
              <w:rPr>
                <w:b/>
                <w:color w:val="0D0D0D" w:themeColor="text1" w:themeTint="F2"/>
                <w:sz w:val="20"/>
                <w:szCs w:val="20"/>
              </w:rPr>
            </w:pPr>
            <w:r w:rsidRPr="005B679B">
              <w:rPr>
                <w:b/>
                <w:color w:val="0D0D0D" w:themeColor="text1" w:themeTint="F2"/>
                <w:sz w:val="20"/>
                <w:szCs w:val="20"/>
              </w:rPr>
              <w:t>4</w:t>
            </w:r>
          </w:p>
        </w:tc>
        <w:tc>
          <w:tcPr>
            <w:tcW w:w="4864" w:type="pct"/>
            <w:gridSpan w:val="5"/>
          </w:tcPr>
          <w:p w14:paraId="28DD1D10" w14:textId="77777777" w:rsidR="00D97D99" w:rsidRPr="005B679B" w:rsidRDefault="00D97D99" w:rsidP="004E6BE5">
            <w:pPr>
              <w:spacing w:after="0"/>
              <w:ind w:firstLine="22"/>
              <w:jc w:val="both"/>
              <w:rPr>
                <w:b/>
                <w:color w:val="0D0D0D" w:themeColor="text1" w:themeTint="F2"/>
                <w:sz w:val="20"/>
                <w:szCs w:val="20"/>
              </w:rPr>
            </w:pPr>
            <w:r w:rsidRPr="005B679B">
              <w:rPr>
                <w:b/>
                <w:color w:val="0D0D0D" w:themeColor="text1" w:themeTint="F2"/>
                <w:sz w:val="20"/>
                <w:szCs w:val="20"/>
              </w:rPr>
              <w:t xml:space="preserve">Autoritatea/persoana responsabilă </w:t>
            </w:r>
          </w:p>
          <w:p w14:paraId="7A83A904" w14:textId="3C145717" w:rsidR="00CC5DB0" w:rsidRPr="005B679B" w:rsidRDefault="00CC5DB0" w:rsidP="004E6BE5">
            <w:pPr>
              <w:spacing w:after="0"/>
              <w:ind w:firstLine="22"/>
              <w:jc w:val="both"/>
              <w:rPr>
                <w:color w:val="0D0D0D" w:themeColor="text1" w:themeTint="F2"/>
                <w:sz w:val="20"/>
                <w:szCs w:val="20"/>
              </w:rPr>
            </w:pPr>
            <w:r w:rsidRPr="005B679B">
              <w:rPr>
                <w:color w:val="0D0D0D" w:themeColor="text1" w:themeTint="F2"/>
                <w:sz w:val="20"/>
                <w:szCs w:val="20"/>
              </w:rPr>
              <w:t>Ministerul Agriculturii și Industriei Alimentare</w:t>
            </w:r>
          </w:p>
        </w:tc>
      </w:tr>
      <w:tr w:rsidR="00A3544D" w:rsidRPr="005B679B" w14:paraId="1A3C074A" w14:textId="77777777" w:rsidTr="0014248B">
        <w:tc>
          <w:tcPr>
            <w:tcW w:w="136" w:type="pct"/>
          </w:tcPr>
          <w:p w14:paraId="7069FF58" w14:textId="77777777" w:rsidR="00D97D99" w:rsidRPr="005B679B" w:rsidRDefault="00D97D99" w:rsidP="004E6BE5">
            <w:pPr>
              <w:spacing w:after="0"/>
              <w:ind w:firstLine="22"/>
              <w:jc w:val="both"/>
              <w:rPr>
                <w:b/>
                <w:color w:val="0D0D0D" w:themeColor="text1" w:themeTint="F2"/>
                <w:sz w:val="20"/>
                <w:szCs w:val="20"/>
              </w:rPr>
            </w:pPr>
            <w:r w:rsidRPr="005B679B">
              <w:rPr>
                <w:b/>
                <w:color w:val="0D0D0D" w:themeColor="text1" w:themeTint="F2"/>
                <w:sz w:val="20"/>
                <w:szCs w:val="20"/>
              </w:rPr>
              <w:t>5</w:t>
            </w:r>
          </w:p>
        </w:tc>
        <w:tc>
          <w:tcPr>
            <w:tcW w:w="4864" w:type="pct"/>
            <w:gridSpan w:val="5"/>
          </w:tcPr>
          <w:p w14:paraId="2553FAD0" w14:textId="77777777" w:rsidR="00D97D99" w:rsidRPr="005B679B" w:rsidRDefault="00D97D99" w:rsidP="004E6BE5">
            <w:pPr>
              <w:spacing w:after="0"/>
              <w:ind w:firstLine="22"/>
              <w:jc w:val="both"/>
              <w:rPr>
                <w:b/>
                <w:color w:val="0D0D0D" w:themeColor="text1" w:themeTint="F2"/>
                <w:sz w:val="20"/>
                <w:szCs w:val="20"/>
              </w:rPr>
            </w:pPr>
            <w:r w:rsidRPr="005B679B">
              <w:rPr>
                <w:b/>
                <w:color w:val="0D0D0D" w:themeColor="text1" w:themeTint="F2"/>
                <w:sz w:val="20"/>
                <w:szCs w:val="20"/>
              </w:rPr>
              <w:t>Data întocmirii/actualizării</w:t>
            </w:r>
          </w:p>
          <w:p w14:paraId="2D75C60F" w14:textId="77777777" w:rsidR="00CC5DB0" w:rsidRPr="005B679B" w:rsidRDefault="00CC5DB0" w:rsidP="004E6BE5">
            <w:pPr>
              <w:spacing w:after="0"/>
              <w:ind w:firstLine="22"/>
              <w:jc w:val="both"/>
              <w:rPr>
                <w:b/>
                <w:color w:val="0D0D0D" w:themeColor="text1" w:themeTint="F2"/>
                <w:sz w:val="20"/>
                <w:szCs w:val="20"/>
              </w:rPr>
            </w:pPr>
          </w:p>
        </w:tc>
      </w:tr>
      <w:tr w:rsidR="005B679B" w:rsidRPr="005B679B" w14:paraId="669A5AAA" w14:textId="77777777" w:rsidTr="0014248B">
        <w:trPr>
          <w:tblHeader/>
        </w:trPr>
        <w:tc>
          <w:tcPr>
            <w:tcW w:w="1710" w:type="pct"/>
            <w:gridSpan w:val="3"/>
            <w:tcBorders>
              <w:top w:val="single" w:sz="4" w:space="0" w:color="auto"/>
              <w:left w:val="single" w:sz="4" w:space="0" w:color="auto"/>
              <w:bottom w:val="single" w:sz="4" w:space="0" w:color="auto"/>
              <w:right w:val="single" w:sz="4" w:space="0" w:color="auto"/>
            </w:tcBorders>
          </w:tcPr>
          <w:p w14:paraId="790753F6" w14:textId="77777777" w:rsidR="005B679B" w:rsidRPr="00A3544D" w:rsidRDefault="005B679B" w:rsidP="005B679B">
            <w:pPr>
              <w:spacing w:after="0"/>
              <w:ind w:firstLine="22"/>
              <w:jc w:val="center"/>
              <w:rPr>
                <w:b/>
                <w:color w:val="0D0D0D" w:themeColor="text1" w:themeTint="F2"/>
                <w:sz w:val="20"/>
                <w:szCs w:val="20"/>
              </w:rPr>
            </w:pPr>
            <w:r w:rsidRPr="00A3544D">
              <w:rPr>
                <w:b/>
                <w:color w:val="0D0D0D" w:themeColor="text1" w:themeTint="F2"/>
                <w:sz w:val="20"/>
                <w:szCs w:val="20"/>
              </w:rPr>
              <w:t>Actul Uniunii Europene</w:t>
            </w:r>
          </w:p>
          <w:p w14:paraId="3AF719AD" w14:textId="147003B3" w:rsidR="005B679B" w:rsidRPr="005B679B" w:rsidRDefault="005B679B" w:rsidP="005B679B">
            <w:pPr>
              <w:tabs>
                <w:tab w:val="left" w:pos="1091"/>
              </w:tabs>
              <w:jc w:val="center"/>
              <w:rPr>
                <w:b/>
                <w:sz w:val="20"/>
                <w:szCs w:val="20"/>
              </w:rPr>
            </w:pPr>
            <w:r w:rsidRPr="00A3544D">
              <w:rPr>
                <w:b/>
                <w:color w:val="0D0D0D" w:themeColor="text1" w:themeTint="F2"/>
                <w:sz w:val="20"/>
                <w:szCs w:val="20"/>
              </w:rPr>
              <w:t>6</w:t>
            </w:r>
          </w:p>
        </w:tc>
        <w:tc>
          <w:tcPr>
            <w:tcW w:w="1512" w:type="pct"/>
            <w:tcBorders>
              <w:top w:val="single" w:sz="4" w:space="0" w:color="auto"/>
              <w:left w:val="single" w:sz="4" w:space="0" w:color="auto"/>
              <w:bottom w:val="single" w:sz="4" w:space="0" w:color="auto"/>
              <w:right w:val="single" w:sz="4" w:space="0" w:color="auto"/>
            </w:tcBorders>
          </w:tcPr>
          <w:p w14:paraId="543550C1" w14:textId="77777777" w:rsidR="005B679B" w:rsidRPr="00A3544D" w:rsidRDefault="005B679B" w:rsidP="005B679B">
            <w:pPr>
              <w:spacing w:after="0"/>
              <w:ind w:firstLine="22"/>
              <w:jc w:val="center"/>
              <w:rPr>
                <w:b/>
                <w:color w:val="0D0D0D" w:themeColor="text1" w:themeTint="F2"/>
                <w:sz w:val="20"/>
                <w:szCs w:val="20"/>
              </w:rPr>
            </w:pPr>
            <w:r w:rsidRPr="00A3544D">
              <w:rPr>
                <w:b/>
                <w:color w:val="0D0D0D" w:themeColor="text1" w:themeTint="F2"/>
                <w:sz w:val="20"/>
                <w:szCs w:val="20"/>
              </w:rPr>
              <w:t>Proiectul de act normativ național</w:t>
            </w:r>
          </w:p>
          <w:p w14:paraId="34A0C4AF" w14:textId="58F4A760" w:rsidR="005B679B" w:rsidRPr="005B679B" w:rsidRDefault="005B679B" w:rsidP="005B679B">
            <w:pPr>
              <w:tabs>
                <w:tab w:val="left" w:pos="1091"/>
              </w:tabs>
              <w:jc w:val="center"/>
              <w:rPr>
                <w:b/>
                <w:sz w:val="20"/>
                <w:szCs w:val="20"/>
              </w:rPr>
            </w:pPr>
            <w:r w:rsidRPr="00A3544D">
              <w:rPr>
                <w:b/>
                <w:color w:val="0D0D0D" w:themeColor="text1" w:themeTint="F2"/>
                <w:sz w:val="20"/>
                <w:szCs w:val="20"/>
              </w:rPr>
              <w:t>7</w:t>
            </w:r>
          </w:p>
        </w:tc>
        <w:tc>
          <w:tcPr>
            <w:tcW w:w="988" w:type="pct"/>
            <w:tcBorders>
              <w:top w:val="single" w:sz="4" w:space="0" w:color="auto"/>
              <w:left w:val="single" w:sz="4" w:space="0" w:color="auto"/>
              <w:bottom w:val="single" w:sz="4" w:space="0" w:color="auto"/>
              <w:right w:val="single" w:sz="4" w:space="0" w:color="auto"/>
            </w:tcBorders>
          </w:tcPr>
          <w:p w14:paraId="209B7F38" w14:textId="3E8EB421" w:rsidR="005B679B" w:rsidRDefault="005B679B" w:rsidP="005B679B">
            <w:pPr>
              <w:spacing w:after="0"/>
              <w:ind w:firstLine="22"/>
              <w:jc w:val="center"/>
              <w:rPr>
                <w:b/>
                <w:color w:val="0D0D0D" w:themeColor="text1" w:themeTint="F2"/>
                <w:sz w:val="20"/>
                <w:szCs w:val="20"/>
              </w:rPr>
            </w:pPr>
            <w:r>
              <w:rPr>
                <w:b/>
                <w:color w:val="0D0D0D" w:themeColor="text1" w:themeTint="F2"/>
                <w:sz w:val="20"/>
                <w:szCs w:val="20"/>
              </w:rPr>
              <w:t>Gradul de compatibilitate</w:t>
            </w:r>
          </w:p>
          <w:p w14:paraId="16A64851" w14:textId="4864DE9B" w:rsidR="005B679B" w:rsidRPr="005B679B" w:rsidRDefault="005B679B" w:rsidP="005B679B">
            <w:pPr>
              <w:tabs>
                <w:tab w:val="left" w:pos="1091"/>
              </w:tabs>
              <w:jc w:val="center"/>
              <w:rPr>
                <w:b/>
                <w:sz w:val="20"/>
                <w:szCs w:val="20"/>
              </w:rPr>
            </w:pPr>
            <w:r w:rsidRPr="00A3544D">
              <w:rPr>
                <w:b/>
                <w:color w:val="0D0D0D" w:themeColor="text1" w:themeTint="F2"/>
                <w:sz w:val="20"/>
                <w:szCs w:val="20"/>
              </w:rPr>
              <w:t>8</w:t>
            </w:r>
          </w:p>
        </w:tc>
        <w:tc>
          <w:tcPr>
            <w:tcW w:w="790" w:type="pct"/>
            <w:tcBorders>
              <w:top w:val="single" w:sz="4" w:space="0" w:color="auto"/>
              <w:left w:val="single" w:sz="4" w:space="0" w:color="auto"/>
              <w:bottom w:val="single" w:sz="4" w:space="0" w:color="auto"/>
              <w:right w:val="single" w:sz="4" w:space="0" w:color="auto"/>
            </w:tcBorders>
          </w:tcPr>
          <w:p w14:paraId="41134E70" w14:textId="77777777" w:rsidR="005B679B" w:rsidRPr="00A3544D" w:rsidRDefault="005B679B" w:rsidP="005B679B">
            <w:pPr>
              <w:spacing w:after="0"/>
              <w:ind w:firstLine="22"/>
              <w:jc w:val="center"/>
              <w:rPr>
                <w:b/>
                <w:color w:val="0D0D0D" w:themeColor="text1" w:themeTint="F2"/>
                <w:sz w:val="20"/>
                <w:szCs w:val="20"/>
              </w:rPr>
            </w:pPr>
            <w:r w:rsidRPr="00A3544D">
              <w:rPr>
                <w:b/>
                <w:color w:val="0D0D0D" w:themeColor="text1" w:themeTint="F2"/>
                <w:sz w:val="20"/>
                <w:szCs w:val="20"/>
              </w:rPr>
              <w:t>Observații</w:t>
            </w:r>
          </w:p>
          <w:p w14:paraId="667ED7C9" w14:textId="64141735" w:rsidR="005B679B" w:rsidRPr="005B679B" w:rsidRDefault="005B679B" w:rsidP="005B679B">
            <w:pPr>
              <w:tabs>
                <w:tab w:val="left" w:pos="1091"/>
              </w:tabs>
              <w:jc w:val="center"/>
              <w:rPr>
                <w:b/>
                <w:sz w:val="20"/>
                <w:szCs w:val="20"/>
              </w:rPr>
            </w:pPr>
            <w:r w:rsidRPr="00A3544D">
              <w:rPr>
                <w:b/>
                <w:color w:val="0D0D0D" w:themeColor="text1" w:themeTint="F2"/>
                <w:sz w:val="20"/>
                <w:szCs w:val="20"/>
              </w:rPr>
              <w:t>9</w:t>
            </w:r>
          </w:p>
        </w:tc>
      </w:tr>
      <w:tr w:rsidR="005B679B" w:rsidRPr="005B679B" w14:paraId="211B0048" w14:textId="77777777" w:rsidTr="0014248B">
        <w:trPr>
          <w:trHeight w:val="2564"/>
        </w:trPr>
        <w:tc>
          <w:tcPr>
            <w:tcW w:w="1710" w:type="pct"/>
            <w:gridSpan w:val="3"/>
            <w:shd w:val="clear" w:color="auto" w:fill="auto"/>
          </w:tcPr>
          <w:p w14:paraId="17FD5B42" w14:textId="77777777" w:rsidR="005B679B" w:rsidRPr="005B679B" w:rsidRDefault="005B679B" w:rsidP="005B679B">
            <w:pPr>
              <w:tabs>
                <w:tab w:val="left" w:pos="1091"/>
              </w:tabs>
              <w:spacing w:after="0"/>
              <w:rPr>
                <w:sz w:val="20"/>
                <w:szCs w:val="20"/>
              </w:rPr>
            </w:pPr>
            <w:r w:rsidRPr="005B679B">
              <w:rPr>
                <w:sz w:val="20"/>
                <w:szCs w:val="20"/>
              </w:rPr>
              <w:t>Articolul 1</w:t>
            </w:r>
          </w:p>
          <w:p w14:paraId="6DA2ADA5" w14:textId="77777777" w:rsidR="005B679B" w:rsidRPr="005B679B" w:rsidRDefault="005B679B" w:rsidP="005B679B">
            <w:pPr>
              <w:tabs>
                <w:tab w:val="left" w:pos="1091"/>
              </w:tabs>
              <w:spacing w:after="0"/>
              <w:rPr>
                <w:b/>
                <w:sz w:val="20"/>
                <w:szCs w:val="20"/>
              </w:rPr>
            </w:pPr>
            <w:r w:rsidRPr="005B679B">
              <w:rPr>
                <w:sz w:val="20"/>
                <w:szCs w:val="20"/>
              </w:rPr>
              <w:t>(1) Prezenta directivă se referă la admiterea soiurilor de sfeclă, plante furajere, cereale, cartofi, precum și de plante oleaginoase și pentru fibră într-un catalog comun al soiurilor de plante agricole ale căror semințe sau al căror material săditor pot fi comercializate conform dispozițiilor din directivele privind comercializarea semințelor de sfeclă (2002/54/CE), a semințelor de plante furajere (66/401/CEE), a semințelor de cereale (66/402/CEE), a cartofilor de sămânță (2002/56/CE), respectiv a semințelor de plante oleaginoase și pentru fibră (2002/57/CE).</w:t>
            </w:r>
          </w:p>
        </w:tc>
        <w:tc>
          <w:tcPr>
            <w:tcW w:w="1512" w:type="pct"/>
            <w:shd w:val="clear" w:color="auto" w:fill="auto"/>
          </w:tcPr>
          <w:p w14:paraId="6AA4EF12" w14:textId="704A4E0E" w:rsidR="005B679B" w:rsidRPr="005B679B" w:rsidRDefault="005B679B" w:rsidP="005B679B">
            <w:pPr>
              <w:tabs>
                <w:tab w:val="left" w:pos="1091"/>
              </w:tabs>
              <w:spacing w:after="0"/>
              <w:rPr>
                <w:b/>
                <w:sz w:val="20"/>
                <w:szCs w:val="20"/>
              </w:rPr>
            </w:pPr>
          </w:p>
        </w:tc>
        <w:tc>
          <w:tcPr>
            <w:tcW w:w="988" w:type="pct"/>
            <w:shd w:val="clear" w:color="auto" w:fill="auto"/>
            <w:vAlign w:val="center"/>
          </w:tcPr>
          <w:p w14:paraId="5474769B" w14:textId="77777777" w:rsidR="005B679B" w:rsidRPr="005B679B" w:rsidRDefault="005B679B" w:rsidP="005B679B">
            <w:pPr>
              <w:tabs>
                <w:tab w:val="left" w:pos="1091"/>
              </w:tabs>
              <w:spacing w:after="0"/>
              <w:jc w:val="center"/>
              <w:rPr>
                <w:b/>
                <w:sz w:val="20"/>
                <w:szCs w:val="20"/>
              </w:rPr>
            </w:pPr>
            <w:r w:rsidRPr="005B679B">
              <w:rPr>
                <w:b/>
                <w:sz w:val="20"/>
                <w:szCs w:val="20"/>
              </w:rPr>
              <w:t>Compatibil</w:t>
            </w:r>
          </w:p>
        </w:tc>
        <w:tc>
          <w:tcPr>
            <w:tcW w:w="790" w:type="pct"/>
            <w:shd w:val="clear" w:color="auto" w:fill="auto"/>
            <w:vAlign w:val="center"/>
          </w:tcPr>
          <w:p w14:paraId="27414724" w14:textId="4DD200E6" w:rsidR="005B679B" w:rsidRPr="005B679B" w:rsidRDefault="005B679B" w:rsidP="005B679B">
            <w:pPr>
              <w:tabs>
                <w:tab w:val="left" w:pos="1091"/>
              </w:tabs>
              <w:spacing w:after="0"/>
              <w:jc w:val="center"/>
              <w:rPr>
                <w:bCs/>
                <w:sz w:val="20"/>
                <w:szCs w:val="20"/>
              </w:rPr>
            </w:pPr>
            <w:r w:rsidRPr="005B679B">
              <w:rPr>
                <w:bCs/>
                <w:sz w:val="20"/>
                <w:szCs w:val="20"/>
              </w:rPr>
              <w:t xml:space="preserve">Transpus în pct. 1 din </w:t>
            </w:r>
            <w:r w:rsidR="004E3042" w:rsidRPr="004E3042">
              <w:rPr>
                <w:bCs/>
                <w:sz w:val="20"/>
                <w:szCs w:val="20"/>
              </w:rPr>
              <w:t>Hotărârii Guvernului nr. 43/2013</w:t>
            </w:r>
          </w:p>
        </w:tc>
      </w:tr>
      <w:tr w:rsidR="005B679B" w:rsidRPr="005B679B" w14:paraId="7D2AB7B8" w14:textId="77777777" w:rsidTr="0014248B">
        <w:trPr>
          <w:trHeight w:val="487"/>
        </w:trPr>
        <w:tc>
          <w:tcPr>
            <w:tcW w:w="1710" w:type="pct"/>
            <w:gridSpan w:val="3"/>
            <w:shd w:val="clear" w:color="auto" w:fill="auto"/>
          </w:tcPr>
          <w:p w14:paraId="23E682CE" w14:textId="77777777" w:rsidR="005B679B" w:rsidRPr="005B679B" w:rsidRDefault="005B679B" w:rsidP="005B679B">
            <w:pPr>
              <w:tabs>
                <w:tab w:val="left" w:pos="1091"/>
              </w:tabs>
              <w:spacing w:after="0"/>
              <w:rPr>
                <w:sz w:val="20"/>
                <w:szCs w:val="20"/>
              </w:rPr>
            </w:pPr>
            <w:r w:rsidRPr="005B679B">
              <w:rPr>
                <w:sz w:val="20"/>
                <w:szCs w:val="20"/>
              </w:rPr>
              <w:t>(2) Catalogul comun al soiurilor se întocmește pe baza cataloagelor naționale ale statelor membre.</w:t>
            </w:r>
          </w:p>
        </w:tc>
        <w:tc>
          <w:tcPr>
            <w:tcW w:w="1512" w:type="pct"/>
            <w:shd w:val="clear" w:color="auto" w:fill="auto"/>
          </w:tcPr>
          <w:p w14:paraId="5D34D899" w14:textId="77777777" w:rsidR="005B679B" w:rsidRPr="005B679B" w:rsidRDefault="005B679B" w:rsidP="005B679B">
            <w:pPr>
              <w:tabs>
                <w:tab w:val="left" w:pos="1091"/>
              </w:tabs>
              <w:spacing w:after="0"/>
              <w:ind w:hanging="17"/>
              <w:rPr>
                <w:sz w:val="20"/>
                <w:szCs w:val="20"/>
              </w:rPr>
            </w:pPr>
          </w:p>
        </w:tc>
        <w:tc>
          <w:tcPr>
            <w:tcW w:w="988" w:type="pct"/>
            <w:shd w:val="clear" w:color="auto" w:fill="auto"/>
            <w:vAlign w:val="center"/>
          </w:tcPr>
          <w:p w14:paraId="4F665586" w14:textId="77777777" w:rsidR="005B679B" w:rsidRPr="005B679B" w:rsidRDefault="005B679B" w:rsidP="005B679B">
            <w:pPr>
              <w:tabs>
                <w:tab w:val="left" w:pos="1091"/>
              </w:tabs>
              <w:spacing w:after="0"/>
              <w:ind w:hanging="17"/>
              <w:jc w:val="center"/>
              <w:rPr>
                <w:b/>
                <w:sz w:val="20"/>
                <w:szCs w:val="20"/>
              </w:rPr>
            </w:pPr>
            <w:r w:rsidRPr="005B679B">
              <w:rPr>
                <w:b/>
                <w:sz w:val="20"/>
                <w:szCs w:val="20"/>
              </w:rPr>
              <w:t>Norme UE neaplicabile</w:t>
            </w:r>
          </w:p>
        </w:tc>
        <w:tc>
          <w:tcPr>
            <w:tcW w:w="790" w:type="pct"/>
            <w:shd w:val="clear" w:color="auto" w:fill="auto"/>
            <w:vAlign w:val="center"/>
          </w:tcPr>
          <w:p w14:paraId="2AA71A6B" w14:textId="77777777" w:rsidR="005B679B" w:rsidRPr="005B679B" w:rsidRDefault="005B679B" w:rsidP="005B679B">
            <w:pPr>
              <w:tabs>
                <w:tab w:val="left" w:pos="1091"/>
              </w:tabs>
              <w:spacing w:after="0"/>
              <w:ind w:hanging="17"/>
              <w:jc w:val="center"/>
              <w:rPr>
                <w:bCs/>
                <w:sz w:val="20"/>
                <w:szCs w:val="20"/>
              </w:rPr>
            </w:pPr>
          </w:p>
        </w:tc>
      </w:tr>
      <w:tr w:rsidR="005B679B" w:rsidRPr="005B679B" w14:paraId="1F71D0D5" w14:textId="77777777" w:rsidTr="0014248B">
        <w:trPr>
          <w:trHeight w:val="356"/>
        </w:trPr>
        <w:tc>
          <w:tcPr>
            <w:tcW w:w="1710" w:type="pct"/>
            <w:gridSpan w:val="3"/>
            <w:shd w:val="clear" w:color="auto" w:fill="auto"/>
          </w:tcPr>
          <w:p w14:paraId="6AD71563" w14:textId="77777777" w:rsidR="005B679B" w:rsidRPr="005B679B" w:rsidRDefault="005B679B" w:rsidP="005B679B">
            <w:pPr>
              <w:tabs>
                <w:tab w:val="left" w:pos="1091"/>
              </w:tabs>
              <w:spacing w:after="0"/>
              <w:rPr>
                <w:sz w:val="20"/>
                <w:szCs w:val="20"/>
              </w:rPr>
            </w:pPr>
            <w:r w:rsidRPr="005B679B">
              <w:rPr>
                <w:sz w:val="20"/>
                <w:szCs w:val="20"/>
              </w:rPr>
              <w:t>(3) Prezenta directivă nu se aplică soiurilor pentru care se dovedește că semințele și materialul săditor sunt destinate exportului către țări terțe.</w:t>
            </w:r>
          </w:p>
        </w:tc>
        <w:tc>
          <w:tcPr>
            <w:tcW w:w="1512" w:type="pct"/>
            <w:shd w:val="clear" w:color="auto" w:fill="auto"/>
          </w:tcPr>
          <w:p w14:paraId="585C676E" w14:textId="77777777" w:rsidR="005B679B" w:rsidRPr="005B679B" w:rsidRDefault="005B679B" w:rsidP="005B679B">
            <w:pPr>
              <w:tabs>
                <w:tab w:val="left" w:pos="1091"/>
              </w:tabs>
              <w:spacing w:after="0"/>
              <w:ind w:hanging="17"/>
              <w:rPr>
                <w:sz w:val="20"/>
                <w:szCs w:val="20"/>
              </w:rPr>
            </w:pPr>
          </w:p>
        </w:tc>
        <w:tc>
          <w:tcPr>
            <w:tcW w:w="988" w:type="pct"/>
            <w:shd w:val="clear" w:color="auto" w:fill="auto"/>
            <w:vAlign w:val="center"/>
          </w:tcPr>
          <w:p w14:paraId="6BF8D986" w14:textId="77777777" w:rsidR="005B679B" w:rsidRPr="005B679B" w:rsidRDefault="005B679B" w:rsidP="005B679B">
            <w:pPr>
              <w:tabs>
                <w:tab w:val="left" w:pos="1091"/>
              </w:tabs>
              <w:spacing w:after="0"/>
              <w:ind w:hanging="17"/>
              <w:jc w:val="center"/>
              <w:rPr>
                <w:b/>
                <w:sz w:val="20"/>
                <w:szCs w:val="20"/>
              </w:rPr>
            </w:pPr>
            <w:r w:rsidRPr="005B679B">
              <w:rPr>
                <w:b/>
                <w:sz w:val="20"/>
                <w:szCs w:val="20"/>
              </w:rPr>
              <w:t>Norme UE neaplicabile</w:t>
            </w:r>
          </w:p>
        </w:tc>
        <w:tc>
          <w:tcPr>
            <w:tcW w:w="790" w:type="pct"/>
            <w:shd w:val="clear" w:color="auto" w:fill="auto"/>
            <w:vAlign w:val="center"/>
          </w:tcPr>
          <w:p w14:paraId="4332C6C0" w14:textId="77777777" w:rsidR="005B679B" w:rsidRPr="005B679B" w:rsidRDefault="005B679B" w:rsidP="005B679B">
            <w:pPr>
              <w:tabs>
                <w:tab w:val="left" w:pos="1091"/>
              </w:tabs>
              <w:spacing w:after="0"/>
              <w:ind w:hanging="17"/>
              <w:jc w:val="center"/>
              <w:rPr>
                <w:bCs/>
                <w:sz w:val="20"/>
                <w:szCs w:val="20"/>
              </w:rPr>
            </w:pPr>
          </w:p>
        </w:tc>
      </w:tr>
      <w:tr w:rsidR="005B679B" w:rsidRPr="005B679B" w14:paraId="07B0DBB9" w14:textId="77777777" w:rsidTr="0014248B">
        <w:tc>
          <w:tcPr>
            <w:tcW w:w="1710" w:type="pct"/>
            <w:gridSpan w:val="3"/>
            <w:shd w:val="clear" w:color="auto" w:fill="auto"/>
          </w:tcPr>
          <w:p w14:paraId="6C653DEA" w14:textId="77777777" w:rsidR="005B679B" w:rsidRPr="005B679B" w:rsidRDefault="005B679B" w:rsidP="005B679B">
            <w:pPr>
              <w:tabs>
                <w:tab w:val="left" w:pos="1091"/>
              </w:tabs>
              <w:spacing w:after="0"/>
              <w:rPr>
                <w:sz w:val="20"/>
                <w:szCs w:val="20"/>
              </w:rPr>
            </w:pPr>
            <w:r w:rsidRPr="005B679B">
              <w:rPr>
                <w:sz w:val="20"/>
                <w:szCs w:val="20"/>
              </w:rPr>
              <w:t xml:space="preserve">Articolul 2 În sensul prezentei directive se înțelege prin „dispoziții oficiale” dispozițiile adoptate: </w:t>
            </w:r>
          </w:p>
          <w:p w14:paraId="03051F3D" w14:textId="77777777" w:rsidR="005B679B" w:rsidRPr="005B679B" w:rsidRDefault="005B679B" w:rsidP="005B679B">
            <w:pPr>
              <w:tabs>
                <w:tab w:val="left" w:pos="1091"/>
              </w:tabs>
              <w:spacing w:after="0"/>
              <w:rPr>
                <w:sz w:val="20"/>
                <w:szCs w:val="20"/>
              </w:rPr>
            </w:pPr>
            <w:r w:rsidRPr="005B679B">
              <w:rPr>
                <w:sz w:val="20"/>
                <w:szCs w:val="20"/>
              </w:rPr>
              <w:t xml:space="preserve">(a) de către autoritățile unui stat sau </w:t>
            </w:r>
          </w:p>
          <w:p w14:paraId="7A311681" w14:textId="77777777" w:rsidR="005B679B" w:rsidRPr="005B679B" w:rsidRDefault="005B679B" w:rsidP="005B679B">
            <w:pPr>
              <w:tabs>
                <w:tab w:val="left" w:pos="1091"/>
              </w:tabs>
              <w:spacing w:after="0"/>
              <w:rPr>
                <w:sz w:val="20"/>
                <w:szCs w:val="20"/>
              </w:rPr>
            </w:pPr>
            <w:r w:rsidRPr="005B679B">
              <w:rPr>
                <w:sz w:val="20"/>
                <w:szCs w:val="20"/>
              </w:rPr>
              <w:t xml:space="preserve">(b) sub responsabilitatea unui stat, de persoane juridice de drept public sau privat sau </w:t>
            </w:r>
          </w:p>
          <w:p w14:paraId="58575A64" w14:textId="77777777" w:rsidR="005B679B" w:rsidRPr="005B679B" w:rsidRDefault="005B679B" w:rsidP="005B679B">
            <w:pPr>
              <w:tabs>
                <w:tab w:val="left" w:pos="1091"/>
              </w:tabs>
              <w:spacing w:after="0"/>
              <w:rPr>
                <w:sz w:val="20"/>
                <w:szCs w:val="20"/>
              </w:rPr>
            </w:pPr>
            <w:r w:rsidRPr="005B679B">
              <w:rPr>
                <w:sz w:val="20"/>
                <w:szCs w:val="20"/>
              </w:rPr>
              <w:lastRenderedPageBreak/>
              <w:t>(c) pentru activități auxiliare, de asemenea sub controlul unui stat, de către persoane fizice abilitate în acest sens, cu condiția ca persoanele menționate la punctele (b) și (c) să nu obțină profituri personale ca urmare a acestor dispoziții.</w:t>
            </w:r>
          </w:p>
        </w:tc>
        <w:tc>
          <w:tcPr>
            <w:tcW w:w="1512" w:type="pct"/>
            <w:shd w:val="clear" w:color="auto" w:fill="auto"/>
          </w:tcPr>
          <w:p w14:paraId="2A33883E" w14:textId="77777777" w:rsidR="005B679B" w:rsidRPr="005B679B" w:rsidRDefault="005B679B" w:rsidP="005B679B">
            <w:pPr>
              <w:tabs>
                <w:tab w:val="left" w:pos="1091"/>
              </w:tabs>
              <w:spacing w:after="0"/>
              <w:rPr>
                <w:sz w:val="20"/>
                <w:szCs w:val="20"/>
              </w:rPr>
            </w:pPr>
          </w:p>
        </w:tc>
        <w:tc>
          <w:tcPr>
            <w:tcW w:w="988" w:type="pct"/>
            <w:shd w:val="clear" w:color="auto" w:fill="auto"/>
            <w:vAlign w:val="center"/>
          </w:tcPr>
          <w:p w14:paraId="15FE8B2B" w14:textId="77777777" w:rsidR="005B679B" w:rsidRPr="005B679B" w:rsidRDefault="005B679B" w:rsidP="005B679B">
            <w:pPr>
              <w:tabs>
                <w:tab w:val="left" w:pos="1091"/>
              </w:tabs>
              <w:spacing w:after="0"/>
              <w:jc w:val="center"/>
              <w:rPr>
                <w:b/>
                <w:bCs/>
                <w:sz w:val="20"/>
                <w:szCs w:val="20"/>
              </w:rPr>
            </w:pPr>
            <w:r w:rsidRPr="005B679B">
              <w:rPr>
                <w:b/>
                <w:sz w:val="20"/>
                <w:szCs w:val="20"/>
              </w:rPr>
              <w:t>Norme UE neaplicabile</w:t>
            </w:r>
          </w:p>
        </w:tc>
        <w:tc>
          <w:tcPr>
            <w:tcW w:w="790" w:type="pct"/>
            <w:shd w:val="clear" w:color="auto" w:fill="auto"/>
            <w:vAlign w:val="center"/>
          </w:tcPr>
          <w:p w14:paraId="2E4DCCA5" w14:textId="77777777" w:rsidR="005B679B" w:rsidRPr="005B679B" w:rsidRDefault="005B679B" w:rsidP="005B679B">
            <w:pPr>
              <w:tabs>
                <w:tab w:val="left" w:pos="1091"/>
              </w:tabs>
              <w:spacing w:after="0"/>
              <w:jc w:val="center"/>
              <w:rPr>
                <w:sz w:val="20"/>
                <w:szCs w:val="20"/>
              </w:rPr>
            </w:pPr>
          </w:p>
        </w:tc>
      </w:tr>
      <w:tr w:rsidR="005B679B" w:rsidRPr="005B679B" w14:paraId="5446B9E7" w14:textId="77777777" w:rsidTr="0014248B">
        <w:trPr>
          <w:trHeight w:val="1096"/>
        </w:trPr>
        <w:tc>
          <w:tcPr>
            <w:tcW w:w="1710" w:type="pct"/>
            <w:gridSpan w:val="3"/>
            <w:shd w:val="clear" w:color="auto" w:fill="auto"/>
          </w:tcPr>
          <w:p w14:paraId="26EA04AD" w14:textId="77777777" w:rsidR="005B679B" w:rsidRPr="005B679B" w:rsidRDefault="005B679B" w:rsidP="005B679B">
            <w:pPr>
              <w:tabs>
                <w:tab w:val="left" w:pos="1091"/>
              </w:tabs>
              <w:spacing w:after="0"/>
              <w:rPr>
                <w:sz w:val="20"/>
                <w:szCs w:val="20"/>
              </w:rPr>
            </w:pPr>
            <w:r w:rsidRPr="005B679B">
              <w:rPr>
                <w:sz w:val="20"/>
                <w:szCs w:val="20"/>
              </w:rPr>
              <w:lastRenderedPageBreak/>
              <w:t>Articolul 3 (1) Fiecare stat membru întocmește unul sau mai multe cataloage de soiuri admise oficial la certificare și la comercializare pe teritoriul său.</w:t>
            </w:r>
          </w:p>
          <w:p w14:paraId="7AC22AB9" w14:textId="77777777" w:rsidR="005B679B" w:rsidRPr="005B679B" w:rsidRDefault="005B679B" w:rsidP="005B679B">
            <w:pPr>
              <w:tabs>
                <w:tab w:val="left" w:pos="1091"/>
              </w:tabs>
              <w:spacing w:after="0"/>
              <w:rPr>
                <w:sz w:val="20"/>
                <w:szCs w:val="20"/>
              </w:rPr>
            </w:pPr>
            <w:r w:rsidRPr="005B679B">
              <w:rPr>
                <w:sz w:val="20"/>
                <w:szCs w:val="20"/>
              </w:rPr>
              <w:t>Orice persoană poate să consulte aceste cataloage.</w:t>
            </w:r>
          </w:p>
        </w:tc>
        <w:tc>
          <w:tcPr>
            <w:tcW w:w="1512" w:type="pct"/>
            <w:shd w:val="clear" w:color="auto" w:fill="auto"/>
          </w:tcPr>
          <w:p w14:paraId="05EDFF29" w14:textId="77777777" w:rsidR="005B679B" w:rsidRPr="005B679B" w:rsidRDefault="005B679B" w:rsidP="005B679B">
            <w:pPr>
              <w:tabs>
                <w:tab w:val="left" w:pos="1091"/>
              </w:tabs>
              <w:spacing w:after="0"/>
              <w:rPr>
                <w:sz w:val="20"/>
                <w:szCs w:val="20"/>
              </w:rPr>
            </w:pPr>
          </w:p>
        </w:tc>
        <w:tc>
          <w:tcPr>
            <w:tcW w:w="988" w:type="pct"/>
            <w:shd w:val="clear" w:color="auto" w:fill="auto"/>
            <w:vAlign w:val="center"/>
          </w:tcPr>
          <w:p w14:paraId="1662766E" w14:textId="77777777" w:rsidR="005B679B" w:rsidRPr="005B679B" w:rsidRDefault="005B679B" w:rsidP="005B679B">
            <w:pPr>
              <w:tabs>
                <w:tab w:val="left" w:pos="1091"/>
              </w:tabs>
              <w:spacing w:after="0"/>
              <w:ind w:hanging="19"/>
              <w:jc w:val="center"/>
              <w:rPr>
                <w:b/>
                <w:bCs/>
                <w:sz w:val="20"/>
                <w:szCs w:val="20"/>
              </w:rPr>
            </w:pPr>
            <w:r w:rsidRPr="005B679B">
              <w:rPr>
                <w:b/>
                <w:bCs/>
                <w:sz w:val="20"/>
                <w:szCs w:val="20"/>
              </w:rPr>
              <w:t>Compatibil</w:t>
            </w:r>
          </w:p>
        </w:tc>
        <w:tc>
          <w:tcPr>
            <w:tcW w:w="790" w:type="pct"/>
            <w:shd w:val="clear" w:color="auto" w:fill="auto"/>
            <w:vAlign w:val="center"/>
          </w:tcPr>
          <w:p w14:paraId="16F640AF" w14:textId="7B4C807F" w:rsidR="005B679B" w:rsidRPr="005B679B" w:rsidRDefault="005B679B" w:rsidP="009B2D2A">
            <w:pPr>
              <w:tabs>
                <w:tab w:val="left" w:pos="1091"/>
              </w:tabs>
              <w:spacing w:after="0"/>
              <w:ind w:hanging="19"/>
              <w:jc w:val="center"/>
              <w:rPr>
                <w:sz w:val="20"/>
                <w:szCs w:val="20"/>
              </w:rPr>
            </w:pPr>
            <w:r w:rsidRPr="005B679B">
              <w:rPr>
                <w:bCs/>
                <w:sz w:val="20"/>
                <w:szCs w:val="20"/>
              </w:rPr>
              <w:t xml:space="preserve">Transpus în pct. 3, </w:t>
            </w:r>
            <w:proofErr w:type="spellStart"/>
            <w:r w:rsidRPr="005B679B">
              <w:rPr>
                <w:bCs/>
                <w:sz w:val="20"/>
                <w:szCs w:val="20"/>
              </w:rPr>
              <w:t>subpct</w:t>
            </w:r>
            <w:proofErr w:type="spellEnd"/>
            <w:r w:rsidRPr="005B679B">
              <w:rPr>
                <w:bCs/>
                <w:sz w:val="20"/>
                <w:szCs w:val="20"/>
              </w:rPr>
              <w:t xml:space="preserve">. </w:t>
            </w:r>
            <w:r w:rsidR="009B2D2A">
              <w:rPr>
                <w:bCs/>
                <w:sz w:val="20"/>
                <w:szCs w:val="20"/>
              </w:rPr>
              <w:t>3), alin.2</w:t>
            </w:r>
            <w:r w:rsidRPr="005B679B">
              <w:rPr>
                <w:bCs/>
                <w:sz w:val="20"/>
                <w:szCs w:val="20"/>
              </w:rPr>
              <w:t xml:space="preserve"> din </w:t>
            </w:r>
            <w:r w:rsidR="009B2D2A" w:rsidRPr="009B2D2A">
              <w:rPr>
                <w:bCs/>
                <w:sz w:val="20"/>
                <w:szCs w:val="20"/>
              </w:rPr>
              <w:t>Hotărârii Guvernului nr. 43/2013</w:t>
            </w:r>
          </w:p>
        </w:tc>
      </w:tr>
      <w:tr w:rsidR="005B679B" w:rsidRPr="005B679B" w14:paraId="6767DC53" w14:textId="77777777" w:rsidTr="0014248B">
        <w:trPr>
          <w:trHeight w:val="637"/>
        </w:trPr>
        <w:tc>
          <w:tcPr>
            <w:tcW w:w="1710" w:type="pct"/>
            <w:gridSpan w:val="3"/>
            <w:shd w:val="clear" w:color="auto" w:fill="auto"/>
          </w:tcPr>
          <w:p w14:paraId="3856B022" w14:textId="77777777" w:rsidR="005B679B" w:rsidRPr="005B679B" w:rsidRDefault="005B679B" w:rsidP="005B679B">
            <w:pPr>
              <w:tabs>
                <w:tab w:val="left" w:pos="1091"/>
              </w:tabs>
              <w:spacing w:after="0"/>
              <w:rPr>
                <w:sz w:val="20"/>
                <w:szCs w:val="20"/>
              </w:rPr>
            </w:pPr>
            <w:r w:rsidRPr="005B679B">
              <w:rPr>
                <w:sz w:val="20"/>
                <w:szCs w:val="20"/>
              </w:rPr>
              <w:t xml:space="preserve">(2) În cazul soiurilor (linii </w:t>
            </w:r>
            <w:proofErr w:type="spellStart"/>
            <w:r w:rsidRPr="005B679B">
              <w:rPr>
                <w:sz w:val="20"/>
                <w:szCs w:val="20"/>
              </w:rPr>
              <w:t>consangvinizate</w:t>
            </w:r>
            <w:proofErr w:type="spellEnd"/>
            <w:r w:rsidRPr="005B679B">
              <w:rPr>
                <w:sz w:val="20"/>
                <w:szCs w:val="20"/>
              </w:rPr>
              <w:t xml:space="preserve">, hibrizi) care sunt destinate doar utilizării ca componente pentru soiuri finale, dispozițiile din alineatul (1) se aplică numai în măsura în care semințele lor trebuie comercializate sub denumirea acestora. </w:t>
            </w:r>
          </w:p>
        </w:tc>
        <w:tc>
          <w:tcPr>
            <w:tcW w:w="1512" w:type="pct"/>
            <w:shd w:val="clear" w:color="auto" w:fill="auto"/>
          </w:tcPr>
          <w:p w14:paraId="70AFC8B6" w14:textId="14E00911" w:rsidR="005B679B" w:rsidRPr="005B679B" w:rsidRDefault="005B679B" w:rsidP="005B679B">
            <w:pPr>
              <w:tabs>
                <w:tab w:val="left" w:pos="1091"/>
              </w:tabs>
              <w:spacing w:after="0"/>
              <w:rPr>
                <w:b/>
                <w:bCs/>
                <w:sz w:val="20"/>
                <w:szCs w:val="20"/>
              </w:rPr>
            </w:pPr>
          </w:p>
        </w:tc>
        <w:tc>
          <w:tcPr>
            <w:tcW w:w="988" w:type="pct"/>
            <w:shd w:val="clear" w:color="auto" w:fill="auto"/>
            <w:vAlign w:val="center"/>
          </w:tcPr>
          <w:p w14:paraId="22B3EF72" w14:textId="77777777" w:rsidR="005B679B" w:rsidRPr="005B679B" w:rsidRDefault="005B679B" w:rsidP="005B679B">
            <w:pPr>
              <w:tabs>
                <w:tab w:val="left" w:pos="1091"/>
              </w:tabs>
              <w:spacing w:after="0"/>
              <w:jc w:val="center"/>
              <w:rPr>
                <w:b/>
                <w:bCs/>
                <w:sz w:val="20"/>
                <w:szCs w:val="20"/>
              </w:rPr>
            </w:pPr>
            <w:r w:rsidRPr="005B679B">
              <w:rPr>
                <w:b/>
                <w:bCs/>
                <w:sz w:val="20"/>
                <w:szCs w:val="20"/>
              </w:rPr>
              <w:t>Compatibil</w:t>
            </w:r>
          </w:p>
        </w:tc>
        <w:tc>
          <w:tcPr>
            <w:tcW w:w="790" w:type="pct"/>
            <w:shd w:val="clear" w:color="auto" w:fill="auto"/>
            <w:vAlign w:val="center"/>
          </w:tcPr>
          <w:p w14:paraId="4B61295C" w14:textId="5B8EEB26" w:rsidR="005B679B" w:rsidRPr="005B679B" w:rsidRDefault="00CE220B" w:rsidP="00CE220B">
            <w:pPr>
              <w:tabs>
                <w:tab w:val="left" w:pos="1091"/>
              </w:tabs>
              <w:spacing w:after="0"/>
              <w:jc w:val="center"/>
              <w:rPr>
                <w:sz w:val="20"/>
                <w:szCs w:val="20"/>
              </w:rPr>
            </w:pPr>
            <w:r w:rsidRPr="00CE220B">
              <w:rPr>
                <w:sz w:val="20"/>
                <w:szCs w:val="20"/>
              </w:rPr>
              <w:t xml:space="preserve">Transpus în pct. </w:t>
            </w:r>
            <w:r>
              <w:rPr>
                <w:sz w:val="20"/>
                <w:szCs w:val="20"/>
              </w:rPr>
              <w:t xml:space="preserve">26, </w:t>
            </w:r>
            <w:proofErr w:type="spellStart"/>
            <w:r>
              <w:rPr>
                <w:sz w:val="20"/>
                <w:szCs w:val="20"/>
              </w:rPr>
              <w:t>subpct</w:t>
            </w:r>
            <w:proofErr w:type="spellEnd"/>
            <w:r>
              <w:rPr>
                <w:sz w:val="20"/>
                <w:szCs w:val="20"/>
              </w:rPr>
              <w:t>. 2</w:t>
            </w:r>
            <w:r w:rsidRPr="00CE220B">
              <w:rPr>
                <w:sz w:val="20"/>
                <w:szCs w:val="20"/>
              </w:rPr>
              <w:t>), din Hotărârii Guvernului nr. 43/2013</w:t>
            </w:r>
          </w:p>
        </w:tc>
      </w:tr>
      <w:tr w:rsidR="005B679B" w:rsidRPr="005B679B" w14:paraId="386D662E" w14:textId="77777777" w:rsidTr="0014248B">
        <w:trPr>
          <w:trHeight w:val="1599"/>
        </w:trPr>
        <w:tc>
          <w:tcPr>
            <w:tcW w:w="1710" w:type="pct"/>
            <w:gridSpan w:val="3"/>
            <w:shd w:val="clear" w:color="auto" w:fill="auto"/>
          </w:tcPr>
          <w:p w14:paraId="167C3D0A" w14:textId="77777777" w:rsidR="005B679B" w:rsidRPr="005B679B" w:rsidRDefault="005B679B" w:rsidP="005B679B">
            <w:pPr>
              <w:tabs>
                <w:tab w:val="left" w:pos="1091"/>
              </w:tabs>
              <w:spacing w:after="0"/>
              <w:rPr>
                <w:sz w:val="20"/>
                <w:szCs w:val="20"/>
              </w:rPr>
            </w:pPr>
            <w:r w:rsidRPr="005B679B">
              <w:rPr>
                <w:sz w:val="20"/>
                <w:szCs w:val="20"/>
              </w:rPr>
              <w:t xml:space="preserve">Condițiile în care dispozițiile din alineatul (1) se aplică și altor soiuri componente pot fi determinate conform procedurii prevăzute la articolul 23 alineatul. (2). Între timp, în cazul cerealelor altele decât porumbul, statele membre pot aplica ele însele aceste dispoziții altor soiuri componente în privința semințelor destinate certificării pe teritoriile lor. Soiurile componente sunt indicate ca atare. </w:t>
            </w:r>
          </w:p>
        </w:tc>
        <w:tc>
          <w:tcPr>
            <w:tcW w:w="1512" w:type="pct"/>
            <w:shd w:val="clear" w:color="auto" w:fill="auto"/>
          </w:tcPr>
          <w:p w14:paraId="6D945906" w14:textId="54FCEC90" w:rsidR="005B679B" w:rsidRPr="005B679B" w:rsidRDefault="005B679B" w:rsidP="005B679B">
            <w:pPr>
              <w:tabs>
                <w:tab w:val="left" w:pos="1091"/>
              </w:tabs>
              <w:spacing w:after="0"/>
              <w:rPr>
                <w:sz w:val="20"/>
                <w:szCs w:val="20"/>
              </w:rPr>
            </w:pPr>
          </w:p>
        </w:tc>
        <w:tc>
          <w:tcPr>
            <w:tcW w:w="988" w:type="pct"/>
            <w:shd w:val="clear" w:color="auto" w:fill="auto"/>
            <w:vAlign w:val="center"/>
          </w:tcPr>
          <w:p w14:paraId="6F282C9E" w14:textId="11F2E0EA" w:rsidR="005B679B" w:rsidRPr="005B679B" w:rsidRDefault="00F86EAB" w:rsidP="005B679B">
            <w:pPr>
              <w:tabs>
                <w:tab w:val="left" w:pos="1091"/>
              </w:tabs>
              <w:spacing w:after="0"/>
              <w:jc w:val="center"/>
              <w:rPr>
                <w:b/>
                <w:bCs/>
                <w:sz w:val="20"/>
                <w:szCs w:val="20"/>
              </w:rPr>
            </w:pPr>
            <w:r w:rsidRPr="00F86EAB">
              <w:rPr>
                <w:b/>
                <w:bCs/>
                <w:sz w:val="20"/>
                <w:szCs w:val="20"/>
              </w:rPr>
              <w:t>Norme UE neaplicabile</w:t>
            </w:r>
          </w:p>
        </w:tc>
        <w:tc>
          <w:tcPr>
            <w:tcW w:w="790" w:type="pct"/>
            <w:shd w:val="clear" w:color="auto" w:fill="auto"/>
            <w:vAlign w:val="center"/>
          </w:tcPr>
          <w:p w14:paraId="2C36CA2D" w14:textId="37A68909" w:rsidR="005B679B" w:rsidRPr="005B679B" w:rsidRDefault="005B679B" w:rsidP="005B679B">
            <w:pPr>
              <w:tabs>
                <w:tab w:val="left" w:pos="1091"/>
              </w:tabs>
              <w:spacing w:after="0"/>
              <w:jc w:val="center"/>
              <w:rPr>
                <w:bCs/>
                <w:sz w:val="20"/>
                <w:szCs w:val="20"/>
              </w:rPr>
            </w:pPr>
          </w:p>
        </w:tc>
      </w:tr>
      <w:tr w:rsidR="005B679B" w:rsidRPr="005B679B" w14:paraId="73401F4C" w14:textId="77777777" w:rsidTr="0014248B">
        <w:trPr>
          <w:trHeight w:val="1552"/>
        </w:trPr>
        <w:tc>
          <w:tcPr>
            <w:tcW w:w="1710" w:type="pct"/>
            <w:gridSpan w:val="3"/>
            <w:shd w:val="clear" w:color="auto" w:fill="auto"/>
          </w:tcPr>
          <w:p w14:paraId="57F5D2FE" w14:textId="77777777" w:rsidR="005B679B" w:rsidRPr="005B679B" w:rsidRDefault="005B679B" w:rsidP="005B679B">
            <w:pPr>
              <w:tabs>
                <w:tab w:val="left" w:pos="1091"/>
              </w:tabs>
              <w:spacing w:after="0"/>
              <w:rPr>
                <w:sz w:val="20"/>
                <w:szCs w:val="20"/>
              </w:rPr>
            </w:pPr>
            <w:r w:rsidRPr="005B679B">
              <w:rPr>
                <w:sz w:val="20"/>
                <w:szCs w:val="20"/>
              </w:rPr>
              <w:t>(3) Statele membre pot să prevadă că admiterea unui soi în catalogul comun sau în catalogul altui stat membru este echivalentă cu admiterea în catalogul propriu. În acest caz, statul membru este exonerat de obligațiile prevăzute la articolul 7, articolul 9 alineatul (4) și articolul 10 alineatele (2)-(5).</w:t>
            </w:r>
          </w:p>
        </w:tc>
        <w:tc>
          <w:tcPr>
            <w:tcW w:w="1512" w:type="pct"/>
            <w:shd w:val="clear" w:color="auto" w:fill="auto"/>
            <w:vAlign w:val="center"/>
          </w:tcPr>
          <w:p w14:paraId="0CAC43C7" w14:textId="77777777" w:rsidR="005B679B" w:rsidRPr="005B679B" w:rsidRDefault="005B679B" w:rsidP="005B679B">
            <w:pPr>
              <w:tabs>
                <w:tab w:val="left" w:pos="1091"/>
              </w:tabs>
              <w:spacing w:after="0"/>
              <w:jc w:val="center"/>
              <w:rPr>
                <w:b/>
                <w:bCs/>
                <w:sz w:val="20"/>
                <w:szCs w:val="20"/>
              </w:rPr>
            </w:pPr>
          </w:p>
        </w:tc>
        <w:tc>
          <w:tcPr>
            <w:tcW w:w="988" w:type="pct"/>
            <w:shd w:val="clear" w:color="auto" w:fill="auto"/>
            <w:vAlign w:val="center"/>
          </w:tcPr>
          <w:p w14:paraId="47B0D32E" w14:textId="227731AD" w:rsidR="005B679B" w:rsidRPr="005B679B" w:rsidRDefault="00F86EAB" w:rsidP="003D4A53">
            <w:pPr>
              <w:tabs>
                <w:tab w:val="left" w:pos="1091"/>
              </w:tabs>
              <w:spacing w:after="0"/>
              <w:jc w:val="center"/>
              <w:rPr>
                <w:b/>
                <w:bCs/>
                <w:sz w:val="20"/>
                <w:szCs w:val="20"/>
              </w:rPr>
            </w:pPr>
            <w:r w:rsidRPr="00F86EAB">
              <w:rPr>
                <w:b/>
                <w:bCs/>
                <w:sz w:val="20"/>
                <w:szCs w:val="20"/>
              </w:rPr>
              <w:t xml:space="preserve">Norme UE </w:t>
            </w:r>
            <w:r w:rsidR="003D4A53">
              <w:rPr>
                <w:b/>
                <w:bCs/>
                <w:sz w:val="20"/>
                <w:szCs w:val="20"/>
              </w:rPr>
              <w:t>opționale</w:t>
            </w:r>
          </w:p>
        </w:tc>
        <w:tc>
          <w:tcPr>
            <w:tcW w:w="790" w:type="pct"/>
            <w:shd w:val="clear" w:color="auto" w:fill="auto"/>
            <w:vAlign w:val="center"/>
          </w:tcPr>
          <w:p w14:paraId="1F75628C" w14:textId="7AB46E16" w:rsidR="005B679B" w:rsidRPr="005B679B" w:rsidRDefault="005B679B" w:rsidP="005B679B">
            <w:pPr>
              <w:tabs>
                <w:tab w:val="left" w:pos="1091"/>
              </w:tabs>
              <w:spacing w:after="0"/>
              <w:jc w:val="center"/>
              <w:rPr>
                <w:sz w:val="20"/>
                <w:szCs w:val="20"/>
              </w:rPr>
            </w:pPr>
          </w:p>
        </w:tc>
      </w:tr>
      <w:tr w:rsidR="005B679B" w:rsidRPr="005B679B" w14:paraId="728C8964" w14:textId="77777777" w:rsidTr="0014248B">
        <w:trPr>
          <w:trHeight w:val="1269"/>
        </w:trPr>
        <w:tc>
          <w:tcPr>
            <w:tcW w:w="1710" w:type="pct"/>
            <w:gridSpan w:val="3"/>
            <w:shd w:val="clear" w:color="auto" w:fill="auto"/>
          </w:tcPr>
          <w:p w14:paraId="7DFD8F6E" w14:textId="77777777" w:rsidR="005B679B" w:rsidRPr="005B679B" w:rsidRDefault="005B679B" w:rsidP="005B679B">
            <w:pPr>
              <w:tabs>
                <w:tab w:val="left" w:pos="1091"/>
              </w:tabs>
              <w:spacing w:after="0"/>
              <w:rPr>
                <w:sz w:val="20"/>
                <w:szCs w:val="20"/>
              </w:rPr>
            </w:pPr>
            <w:r w:rsidRPr="005B679B">
              <w:rPr>
                <w:sz w:val="20"/>
                <w:szCs w:val="20"/>
              </w:rPr>
              <w:t xml:space="preserve">Articolul 4 </w:t>
            </w:r>
          </w:p>
          <w:p w14:paraId="037473AA" w14:textId="77777777" w:rsidR="005B679B" w:rsidRPr="005B679B" w:rsidRDefault="005B679B" w:rsidP="005B679B">
            <w:pPr>
              <w:tabs>
                <w:tab w:val="left" w:pos="1091"/>
              </w:tabs>
              <w:spacing w:after="0"/>
              <w:rPr>
                <w:sz w:val="20"/>
                <w:szCs w:val="20"/>
              </w:rPr>
            </w:pPr>
            <w:r w:rsidRPr="005B679B">
              <w:rPr>
                <w:sz w:val="20"/>
                <w:szCs w:val="20"/>
              </w:rPr>
              <w:t>(1) Statele membre se asigură că un soi nu este admis decât în cazul în care este distinct, stabil și suficient de omogen. Soiul trebuie să posede o valoare culturală și de utilizare satisfăcătoare.</w:t>
            </w:r>
          </w:p>
        </w:tc>
        <w:tc>
          <w:tcPr>
            <w:tcW w:w="1512" w:type="pct"/>
            <w:shd w:val="clear" w:color="auto" w:fill="auto"/>
          </w:tcPr>
          <w:p w14:paraId="1D2B882A" w14:textId="5B453ACF" w:rsidR="005B679B" w:rsidRPr="005B679B" w:rsidRDefault="005B679B" w:rsidP="00933E44">
            <w:pPr>
              <w:tabs>
                <w:tab w:val="left" w:pos="1091"/>
              </w:tabs>
              <w:spacing w:after="0"/>
              <w:jc w:val="center"/>
              <w:rPr>
                <w:sz w:val="20"/>
                <w:szCs w:val="20"/>
              </w:rPr>
            </w:pPr>
          </w:p>
        </w:tc>
        <w:tc>
          <w:tcPr>
            <w:tcW w:w="988" w:type="pct"/>
            <w:shd w:val="clear" w:color="auto" w:fill="auto"/>
            <w:vAlign w:val="center"/>
          </w:tcPr>
          <w:p w14:paraId="2A136D7B" w14:textId="77777777" w:rsidR="005B679B" w:rsidRPr="005B679B" w:rsidRDefault="005B679B" w:rsidP="005B679B">
            <w:pPr>
              <w:tabs>
                <w:tab w:val="left" w:pos="1091"/>
              </w:tabs>
              <w:spacing w:after="0"/>
              <w:jc w:val="center"/>
              <w:rPr>
                <w:b/>
                <w:bCs/>
                <w:sz w:val="20"/>
                <w:szCs w:val="20"/>
              </w:rPr>
            </w:pPr>
            <w:r w:rsidRPr="005B679B">
              <w:rPr>
                <w:b/>
                <w:bCs/>
                <w:sz w:val="20"/>
                <w:szCs w:val="20"/>
              </w:rPr>
              <w:t>Compatibil</w:t>
            </w:r>
          </w:p>
        </w:tc>
        <w:tc>
          <w:tcPr>
            <w:tcW w:w="790" w:type="pct"/>
            <w:shd w:val="clear" w:color="auto" w:fill="auto"/>
            <w:vAlign w:val="center"/>
          </w:tcPr>
          <w:p w14:paraId="48EE3CA5" w14:textId="7BE39D59" w:rsidR="005B679B" w:rsidRPr="005B679B" w:rsidRDefault="00933E44" w:rsidP="005B679B">
            <w:pPr>
              <w:tabs>
                <w:tab w:val="left" w:pos="1091"/>
              </w:tabs>
              <w:spacing w:after="0"/>
              <w:jc w:val="center"/>
              <w:rPr>
                <w:sz w:val="20"/>
                <w:szCs w:val="20"/>
              </w:rPr>
            </w:pPr>
            <w:r w:rsidRPr="00933E44">
              <w:rPr>
                <w:bCs/>
                <w:sz w:val="20"/>
                <w:szCs w:val="20"/>
              </w:rPr>
              <w:t>Transpus în pct. 26</w:t>
            </w:r>
            <w:r>
              <w:rPr>
                <w:bCs/>
                <w:sz w:val="20"/>
                <w:szCs w:val="20"/>
              </w:rPr>
              <w:t xml:space="preserve">, </w:t>
            </w:r>
            <w:proofErr w:type="spellStart"/>
            <w:r>
              <w:rPr>
                <w:bCs/>
                <w:sz w:val="20"/>
                <w:szCs w:val="20"/>
              </w:rPr>
              <w:t>subpct</w:t>
            </w:r>
            <w:proofErr w:type="spellEnd"/>
            <w:r>
              <w:rPr>
                <w:bCs/>
                <w:sz w:val="20"/>
                <w:szCs w:val="20"/>
              </w:rPr>
              <w:t>. 3</w:t>
            </w:r>
            <w:r w:rsidRPr="00933E44">
              <w:rPr>
                <w:bCs/>
                <w:sz w:val="20"/>
                <w:szCs w:val="20"/>
              </w:rPr>
              <w:t>), din Hotărârii Guvernului nr. 43/2013</w:t>
            </w:r>
          </w:p>
        </w:tc>
      </w:tr>
      <w:tr w:rsidR="005B679B" w:rsidRPr="005B679B" w14:paraId="7847A098" w14:textId="77777777" w:rsidTr="0014248B">
        <w:trPr>
          <w:trHeight w:val="733"/>
        </w:trPr>
        <w:tc>
          <w:tcPr>
            <w:tcW w:w="1710" w:type="pct"/>
            <w:gridSpan w:val="3"/>
            <w:shd w:val="clear" w:color="auto" w:fill="auto"/>
          </w:tcPr>
          <w:p w14:paraId="147FA6B6" w14:textId="77777777" w:rsidR="005B679B" w:rsidRPr="005B679B" w:rsidRDefault="005B679B" w:rsidP="005B679B">
            <w:pPr>
              <w:tabs>
                <w:tab w:val="left" w:pos="1091"/>
              </w:tabs>
              <w:spacing w:after="0"/>
              <w:rPr>
                <w:sz w:val="20"/>
                <w:szCs w:val="20"/>
              </w:rPr>
            </w:pPr>
            <w:r w:rsidRPr="005B679B">
              <w:rPr>
                <w:sz w:val="20"/>
                <w:szCs w:val="20"/>
              </w:rPr>
              <w:t>(2) Examinarea valorii culturale și de utilizare nu este necesară:</w:t>
            </w:r>
          </w:p>
          <w:p w14:paraId="002B3E75" w14:textId="77777777" w:rsidR="005B679B" w:rsidRPr="005B679B" w:rsidRDefault="005B679B" w:rsidP="005B679B">
            <w:pPr>
              <w:tabs>
                <w:tab w:val="left" w:pos="1091"/>
              </w:tabs>
              <w:spacing w:after="0"/>
              <w:rPr>
                <w:sz w:val="20"/>
                <w:szCs w:val="20"/>
              </w:rPr>
            </w:pPr>
            <w:r w:rsidRPr="005B679B">
              <w:rPr>
                <w:sz w:val="20"/>
                <w:szCs w:val="20"/>
              </w:rPr>
              <w:t>(a) pentru admiterea soiurilor de graminee, în cazul în care amelioratorul declară că semințele din soiul său nu sunt destinate utilizării ca plante furajere;</w:t>
            </w:r>
          </w:p>
        </w:tc>
        <w:tc>
          <w:tcPr>
            <w:tcW w:w="1512" w:type="pct"/>
            <w:shd w:val="clear" w:color="auto" w:fill="auto"/>
            <w:vAlign w:val="center"/>
          </w:tcPr>
          <w:p w14:paraId="1607B3AC" w14:textId="77777777" w:rsidR="005B679B" w:rsidRPr="005B679B" w:rsidRDefault="005B679B" w:rsidP="005B679B">
            <w:pPr>
              <w:tabs>
                <w:tab w:val="left" w:pos="1091"/>
              </w:tabs>
              <w:spacing w:after="0"/>
              <w:ind w:hanging="22"/>
              <w:jc w:val="center"/>
              <w:rPr>
                <w:sz w:val="20"/>
                <w:szCs w:val="20"/>
              </w:rPr>
            </w:pPr>
          </w:p>
        </w:tc>
        <w:tc>
          <w:tcPr>
            <w:tcW w:w="988" w:type="pct"/>
            <w:shd w:val="clear" w:color="auto" w:fill="auto"/>
            <w:vAlign w:val="center"/>
          </w:tcPr>
          <w:p w14:paraId="4084848F" w14:textId="77777777" w:rsidR="005B679B" w:rsidRPr="005B679B" w:rsidRDefault="005B679B" w:rsidP="005B679B">
            <w:pPr>
              <w:tabs>
                <w:tab w:val="left" w:pos="1091"/>
              </w:tabs>
              <w:spacing w:after="0"/>
              <w:ind w:hanging="22"/>
              <w:jc w:val="center"/>
              <w:rPr>
                <w:b/>
                <w:bCs/>
                <w:sz w:val="20"/>
                <w:szCs w:val="20"/>
              </w:rPr>
            </w:pPr>
            <w:r w:rsidRPr="005B679B">
              <w:rPr>
                <w:b/>
                <w:bCs/>
                <w:sz w:val="20"/>
                <w:szCs w:val="20"/>
              </w:rPr>
              <w:t>Compatibil</w:t>
            </w:r>
          </w:p>
        </w:tc>
        <w:tc>
          <w:tcPr>
            <w:tcW w:w="790" w:type="pct"/>
            <w:shd w:val="clear" w:color="auto" w:fill="auto"/>
            <w:vAlign w:val="center"/>
          </w:tcPr>
          <w:p w14:paraId="05F87600" w14:textId="1D7C1589" w:rsidR="005B679B" w:rsidRPr="005B679B" w:rsidRDefault="005B679B" w:rsidP="005B679B">
            <w:pPr>
              <w:tabs>
                <w:tab w:val="left" w:pos="1091"/>
              </w:tabs>
              <w:spacing w:after="0"/>
              <w:ind w:hanging="22"/>
              <w:jc w:val="center"/>
              <w:rPr>
                <w:bCs/>
                <w:sz w:val="20"/>
                <w:szCs w:val="20"/>
              </w:rPr>
            </w:pPr>
            <w:r w:rsidRPr="005B679B">
              <w:rPr>
                <w:bCs/>
                <w:sz w:val="20"/>
                <w:szCs w:val="20"/>
              </w:rPr>
              <w:t xml:space="preserve">Transpus în pct. 26, </w:t>
            </w:r>
            <w:proofErr w:type="spellStart"/>
            <w:r w:rsidRPr="005B679B">
              <w:rPr>
                <w:bCs/>
                <w:sz w:val="20"/>
                <w:szCs w:val="20"/>
              </w:rPr>
              <w:t>subpct</w:t>
            </w:r>
            <w:proofErr w:type="spellEnd"/>
            <w:r w:rsidRPr="005B679B">
              <w:rPr>
                <w:bCs/>
                <w:sz w:val="20"/>
                <w:szCs w:val="20"/>
              </w:rPr>
              <w:t xml:space="preserve">.(1) din </w:t>
            </w:r>
            <w:r w:rsidR="00C85706" w:rsidRPr="00C85706">
              <w:rPr>
                <w:bCs/>
                <w:sz w:val="20"/>
                <w:szCs w:val="20"/>
              </w:rPr>
              <w:t>Hotărârii Guvernului nr. 43/2013</w:t>
            </w:r>
          </w:p>
        </w:tc>
      </w:tr>
      <w:tr w:rsidR="005B679B" w:rsidRPr="005B679B" w14:paraId="3F024A8D" w14:textId="77777777" w:rsidTr="0014248B">
        <w:trPr>
          <w:trHeight w:val="487"/>
        </w:trPr>
        <w:tc>
          <w:tcPr>
            <w:tcW w:w="1710" w:type="pct"/>
            <w:gridSpan w:val="3"/>
            <w:shd w:val="clear" w:color="auto" w:fill="auto"/>
          </w:tcPr>
          <w:p w14:paraId="6EE8F14F" w14:textId="77777777" w:rsidR="005B679B" w:rsidRPr="005B679B" w:rsidRDefault="005B679B" w:rsidP="005B679B">
            <w:pPr>
              <w:tabs>
                <w:tab w:val="left" w:pos="1091"/>
              </w:tabs>
              <w:spacing w:after="0"/>
              <w:rPr>
                <w:sz w:val="20"/>
                <w:szCs w:val="20"/>
              </w:rPr>
            </w:pPr>
            <w:r w:rsidRPr="005B679B">
              <w:rPr>
                <w:sz w:val="20"/>
                <w:szCs w:val="20"/>
              </w:rPr>
              <w:lastRenderedPageBreak/>
              <w:t>(b) pentru admiterea soiurilor ale căror semințe sunt destinate comercializării într-un alt stat membru care le-a admis ținând seama de valoarea lor culturală și de utilizare;</w:t>
            </w:r>
          </w:p>
        </w:tc>
        <w:tc>
          <w:tcPr>
            <w:tcW w:w="1512" w:type="pct"/>
            <w:shd w:val="clear" w:color="auto" w:fill="auto"/>
            <w:vAlign w:val="center"/>
          </w:tcPr>
          <w:p w14:paraId="24CA2642" w14:textId="77777777" w:rsidR="004E3042" w:rsidRPr="004E3042" w:rsidRDefault="004E3042" w:rsidP="004E3042">
            <w:pPr>
              <w:tabs>
                <w:tab w:val="left" w:pos="1091"/>
              </w:tabs>
              <w:spacing w:after="0"/>
              <w:ind w:hanging="22"/>
              <w:rPr>
                <w:sz w:val="20"/>
                <w:szCs w:val="20"/>
              </w:rPr>
            </w:pPr>
            <w:r w:rsidRPr="004E3042">
              <w:rPr>
                <w:sz w:val="20"/>
                <w:szCs w:val="20"/>
              </w:rPr>
              <w:t xml:space="preserve">Pct. 26 se completează cu </w:t>
            </w:r>
            <w:proofErr w:type="spellStart"/>
            <w:r w:rsidRPr="004E3042">
              <w:rPr>
                <w:sz w:val="20"/>
                <w:szCs w:val="20"/>
              </w:rPr>
              <w:t>subpct</w:t>
            </w:r>
            <w:proofErr w:type="spellEnd"/>
            <w:r w:rsidRPr="004E3042">
              <w:rPr>
                <w:sz w:val="20"/>
                <w:szCs w:val="20"/>
              </w:rPr>
              <w:t>. 4), cu următorul cuprins:</w:t>
            </w:r>
          </w:p>
          <w:p w14:paraId="797E5AE8" w14:textId="7A2A6EAA" w:rsidR="005B679B" w:rsidRPr="005B679B" w:rsidRDefault="004E3042" w:rsidP="004E3042">
            <w:pPr>
              <w:tabs>
                <w:tab w:val="left" w:pos="1091"/>
              </w:tabs>
              <w:spacing w:after="0"/>
              <w:ind w:hanging="22"/>
              <w:rPr>
                <w:sz w:val="20"/>
                <w:szCs w:val="20"/>
              </w:rPr>
            </w:pPr>
            <w:r w:rsidRPr="004E3042">
              <w:rPr>
                <w:sz w:val="20"/>
                <w:szCs w:val="20"/>
              </w:rPr>
              <w:t>„4) pentru admiterea soiurilor ale căror semințe sunt destinate comercializării într-un alt stat care le-a admis.”;</w:t>
            </w:r>
          </w:p>
        </w:tc>
        <w:tc>
          <w:tcPr>
            <w:tcW w:w="988" w:type="pct"/>
            <w:shd w:val="clear" w:color="auto" w:fill="auto"/>
            <w:vAlign w:val="center"/>
          </w:tcPr>
          <w:p w14:paraId="7F72762E" w14:textId="4E63872A" w:rsidR="005B679B" w:rsidRPr="005B679B" w:rsidRDefault="004E3042" w:rsidP="005B679B">
            <w:pPr>
              <w:tabs>
                <w:tab w:val="left" w:pos="1091"/>
              </w:tabs>
              <w:spacing w:after="0"/>
              <w:ind w:hanging="22"/>
              <w:jc w:val="center"/>
              <w:rPr>
                <w:b/>
                <w:bCs/>
                <w:sz w:val="20"/>
                <w:szCs w:val="20"/>
              </w:rPr>
            </w:pPr>
            <w:r>
              <w:rPr>
                <w:b/>
                <w:bCs/>
                <w:sz w:val="20"/>
                <w:szCs w:val="20"/>
              </w:rPr>
              <w:t xml:space="preserve">Compatibil </w:t>
            </w:r>
          </w:p>
        </w:tc>
        <w:tc>
          <w:tcPr>
            <w:tcW w:w="790" w:type="pct"/>
            <w:shd w:val="clear" w:color="auto" w:fill="auto"/>
            <w:vAlign w:val="center"/>
          </w:tcPr>
          <w:p w14:paraId="019A589F" w14:textId="77777777" w:rsidR="005B679B" w:rsidRPr="005B679B" w:rsidRDefault="005B679B" w:rsidP="005B679B">
            <w:pPr>
              <w:tabs>
                <w:tab w:val="left" w:pos="1091"/>
              </w:tabs>
              <w:spacing w:after="0"/>
              <w:ind w:hanging="22"/>
              <w:jc w:val="center"/>
              <w:rPr>
                <w:sz w:val="20"/>
                <w:szCs w:val="20"/>
              </w:rPr>
            </w:pPr>
          </w:p>
        </w:tc>
      </w:tr>
      <w:tr w:rsidR="005B679B" w:rsidRPr="005B679B" w14:paraId="0CF85DE5" w14:textId="77777777" w:rsidTr="0014248B">
        <w:trPr>
          <w:trHeight w:val="1365"/>
        </w:trPr>
        <w:tc>
          <w:tcPr>
            <w:tcW w:w="1710" w:type="pct"/>
            <w:gridSpan w:val="3"/>
            <w:shd w:val="clear" w:color="auto" w:fill="auto"/>
          </w:tcPr>
          <w:p w14:paraId="55F2DD3F" w14:textId="77777777" w:rsidR="005B679B" w:rsidRPr="005B679B" w:rsidRDefault="005B679B" w:rsidP="005B679B">
            <w:pPr>
              <w:tabs>
                <w:tab w:val="left" w:pos="1091"/>
              </w:tabs>
              <w:spacing w:after="0"/>
              <w:rPr>
                <w:sz w:val="20"/>
                <w:szCs w:val="20"/>
              </w:rPr>
            </w:pPr>
            <w:r w:rsidRPr="005B679B">
              <w:rPr>
                <w:sz w:val="20"/>
                <w:szCs w:val="20"/>
              </w:rPr>
              <w:t xml:space="preserve">(c) pentru admiterea de soiuri (linii </w:t>
            </w:r>
            <w:proofErr w:type="spellStart"/>
            <w:r w:rsidRPr="005B679B">
              <w:rPr>
                <w:sz w:val="20"/>
                <w:szCs w:val="20"/>
              </w:rPr>
              <w:t>consangvinizate</w:t>
            </w:r>
            <w:proofErr w:type="spellEnd"/>
            <w:r w:rsidRPr="005B679B">
              <w:rPr>
                <w:sz w:val="20"/>
                <w:szCs w:val="20"/>
              </w:rPr>
              <w:t>, hibrizi) utilizate exclusiv drept componente ale unor soiuri hibride care îndeplinesc cerințele prevăzute la alineatul (1).</w:t>
            </w:r>
          </w:p>
        </w:tc>
        <w:tc>
          <w:tcPr>
            <w:tcW w:w="1512" w:type="pct"/>
            <w:shd w:val="clear" w:color="auto" w:fill="auto"/>
            <w:vAlign w:val="center"/>
          </w:tcPr>
          <w:p w14:paraId="611EB01F" w14:textId="77777777" w:rsidR="005B679B" w:rsidRPr="005B679B" w:rsidRDefault="005B679B" w:rsidP="005B679B">
            <w:pPr>
              <w:tabs>
                <w:tab w:val="left" w:pos="1091"/>
              </w:tabs>
              <w:spacing w:after="0"/>
              <w:ind w:hanging="22"/>
              <w:jc w:val="center"/>
              <w:rPr>
                <w:sz w:val="20"/>
                <w:szCs w:val="20"/>
              </w:rPr>
            </w:pPr>
          </w:p>
        </w:tc>
        <w:tc>
          <w:tcPr>
            <w:tcW w:w="988" w:type="pct"/>
            <w:shd w:val="clear" w:color="auto" w:fill="auto"/>
            <w:vAlign w:val="center"/>
          </w:tcPr>
          <w:p w14:paraId="7157873A" w14:textId="77777777" w:rsidR="005B679B" w:rsidRPr="005B679B" w:rsidRDefault="005B679B" w:rsidP="005B679B">
            <w:pPr>
              <w:tabs>
                <w:tab w:val="left" w:pos="1091"/>
              </w:tabs>
              <w:spacing w:after="0"/>
              <w:ind w:hanging="22"/>
              <w:jc w:val="center"/>
              <w:rPr>
                <w:b/>
                <w:bCs/>
                <w:sz w:val="20"/>
                <w:szCs w:val="20"/>
              </w:rPr>
            </w:pPr>
            <w:r w:rsidRPr="005B679B">
              <w:rPr>
                <w:b/>
                <w:bCs/>
                <w:sz w:val="20"/>
                <w:szCs w:val="20"/>
              </w:rPr>
              <w:t>Compatibil</w:t>
            </w:r>
          </w:p>
        </w:tc>
        <w:tc>
          <w:tcPr>
            <w:tcW w:w="790" w:type="pct"/>
            <w:shd w:val="clear" w:color="auto" w:fill="auto"/>
            <w:vAlign w:val="center"/>
          </w:tcPr>
          <w:p w14:paraId="7B782B14" w14:textId="1480E7AA" w:rsidR="005B679B" w:rsidRPr="005B679B" w:rsidRDefault="005B679B" w:rsidP="005B679B">
            <w:pPr>
              <w:tabs>
                <w:tab w:val="left" w:pos="1091"/>
              </w:tabs>
              <w:spacing w:after="0"/>
              <w:ind w:hanging="22"/>
              <w:jc w:val="center"/>
              <w:rPr>
                <w:sz w:val="20"/>
                <w:szCs w:val="20"/>
              </w:rPr>
            </w:pPr>
            <w:r w:rsidRPr="005B679B">
              <w:rPr>
                <w:bCs/>
                <w:sz w:val="20"/>
                <w:szCs w:val="20"/>
              </w:rPr>
              <w:t xml:space="preserve">Transpus în pct. 26, </w:t>
            </w:r>
            <w:proofErr w:type="spellStart"/>
            <w:r w:rsidRPr="005B679B">
              <w:rPr>
                <w:bCs/>
                <w:sz w:val="20"/>
                <w:szCs w:val="20"/>
              </w:rPr>
              <w:t>subpct</w:t>
            </w:r>
            <w:proofErr w:type="spellEnd"/>
            <w:r w:rsidRPr="005B679B">
              <w:rPr>
                <w:bCs/>
                <w:sz w:val="20"/>
                <w:szCs w:val="20"/>
              </w:rPr>
              <w:t xml:space="preserve">.(2) din </w:t>
            </w:r>
            <w:r w:rsidR="00C85706" w:rsidRPr="00C85706">
              <w:rPr>
                <w:bCs/>
                <w:sz w:val="20"/>
                <w:szCs w:val="20"/>
              </w:rPr>
              <w:t>Hotărârii Guvernului nr. 43/2013</w:t>
            </w:r>
          </w:p>
        </w:tc>
      </w:tr>
      <w:tr w:rsidR="005B679B" w:rsidRPr="005B679B" w14:paraId="685511EE" w14:textId="77777777" w:rsidTr="0014248B">
        <w:trPr>
          <w:trHeight w:val="2357"/>
        </w:trPr>
        <w:tc>
          <w:tcPr>
            <w:tcW w:w="1710" w:type="pct"/>
            <w:gridSpan w:val="3"/>
            <w:shd w:val="clear" w:color="auto" w:fill="auto"/>
          </w:tcPr>
          <w:p w14:paraId="2F36CFB1" w14:textId="77777777" w:rsidR="005B679B" w:rsidRPr="005B679B" w:rsidRDefault="005B679B" w:rsidP="005B679B">
            <w:pPr>
              <w:tabs>
                <w:tab w:val="left" w:pos="1091"/>
              </w:tabs>
              <w:spacing w:after="0"/>
              <w:rPr>
                <w:sz w:val="20"/>
                <w:szCs w:val="20"/>
              </w:rPr>
            </w:pPr>
            <w:r w:rsidRPr="005B679B">
              <w:rPr>
                <w:sz w:val="20"/>
                <w:szCs w:val="20"/>
              </w:rPr>
              <w:t>(3) În cazul soiurilor care intră sub incidența alineatului (2) litera (a), se poate decide, în conformitate cu procedura prevăzută la articolul 23 alineatul (2) și în măsura în care această măsură se justifică în interesul liberei circulații a semințelor în interiorul Comunității, că soiurile trebuie să se dovedească, în urma unei examinări adecvate, corespunzătoare destinației declarate. În aceste cazuri, trebuie stabilite condițiile examinării.</w:t>
            </w:r>
          </w:p>
        </w:tc>
        <w:tc>
          <w:tcPr>
            <w:tcW w:w="1512" w:type="pct"/>
            <w:shd w:val="clear" w:color="auto" w:fill="auto"/>
            <w:vAlign w:val="center"/>
          </w:tcPr>
          <w:p w14:paraId="64CA874D" w14:textId="77777777" w:rsidR="005B679B" w:rsidRPr="005B679B" w:rsidRDefault="005B679B" w:rsidP="005B679B">
            <w:pPr>
              <w:tabs>
                <w:tab w:val="left" w:pos="1091"/>
              </w:tabs>
              <w:spacing w:after="0"/>
              <w:jc w:val="center"/>
              <w:rPr>
                <w:sz w:val="20"/>
                <w:szCs w:val="20"/>
              </w:rPr>
            </w:pPr>
          </w:p>
        </w:tc>
        <w:tc>
          <w:tcPr>
            <w:tcW w:w="988" w:type="pct"/>
            <w:shd w:val="clear" w:color="auto" w:fill="auto"/>
            <w:vAlign w:val="center"/>
          </w:tcPr>
          <w:p w14:paraId="48B5722F" w14:textId="77777777" w:rsidR="005B679B" w:rsidRPr="005B679B" w:rsidRDefault="005B679B" w:rsidP="005B679B">
            <w:pPr>
              <w:tabs>
                <w:tab w:val="left" w:pos="1091"/>
              </w:tabs>
              <w:spacing w:after="0"/>
              <w:jc w:val="center"/>
              <w:rPr>
                <w:b/>
                <w:bCs/>
                <w:sz w:val="20"/>
                <w:szCs w:val="20"/>
              </w:rPr>
            </w:pPr>
            <w:r w:rsidRPr="005B679B">
              <w:rPr>
                <w:b/>
                <w:bCs/>
                <w:sz w:val="20"/>
                <w:szCs w:val="20"/>
              </w:rPr>
              <w:t>Norme UE neaplicabile</w:t>
            </w:r>
          </w:p>
        </w:tc>
        <w:tc>
          <w:tcPr>
            <w:tcW w:w="790" w:type="pct"/>
            <w:shd w:val="clear" w:color="auto" w:fill="auto"/>
            <w:vAlign w:val="center"/>
          </w:tcPr>
          <w:p w14:paraId="7EA8BB43" w14:textId="30442353" w:rsidR="005B679B" w:rsidRPr="005B679B" w:rsidRDefault="005B679B" w:rsidP="005B679B">
            <w:pPr>
              <w:tabs>
                <w:tab w:val="left" w:pos="1091"/>
              </w:tabs>
              <w:spacing w:after="0"/>
              <w:jc w:val="center"/>
              <w:rPr>
                <w:bCs/>
                <w:sz w:val="20"/>
                <w:szCs w:val="20"/>
              </w:rPr>
            </w:pPr>
          </w:p>
        </w:tc>
      </w:tr>
      <w:tr w:rsidR="005B679B" w:rsidRPr="005B679B" w14:paraId="5D5C4B35" w14:textId="77777777" w:rsidTr="0014248B">
        <w:trPr>
          <w:trHeight w:val="113"/>
        </w:trPr>
        <w:tc>
          <w:tcPr>
            <w:tcW w:w="1710" w:type="pct"/>
            <w:gridSpan w:val="3"/>
            <w:shd w:val="clear" w:color="auto" w:fill="auto"/>
          </w:tcPr>
          <w:p w14:paraId="229DC203" w14:textId="77777777" w:rsidR="005B679B" w:rsidRPr="005B679B" w:rsidRDefault="005B679B" w:rsidP="005B679B">
            <w:pPr>
              <w:tabs>
                <w:tab w:val="left" w:pos="1091"/>
              </w:tabs>
              <w:spacing w:after="0"/>
              <w:rPr>
                <w:sz w:val="20"/>
                <w:szCs w:val="20"/>
              </w:rPr>
            </w:pPr>
            <w:r w:rsidRPr="005B679B">
              <w:rPr>
                <w:sz w:val="20"/>
                <w:szCs w:val="20"/>
              </w:rPr>
              <w:t>(4) În cazul unui soi modificat genetic în sensul articolului 2 punctele 1 și 2 din Directiva 90/220/CEE, aceasta este admisă doar în cazul în care au fost luate toate măsurile adecvate în vederea evitării riscurilor pentru sănătatea oamenilor și pentru mediu.</w:t>
            </w:r>
          </w:p>
        </w:tc>
        <w:tc>
          <w:tcPr>
            <w:tcW w:w="1512" w:type="pct"/>
            <w:shd w:val="clear" w:color="auto" w:fill="auto"/>
            <w:vAlign w:val="center"/>
          </w:tcPr>
          <w:p w14:paraId="1928ABCF" w14:textId="77777777" w:rsidR="005B679B" w:rsidRPr="005B679B" w:rsidRDefault="005B679B" w:rsidP="005B679B">
            <w:pPr>
              <w:tabs>
                <w:tab w:val="left" w:pos="1091"/>
              </w:tabs>
              <w:spacing w:after="0"/>
              <w:jc w:val="center"/>
              <w:rPr>
                <w:sz w:val="20"/>
                <w:szCs w:val="20"/>
              </w:rPr>
            </w:pPr>
          </w:p>
        </w:tc>
        <w:tc>
          <w:tcPr>
            <w:tcW w:w="988" w:type="pct"/>
            <w:shd w:val="clear" w:color="auto" w:fill="auto"/>
            <w:vAlign w:val="center"/>
          </w:tcPr>
          <w:p w14:paraId="4853D8F3" w14:textId="77777777" w:rsidR="005B679B" w:rsidRPr="005B679B" w:rsidRDefault="005B679B" w:rsidP="005B679B">
            <w:pPr>
              <w:tabs>
                <w:tab w:val="left" w:pos="1091"/>
              </w:tabs>
              <w:spacing w:after="0"/>
              <w:jc w:val="center"/>
              <w:rPr>
                <w:b/>
                <w:bCs/>
                <w:sz w:val="20"/>
                <w:szCs w:val="20"/>
              </w:rPr>
            </w:pPr>
            <w:r w:rsidRPr="005B679B">
              <w:rPr>
                <w:b/>
                <w:bCs/>
                <w:sz w:val="20"/>
                <w:szCs w:val="20"/>
              </w:rPr>
              <w:t>Compatibil</w:t>
            </w:r>
          </w:p>
        </w:tc>
        <w:tc>
          <w:tcPr>
            <w:tcW w:w="790" w:type="pct"/>
            <w:shd w:val="clear" w:color="auto" w:fill="auto"/>
            <w:vAlign w:val="center"/>
          </w:tcPr>
          <w:p w14:paraId="23A3A4D9" w14:textId="0480704C" w:rsidR="005B679B" w:rsidRPr="005B679B" w:rsidRDefault="00020828" w:rsidP="00020828">
            <w:pPr>
              <w:tabs>
                <w:tab w:val="left" w:pos="1091"/>
              </w:tabs>
              <w:spacing w:after="0"/>
              <w:jc w:val="center"/>
              <w:rPr>
                <w:bCs/>
                <w:sz w:val="20"/>
                <w:szCs w:val="20"/>
              </w:rPr>
            </w:pPr>
            <w:r w:rsidRPr="00020828">
              <w:rPr>
                <w:bCs/>
                <w:sz w:val="20"/>
                <w:szCs w:val="20"/>
              </w:rPr>
              <w:t xml:space="preserve">Transpus în pct. </w:t>
            </w:r>
            <w:r>
              <w:rPr>
                <w:bCs/>
                <w:sz w:val="20"/>
                <w:szCs w:val="20"/>
              </w:rPr>
              <w:t>7</w:t>
            </w:r>
            <w:r>
              <w:rPr>
                <w:bCs/>
                <w:sz w:val="20"/>
                <w:szCs w:val="20"/>
                <w:vertAlign w:val="superscript"/>
              </w:rPr>
              <w:t>1</w:t>
            </w:r>
            <w:r w:rsidRPr="00020828">
              <w:rPr>
                <w:bCs/>
                <w:sz w:val="20"/>
                <w:szCs w:val="20"/>
              </w:rPr>
              <w:t>, din Hotărârii Guvernului nr. 43/2013</w:t>
            </w:r>
          </w:p>
        </w:tc>
      </w:tr>
      <w:tr w:rsidR="005B679B" w:rsidRPr="005B679B" w14:paraId="016CFCF4" w14:textId="77777777" w:rsidTr="0014248B">
        <w:trPr>
          <w:trHeight w:val="113"/>
        </w:trPr>
        <w:tc>
          <w:tcPr>
            <w:tcW w:w="1710" w:type="pct"/>
            <w:gridSpan w:val="3"/>
            <w:shd w:val="clear" w:color="auto" w:fill="auto"/>
          </w:tcPr>
          <w:p w14:paraId="38BE1D93" w14:textId="77777777" w:rsidR="005B679B" w:rsidRPr="005B679B" w:rsidRDefault="005B679B" w:rsidP="005B679B">
            <w:pPr>
              <w:tabs>
                <w:tab w:val="left" w:pos="1091"/>
              </w:tabs>
              <w:spacing w:after="0"/>
              <w:rPr>
                <w:sz w:val="20"/>
                <w:szCs w:val="20"/>
              </w:rPr>
            </w:pPr>
            <w:r w:rsidRPr="005B679B">
              <w:rPr>
                <w:sz w:val="20"/>
                <w:szCs w:val="20"/>
              </w:rPr>
              <w:t>(5)  De asemenea, în cazul în care semințele rezultate dintr-un soi vegetal sunt destinate utilizării în produse alimentare care intră în domeniul de aplicare a articolului 3 sau în furaje care intră în domeniul de aplicare a articolului 15 din Regulamentul (CE) nr. 1829/2003 al Parlamentului European și al Consiliului din 22 septembrie 2003 privind produsele alimentare și furajele modificate genetic, soiul este acceptat numai dacă a fost aprobată în conformitate cu regulamentului menționat anterior.</w:t>
            </w:r>
          </w:p>
        </w:tc>
        <w:tc>
          <w:tcPr>
            <w:tcW w:w="1512" w:type="pct"/>
            <w:shd w:val="clear" w:color="auto" w:fill="auto"/>
            <w:vAlign w:val="center"/>
          </w:tcPr>
          <w:p w14:paraId="70816AC3" w14:textId="77777777" w:rsidR="005B679B" w:rsidRPr="005B679B" w:rsidRDefault="005B679B" w:rsidP="005B679B">
            <w:pPr>
              <w:tabs>
                <w:tab w:val="left" w:pos="1091"/>
              </w:tabs>
              <w:spacing w:after="0"/>
              <w:jc w:val="center"/>
              <w:rPr>
                <w:sz w:val="20"/>
                <w:szCs w:val="20"/>
              </w:rPr>
            </w:pPr>
          </w:p>
        </w:tc>
        <w:tc>
          <w:tcPr>
            <w:tcW w:w="988" w:type="pct"/>
            <w:shd w:val="clear" w:color="auto" w:fill="auto"/>
            <w:vAlign w:val="center"/>
          </w:tcPr>
          <w:p w14:paraId="2FE9BD4B" w14:textId="77777777" w:rsidR="005B679B" w:rsidRPr="005B679B" w:rsidRDefault="005B679B" w:rsidP="005B679B">
            <w:pPr>
              <w:tabs>
                <w:tab w:val="left" w:pos="1091"/>
              </w:tabs>
              <w:spacing w:after="0"/>
              <w:jc w:val="center"/>
              <w:rPr>
                <w:b/>
                <w:bCs/>
                <w:sz w:val="20"/>
                <w:szCs w:val="20"/>
              </w:rPr>
            </w:pPr>
            <w:r w:rsidRPr="005B679B">
              <w:rPr>
                <w:b/>
                <w:bCs/>
                <w:sz w:val="20"/>
                <w:szCs w:val="20"/>
              </w:rPr>
              <w:t>Compatibil</w:t>
            </w:r>
          </w:p>
        </w:tc>
        <w:tc>
          <w:tcPr>
            <w:tcW w:w="790" w:type="pct"/>
            <w:shd w:val="clear" w:color="auto" w:fill="auto"/>
            <w:vAlign w:val="center"/>
          </w:tcPr>
          <w:p w14:paraId="33E7D01A" w14:textId="2B96F84A" w:rsidR="005B679B" w:rsidRPr="005B679B" w:rsidRDefault="00020828" w:rsidP="00020828">
            <w:pPr>
              <w:tabs>
                <w:tab w:val="left" w:pos="1091"/>
              </w:tabs>
              <w:spacing w:after="0"/>
              <w:jc w:val="center"/>
              <w:rPr>
                <w:bCs/>
                <w:sz w:val="20"/>
                <w:szCs w:val="20"/>
              </w:rPr>
            </w:pPr>
            <w:r w:rsidRPr="00020828">
              <w:rPr>
                <w:bCs/>
                <w:sz w:val="20"/>
                <w:szCs w:val="20"/>
              </w:rPr>
              <w:t>Transp</w:t>
            </w:r>
            <w:r>
              <w:rPr>
                <w:bCs/>
                <w:sz w:val="20"/>
                <w:szCs w:val="20"/>
              </w:rPr>
              <w:t>us în pct. 40</w:t>
            </w:r>
            <w:r w:rsidRPr="00020828">
              <w:rPr>
                <w:bCs/>
                <w:sz w:val="20"/>
                <w:szCs w:val="20"/>
              </w:rPr>
              <w:t>, din Hotărârii Guvernului nr. 43/2013</w:t>
            </w:r>
          </w:p>
        </w:tc>
      </w:tr>
      <w:tr w:rsidR="005B679B" w:rsidRPr="005B679B" w14:paraId="5BD7DB5A" w14:textId="77777777" w:rsidTr="0014248B">
        <w:trPr>
          <w:trHeight w:val="113"/>
        </w:trPr>
        <w:tc>
          <w:tcPr>
            <w:tcW w:w="1710" w:type="pct"/>
            <w:gridSpan w:val="3"/>
            <w:shd w:val="clear" w:color="auto" w:fill="auto"/>
          </w:tcPr>
          <w:p w14:paraId="4D30E0C0" w14:textId="77777777" w:rsidR="005B679B" w:rsidRPr="005B679B" w:rsidRDefault="005B679B" w:rsidP="005B679B">
            <w:pPr>
              <w:tabs>
                <w:tab w:val="left" w:pos="1091"/>
              </w:tabs>
              <w:spacing w:after="0"/>
              <w:rPr>
                <w:sz w:val="20"/>
                <w:szCs w:val="20"/>
              </w:rPr>
            </w:pPr>
            <w:r w:rsidRPr="005B679B">
              <w:rPr>
                <w:sz w:val="20"/>
                <w:szCs w:val="20"/>
              </w:rPr>
              <w:t>Articolul 5</w:t>
            </w:r>
          </w:p>
          <w:p w14:paraId="672B03DC" w14:textId="77777777" w:rsidR="005B679B" w:rsidRPr="005B679B" w:rsidRDefault="005B679B" w:rsidP="005B679B">
            <w:pPr>
              <w:tabs>
                <w:tab w:val="left" w:pos="1091"/>
              </w:tabs>
              <w:spacing w:after="0"/>
              <w:rPr>
                <w:sz w:val="20"/>
                <w:szCs w:val="20"/>
              </w:rPr>
            </w:pPr>
            <w:r w:rsidRPr="005B679B">
              <w:rPr>
                <w:sz w:val="20"/>
                <w:szCs w:val="20"/>
              </w:rPr>
              <w:t xml:space="preserve">(1)   Un soi este distinct în cazul în care, indiferent de originea, artificială sau naturală, a variației inițiale care i-a dat naștere, acesta se diferențiază clar, prin unul sau mai </w:t>
            </w:r>
            <w:r w:rsidRPr="005B679B">
              <w:rPr>
                <w:sz w:val="20"/>
                <w:szCs w:val="20"/>
              </w:rPr>
              <w:lastRenderedPageBreak/>
              <w:t>multe caractere importante, de orice alt soi cunoscut în Comunitate.</w:t>
            </w:r>
          </w:p>
          <w:p w14:paraId="783FF99E" w14:textId="77777777" w:rsidR="005B679B" w:rsidRPr="005B679B" w:rsidRDefault="005B679B" w:rsidP="005B679B">
            <w:pPr>
              <w:tabs>
                <w:tab w:val="left" w:pos="1091"/>
              </w:tabs>
              <w:spacing w:after="0"/>
              <w:rPr>
                <w:sz w:val="20"/>
                <w:szCs w:val="20"/>
              </w:rPr>
            </w:pPr>
            <w:r w:rsidRPr="005B679B">
              <w:rPr>
                <w:sz w:val="20"/>
                <w:szCs w:val="20"/>
              </w:rPr>
              <w:t>Caracteristicile trebuie să poată fi recunoscute și descrise cu precizie.</w:t>
            </w:r>
          </w:p>
          <w:p w14:paraId="4958156A" w14:textId="77777777" w:rsidR="005B679B" w:rsidRPr="005B679B" w:rsidRDefault="005B679B" w:rsidP="005B679B">
            <w:pPr>
              <w:tabs>
                <w:tab w:val="left" w:pos="1091"/>
              </w:tabs>
              <w:spacing w:after="0"/>
              <w:rPr>
                <w:sz w:val="20"/>
                <w:szCs w:val="20"/>
              </w:rPr>
            </w:pPr>
            <w:r w:rsidRPr="005B679B">
              <w:rPr>
                <w:sz w:val="20"/>
                <w:szCs w:val="20"/>
              </w:rPr>
              <w:t>Un soi cunoscut în Comunitate este orice soi care, în momentul în care a fost depusă în mod corespunzător solicitarea de admitere a soiului care trebuie analizat:</w:t>
            </w:r>
          </w:p>
          <w:p w14:paraId="533A5674" w14:textId="77777777" w:rsidR="005B679B" w:rsidRPr="005B679B" w:rsidRDefault="005B679B" w:rsidP="005B679B">
            <w:pPr>
              <w:tabs>
                <w:tab w:val="left" w:pos="1091"/>
              </w:tabs>
              <w:spacing w:after="0"/>
              <w:rPr>
                <w:sz w:val="20"/>
                <w:szCs w:val="20"/>
              </w:rPr>
            </w:pPr>
            <w:r w:rsidRPr="005B679B">
              <w:rPr>
                <w:sz w:val="20"/>
                <w:szCs w:val="20"/>
              </w:rPr>
              <w:t>— acesta fie figurează în Catalogul comun al soiurilor de plante agricole sau în Catalogul comun al soiurilor la speciile de legume;</w:t>
            </w:r>
          </w:p>
          <w:p w14:paraId="00137CE8" w14:textId="77777777" w:rsidR="005B679B" w:rsidRPr="005B679B" w:rsidRDefault="005B679B" w:rsidP="005B679B">
            <w:pPr>
              <w:tabs>
                <w:tab w:val="left" w:pos="1091"/>
              </w:tabs>
              <w:spacing w:after="0"/>
              <w:rPr>
                <w:sz w:val="20"/>
                <w:szCs w:val="20"/>
              </w:rPr>
            </w:pPr>
            <w:r w:rsidRPr="005B679B">
              <w:rPr>
                <w:sz w:val="20"/>
                <w:szCs w:val="20"/>
              </w:rPr>
              <w:t>— fie, fără a figura în unul dintre cataloagele menționate, este admis sau s-a solicitat admiterea sa în statul membru în cauză sau într-un alt stat membru, fie la certificare și la comercializare, fie l a certificare pentru alte țări, cu excepția cazului în care condițiile menționate anterior nu mai sunt îndeplinite în toate statele membre implicate înainte de luarea deciziei privind solicitarea de admitere a soiului de analizat.</w:t>
            </w:r>
          </w:p>
        </w:tc>
        <w:tc>
          <w:tcPr>
            <w:tcW w:w="1512" w:type="pct"/>
            <w:shd w:val="clear" w:color="auto" w:fill="auto"/>
          </w:tcPr>
          <w:p w14:paraId="7C2CC3AF" w14:textId="4DA6424F" w:rsidR="005B679B" w:rsidRPr="005B679B" w:rsidRDefault="005B679B" w:rsidP="005B679B">
            <w:pPr>
              <w:tabs>
                <w:tab w:val="left" w:pos="1091"/>
              </w:tabs>
              <w:spacing w:after="0"/>
              <w:rPr>
                <w:sz w:val="20"/>
                <w:szCs w:val="20"/>
              </w:rPr>
            </w:pPr>
          </w:p>
        </w:tc>
        <w:tc>
          <w:tcPr>
            <w:tcW w:w="988" w:type="pct"/>
            <w:shd w:val="clear" w:color="auto" w:fill="auto"/>
            <w:vAlign w:val="center"/>
          </w:tcPr>
          <w:p w14:paraId="5C5BFB11" w14:textId="3F80DCE0" w:rsidR="005B679B" w:rsidRPr="005B679B" w:rsidRDefault="00020828" w:rsidP="00020828">
            <w:pPr>
              <w:tabs>
                <w:tab w:val="left" w:pos="1091"/>
              </w:tabs>
              <w:spacing w:after="0"/>
              <w:rPr>
                <w:sz w:val="20"/>
                <w:szCs w:val="20"/>
              </w:rPr>
            </w:pPr>
            <w:r>
              <w:rPr>
                <w:b/>
                <w:bCs/>
                <w:sz w:val="20"/>
                <w:szCs w:val="20"/>
              </w:rPr>
              <w:t>Parțial c</w:t>
            </w:r>
            <w:r w:rsidR="005B679B" w:rsidRPr="005B679B">
              <w:rPr>
                <w:b/>
                <w:bCs/>
                <w:sz w:val="20"/>
                <w:szCs w:val="20"/>
              </w:rPr>
              <w:t>ompatibil</w:t>
            </w:r>
          </w:p>
        </w:tc>
        <w:tc>
          <w:tcPr>
            <w:tcW w:w="790" w:type="pct"/>
            <w:shd w:val="clear" w:color="auto" w:fill="auto"/>
            <w:vAlign w:val="center"/>
          </w:tcPr>
          <w:p w14:paraId="69CC5212" w14:textId="12ECB6D3" w:rsidR="005B679B" w:rsidRPr="005B679B" w:rsidRDefault="00020828" w:rsidP="005B679B">
            <w:pPr>
              <w:tabs>
                <w:tab w:val="left" w:pos="1091"/>
              </w:tabs>
              <w:spacing w:after="0"/>
              <w:jc w:val="center"/>
              <w:rPr>
                <w:sz w:val="20"/>
                <w:szCs w:val="20"/>
              </w:rPr>
            </w:pPr>
            <w:r w:rsidRPr="00020828">
              <w:rPr>
                <w:bCs/>
                <w:sz w:val="20"/>
                <w:szCs w:val="20"/>
              </w:rPr>
              <w:t xml:space="preserve">Transpus în pct. </w:t>
            </w:r>
            <w:r>
              <w:rPr>
                <w:bCs/>
                <w:sz w:val="20"/>
                <w:szCs w:val="20"/>
              </w:rPr>
              <w:t>13</w:t>
            </w:r>
            <w:r w:rsidRPr="00020828">
              <w:rPr>
                <w:bCs/>
                <w:sz w:val="20"/>
                <w:szCs w:val="20"/>
                <w:vertAlign w:val="superscript"/>
              </w:rPr>
              <w:t>1</w:t>
            </w:r>
            <w:r w:rsidRPr="00020828">
              <w:rPr>
                <w:bCs/>
                <w:sz w:val="20"/>
                <w:szCs w:val="20"/>
              </w:rPr>
              <w:t>, din Hotărârii Guvernului nr. 43/2013</w:t>
            </w:r>
          </w:p>
        </w:tc>
      </w:tr>
      <w:tr w:rsidR="005B679B" w:rsidRPr="005B679B" w14:paraId="3030929E" w14:textId="77777777" w:rsidTr="0014248B">
        <w:trPr>
          <w:trHeight w:val="1627"/>
        </w:trPr>
        <w:tc>
          <w:tcPr>
            <w:tcW w:w="1710" w:type="pct"/>
            <w:gridSpan w:val="3"/>
            <w:shd w:val="clear" w:color="auto" w:fill="auto"/>
          </w:tcPr>
          <w:p w14:paraId="0306DFFE" w14:textId="77777777" w:rsidR="005B679B" w:rsidRPr="005B679B" w:rsidRDefault="005B679B" w:rsidP="005B679B">
            <w:pPr>
              <w:tabs>
                <w:tab w:val="left" w:pos="1091"/>
              </w:tabs>
              <w:spacing w:after="0"/>
              <w:rPr>
                <w:sz w:val="20"/>
                <w:szCs w:val="20"/>
              </w:rPr>
            </w:pPr>
            <w:r w:rsidRPr="005B679B">
              <w:rPr>
                <w:sz w:val="20"/>
                <w:szCs w:val="20"/>
              </w:rPr>
              <w:lastRenderedPageBreak/>
              <w:t>(2) Un soi este stabil în cazul în care în urma unor reproduceri sau înmulțiri succesive sau la sfârșitul fiecărui ciclu, în cazul în care amelioratorul a definit un ciclu special de reproduceri sau înmulțiri, acesta corespunde în continuare definiției caracterelor sale esențiale.</w:t>
            </w:r>
          </w:p>
        </w:tc>
        <w:tc>
          <w:tcPr>
            <w:tcW w:w="1512" w:type="pct"/>
            <w:shd w:val="clear" w:color="auto" w:fill="auto"/>
          </w:tcPr>
          <w:p w14:paraId="5B914E88" w14:textId="255D1A13" w:rsidR="005B679B" w:rsidRPr="005B679B" w:rsidRDefault="005B679B" w:rsidP="005B679B">
            <w:pPr>
              <w:tabs>
                <w:tab w:val="left" w:pos="1091"/>
              </w:tabs>
              <w:spacing w:after="0"/>
              <w:rPr>
                <w:sz w:val="20"/>
                <w:szCs w:val="20"/>
              </w:rPr>
            </w:pPr>
          </w:p>
        </w:tc>
        <w:tc>
          <w:tcPr>
            <w:tcW w:w="988" w:type="pct"/>
            <w:shd w:val="clear" w:color="auto" w:fill="auto"/>
            <w:vAlign w:val="center"/>
          </w:tcPr>
          <w:p w14:paraId="707EA746" w14:textId="77777777" w:rsidR="005B679B" w:rsidRPr="005B679B" w:rsidRDefault="005B679B" w:rsidP="005B679B">
            <w:pPr>
              <w:tabs>
                <w:tab w:val="left" w:pos="1091"/>
              </w:tabs>
              <w:spacing w:after="0"/>
              <w:jc w:val="center"/>
              <w:rPr>
                <w:sz w:val="20"/>
                <w:szCs w:val="20"/>
              </w:rPr>
            </w:pPr>
            <w:r w:rsidRPr="005B679B">
              <w:rPr>
                <w:b/>
                <w:bCs/>
                <w:sz w:val="20"/>
                <w:szCs w:val="20"/>
              </w:rPr>
              <w:t>Compatibil</w:t>
            </w:r>
          </w:p>
        </w:tc>
        <w:tc>
          <w:tcPr>
            <w:tcW w:w="790" w:type="pct"/>
            <w:shd w:val="clear" w:color="auto" w:fill="auto"/>
            <w:vAlign w:val="center"/>
          </w:tcPr>
          <w:p w14:paraId="584EB631" w14:textId="1BEB1A4F" w:rsidR="005B679B" w:rsidRPr="005B679B" w:rsidRDefault="00020828" w:rsidP="00020828">
            <w:pPr>
              <w:tabs>
                <w:tab w:val="left" w:pos="1091"/>
              </w:tabs>
              <w:spacing w:after="0"/>
              <w:jc w:val="center"/>
              <w:rPr>
                <w:sz w:val="20"/>
                <w:szCs w:val="20"/>
              </w:rPr>
            </w:pPr>
            <w:r>
              <w:rPr>
                <w:bCs/>
                <w:sz w:val="20"/>
                <w:szCs w:val="20"/>
              </w:rPr>
              <w:t>Transpus în pct. 13</w:t>
            </w:r>
            <w:r>
              <w:rPr>
                <w:bCs/>
                <w:sz w:val="20"/>
                <w:szCs w:val="20"/>
                <w:vertAlign w:val="superscript"/>
              </w:rPr>
              <w:t>2</w:t>
            </w:r>
            <w:r w:rsidRPr="00020828">
              <w:rPr>
                <w:bCs/>
                <w:sz w:val="20"/>
                <w:szCs w:val="20"/>
              </w:rPr>
              <w:t>, din Hotărârii Guvernului nr. 43/2013</w:t>
            </w:r>
          </w:p>
        </w:tc>
      </w:tr>
      <w:tr w:rsidR="005B679B" w:rsidRPr="005B679B" w14:paraId="162FF40B" w14:textId="77777777" w:rsidTr="0014248B">
        <w:trPr>
          <w:trHeight w:val="113"/>
        </w:trPr>
        <w:tc>
          <w:tcPr>
            <w:tcW w:w="1710" w:type="pct"/>
            <w:gridSpan w:val="3"/>
            <w:shd w:val="clear" w:color="auto" w:fill="auto"/>
          </w:tcPr>
          <w:p w14:paraId="527586D2" w14:textId="77777777" w:rsidR="005B679B" w:rsidRPr="005B679B" w:rsidRDefault="005B679B" w:rsidP="005B679B">
            <w:pPr>
              <w:tabs>
                <w:tab w:val="left" w:pos="1091"/>
              </w:tabs>
              <w:spacing w:after="0"/>
              <w:rPr>
                <w:sz w:val="20"/>
                <w:szCs w:val="20"/>
              </w:rPr>
            </w:pPr>
            <w:r w:rsidRPr="005B679B">
              <w:rPr>
                <w:sz w:val="20"/>
                <w:szCs w:val="20"/>
              </w:rPr>
              <w:t xml:space="preserve">(3)   Un soi este suficient de omogen în cazul în care plantele care îl compun – cu excepția anomaliilor sporadice - sunt, ținând seama de particularitățile sistemului de reproducere a plantelor, asemănătoare sau identice din punct de vedere genetic în ansamblul caracterelor generale luate în considerare. </w:t>
            </w:r>
          </w:p>
          <w:p w14:paraId="01C214D0" w14:textId="77777777" w:rsidR="005B679B" w:rsidRPr="005B679B" w:rsidRDefault="005B679B" w:rsidP="005B679B">
            <w:pPr>
              <w:tabs>
                <w:tab w:val="left" w:pos="1091"/>
              </w:tabs>
              <w:spacing w:after="0"/>
              <w:rPr>
                <w:sz w:val="20"/>
                <w:szCs w:val="20"/>
              </w:rPr>
            </w:pPr>
          </w:p>
        </w:tc>
        <w:tc>
          <w:tcPr>
            <w:tcW w:w="1512" w:type="pct"/>
            <w:shd w:val="clear" w:color="auto" w:fill="auto"/>
          </w:tcPr>
          <w:p w14:paraId="12C82D9D" w14:textId="1206D2BF" w:rsidR="005B679B" w:rsidRPr="005B679B" w:rsidRDefault="005B679B" w:rsidP="005B679B">
            <w:pPr>
              <w:tabs>
                <w:tab w:val="left" w:pos="1091"/>
              </w:tabs>
              <w:spacing w:after="0"/>
              <w:rPr>
                <w:sz w:val="20"/>
                <w:szCs w:val="20"/>
              </w:rPr>
            </w:pPr>
          </w:p>
        </w:tc>
        <w:tc>
          <w:tcPr>
            <w:tcW w:w="988" w:type="pct"/>
            <w:shd w:val="clear" w:color="auto" w:fill="auto"/>
            <w:vAlign w:val="center"/>
          </w:tcPr>
          <w:p w14:paraId="248A9337" w14:textId="77777777" w:rsidR="005B679B" w:rsidRPr="005B679B" w:rsidRDefault="005B679B" w:rsidP="005B679B">
            <w:pPr>
              <w:tabs>
                <w:tab w:val="left" w:pos="1091"/>
              </w:tabs>
              <w:spacing w:after="0"/>
              <w:jc w:val="center"/>
              <w:rPr>
                <w:sz w:val="20"/>
                <w:szCs w:val="20"/>
              </w:rPr>
            </w:pPr>
            <w:r w:rsidRPr="005B679B">
              <w:rPr>
                <w:b/>
                <w:bCs/>
                <w:sz w:val="20"/>
                <w:szCs w:val="20"/>
              </w:rPr>
              <w:t>Compatibil</w:t>
            </w:r>
          </w:p>
        </w:tc>
        <w:tc>
          <w:tcPr>
            <w:tcW w:w="790" w:type="pct"/>
            <w:shd w:val="clear" w:color="auto" w:fill="auto"/>
            <w:vAlign w:val="center"/>
          </w:tcPr>
          <w:p w14:paraId="3A2D6E2B" w14:textId="4747369C" w:rsidR="005B679B" w:rsidRPr="005B679B" w:rsidRDefault="00836899" w:rsidP="005B679B">
            <w:pPr>
              <w:tabs>
                <w:tab w:val="left" w:pos="1091"/>
              </w:tabs>
              <w:spacing w:after="0"/>
              <w:jc w:val="center"/>
              <w:rPr>
                <w:sz w:val="20"/>
                <w:szCs w:val="20"/>
              </w:rPr>
            </w:pPr>
            <w:r>
              <w:rPr>
                <w:sz w:val="20"/>
                <w:szCs w:val="20"/>
              </w:rPr>
              <w:t>Transpus în pct. 13</w:t>
            </w:r>
            <w:r>
              <w:rPr>
                <w:sz w:val="20"/>
                <w:szCs w:val="20"/>
                <w:vertAlign w:val="superscript"/>
              </w:rPr>
              <w:t>3</w:t>
            </w:r>
            <w:r w:rsidRPr="00836899">
              <w:rPr>
                <w:sz w:val="20"/>
                <w:szCs w:val="20"/>
              </w:rPr>
              <w:t>, din Hotărârii Guvernului nr. 43/2013</w:t>
            </w:r>
          </w:p>
        </w:tc>
      </w:tr>
      <w:tr w:rsidR="005B679B" w:rsidRPr="005B679B" w14:paraId="6B3237F0" w14:textId="77777777" w:rsidTr="0014248B">
        <w:trPr>
          <w:trHeight w:val="113"/>
        </w:trPr>
        <w:tc>
          <w:tcPr>
            <w:tcW w:w="1710" w:type="pct"/>
            <w:gridSpan w:val="3"/>
            <w:shd w:val="clear" w:color="auto" w:fill="auto"/>
          </w:tcPr>
          <w:p w14:paraId="48B2178C" w14:textId="77777777" w:rsidR="005B679B" w:rsidRPr="005B679B" w:rsidRDefault="005B679B" w:rsidP="005B679B">
            <w:pPr>
              <w:tabs>
                <w:tab w:val="left" w:pos="1091"/>
              </w:tabs>
              <w:spacing w:after="0"/>
              <w:rPr>
                <w:sz w:val="20"/>
                <w:szCs w:val="20"/>
              </w:rPr>
            </w:pPr>
            <w:r w:rsidRPr="005B679B">
              <w:rPr>
                <w:sz w:val="20"/>
                <w:szCs w:val="20"/>
              </w:rPr>
              <w:t xml:space="preserve">(4)   Un soi are o valoare culturală sau de utilizare satisfăcătoare în cazul în care, comparativ cu celelalte soiuri admise în catalogul statului membru în cauză, acesta reprezintă, prin ansamblul calităților sale, cel puțin pentru producția într-o anumită regiune, o ameliorare clară fie pentru cultură, fie pentru exploatarea recoltelor sau utilizarea produselor obținute din aceste recolte. Calitatea </w:t>
            </w:r>
            <w:r w:rsidRPr="005B679B">
              <w:rPr>
                <w:sz w:val="20"/>
                <w:szCs w:val="20"/>
              </w:rPr>
              <w:lastRenderedPageBreak/>
              <w:t>inferioară a unor caracteristici poate fi compensată de alte caracteristici favorabile.</w:t>
            </w:r>
          </w:p>
        </w:tc>
        <w:tc>
          <w:tcPr>
            <w:tcW w:w="1512" w:type="pct"/>
            <w:shd w:val="clear" w:color="auto" w:fill="auto"/>
          </w:tcPr>
          <w:p w14:paraId="33B5D7D4" w14:textId="3871875D" w:rsidR="005B679B" w:rsidRPr="005B679B" w:rsidRDefault="005B679B" w:rsidP="005B679B">
            <w:pPr>
              <w:tabs>
                <w:tab w:val="left" w:pos="1091"/>
              </w:tabs>
              <w:spacing w:after="0"/>
              <w:rPr>
                <w:sz w:val="20"/>
                <w:szCs w:val="20"/>
              </w:rPr>
            </w:pPr>
          </w:p>
        </w:tc>
        <w:tc>
          <w:tcPr>
            <w:tcW w:w="988" w:type="pct"/>
            <w:shd w:val="clear" w:color="auto" w:fill="auto"/>
            <w:vAlign w:val="center"/>
          </w:tcPr>
          <w:p w14:paraId="6225BD99" w14:textId="77777777" w:rsidR="005B679B" w:rsidRPr="005B679B" w:rsidRDefault="005B679B" w:rsidP="005B679B">
            <w:pPr>
              <w:tabs>
                <w:tab w:val="left" w:pos="1091"/>
              </w:tabs>
              <w:spacing w:after="0"/>
              <w:jc w:val="center"/>
              <w:rPr>
                <w:sz w:val="20"/>
                <w:szCs w:val="20"/>
              </w:rPr>
            </w:pPr>
            <w:r w:rsidRPr="005B679B">
              <w:rPr>
                <w:b/>
                <w:bCs/>
                <w:sz w:val="20"/>
                <w:szCs w:val="20"/>
              </w:rPr>
              <w:t>Compatibil</w:t>
            </w:r>
          </w:p>
        </w:tc>
        <w:tc>
          <w:tcPr>
            <w:tcW w:w="790" w:type="pct"/>
            <w:shd w:val="clear" w:color="auto" w:fill="auto"/>
            <w:vAlign w:val="center"/>
          </w:tcPr>
          <w:p w14:paraId="3ACFD75B" w14:textId="25B55458" w:rsidR="005B679B" w:rsidRPr="005B679B" w:rsidRDefault="00836899" w:rsidP="00836899">
            <w:pPr>
              <w:tabs>
                <w:tab w:val="left" w:pos="1091"/>
              </w:tabs>
              <w:spacing w:after="0"/>
              <w:jc w:val="center"/>
              <w:rPr>
                <w:sz w:val="20"/>
                <w:szCs w:val="20"/>
              </w:rPr>
            </w:pPr>
            <w:r>
              <w:rPr>
                <w:sz w:val="20"/>
                <w:szCs w:val="20"/>
              </w:rPr>
              <w:t>Transpus în pct. 13</w:t>
            </w:r>
            <w:r>
              <w:rPr>
                <w:sz w:val="20"/>
                <w:szCs w:val="20"/>
                <w:vertAlign w:val="superscript"/>
              </w:rPr>
              <w:t>4</w:t>
            </w:r>
            <w:r w:rsidRPr="00836899">
              <w:rPr>
                <w:sz w:val="20"/>
                <w:szCs w:val="20"/>
              </w:rPr>
              <w:t>, din Hotărârii Guvernului nr. 43/2013</w:t>
            </w:r>
          </w:p>
        </w:tc>
      </w:tr>
      <w:tr w:rsidR="005B679B" w:rsidRPr="005B679B" w14:paraId="1CC282D8" w14:textId="77777777" w:rsidTr="0014248B">
        <w:trPr>
          <w:trHeight w:val="113"/>
        </w:trPr>
        <w:tc>
          <w:tcPr>
            <w:tcW w:w="1710" w:type="pct"/>
            <w:gridSpan w:val="3"/>
            <w:shd w:val="clear" w:color="auto" w:fill="auto"/>
          </w:tcPr>
          <w:p w14:paraId="0098EA14" w14:textId="77777777" w:rsidR="005B679B" w:rsidRPr="005B679B" w:rsidRDefault="005B679B" w:rsidP="005B679B">
            <w:pPr>
              <w:tabs>
                <w:tab w:val="left" w:pos="1091"/>
              </w:tabs>
              <w:spacing w:after="0"/>
              <w:rPr>
                <w:sz w:val="20"/>
                <w:szCs w:val="20"/>
              </w:rPr>
            </w:pPr>
            <w:r w:rsidRPr="005B679B">
              <w:rPr>
                <w:sz w:val="20"/>
                <w:szCs w:val="20"/>
              </w:rPr>
              <w:lastRenderedPageBreak/>
              <w:t>Articolul 6</w:t>
            </w:r>
          </w:p>
          <w:p w14:paraId="0558A65C" w14:textId="77777777" w:rsidR="005B679B" w:rsidRPr="005B679B" w:rsidRDefault="005B679B" w:rsidP="005B679B">
            <w:pPr>
              <w:tabs>
                <w:tab w:val="left" w:pos="1091"/>
              </w:tabs>
              <w:spacing w:after="0"/>
              <w:rPr>
                <w:sz w:val="20"/>
                <w:szCs w:val="20"/>
              </w:rPr>
            </w:pPr>
            <w:r w:rsidRPr="005B679B">
              <w:rPr>
                <w:sz w:val="20"/>
                <w:szCs w:val="20"/>
              </w:rPr>
              <w:t>Statele membre se asigură că soiurile care provin din alte state membre sunt supuse, în special în privința procedurii de admitere, condițiilor aplicabile soiurilor naționale.</w:t>
            </w:r>
          </w:p>
        </w:tc>
        <w:tc>
          <w:tcPr>
            <w:tcW w:w="1512" w:type="pct"/>
            <w:shd w:val="clear" w:color="auto" w:fill="auto"/>
          </w:tcPr>
          <w:p w14:paraId="34F2C787" w14:textId="77777777" w:rsidR="005B679B" w:rsidRPr="005B679B" w:rsidRDefault="005B679B" w:rsidP="005B679B">
            <w:pPr>
              <w:tabs>
                <w:tab w:val="left" w:pos="1091"/>
              </w:tabs>
              <w:spacing w:after="0"/>
              <w:rPr>
                <w:sz w:val="20"/>
                <w:szCs w:val="20"/>
              </w:rPr>
            </w:pPr>
          </w:p>
        </w:tc>
        <w:tc>
          <w:tcPr>
            <w:tcW w:w="988" w:type="pct"/>
            <w:shd w:val="clear" w:color="auto" w:fill="auto"/>
            <w:vAlign w:val="center"/>
          </w:tcPr>
          <w:p w14:paraId="60DD5C8B" w14:textId="77777777" w:rsidR="005B679B" w:rsidRPr="005B679B" w:rsidRDefault="005B679B" w:rsidP="005B679B">
            <w:pPr>
              <w:tabs>
                <w:tab w:val="left" w:pos="1091"/>
              </w:tabs>
              <w:spacing w:after="0"/>
              <w:jc w:val="center"/>
              <w:rPr>
                <w:b/>
                <w:bCs/>
                <w:sz w:val="20"/>
                <w:szCs w:val="20"/>
              </w:rPr>
            </w:pPr>
            <w:r w:rsidRPr="005B679B">
              <w:rPr>
                <w:b/>
                <w:sz w:val="20"/>
                <w:szCs w:val="20"/>
              </w:rPr>
              <w:t>Norme UE neaplicabile</w:t>
            </w:r>
          </w:p>
        </w:tc>
        <w:tc>
          <w:tcPr>
            <w:tcW w:w="790" w:type="pct"/>
            <w:shd w:val="clear" w:color="auto" w:fill="auto"/>
            <w:vAlign w:val="center"/>
          </w:tcPr>
          <w:p w14:paraId="14EA568E" w14:textId="77777777" w:rsidR="005B679B" w:rsidRPr="005B679B" w:rsidRDefault="005B679B" w:rsidP="005B679B">
            <w:pPr>
              <w:tabs>
                <w:tab w:val="left" w:pos="1091"/>
              </w:tabs>
              <w:spacing w:after="0"/>
              <w:jc w:val="center"/>
              <w:rPr>
                <w:sz w:val="20"/>
                <w:szCs w:val="20"/>
              </w:rPr>
            </w:pPr>
          </w:p>
        </w:tc>
      </w:tr>
      <w:tr w:rsidR="005B679B" w:rsidRPr="005B679B" w14:paraId="192164BF" w14:textId="77777777" w:rsidTr="0014248B">
        <w:trPr>
          <w:trHeight w:val="113"/>
        </w:trPr>
        <w:tc>
          <w:tcPr>
            <w:tcW w:w="1710" w:type="pct"/>
            <w:gridSpan w:val="3"/>
            <w:shd w:val="clear" w:color="auto" w:fill="auto"/>
          </w:tcPr>
          <w:p w14:paraId="6D225B3A" w14:textId="77777777" w:rsidR="005B679B" w:rsidRPr="005B679B" w:rsidRDefault="005B679B" w:rsidP="005B679B">
            <w:pPr>
              <w:tabs>
                <w:tab w:val="left" w:pos="1091"/>
              </w:tabs>
              <w:spacing w:after="0"/>
              <w:rPr>
                <w:sz w:val="20"/>
                <w:szCs w:val="20"/>
              </w:rPr>
            </w:pPr>
            <w:r w:rsidRPr="005B679B">
              <w:rPr>
                <w:sz w:val="20"/>
                <w:szCs w:val="20"/>
              </w:rPr>
              <w:t>Articolul 7</w:t>
            </w:r>
          </w:p>
          <w:p w14:paraId="5A12BA34" w14:textId="77777777" w:rsidR="005B679B" w:rsidRPr="005B679B" w:rsidRDefault="005B679B" w:rsidP="005B679B">
            <w:pPr>
              <w:tabs>
                <w:tab w:val="left" w:pos="1091"/>
              </w:tabs>
              <w:spacing w:after="0"/>
              <w:rPr>
                <w:sz w:val="20"/>
                <w:szCs w:val="20"/>
              </w:rPr>
            </w:pPr>
            <w:r w:rsidRPr="005B679B">
              <w:rPr>
                <w:sz w:val="20"/>
                <w:szCs w:val="20"/>
              </w:rPr>
              <w:t>(1) Statele membre prevăd că admiterea soiurilor este rezultatul unor examinări oficiale, efectuate în special în cultură și vizând un număr suficient de caractere pentru a permite descrierea soiului. Metodele utilizate pentru constatarea caracterelor trebuie să fie precise și adecvate. În vederea stabilirii caracterului distinctiv, examinările în cultură includ cel puțin soiurile comparabile disponibile, cunoscute în Comunitate în sensul articolului 5 alineatul (1). Pentru aplicarea articolului 9, sunt incluse și alte soiuri comparabile disponibile.</w:t>
            </w:r>
          </w:p>
        </w:tc>
        <w:tc>
          <w:tcPr>
            <w:tcW w:w="1512" w:type="pct"/>
            <w:shd w:val="clear" w:color="auto" w:fill="auto"/>
          </w:tcPr>
          <w:p w14:paraId="51DB2053" w14:textId="77777777" w:rsidR="005B679B" w:rsidRPr="005B679B" w:rsidRDefault="005B679B" w:rsidP="00DF3443">
            <w:pPr>
              <w:tabs>
                <w:tab w:val="left" w:pos="1091"/>
              </w:tabs>
              <w:spacing w:after="0"/>
              <w:rPr>
                <w:sz w:val="20"/>
                <w:szCs w:val="20"/>
              </w:rPr>
            </w:pPr>
          </w:p>
        </w:tc>
        <w:tc>
          <w:tcPr>
            <w:tcW w:w="988" w:type="pct"/>
            <w:shd w:val="clear" w:color="auto" w:fill="auto"/>
            <w:vAlign w:val="center"/>
          </w:tcPr>
          <w:p w14:paraId="5E73ED5D" w14:textId="79C90692" w:rsidR="005B679B" w:rsidRPr="005B679B" w:rsidRDefault="00DF3443" w:rsidP="00DF3443">
            <w:pPr>
              <w:tabs>
                <w:tab w:val="left" w:pos="1091"/>
              </w:tabs>
              <w:spacing w:after="0"/>
              <w:jc w:val="center"/>
              <w:rPr>
                <w:b/>
                <w:bCs/>
                <w:sz w:val="20"/>
                <w:szCs w:val="20"/>
              </w:rPr>
            </w:pPr>
            <w:r>
              <w:rPr>
                <w:b/>
                <w:bCs/>
                <w:sz w:val="20"/>
                <w:szCs w:val="20"/>
              </w:rPr>
              <w:t>Parțial compatibil</w:t>
            </w:r>
          </w:p>
        </w:tc>
        <w:tc>
          <w:tcPr>
            <w:tcW w:w="790" w:type="pct"/>
            <w:shd w:val="clear" w:color="auto" w:fill="auto"/>
            <w:vAlign w:val="center"/>
          </w:tcPr>
          <w:p w14:paraId="7F7A6861" w14:textId="268D51B2" w:rsidR="005B679B" w:rsidRPr="005B679B" w:rsidRDefault="00DF3443" w:rsidP="00DF3443">
            <w:pPr>
              <w:tabs>
                <w:tab w:val="left" w:pos="1091"/>
              </w:tabs>
              <w:spacing w:after="0"/>
              <w:rPr>
                <w:sz w:val="20"/>
                <w:szCs w:val="20"/>
              </w:rPr>
            </w:pPr>
            <w:r w:rsidRPr="00DF3443">
              <w:rPr>
                <w:bCs/>
                <w:sz w:val="20"/>
                <w:szCs w:val="20"/>
              </w:rPr>
              <w:t xml:space="preserve">Transpus în pct. </w:t>
            </w:r>
            <w:r>
              <w:rPr>
                <w:bCs/>
                <w:sz w:val="20"/>
                <w:szCs w:val="20"/>
              </w:rPr>
              <w:t>18</w:t>
            </w:r>
            <w:r w:rsidRPr="00DF3443">
              <w:rPr>
                <w:bCs/>
                <w:sz w:val="20"/>
                <w:szCs w:val="20"/>
              </w:rPr>
              <w:t>, din Hotărârii Guvernului nr. 43/2013</w:t>
            </w:r>
          </w:p>
        </w:tc>
      </w:tr>
      <w:tr w:rsidR="005B679B" w:rsidRPr="005B679B" w14:paraId="33BE372C" w14:textId="77777777" w:rsidTr="0014248B">
        <w:trPr>
          <w:trHeight w:val="113"/>
        </w:trPr>
        <w:tc>
          <w:tcPr>
            <w:tcW w:w="1710" w:type="pct"/>
            <w:gridSpan w:val="3"/>
            <w:shd w:val="clear" w:color="auto" w:fill="auto"/>
          </w:tcPr>
          <w:p w14:paraId="3122BFD1" w14:textId="77777777" w:rsidR="005B679B" w:rsidRPr="005B679B" w:rsidRDefault="005B679B" w:rsidP="005B679B">
            <w:pPr>
              <w:tabs>
                <w:tab w:val="left" w:pos="1091"/>
              </w:tabs>
              <w:spacing w:after="0"/>
              <w:rPr>
                <w:sz w:val="20"/>
                <w:szCs w:val="20"/>
              </w:rPr>
            </w:pPr>
            <w:r w:rsidRPr="005B679B">
              <w:rPr>
                <w:sz w:val="20"/>
                <w:szCs w:val="20"/>
              </w:rPr>
              <w:t>(2)   Conform procedurii prevăzute la articolul 23 alineatul (2), se stabilesc, ținând seama de stadiul cunoștințelor științifice și tehnice:</w:t>
            </w:r>
          </w:p>
          <w:p w14:paraId="1D2572E5" w14:textId="77777777" w:rsidR="005B679B" w:rsidRPr="005B679B" w:rsidRDefault="005B679B" w:rsidP="005B679B">
            <w:pPr>
              <w:tabs>
                <w:tab w:val="left" w:pos="1091"/>
              </w:tabs>
              <w:spacing w:after="0"/>
              <w:rPr>
                <w:sz w:val="20"/>
                <w:szCs w:val="20"/>
              </w:rPr>
            </w:pPr>
            <w:r w:rsidRPr="005B679B">
              <w:rPr>
                <w:sz w:val="20"/>
                <w:szCs w:val="20"/>
              </w:rPr>
              <w:t>(a) un minimum de caractere care trebuie luate în considerare la efectuarea examinării pentru diferitele soiuri;</w:t>
            </w:r>
          </w:p>
          <w:p w14:paraId="40B576FC" w14:textId="77777777" w:rsidR="005B679B" w:rsidRPr="005B679B" w:rsidRDefault="005B679B" w:rsidP="005B679B">
            <w:pPr>
              <w:tabs>
                <w:tab w:val="left" w:pos="1091"/>
              </w:tabs>
              <w:spacing w:after="0"/>
              <w:rPr>
                <w:sz w:val="20"/>
                <w:szCs w:val="20"/>
              </w:rPr>
            </w:pPr>
            <w:r w:rsidRPr="005B679B">
              <w:rPr>
                <w:sz w:val="20"/>
                <w:szCs w:val="20"/>
              </w:rPr>
              <w:t>(b) condițiile minime privind efectuarea examinării;</w:t>
            </w:r>
          </w:p>
          <w:p w14:paraId="0CA27971" w14:textId="77777777" w:rsidR="005B679B" w:rsidRPr="005B679B" w:rsidRDefault="005B679B" w:rsidP="005B679B">
            <w:pPr>
              <w:tabs>
                <w:tab w:val="left" w:pos="1091"/>
              </w:tabs>
              <w:spacing w:after="0"/>
              <w:rPr>
                <w:sz w:val="20"/>
                <w:szCs w:val="20"/>
              </w:rPr>
            </w:pPr>
            <w:r w:rsidRPr="005B679B">
              <w:rPr>
                <w:sz w:val="20"/>
                <w:szCs w:val="20"/>
              </w:rPr>
              <w:t>(c) modalitățile de efectuare a examinărilor în cultură în vederea estimării valorii culturale sau de utilizare; acestea pot să determine:</w:t>
            </w:r>
          </w:p>
          <w:p w14:paraId="50199A00" w14:textId="77777777" w:rsidR="005B679B" w:rsidRPr="005B679B" w:rsidRDefault="005B679B" w:rsidP="005B679B">
            <w:pPr>
              <w:tabs>
                <w:tab w:val="left" w:pos="1091"/>
              </w:tabs>
              <w:spacing w:after="0"/>
              <w:rPr>
                <w:sz w:val="20"/>
                <w:szCs w:val="20"/>
              </w:rPr>
            </w:pPr>
            <w:r w:rsidRPr="005B679B">
              <w:rPr>
                <w:sz w:val="20"/>
                <w:szCs w:val="20"/>
              </w:rPr>
              <w:t>— procedurile și condițiile conform cărora toate sau mai multe dintre statele membre pot conveni să includă în aceste examinări în cultură, ca asistență administrativă, soiuri pentru care s-a solicitat admiterea într-un alt stat membru;</w:t>
            </w:r>
          </w:p>
          <w:p w14:paraId="0135C374" w14:textId="77777777" w:rsidR="005B679B" w:rsidRPr="005B679B" w:rsidRDefault="005B679B" w:rsidP="005B679B">
            <w:pPr>
              <w:tabs>
                <w:tab w:val="left" w:pos="1091"/>
              </w:tabs>
              <w:spacing w:after="0"/>
              <w:rPr>
                <w:sz w:val="20"/>
                <w:szCs w:val="20"/>
              </w:rPr>
            </w:pPr>
            <w:r w:rsidRPr="005B679B">
              <w:rPr>
                <w:sz w:val="20"/>
                <w:szCs w:val="20"/>
              </w:rPr>
              <w:t>— condițiile de cooperare între autoritățile statelor membre participante;</w:t>
            </w:r>
          </w:p>
          <w:p w14:paraId="0697D744" w14:textId="77777777" w:rsidR="005B679B" w:rsidRPr="005B679B" w:rsidRDefault="005B679B" w:rsidP="005B679B">
            <w:pPr>
              <w:tabs>
                <w:tab w:val="left" w:pos="1091"/>
              </w:tabs>
              <w:spacing w:after="0"/>
              <w:rPr>
                <w:sz w:val="20"/>
                <w:szCs w:val="20"/>
              </w:rPr>
            </w:pPr>
            <w:r w:rsidRPr="005B679B">
              <w:rPr>
                <w:sz w:val="20"/>
                <w:szCs w:val="20"/>
              </w:rPr>
              <w:t>— impactul rezultatelor acestor examinări în cultură;</w:t>
            </w:r>
          </w:p>
          <w:p w14:paraId="0A29FFEF" w14:textId="77777777" w:rsidR="005B679B" w:rsidRPr="005B679B" w:rsidRDefault="005B679B" w:rsidP="005B679B">
            <w:pPr>
              <w:tabs>
                <w:tab w:val="left" w:pos="1091"/>
              </w:tabs>
              <w:spacing w:after="0"/>
              <w:rPr>
                <w:sz w:val="20"/>
                <w:szCs w:val="20"/>
              </w:rPr>
            </w:pPr>
            <w:r w:rsidRPr="005B679B">
              <w:rPr>
                <w:sz w:val="20"/>
                <w:szCs w:val="20"/>
              </w:rPr>
              <w:t>— standarde pentru informațiile privind examinările în cultură pentru estimarea valorii culturale sau de utilizare.</w:t>
            </w:r>
          </w:p>
        </w:tc>
        <w:tc>
          <w:tcPr>
            <w:tcW w:w="1512" w:type="pct"/>
            <w:shd w:val="clear" w:color="auto" w:fill="auto"/>
          </w:tcPr>
          <w:p w14:paraId="084C2397" w14:textId="77777777" w:rsidR="005B679B" w:rsidRPr="005B679B" w:rsidRDefault="005B679B" w:rsidP="005B679B">
            <w:pPr>
              <w:tabs>
                <w:tab w:val="left" w:pos="1091"/>
              </w:tabs>
              <w:spacing w:after="0"/>
              <w:rPr>
                <w:sz w:val="20"/>
                <w:szCs w:val="20"/>
              </w:rPr>
            </w:pPr>
            <w:r w:rsidRPr="005B679B">
              <w:rPr>
                <w:sz w:val="20"/>
                <w:szCs w:val="20"/>
              </w:rPr>
              <w:t>7</w:t>
            </w:r>
            <w:r w:rsidRPr="005B679B">
              <w:rPr>
                <w:sz w:val="20"/>
                <w:szCs w:val="20"/>
                <w:vertAlign w:val="superscript"/>
              </w:rPr>
              <w:t>2</w:t>
            </w:r>
            <w:r w:rsidRPr="005B679B">
              <w:rPr>
                <w:sz w:val="20"/>
                <w:szCs w:val="20"/>
              </w:rPr>
              <w:t xml:space="preserve"> </w:t>
            </w:r>
            <w:bookmarkStart w:id="1" w:name="_Hlk153983415"/>
            <w:r w:rsidRPr="005B679B">
              <w:rPr>
                <w:sz w:val="20"/>
                <w:szCs w:val="20"/>
              </w:rPr>
              <w:t>În cazul unui soi modificat genetic, se face o evaluare a impactului asupra mediului echivalentă cu cea prevăzută în Directiva 90/220/CEE;</w:t>
            </w:r>
            <w:bookmarkEnd w:id="1"/>
          </w:p>
        </w:tc>
        <w:tc>
          <w:tcPr>
            <w:tcW w:w="988" w:type="pct"/>
            <w:shd w:val="clear" w:color="auto" w:fill="auto"/>
            <w:vAlign w:val="center"/>
          </w:tcPr>
          <w:p w14:paraId="6BFE0F0E" w14:textId="77777777" w:rsidR="005B679B" w:rsidRPr="005B679B" w:rsidRDefault="005B679B" w:rsidP="005B679B">
            <w:pPr>
              <w:tabs>
                <w:tab w:val="left" w:pos="1091"/>
              </w:tabs>
              <w:spacing w:after="0"/>
              <w:jc w:val="center"/>
              <w:rPr>
                <w:b/>
                <w:bCs/>
                <w:sz w:val="20"/>
                <w:szCs w:val="20"/>
              </w:rPr>
            </w:pPr>
            <w:r w:rsidRPr="005B679B">
              <w:rPr>
                <w:b/>
                <w:bCs/>
                <w:sz w:val="20"/>
                <w:szCs w:val="20"/>
              </w:rPr>
              <w:t>Compatibil</w:t>
            </w:r>
          </w:p>
        </w:tc>
        <w:tc>
          <w:tcPr>
            <w:tcW w:w="790" w:type="pct"/>
            <w:shd w:val="clear" w:color="auto" w:fill="auto"/>
            <w:vAlign w:val="center"/>
          </w:tcPr>
          <w:p w14:paraId="3A4347B1" w14:textId="77777777" w:rsidR="005B679B" w:rsidRPr="005B679B" w:rsidRDefault="005B679B" w:rsidP="005B679B">
            <w:pPr>
              <w:tabs>
                <w:tab w:val="left" w:pos="1091"/>
              </w:tabs>
              <w:spacing w:after="0"/>
              <w:jc w:val="center"/>
              <w:rPr>
                <w:bCs/>
                <w:sz w:val="20"/>
                <w:szCs w:val="20"/>
              </w:rPr>
            </w:pPr>
            <w:r w:rsidRPr="005B679B">
              <w:rPr>
                <w:bCs/>
                <w:sz w:val="20"/>
                <w:szCs w:val="20"/>
              </w:rPr>
              <w:t>Parțial transpus în pct. 37 din HG 43/2013</w:t>
            </w:r>
          </w:p>
        </w:tc>
      </w:tr>
      <w:tr w:rsidR="005B679B" w:rsidRPr="005B679B" w14:paraId="17BAD02F" w14:textId="77777777" w:rsidTr="0014248B">
        <w:trPr>
          <w:trHeight w:val="113"/>
        </w:trPr>
        <w:tc>
          <w:tcPr>
            <w:tcW w:w="1710" w:type="pct"/>
            <w:gridSpan w:val="3"/>
            <w:shd w:val="clear" w:color="auto" w:fill="auto"/>
          </w:tcPr>
          <w:p w14:paraId="23577358" w14:textId="77777777" w:rsidR="005B679B" w:rsidRPr="005B679B" w:rsidRDefault="005B679B" w:rsidP="005B679B">
            <w:pPr>
              <w:tabs>
                <w:tab w:val="left" w:pos="1091"/>
              </w:tabs>
              <w:spacing w:after="0"/>
              <w:rPr>
                <w:sz w:val="20"/>
                <w:szCs w:val="20"/>
              </w:rPr>
            </w:pPr>
            <w:r w:rsidRPr="005B679B">
              <w:rPr>
                <w:sz w:val="20"/>
                <w:szCs w:val="20"/>
              </w:rPr>
              <w:t xml:space="preserve">(3) În cazul în care pentru studiul hibrizilor și al soiurilor sintetice este necesară examinarea componentelor genealogice, statele membre asigură, la cererea </w:t>
            </w:r>
            <w:r w:rsidRPr="005B679B">
              <w:rPr>
                <w:sz w:val="20"/>
                <w:szCs w:val="20"/>
              </w:rPr>
              <w:lastRenderedPageBreak/>
              <w:t>amelioratorului, confidențialitatea rezultatelor acestei examinări și a descrierii componentelor genealogice.</w:t>
            </w:r>
          </w:p>
        </w:tc>
        <w:tc>
          <w:tcPr>
            <w:tcW w:w="1512" w:type="pct"/>
            <w:shd w:val="clear" w:color="auto" w:fill="auto"/>
          </w:tcPr>
          <w:p w14:paraId="6CF0C112" w14:textId="77777777" w:rsidR="005B679B" w:rsidRPr="005B679B" w:rsidRDefault="005B679B" w:rsidP="005B679B">
            <w:pPr>
              <w:tabs>
                <w:tab w:val="left" w:pos="1091"/>
              </w:tabs>
              <w:spacing w:after="0"/>
              <w:rPr>
                <w:sz w:val="20"/>
                <w:szCs w:val="20"/>
              </w:rPr>
            </w:pPr>
          </w:p>
        </w:tc>
        <w:tc>
          <w:tcPr>
            <w:tcW w:w="988" w:type="pct"/>
            <w:shd w:val="clear" w:color="auto" w:fill="auto"/>
            <w:vAlign w:val="center"/>
          </w:tcPr>
          <w:p w14:paraId="6B2BC207" w14:textId="77777777" w:rsidR="005B679B" w:rsidRPr="005B679B" w:rsidRDefault="005B679B" w:rsidP="005B679B">
            <w:pPr>
              <w:tabs>
                <w:tab w:val="left" w:pos="1091"/>
              </w:tabs>
              <w:spacing w:after="0"/>
              <w:ind w:hanging="8"/>
              <w:jc w:val="center"/>
              <w:rPr>
                <w:b/>
                <w:bCs/>
                <w:sz w:val="20"/>
                <w:szCs w:val="20"/>
              </w:rPr>
            </w:pPr>
            <w:r w:rsidRPr="005B679B">
              <w:rPr>
                <w:b/>
                <w:bCs/>
                <w:sz w:val="20"/>
                <w:szCs w:val="20"/>
              </w:rPr>
              <w:t>Compatibil</w:t>
            </w:r>
          </w:p>
        </w:tc>
        <w:tc>
          <w:tcPr>
            <w:tcW w:w="790" w:type="pct"/>
            <w:shd w:val="clear" w:color="auto" w:fill="auto"/>
            <w:vAlign w:val="center"/>
          </w:tcPr>
          <w:p w14:paraId="34063D23" w14:textId="0C02A47D" w:rsidR="005B679B" w:rsidRPr="005B679B" w:rsidRDefault="00DF3443" w:rsidP="00DF3443">
            <w:pPr>
              <w:tabs>
                <w:tab w:val="left" w:pos="1091"/>
              </w:tabs>
              <w:spacing w:after="0"/>
              <w:ind w:hanging="8"/>
              <w:jc w:val="center"/>
              <w:rPr>
                <w:bCs/>
                <w:sz w:val="20"/>
                <w:szCs w:val="20"/>
              </w:rPr>
            </w:pPr>
            <w:r>
              <w:rPr>
                <w:bCs/>
                <w:sz w:val="20"/>
                <w:szCs w:val="20"/>
              </w:rPr>
              <w:t>Transpus în pct. 46</w:t>
            </w:r>
            <w:r w:rsidRPr="00DF3443">
              <w:rPr>
                <w:bCs/>
                <w:sz w:val="20"/>
                <w:szCs w:val="20"/>
              </w:rPr>
              <w:t>, din Hotărârii Guvernului nr. 43/2013</w:t>
            </w:r>
          </w:p>
        </w:tc>
      </w:tr>
      <w:tr w:rsidR="005B679B" w:rsidRPr="005B679B" w14:paraId="6848DB26" w14:textId="77777777" w:rsidTr="0014248B">
        <w:trPr>
          <w:trHeight w:val="113"/>
        </w:trPr>
        <w:tc>
          <w:tcPr>
            <w:tcW w:w="1710" w:type="pct"/>
            <w:gridSpan w:val="3"/>
            <w:shd w:val="clear" w:color="auto" w:fill="auto"/>
          </w:tcPr>
          <w:p w14:paraId="74D14C4D" w14:textId="77777777" w:rsidR="005B679B" w:rsidRPr="005B679B" w:rsidRDefault="005B679B" w:rsidP="005B679B">
            <w:pPr>
              <w:tabs>
                <w:tab w:val="left" w:pos="1091"/>
              </w:tabs>
              <w:spacing w:after="0"/>
              <w:rPr>
                <w:sz w:val="20"/>
                <w:szCs w:val="20"/>
              </w:rPr>
            </w:pPr>
            <w:r w:rsidRPr="005B679B">
              <w:rPr>
                <w:sz w:val="20"/>
                <w:szCs w:val="20"/>
              </w:rPr>
              <w:lastRenderedPageBreak/>
              <w:t>(4) (a) În cazul unui soi modificat genetic menționat la articolul 4 alineatul (4), se face o evaluare a impactului asupra mediului echivalentă cu cea prevăzută în Directiva 90/220/CEE.</w:t>
            </w:r>
          </w:p>
          <w:p w14:paraId="1C690CC7" w14:textId="77777777" w:rsidR="005B679B" w:rsidRPr="005B679B" w:rsidRDefault="005B679B" w:rsidP="005B679B">
            <w:pPr>
              <w:tabs>
                <w:tab w:val="left" w:pos="1091"/>
              </w:tabs>
              <w:spacing w:after="0"/>
              <w:rPr>
                <w:sz w:val="20"/>
                <w:szCs w:val="20"/>
              </w:rPr>
            </w:pPr>
            <w:r w:rsidRPr="005B679B">
              <w:rPr>
                <w:sz w:val="20"/>
                <w:szCs w:val="20"/>
              </w:rPr>
              <w:t>(b) Procedurile care garantează o evaluare a impactului asupra mediului și a celorlalte elemente relevante echivalentă cu cea prevăzută în Directiva 90/220/CEE sunt incluse, la propunerea Comisiei, într-un regulament al Consiliului, bazat pe temeiul juridic corespunzător din Tratat. Până la intrarea în vigoare a acestui regulament, soiurile modificate genetic nu sunt admise în catalogul național decât după ce au fost admise la comercializare în conformitate cu Directiva 90/220/CEE.</w:t>
            </w:r>
          </w:p>
          <w:p w14:paraId="051BE9DD" w14:textId="77777777" w:rsidR="005B679B" w:rsidRPr="005B679B" w:rsidRDefault="005B679B" w:rsidP="005B679B">
            <w:pPr>
              <w:tabs>
                <w:tab w:val="left" w:pos="1091"/>
              </w:tabs>
              <w:spacing w:after="0"/>
              <w:rPr>
                <w:sz w:val="20"/>
                <w:szCs w:val="20"/>
              </w:rPr>
            </w:pPr>
            <w:r w:rsidRPr="005B679B">
              <w:rPr>
                <w:sz w:val="20"/>
                <w:szCs w:val="20"/>
              </w:rPr>
              <w:t>(c) Articolele 11-18 din Directiva 90/220/CEE nu se mai aplică soiurilor modificate genetic după intrarea în vigoare a regulamentului menționat la litera (b).</w:t>
            </w:r>
          </w:p>
          <w:p w14:paraId="1AE78646" w14:textId="77777777" w:rsidR="005B679B" w:rsidRPr="005B679B" w:rsidRDefault="005B679B" w:rsidP="005B679B">
            <w:pPr>
              <w:tabs>
                <w:tab w:val="left" w:pos="1091"/>
              </w:tabs>
              <w:spacing w:after="0"/>
              <w:rPr>
                <w:sz w:val="20"/>
                <w:szCs w:val="20"/>
              </w:rPr>
            </w:pPr>
            <w:r w:rsidRPr="005B679B">
              <w:rPr>
                <w:sz w:val="20"/>
                <w:szCs w:val="20"/>
              </w:rPr>
              <w:t>(d) Modalitățile tehnice și științifice de punere în aplicare a evaluării impactului asupra mediului se adoptă în conformitate cu procedura prevăzută la articolul 23 alineatul (2).</w:t>
            </w:r>
          </w:p>
        </w:tc>
        <w:tc>
          <w:tcPr>
            <w:tcW w:w="1512" w:type="pct"/>
            <w:shd w:val="clear" w:color="auto" w:fill="auto"/>
          </w:tcPr>
          <w:p w14:paraId="3F16EDBE" w14:textId="77777777" w:rsidR="005B679B" w:rsidRPr="005B679B" w:rsidRDefault="005B679B" w:rsidP="005B679B">
            <w:pPr>
              <w:tabs>
                <w:tab w:val="left" w:pos="1091"/>
              </w:tabs>
              <w:spacing w:after="0"/>
              <w:rPr>
                <w:sz w:val="20"/>
                <w:szCs w:val="20"/>
              </w:rPr>
            </w:pPr>
          </w:p>
        </w:tc>
        <w:tc>
          <w:tcPr>
            <w:tcW w:w="988" w:type="pct"/>
            <w:shd w:val="clear" w:color="auto" w:fill="auto"/>
            <w:vAlign w:val="center"/>
          </w:tcPr>
          <w:p w14:paraId="6DAB6258" w14:textId="4EC6D036" w:rsidR="005B679B" w:rsidRPr="005B679B" w:rsidRDefault="00F86EAB" w:rsidP="005B679B">
            <w:pPr>
              <w:tabs>
                <w:tab w:val="left" w:pos="1091"/>
              </w:tabs>
              <w:spacing w:after="0"/>
              <w:jc w:val="center"/>
              <w:rPr>
                <w:b/>
                <w:bCs/>
                <w:sz w:val="20"/>
                <w:szCs w:val="20"/>
              </w:rPr>
            </w:pPr>
            <w:r w:rsidRPr="00F86EAB">
              <w:rPr>
                <w:b/>
                <w:bCs/>
                <w:sz w:val="20"/>
                <w:szCs w:val="20"/>
              </w:rPr>
              <w:t>Norme UE neaplicabile</w:t>
            </w:r>
          </w:p>
        </w:tc>
        <w:tc>
          <w:tcPr>
            <w:tcW w:w="790" w:type="pct"/>
            <w:shd w:val="clear" w:color="auto" w:fill="auto"/>
            <w:vAlign w:val="center"/>
          </w:tcPr>
          <w:p w14:paraId="1602DE5B" w14:textId="67D802C3" w:rsidR="005B679B" w:rsidRPr="005B679B" w:rsidRDefault="005B679B" w:rsidP="005B679B">
            <w:pPr>
              <w:tabs>
                <w:tab w:val="left" w:pos="1091"/>
              </w:tabs>
              <w:spacing w:after="0"/>
              <w:jc w:val="center"/>
              <w:rPr>
                <w:bCs/>
                <w:sz w:val="20"/>
                <w:szCs w:val="20"/>
              </w:rPr>
            </w:pPr>
          </w:p>
        </w:tc>
      </w:tr>
      <w:tr w:rsidR="005B679B" w:rsidRPr="005B679B" w14:paraId="2D404151" w14:textId="77777777" w:rsidTr="0014248B">
        <w:trPr>
          <w:trHeight w:val="113"/>
        </w:trPr>
        <w:tc>
          <w:tcPr>
            <w:tcW w:w="1710" w:type="pct"/>
            <w:gridSpan w:val="3"/>
            <w:shd w:val="clear" w:color="auto" w:fill="auto"/>
          </w:tcPr>
          <w:p w14:paraId="4E0C3BB0" w14:textId="77777777" w:rsidR="005B679B" w:rsidRPr="005B679B" w:rsidRDefault="005B679B" w:rsidP="005B679B">
            <w:pPr>
              <w:tabs>
                <w:tab w:val="left" w:pos="1091"/>
              </w:tabs>
              <w:spacing w:after="0"/>
              <w:rPr>
                <w:sz w:val="20"/>
                <w:szCs w:val="20"/>
              </w:rPr>
            </w:pPr>
            <w:r w:rsidRPr="005B679B">
              <w:rPr>
                <w:sz w:val="20"/>
                <w:szCs w:val="20"/>
              </w:rPr>
              <w:t xml:space="preserve">(5) </w:t>
            </w:r>
          </w:p>
          <w:p w14:paraId="465AA495" w14:textId="77777777" w:rsidR="005B679B" w:rsidRPr="005B679B" w:rsidRDefault="005B679B" w:rsidP="005B679B">
            <w:pPr>
              <w:tabs>
                <w:tab w:val="left" w:pos="1091"/>
              </w:tabs>
              <w:spacing w:after="0"/>
              <w:rPr>
                <w:sz w:val="20"/>
                <w:szCs w:val="20"/>
              </w:rPr>
            </w:pPr>
            <w:r w:rsidRPr="005B679B">
              <w:rPr>
                <w:sz w:val="20"/>
                <w:szCs w:val="20"/>
              </w:rPr>
              <w:t>(a) Statele membre se asigură că un soi destinat unuia dintre scopurile prevăzute de prezentul alineat nu este autorizat decât:</w:t>
            </w:r>
          </w:p>
          <w:p w14:paraId="1E68B336" w14:textId="77777777" w:rsidR="005B679B" w:rsidRPr="005B679B" w:rsidRDefault="005B679B" w:rsidP="005B679B">
            <w:pPr>
              <w:tabs>
                <w:tab w:val="left" w:pos="1091"/>
              </w:tabs>
              <w:spacing w:after="0"/>
              <w:rPr>
                <w:sz w:val="20"/>
                <w:szCs w:val="20"/>
              </w:rPr>
            </w:pPr>
            <w:r w:rsidRPr="005B679B">
              <w:rPr>
                <w:sz w:val="20"/>
                <w:szCs w:val="20"/>
              </w:rPr>
              <w:t>— în cazul în care alimentul sau ingredientul alimentar a fost deja autorizat în conformitate cu Regulamentul (CE) nr. 258/97 sau</w:t>
            </w:r>
          </w:p>
          <w:p w14:paraId="31AFD23E" w14:textId="77777777" w:rsidR="005B679B" w:rsidRPr="005B679B" w:rsidRDefault="005B679B" w:rsidP="005B679B">
            <w:pPr>
              <w:tabs>
                <w:tab w:val="left" w:pos="1091"/>
              </w:tabs>
              <w:spacing w:after="0"/>
              <w:rPr>
                <w:sz w:val="20"/>
                <w:szCs w:val="20"/>
              </w:rPr>
            </w:pPr>
            <w:r w:rsidRPr="005B679B">
              <w:rPr>
                <w:sz w:val="20"/>
                <w:szCs w:val="20"/>
              </w:rPr>
              <w:t>— în cazul în care deciziile de autorizare prevăzute în Regulamentul (CE) nr. 258/97 sunt luate în conformitate cu procedura prevăzută la articolul 23 alineatul (2).</w:t>
            </w:r>
          </w:p>
          <w:p w14:paraId="41217422" w14:textId="77777777" w:rsidR="005B679B" w:rsidRPr="005B679B" w:rsidRDefault="005B679B" w:rsidP="005B679B">
            <w:pPr>
              <w:tabs>
                <w:tab w:val="left" w:pos="1091"/>
              </w:tabs>
              <w:spacing w:after="0"/>
              <w:rPr>
                <w:sz w:val="20"/>
                <w:szCs w:val="20"/>
              </w:rPr>
            </w:pPr>
            <w:r w:rsidRPr="005B679B">
              <w:rPr>
                <w:sz w:val="20"/>
                <w:szCs w:val="20"/>
              </w:rPr>
              <w:t>(b) În cazul menționat la litera (a) a doua liniuță, se iau în considerare criteriile definite la articolul 4 alineatul (5) și principiile de evaluare enunțate în Regulamentul (CE) nr. 258/97.</w:t>
            </w:r>
          </w:p>
          <w:p w14:paraId="3B710D80" w14:textId="77777777" w:rsidR="005B679B" w:rsidRPr="005B679B" w:rsidRDefault="005B679B" w:rsidP="005B679B">
            <w:pPr>
              <w:tabs>
                <w:tab w:val="left" w:pos="1091"/>
              </w:tabs>
              <w:spacing w:after="0"/>
              <w:rPr>
                <w:sz w:val="20"/>
                <w:szCs w:val="20"/>
              </w:rPr>
            </w:pPr>
            <w:r w:rsidRPr="005B679B">
              <w:rPr>
                <w:sz w:val="20"/>
                <w:szCs w:val="20"/>
              </w:rPr>
              <w:t>(c) Modalitățile tehnice și științifice de punere în aplicare a măsurilor prevăzute la litera (b) se adoptă în conformitate cu procedura prevăzută la articolul 23 alineatul (2).</w:t>
            </w:r>
          </w:p>
        </w:tc>
        <w:tc>
          <w:tcPr>
            <w:tcW w:w="1512" w:type="pct"/>
            <w:shd w:val="clear" w:color="auto" w:fill="auto"/>
          </w:tcPr>
          <w:p w14:paraId="7B1FB679" w14:textId="77777777" w:rsidR="005B679B" w:rsidRPr="005B679B" w:rsidRDefault="005B679B" w:rsidP="005B679B">
            <w:pPr>
              <w:tabs>
                <w:tab w:val="left" w:pos="1091"/>
              </w:tabs>
              <w:spacing w:after="0"/>
              <w:rPr>
                <w:sz w:val="20"/>
                <w:szCs w:val="20"/>
              </w:rPr>
            </w:pPr>
          </w:p>
        </w:tc>
        <w:tc>
          <w:tcPr>
            <w:tcW w:w="988" w:type="pct"/>
            <w:shd w:val="clear" w:color="auto" w:fill="auto"/>
            <w:vAlign w:val="center"/>
          </w:tcPr>
          <w:p w14:paraId="0AA82B08" w14:textId="57DD8888" w:rsidR="005B679B" w:rsidRPr="005B679B" w:rsidRDefault="003D4A53" w:rsidP="005B679B">
            <w:pPr>
              <w:tabs>
                <w:tab w:val="left" w:pos="1091"/>
              </w:tabs>
              <w:spacing w:after="0"/>
              <w:jc w:val="center"/>
              <w:rPr>
                <w:b/>
                <w:bCs/>
                <w:sz w:val="20"/>
                <w:szCs w:val="20"/>
              </w:rPr>
            </w:pPr>
            <w:r w:rsidRPr="003D4A53">
              <w:rPr>
                <w:b/>
                <w:bCs/>
                <w:sz w:val="20"/>
                <w:szCs w:val="20"/>
              </w:rPr>
              <w:t>Norme UE neaplicabile</w:t>
            </w:r>
          </w:p>
        </w:tc>
        <w:tc>
          <w:tcPr>
            <w:tcW w:w="790" w:type="pct"/>
            <w:shd w:val="clear" w:color="auto" w:fill="auto"/>
            <w:vAlign w:val="center"/>
          </w:tcPr>
          <w:p w14:paraId="1D566CC5" w14:textId="77777777" w:rsidR="005B679B" w:rsidRPr="005B679B" w:rsidRDefault="005B679B" w:rsidP="005B679B">
            <w:pPr>
              <w:tabs>
                <w:tab w:val="left" w:pos="1091"/>
              </w:tabs>
              <w:spacing w:after="0"/>
              <w:jc w:val="center"/>
              <w:rPr>
                <w:bCs/>
                <w:sz w:val="20"/>
                <w:szCs w:val="20"/>
              </w:rPr>
            </w:pPr>
          </w:p>
        </w:tc>
      </w:tr>
      <w:tr w:rsidR="005B679B" w:rsidRPr="005B679B" w14:paraId="7DE66CCF" w14:textId="77777777" w:rsidTr="0014248B">
        <w:trPr>
          <w:trHeight w:val="113"/>
        </w:trPr>
        <w:tc>
          <w:tcPr>
            <w:tcW w:w="1710" w:type="pct"/>
            <w:gridSpan w:val="3"/>
            <w:shd w:val="clear" w:color="auto" w:fill="auto"/>
          </w:tcPr>
          <w:p w14:paraId="34867A74" w14:textId="77777777" w:rsidR="005B679B" w:rsidRPr="005B679B" w:rsidRDefault="005B679B" w:rsidP="005B679B">
            <w:pPr>
              <w:tabs>
                <w:tab w:val="left" w:pos="1091"/>
              </w:tabs>
              <w:spacing w:after="0"/>
              <w:rPr>
                <w:sz w:val="20"/>
                <w:szCs w:val="20"/>
              </w:rPr>
            </w:pPr>
            <w:r w:rsidRPr="005B679B">
              <w:rPr>
                <w:sz w:val="20"/>
                <w:szCs w:val="20"/>
              </w:rPr>
              <w:lastRenderedPageBreak/>
              <w:t>Articolul 8</w:t>
            </w:r>
          </w:p>
          <w:p w14:paraId="26147242" w14:textId="77777777" w:rsidR="005B679B" w:rsidRPr="005B679B" w:rsidRDefault="005B679B" w:rsidP="005B679B">
            <w:pPr>
              <w:tabs>
                <w:tab w:val="left" w:pos="1091"/>
              </w:tabs>
              <w:spacing w:after="0"/>
              <w:rPr>
                <w:sz w:val="20"/>
                <w:szCs w:val="20"/>
              </w:rPr>
            </w:pPr>
            <w:r w:rsidRPr="005B679B">
              <w:rPr>
                <w:sz w:val="20"/>
                <w:szCs w:val="20"/>
              </w:rPr>
              <w:t>Statele membre dispun ca, la depunerea solicitării de admitere a unui soi, solicitantul să indice dacă soiul în cauză a făcut deja obiectul unei solicitări într-un alt stat membru, statul membru despre care este vorba și rezultatul solicitării.</w:t>
            </w:r>
          </w:p>
        </w:tc>
        <w:tc>
          <w:tcPr>
            <w:tcW w:w="1512" w:type="pct"/>
            <w:shd w:val="clear" w:color="auto" w:fill="auto"/>
          </w:tcPr>
          <w:p w14:paraId="797017B4" w14:textId="77777777" w:rsidR="005B679B" w:rsidRPr="005B679B" w:rsidRDefault="005B679B" w:rsidP="005B679B">
            <w:pPr>
              <w:tabs>
                <w:tab w:val="left" w:pos="1091"/>
              </w:tabs>
              <w:spacing w:after="0"/>
              <w:rPr>
                <w:sz w:val="20"/>
                <w:szCs w:val="20"/>
              </w:rPr>
            </w:pPr>
          </w:p>
        </w:tc>
        <w:tc>
          <w:tcPr>
            <w:tcW w:w="988" w:type="pct"/>
            <w:shd w:val="clear" w:color="auto" w:fill="auto"/>
            <w:vAlign w:val="center"/>
          </w:tcPr>
          <w:p w14:paraId="5C4A4A67" w14:textId="77777777" w:rsidR="005B679B" w:rsidRPr="005B679B" w:rsidRDefault="005B679B" w:rsidP="005B679B">
            <w:pPr>
              <w:tabs>
                <w:tab w:val="left" w:pos="1091"/>
              </w:tabs>
              <w:spacing w:after="0"/>
              <w:jc w:val="center"/>
              <w:rPr>
                <w:b/>
                <w:bCs/>
                <w:sz w:val="20"/>
                <w:szCs w:val="20"/>
              </w:rPr>
            </w:pPr>
            <w:r w:rsidRPr="005B679B">
              <w:rPr>
                <w:b/>
                <w:bCs/>
                <w:sz w:val="20"/>
                <w:szCs w:val="20"/>
              </w:rPr>
              <w:t>Compatibil</w:t>
            </w:r>
          </w:p>
        </w:tc>
        <w:tc>
          <w:tcPr>
            <w:tcW w:w="790" w:type="pct"/>
            <w:shd w:val="clear" w:color="auto" w:fill="auto"/>
            <w:vAlign w:val="center"/>
          </w:tcPr>
          <w:p w14:paraId="2CA7CEF6" w14:textId="6F2EEF59" w:rsidR="005B679B" w:rsidRPr="005B679B" w:rsidRDefault="005C4536" w:rsidP="005B679B">
            <w:pPr>
              <w:tabs>
                <w:tab w:val="left" w:pos="1091"/>
              </w:tabs>
              <w:spacing w:after="0"/>
              <w:jc w:val="center"/>
              <w:rPr>
                <w:sz w:val="20"/>
                <w:szCs w:val="20"/>
              </w:rPr>
            </w:pPr>
            <w:r>
              <w:rPr>
                <w:sz w:val="20"/>
                <w:szCs w:val="20"/>
              </w:rPr>
              <w:t xml:space="preserve">Transpus în pct. </w:t>
            </w:r>
            <w:r w:rsidRPr="005C4536">
              <w:rPr>
                <w:sz w:val="20"/>
                <w:szCs w:val="20"/>
              </w:rPr>
              <w:t>6, din Hotărârii Guvernului nr. 43/2013</w:t>
            </w:r>
          </w:p>
        </w:tc>
      </w:tr>
      <w:tr w:rsidR="005B679B" w:rsidRPr="005B679B" w14:paraId="00199428" w14:textId="77777777" w:rsidTr="0014248B">
        <w:trPr>
          <w:trHeight w:val="113"/>
        </w:trPr>
        <w:tc>
          <w:tcPr>
            <w:tcW w:w="1710" w:type="pct"/>
            <w:gridSpan w:val="3"/>
            <w:shd w:val="clear" w:color="auto" w:fill="auto"/>
          </w:tcPr>
          <w:p w14:paraId="0BE931D2" w14:textId="77777777" w:rsidR="005B679B" w:rsidRPr="005B679B" w:rsidRDefault="005B679B" w:rsidP="005B679B">
            <w:pPr>
              <w:tabs>
                <w:tab w:val="left" w:pos="1091"/>
              </w:tabs>
              <w:spacing w:after="0"/>
              <w:rPr>
                <w:sz w:val="20"/>
                <w:szCs w:val="20"/>
              </w:rPr>
            </w:pPr>
            <w:r w:rsidRPr="005B679B">
              <w:rPr>
                <w:sz w:val="20"/>
                <w:szCs w:val="20"/>
              </w:rPr>
              <w:t>Articolul 9</w:t>
            </w:r>
          </w:p>
          <w:p w14:paraId="0C28F911" w14:textId="43D5C540" w:rsidR="005B679B" w:rsidRPr="005B679B" w:rsidRDefault="005B679B" w:rsidP="005B679B">
            <w:pPr>
              <w:tabs>
                <w:tab w:val="left" w:pos="1091"/>
              </w:tabs>
              <w:spacing w:after="0"/>
              <w:rPr>
                <w:sz w:val="20"/>
                <w:szCs w:val="20"/>
              </w:rPr>
            </w:pPr>
            <w:r w:rsidRPr="005B679B">
              <w:rPr>
                <w:sz w:val="20"/>
                <w:szCs w:val="20"/>
              </w:rPr>
              <w:t>(1)   Fiecare stat membru asigură publicarea oficială a catalogului de soiuri admise pe teritoriul său, însoțite de numele persoanei responsabile (persoanelor responsabile) de selecția conservativă în țara sa. În cazul în care mai multe persoane sunt responsabile de selecția conservativă a unui soi, publicarea numelor acestor</w:t>
            </w:r>
            <w:r w:rsidR="00AA7A9F">
              <w:rPr>
                <w:sz w:val="20"/>
                <w:szCs w:val="20"/>
              </w:rPr>
              <w:t>a nu este indispensabilă. În ca</w:t>
            </w:r>
            <w:r w:rsidRPr="005B679B">
              <w:rPr>
                <w:sz w:val="20"/>
                <w:szCs w:val="20"/>
              </w:rPr>
              <w:t>zul în care numele nu sunt publicate, catalogul indică autoritatea care dispune de lista cu numele persoanelor responsabile de selecția conservativă.</w:t>
            </w:r>
          </w:p>
        </w:tc>
        <w:tc>
          <w:tcPr>
            <w:tcW w:w="1512" w:type="pct"/>
            <w:shd w:val="clear" w:color="auto" w:fill="auto"/>
          </w:tcPr>
          <w:p w14:paraId="1AE7C85C" w14:textId="77777777" w:rsidR="005B679B" w:rsidRPr="005B679B" w:rsidRDefault="005B679B" w:rsidP="005B679B">
            <w:pPr>
              <w:tabs>
                <w:tab w:val="left" w:pos="1091"/>
              </w:tabs>
              <w:spacing w:after="0"/>
              <w:rPr>
                <w:sz w:val="20"/>
                <w:szCs w:val="20"/>
              </w:rPr>
            </w:pPr>
          </w:p>
        </w:tc>
        <w:tc>
          <w:tcPr>
            <w:tcW w:w="988" w:type="pct"/>
            <w:shd w:val="clear" w:color="auto" w:fill="auto"/>
            <w:vAlign w:val="center"/>
          </w:tcPr>
          <w:p w14:paraId="48FE3A54" w14:textId="77777777" w:rsidR="005B679B" w:rsidRPr="005B679B" w:rsidRDefault="005B679B" w:rsidP="005B679B">
            <w:pPr>
              <w:tabs>
                <w:tab w:val="left" w:pos="1091"/>
              </w:tabs>
              <w:spacing w:after="0"/>
              <w:jc w:val="center"/>
              <w:rPr>
                <w:b/>
                <w:bCs/>
                <w:sz w:val="20"/>
                <w:szCs w:val="20"/>
              </w:rPr>
            </w:pPr>
            <w:r w:rsidRPr="005B679B">
              <w:rPr>
                <w:b/>
                <w:bCs/>
                <w:sz w:val="20"/>
                <w:szCs w:val="20"/>
              </w:rPr>
              <w:t>Compatibil</w:t>
            </w:r>
          </w:p>
        </w:tc>
        <w:tc>
          <w:tcPr>
            <w:tcW w:w="790" w:type="pct"/>
            <w:shd w:val="clear" w:color="auto" w:fill="auto"/>
            <w:vAlign w:val="center"/>
          </w:tcPr>
          <w:p w14:paraId="7EE1A030" w14:textId="25B81E6D" w:rsidR="005B679B" w:rsidRPr="005B679B" w:rsidRDefault="00AA7A9F" w:rsidP="00AA7A9F">
            <w:pPr>
              <w:tabs>
                <w:tab w:val="left" w:pos="1091"/>
              </w:tabs>
              <w:spacing w:after="0"/>
              <w:jc w:val="center"/>
              <w:rPr>
                <w:sz w:val="20"/>
                <w:szCs w:val="20"/>
              </w:rPr>
            </w:pPr>
            <w:r>
              <w:rPr>
                <w:sz w:val="20"/>
                <w:szCs w:val="20"/>
              </w:rPr>
              <w:t xml:space="preserve">Transpus prin pct.60 </w:t>
            </w:r>
            <w:proofErr w:type="spellStart"/>
            <w:r>
              <w:rPr>
                <w:sz w:val="20"/>
                <w:szCs w:val="20"/>
              </w:rPr>
              <w:t>subpct</w:t>
            </w:r>
            <w:proofErr w:type="spellEnd"/>
            <w:r>
              <w:rPr>
                <w:sz w:val="20"/>
                <w:szCs w:val="20"/>
              </w:rPr>
              <w:t>. 1), pct. 60</w:t>
            </w:r>
            <w:r>
              <w:rPr>
                <w:sz w:val="20"/>
                <w:szCs w:val="20"/>
                <w:vertAlign w:val="superscript"/>
              </w:rPr>
              <w:t>1</w:t>
            </w:r>
            <w:r>
              <w:rPr>
                <w:sz w:val="20"/>
                <w:szCs w:val="20"/>
              </w:rPr>
              <w:t>,</w:t>
            </w:r>
            <w:r w:rsidR="005B679B" w:rsidRPr="005B679B">
              <w:rPr>
                <w:sz w:val="20"/>
                <w:szCs w:val="20"/>
              </w:rPr>
              <w:t xml:space="preserve"> </w:t>
            </w:r>
            <w:r w:rsidRPr="00AA7A9F">
              <w:rPr>
                <w:sz w:val="20"/>
                <w:szCs w:val="20"/>
              </w:rPr>
              <w:t>din Hotărârii Guvernului nr. 43/2013</w:t>
            </w:r>
          </w:p>
        </w:tc>
      </w:tr>
      <w:tr w:rsidR="005B679B" w:rsidRPr="005B679B" w14:paraId="643F59A0" w14:textId="77777777" w:rsidTr="0014248B">
        <w:trPr>
          <w:trHeight w:val="113"/>
        </w:trPr>
        <w:tc>
          <w:tcPr>
            <w:tcW w:w="1710" w:type="pct"/>
            <w:gridSpan w:val="3"/>
            <w:shd w:val="clear" w:color="auto" w:fill="auto"/>
          </w:tcPr>
          <w:p w14:paraId="705584EA" w14:textId="77777777" w:rsidR="005B679B" w:rsidRPr="005B679B" w:rsidRDefault="005B679B" w:rsidP="005B679B">
            <w:pPr>
              <w:tabs>
                <w:tab w:val="left" w:pos="1091"/>
              </w:tabs>
              <w:spacing w:after="0"/>
              <w:rPr>
                <w:sz w:val="20"/>
                <w:szCs w:val="20"/>
              </w:rPr>
            </w:pPr>
            <w:r w:rsidRPr="005B679B">
              <w:rPr>
                <w:sz w:val="20"/>
                <w:szCs w:val="20"/>
              </w:rPr>
              <w:t>(2)   La admiterea unui soi, statele membre se asigură că soiul în cauză poartă, în cazul în care este posibil, aceeași denumire în celelalte state membre.</w:t>
            </w:r>
          </w:p>
          <w:p w14:paraId="1BD902AB" w14:textId="77777777" w:rsidR="005B679B" w:rsidRPr="005B679B" w:rsidRDefault="005B679B" w:rsidP="005B679B">
            <w:pPr>
              <w:tabs>
                <w:tab w:val="left" w:pos="1091"/>
              </w:tabs>
              <w:spacing w:after="0"/>
              <w:rPr>
                <w:sz w:val="20"/>
                <w:szCs w:val="20"/>
              </w:rPr>
            </w:pPr>
            <w:r w:rsidRPr="005B679B">
              <w:rPr>
                <w:sz w:val="20"/>
                <w:szCs w:val="20"/>
              </w:rPr>
              <w:t>În cazul în care se cunoaște faptul că semințele sau materialul săditor dintr-un soi sunt comercializate într-o altă țară sub o denumire diferită, se indică în catalog și această denumire.</w:t>
            </w:r>
          </w:p>
        </w:tc>
        <w:tc>
          <w:tcPr>
            <w:tcW w:w="1512" w:type="pct"/>
            <w:shd w:val="clear" w:color="auto" w:fill="auto"/>
          </w:tcPr>
          <w:p w14:paraId="6F480C65" w14:textId="77777777" w:rsidR="005B679B" w:rsidRPr="005B679B" w:rsidRDefault="005B679B" w:rsidP="005B679B">
            <w:pPr>
              <w:tabs>
                <w:tab w:val="left" w:pos="1091"/>
              </w:tabs>
              <w:spacing w:after="0"/>
              <w:rPr>
                <w:sz w:val="20"/>
                <w:szCs w:val="20"/>
              </w:rPr>
            </w:pPr>
          </w:p>
        </w:tc>
        <w:tc>
          <w:tcPr>
            <w:tcW w:w="988" w:type="pct"/>
            <w:shd w:val="clear" w:color="auto" w:fill="auto"/>
            <w:vAlign w:val="center"/>
          </w:tcPr>
          <w:p w14:paraId="3A107A53" w14:textId="77777777" w:rsidR="005B679B" w:rsidRPr="005B679B" w:rsidRDefault="005B679B" w:rsidP="005B679B">
            <w:pPr>
              <w:tabs>
                <w:tab w:val="left" w:pos="1091"/>
              </w:tabs>
              <w:spacing w:after="0"/>
              <w:ind w:hanging="19"/>
              <w:jc w:val="center"/>
              <w:rPr>
                <w:b/>
                <w:bCs/>
                <w:sz w:val="20"/>
                <w:szCs w:val="20"/>
              </w:rPr>
            </w:pPr>
            <w:r w:rsidRPr="005B679B">
              <w:rPr>
                <w:b/>
                <w:bCs/>
                <w:sz w:val="20"/>
                <w:szCs w:val="20"/>
              </w:rPr>
              <w:t>Compatibil</w:t>
            </w:r>
          </w:p>
        </w:tc>
        <w:tc>
          <w:tcPr>
            <w:tcW w:w="790" w:type="pct"/>
            <w:shd w:val="clear" w:color="auto" w:fill="auto"/>
            <w:vAlign w:val="center"/>
          </w:tcPr>
          <w:p w14:paraId="7990C415" w14:textId="1875A344" w:rsidR="005B679B" w:rsidRPr="005B679B" w:rsidRDefault="005B679B" w:rsidP="005B679B">
            <w:pPr>
              <w:tabs>
                <w:tab w:val="left" w:pos="1091"/>
              </w:tabs>
              <w:spacing w:after="0"/>
              <w:ind w:hanging="19"/>
              <w:jc w:val="center"/>
              <w:rPr>
                <w:sz w:val="20"/>
                <w:szCs w:val="20"/>
              </w:rPr>
            </w:pPr>
            <w:r w:rsidRPr="005B679B">
              <w:rPr>
                <w:sz w:val="20"/>
                <w:szCs w:val="20"/>
              </w:rPr>
              <w:t>Transpus prin pct.39</w:t>
            </w:r>
            <w:r w:rsidR="00AA7A9F">
              <w:rPr>
                <w:sz w:val="20"/>
                <w:szCs w:val="20"/>
              </w:rPr>
              <w:t xml:space="preserve"> și pct. 43</w:t>
            </w:r>
            <w:r w:rsidRPr="005B679B">
              <w:rPr>
                <w:sz w:val="20"/>
                <w:szCs w:val="20"/>
              </w:rPr>
              <w:t xml:space="preserve"> </w:t>
            </w:r>
            <w:r w:rsidR="00AA7A9F" w:rsidRPr="00AA7A9F">
              <w:rPr>
                <w:sz w:val="20"/>
                <w:szCs w:val="20"/>
              </w:rPr>
              <w:t>, din Hotărârii Guvernului nr. 43/2013</w:t>
            </w:r>
          </w:p>
        </w:tc>
      </w:tr>
      <w:tr w:rsidR="005B679B" w:rsidRPr="005B679B" w14:paraId="7A5A67A9" w14:textId="77777777" w:rsidTr="0014248B">
        <w:trPr>
          <w:trHeight w:val="113"/>
        </w:trPr>
        <w:tc>
          <w:tcPr>
            <w:tcW w:w="1710" w:type="pct"/>
            <w:gridSpan w:val="3"/>
            <w:shd w:val="clear" w:color="auto" w:fill="auto"/>
          </w:tcPr>
          <w:p w14:paraId="6D5E3852" w14:textId="77777777" w:rsidR="005B679B" w:rsidRPr="005B679B" w:rsidRDefault="005B679B" w:rsidP="005B679B">
            <w:pPr>
              <w:tabs>
                <w:tab w:val="left" w:pos="1091"/>
              </w:tabs>
              <w:spacing w:after="0"/>
              <w:rPr>
                <w:sz w:val="20"/>
                <w:szCs w:val="20"/>
              </w:rPr>
            </w:pPr>
            <w:r w:rsidRPr="005B679B">
              <w:rPr>
                <w:sz w:val="20"/>
                <w:szCs w:val="20"/>
              </w:rPr>
              <w:t>(3)   În plus, ținând seama de informațiile disponibile, statele membre se asigură că un soi care nu se distinge clar:</w:t>
            </w:r>
          </w:p>
          <w:p w14:paraId="52A3A2E4" w14:textId="77777777" w:rsidR="005B679B" w:rsidRPr="005B679B" w:rsidRDefault="005B679B" w:rsidP="005B679B">
            <w:pPr>
              <w:tabs>
                <w:tab w:val="left" w:pos="1091"/>
              </w:tabs>
              <w:spacing w:after="0"/>
              <w:rPr>
                <w:sz w:val="20"/>
                <w:szCs w:val="20"/>
              </w:rPr>
            </w:pPr>
            <w:r w:rsidRPr="005B679B">
              <w:rPr>
                <w:sz w:val="20"/>
                <w:szCs w:val="20"/>
              </w:rPr>
              <w:t>— de un soi care a fost admis anterior în statul membru în cauză sau în alt stat membru sau</w:t>
            </w:r>
          </w:p>
          <w:p w14:paraId="6AACDD77" w14:textId="77777777" w:rsidR="005B679B" w:rsidRPr="005B679B" w:rsidRDefault="005B679B" w:rsidP="005B679B">
            <w:pPr>
              <w:tabs>
                <w:tab w:val="left" w:pos="1091"/>
              </w:tabs>
              <w:spacing w:after="0"/>
              <w:rPr>
                <w:sz w:val="20"/>
                <w:szCs w:val="20"/>
              </w:rPr>
            </w:pPr>
            <w:r w:rsidRPr="005B679B">
              <w:rPr>
                <w:sz w:val="20"/>
                <w:szCs w:val="20"/>
              </w:rPr>
              <w:t xml:space="preserve">— de un alt soi asupra căruia s-a pronunțat o decizie cu privire la </w:t>
            </w:r>
            <w:proofErr w:type="spellStart"/>
            <w:r w:rsidRPr="005B679B">
              <w:rPr>
                <w:sz w:val="20"/>
                <w:szCs w:val="20"/>
              </w:rPr>
              <w:t>distinctivitate</w:t>
            </w:r>
            <w:proofErr w:type="spellEnd"/>
            <w:r w:rsidRPr="005B679B">
              <w:rPr>
                <w:sz w:val="20"/>
                <w:szCs w:val="20"/>
              </w:rPr>
              <w:t>, stabilitate și omogenitate în conformitate cu norme corespondente celor din prezenta directivă, fără a fi de altfel un soi cunoscut în Comunitate în sensul articolului 5 alineatul (1)</w:t>
            </w:r>
          </w:p>
          <w:p w14:paraId="04B919DE" w14:textId="77777777" w:rsidR="005B679B" w:rsidRPr="005B679B" w:rsidRDefault="005B679B" w:rsidP="005B679B">
            <w:pPr>
              <w:tabs>
                <w:tab w:val="left" w:pos="1091"/>
              </w:tabs>
              <w:spacing w:after="0"/>
              <w:rPr>
                <w:sz w:val="20"/>
                <w:szCs w:val="20"/>
              </w:rPr>
            </w:pPr>
            <w:r w:rsidRPr="005B679B">
              <w:rPr>
                <w:sz w:val="20"/>
                <w:szCs w:val="20"/>
              </w:rPr>
              <w:t xml:space="preserve">poartă denumirea acestuia din urmă. Această dispoziție nu se aplică în cazul în care denumirea în cauză ar putea induce în eroare sau ar putea crea confuzii în ceea ce privește soiul, în cazul în care alți factori, determinați de ansamblul dispozițiilor de reglementare a denumirilor soiurilor din statul membru în cauză, se opun folosirii acesteia sau în cazul în care un drept al unui terț limitează </w:t>
            </w:r>
            <w:r w:rsidRPr="005B679B">
              <w:rPr>
                <w:sz w:val="20"/>
                <w:szCs w:val="20"/>
              </w:rPr>
              <w:lastRenderedPageBreak/>
              <w:t>libera utilizare a acestei denumiri în legătură cu soiul respectiv.</w:t>
            </w:r>
          </w:p>
        </w:tc>
        <w:tc>
          <w:tcPr>
            <w:tcW w:w="1512" w:type="pct"/>
            <w:shd w:val="clear" w:color="auto" w:fill="auto"/>
          </w:tcPr>
          <w:p w14:paraId="4C2201E2" w14:textId="77777777" w:rsidR="005B679B" w:rsidRPr="005B679B" w:rsidRDefault="005B679B" w:rsidP="005B679B">
            <w:pPr>
              <w:tabs>
                <w:tab w:val="left" w:pos="1091"/>
              </w:tabs>
              <w:spacing w:after="0"/>
              <w:rPr>
                <w:sz w:val="20"/>
                <w:szCs w:val="20"/>
              </w:rPr>
            </w:pPr>
          </w:p>
        </w:tc>
        <w:tc>
          <w:tcPr>
            <w:tcW w:w="988" w:type="pct"/>
            <w:shd w:val="clear" w:color="auto" w:fill="auto"/>
            <w:vAlign w:val="center"/>
          </w:tcPr>
          <w:p w14:paraId="4FAF29B2" w14:textId="77777777" w:rsidR="005B679B" w:rsidRPr="005B679B" w:rsidRDefault="005B679B" w:rsidP="005B679B">
            <w:pPr>
              <w:tabs>
                <w:tab w:val="left" w:pos="1091"/>
              </w:tabs>
              <w:spacing w:after="0"/>
              <w:ind w:firstLine="6"/>
              <w:jc w:val="center"/>
              <w:rPr>
                <w:b/>
                <w:bCs/>
                <w:sz w:val="20"/>
                <w:szCs w:val="20"/>
              </w:rPr>
            </w:pPr>
            <w:r w:rsidRPr="005B679B">
              <w:rPr>
                <w:b/>
                <w:bCs/>
                <w:sz w:val="20"/>
                <w:szCs w:val="20"/>
              </w:rPr>
              <w:t>Compatibil</w:t>
            </w:r>
          </w:p>
        </w:tc>
        <w:tc>
          <w:tcPr>
            <w:tcW w:w="790" w:type="pct"/>
            <w:shd w:val="clear" w:color="auto" w:fill="auto"/>
            <w:vAlign w:val="center"/>
          </w:tcPr>
          <w:p w14:paraId="4FC17ECF" w14:textId="374F203B" w:rsidR="005B679B" w:rsidRPr="005B679B" w:rsidRDefault="005B679B" w:rsidP="005B679B">
            <w:pPr>
              <w:tabs>
                <w:tab w:val="left" w:pos="1091"/>
              </w:tabs>
              <w:spacing w:after="0"/>
              <w:ind w:firstLine="6"/>
              <w:jc w:val="center"/>
              <w:rPr>
                <w:sz w:val="20"/>
                <w:szCs w:val="20"/>
              </w:rPr>
            </w:pPr>
          </w:p>
        </w:tc>
      </w:tr>
      <w:tr w:rsidR="005B679B" w:rsidRPr="005B679B" w14:paraId="715F0457" w14:textId="77777777" w:rsidTr="0014248B">
        <w:trPr>
          <w:trHeight w:val="113"/>
        </w:trPr>
        <w:tc>
          <w:tcPr>
            <w:tcW w:w="1710" w:type="pct"/>
            <w:gridSpan w:val="3"/>
            <w:shd w:val="clear" w:color="auto" w:fill="auto"/>
          </w:tcPr>
          <w:p w14:paraId="7947B933" w14:textId="77777777" w:rsidR="005B679B" w:rsidRPr="005B679B" w:rsidRDefault="005B679B" w:rsidP="005B679B">
            <w:pPr>
              <w:tabs>
                <w:tab w:val="left" w:pos="1091"/>
              </w:tabs>
              <w:spacing w:after="0"/>
              <w:rPr>
                <w:sz w:val="20"/>
                <w:szCs w:val="20"/>
              </w:rPr>
            </w:pPr>
            <w:r w:rsidRPr="005B679B">
              <w:rPr>
                <w:sz w:val="20"/>
                <w:szCs w:val="20"/>
              </w:rPr>
              <w:lastRenderedPageBreak/>
              <w:t>(4) Statele membre întocmesc, pentru fiecare soi admis, un dosar cuprinzând o descriere a soiului și un rezumat clar al tuturor elementelor care au stat la baza admiterii acestuia. Descrierea soiurilor se referă la plantele produse direct din semințe și material săditor din categoria „semințe și material săditor certificat”.</w:t>
            </w:r>
          </w:p>
        </w:tc>
        <w:tc>
          <w:tcPr>
            <w:tcW w:w="1512" w:type="pct"/>
            <w:shd w:val="clear" w:color="auto" w:fill="auto"/>
          </w:tcPr>
          <w:p w14:paraId="4F98CEA4" w14:textId="77777777" w:rsidR="005B679B" w:rsidRPr="005B679B" w:rsidRDefault="005B679B" w:rsidP="005B679B">
            <w:pPr>
              <w:tabs>
                <w:tab w:val="left" w:pos="1091"/>
              </w:tabs>
              <w:spacing w:after="0"/>
              <w:rPr>
                <w:sz w:val="20"/>
                <w:szCs w:val="20"/>
              </w:rPr>
            </w:pPr>
          </w:p>
        </w:tc>
        <w:tc>
          <w:tcPr>
            <w:tcW w:w="988" w:type="pct"/>
            <w:shd w:val="clear" w:color="auto" w:fill="auto"/>
            <w:vAlign w:val="center"/>
          </w:tcPr>
          <w:p w14:paraId="343C3FD2" w14:textId="77777777" w:rsidR="005B679B" w:rsidRPr="005B679B" w:rsidRDefault="005B679B" w:rsidP="005B679B">
            <w:pPr>
              <w:tabs>
                <w:tab w:val="left" w:pos="1091"/>
              </w:tabs>
              <w:spacing w:after="0"/>
              <w:jc w:val="center"/>
              <w:rPr>
                <w:b/>
                <w:bCs/>
                <w:sz w:val="20"/>
                <w:szCs w:val="20"/>
              </w:rPr>
            </w:pPr>
            <w:r w:rsidRPr="005B679B">
              <w:rPr>
                <w:b/>
                <w:bCs/>
                <w:sz w:val="20"/>
                <w:szCs w:val="20"/>
              </w:rPr>
              <w:t>Compatibil</w:t>
            </w:r>
          </w:p>
        </w:tc>
        <w:tc>
          <w:tcPr>
            <w:tcW w:w="790" w:type="pct"/>
            <w:shd w:val="clear" w:color="auto" w:fill="auto"/>
            <w:vAlign w:val="center"/>
          </w:tcPr>
          <w:p w14:paraId="0D8CA023" w14:textId="50878123" w:rsidR="005B679B" w:rsidRPr="005B679B" w:rsidRDefault="00E45CA5" w:rsidP="00E45CA5">
            <w:pPr>
              <w:tabs>
                <w:tab w:val="left" w:pos="1091"/>
              </w:tabs>
              <w:spacing w:after="0"/>
              <w:jc w:val="center"/>
              <w:rPr>
                <w:sz w:val="20"/>
                <w:szCs w:val="20"/>
              </w:rPr>
            </w:pPr>
            <w:r>
              <w:rPr>
                <w:sz w:val="20"/>
                <w:szCs w:val="20"/>
              </w:rPr>
              <w:t>Transpus prin pct.41</w:t>
            </w:r>
            <w:r w:rsidRPr="00E45CA5">
              <w:rPr>
                <w:sz w:val="20"/>
                <w:szCs w:val="20"/>
              </w:rPr>
              <w:t xml:space="preserve"> din Hotărârii Guvernului nr. 43/2013</w:t>
            </w:r>
          </w:p>
        </w:tc>
      </w:tr>
      <w:tr w:rsidR="005B679B" w:rsidRPr="005B679B" w14:paraId="72F28604" w14:textId="77777777" w:rsidTr="0014248B">
        <w:trPr>
          <w:trHeight w:val="113"/>
        </w:trPr>
        <w:tc>
          <w:tcPr>
            <w:tcW w:w="1710" w:type="pct"/>
            <w:gridSpan w:val="3"/>
            <w:shd w:val="clear" w:color="auto" w:fill="auto"/>
          </w:tcPr>
          <w:p w14:paraId="6536678D" w14:textId="77777777" w:rsidR="005B679B" w:rsidRPr="005B679B" w:rsidRDefault="005B679B" w:rsidP="005B679B">
            <w:pPr>
              <w:tabs>
                <w:tab w:val="left" w:pos="1091"/>
              </w:tabs>
              <w:spacing w:after="0"/>
              <w:rPr>
                <w:sz w:val="20"/>
                <w:szCs w:val="20"/>
              </w:rPr>
            </w:pPr>
            <w:r w:rsidRPr="005B679B">
              <w:rPr>
                <w:sz w:val="20"/>
                <w:szCs w:val="20"/>
              </w:rPr>
              <w:t>(5)   Statele membre se asigură că soiurile modificate genetic care au fost admise sunt indicate clar ca atare în catalogul soiurilor. De asemenea, ele se asigură că orice persoană care comercializează un astfel de soi indică în mod clar, în catalogul său de vânzări, că soiul a fost modificat genetic.</w:t>
            </w:r>
          </w:p>
        </w:tc>
        <w:tc>
          <w:tcPr>
            <w:tcW w:w="1512" w:type="pct"/>
            <w:shd w:val="clear" w:color="auto" w:fill="auto"/>
          </w:tcPr>
          <w:p w14:paraId="732F866E" w14:textId="77777777" w:rsidR="005B679B" w:rsidRPr="005B679B" w:rsidRDefault="005B679B" w:rsidP="005B679B">
            <w:pPr>
              <w:tabs>
                <w:tab w:val="left" w:pos="1091"/>
              </w:tabs>
              <w:spacing w:after="0"/>
              <w:rPr>
                <w:sz w:val="20"/>
                <w:szCs w:val="20"/>
              </w:rPr>
            </w:pPr>
          </w:p>
        </w:tc>
        <w:tc>
          <w:tcPr>
            <w:tcW w:w="988" w:type="pct"/>
            <w:shd w:val="clear" w:color="auto" w:fill="auto"/>
            <w:vAlign w:val="center"/>
          </w:tcPr>
          <w:p w14:paraId="01450D9F" w14:textId="77777777" w:rsidR="005B679B" w:rsidRPr="005B679B" w:rsidRDefault="005B679B" w:rsidP="005B679B">
            <w:pPr>
              <w:tabs>
                <w:tab w:val="left" w:pos="1091"/>
              </w:tabs>
              <w:spacing w:after="0"/>
              <w:ind w:firstLine="6"/>
              <w:jc w:val="center"/>
              <w:rPr>
                <w:b/>
                <w:bCs/>
                <w:sz w:val="20"/>
                <w:szCs w:val="20"/>
              </w:rPr>
            </w:pPr>
            <w:r w:rsidRPr="005B679B">
              <w:rPr>
                <w:b/>
                <w:bCs/>
                <w:sz w:val="20"/>
                <w:szCs w:val="20"/>
              </w:rPr>
              <w:t>Compatibil</w:t>
            </w:r>
          </w:p>
        </w:tc>
        <w:tc>
          <w:tcPr>
            <w:tcW w:w="790" w:type="pct"/>
            <w:shd w:val="clear" w:color="auto" w:fill="auto"/>
            <w:vAlign w:val="center"/>
          </w:tcPr>
          <w:p w14:paraId="0DD3D141" w14:textId="5B7D10B0" w:rsidR="005B679B" w:rsidRPr="005B679B" w:rsidRDefault="005B679B" w:rsidP="005B679B">
            <w:pPr>
              <w:tabs>
                <w:tab w:val="left" w:pos="1091"/>
              </w:tabs>
              <w:spacing w:after="0"/>
              <w:ind w:firstLine="6"/>
              <w:jc w:val="center"/>
              <w:rPr>
                <w:sz w:val="20"/>
                <w:szCs w:val="20"/>
              </w:rPr>
            </w:pPr>
            <w:r w:rsidRPr="005B679B">
              <w:rPr>
                <w:sz w:val="20"/>
                <w:szCs w:val="20"/>
              </w:rPr>
              <w:t xml:space="preserve">Transpus prin pct.40 </w:t>
            </w:r>
            <w:r w:rsidR="00C62918" w:rsidRPr="00C62918">
              <w:rPr>
                <w:sz w:val="20"/>
                <w:szCs w:val="20"/>
              </w:rPr>
              <w:t>din Hotărârii Guvernului nr. 43/2013</w:t>
            </w:r>
          </w:p>
        </w:tc>
      </w:tr>
      <w:tr w:rsidR="005B679B" w:rsidRPr="005B679B" w14:paraId="33572C9F" w14:textId="77777777" w:rsidTr="0014248B">
        <w:trPr>
          <w:trHeight w:val="113"/>
        </w:trPr>
        <w:tc>
          <w:tcPr>
            <w:tcW w:w="1710" w:type="pct"/>
            <w:gridSpan w:val="3"/>
            <w:shd w:val="clear" w:color="auto" w:fill="auto"/>
          </w:tcPr>
          <w:p w14:paraId="5D0C3A8B" w14:textId="77777777" w:rsidR="005B679B" w:rsidRPr="005B679B" w:rsidRDefault="005B679B" w:rsidP="005B679B">
            <w:pPr>
              <w:tabs>
                <w:tab w:val="left" w:pos="1091"/>
              </w:tabs>
              <w:spacing w:after="0"/>
              <w:rPr>
                <w:sz w:val="20"/>
                <w:szCs w:val="20"/>
              </w:rPr>
            </w:pPr>
            <w:r w:rsidRPr="005B679B">
              <w:rPr>
                <w:sz w:val="20"/>
                <w:szCs w:val="20"/>
              </w:rPr>
              <w:t>(6)   În ceea ce privește eligibilitatea denumirii unui soi, se aplică articolului 63 din Regulamentul (CE) nr. 2100/94 al Consiliului din 27 iulie 1994 de instituire a unui regim de protecție comunitară a soiurilor de plante (12). Pot fi adoptate norme de aplicare privind eligibilitatea denumirilor unor soiuri în conformitate cu procedura prevăzută la articolul 23 alineatul (2).</w:t>
            </w:r>
          </w:p>
        </w:tc>
        <w:tc>
          <w:tcPr>
            <w:tcW w:w="1512" w:type="pct"/>
            <w:shd w:val="clear" w:color="auto" w:fill="auto"/>
          </w:tcPr>
          <w:p w14:paraId="392EC056" w14:textId="77777777" w:rsidR="005B679B" w:rsidRPr="005B679B" w:rsidRDefault="005B679B" w:rsidP="005B679B">
            <w:pPr>
              <w:tabs>
                <w:tab w:val="left" w:pos="1091"/>
              </w:tabs>
              <w:spacing w:after="0"/>
              <w:rPr>
                <w:sz w:val="20"/>
                <w:szCs w:val="20"/>
              </w:rPr>
            </w:pPr>
          </w:p>
        </w:tc>
        <w:tc>
          <w:tcPr>
            <w:tcW w:w="988" w:type="pct"/>
            <w:shd w:val="clear" w:color="auto" w:fill="auto"/>
            <w:vAlign w:val="center"/>
          </w:tcPr>
          <w:p w14:paraId="519574EA" w14:textId="77777777" w:rsidR="005B679B" w:rsidRPr="005B679B" w:rsidRDefault="005B679B" w:rsidP="005B679B">
            <w:pPr>
              <w:tabs>
                <w:tab w:val="left" w:pos="1091"/>
              </w:tabs>
              <w:spacing w:after="0"/>
              <w:jc w:val="center"/>
              <w:rPr>
                <w:b/>
                <w:bCs/>
                <w:sz w:val="20"/>
                <w:szCs w:val="20"/>
              </w:rPr>
            </w:pPr>
            <w:r w:rsidRPr="005B679B">
              <w:rPr>
                <w:b/>
                <w:bCs/>
                <w:sz w:val="20"/>
                <w:szCs w:val="20"/>
              </w:rPr>
              <w:t>Compatibil</w:t>
            </w:r>
          </w:p>
        </w:tc>
        <w:tc>
          <w:tcPr>
            <w:tcW w:w="790" w:type="pct"/>
            <w:shd w:val="clear" w:color="auto" w:fill="auto"/>
            <w:vAlign w:val="center"/>
          </w:tcPr>
          <w:p w14:paraId="093C2D49" w14:textId="1FA64B84" w:rsidR="005B679B" w:rsidRPr="005B679B" w:rsidRDefault="00E45CA5" w:rsidP="005B679B">
            <w:pPr>
              <w:tabs>
                <w:tab w:val="left" w:pos="1091"/>
              </w:tabs>
              <w:spacing w:after="0"/>
              <w:jc w:val="center"/>
              <w:rPr>
                <w:sz w:val="20"/>
                <w:szCs w:val="20"/>
              </w:rPr>
            </w:pPr>
            <w:r w:rsidRPr="00E45CA5">
              <w:rPr>
                <w:sz w:val="20"/>
                <w:szCs w:val="20"/>
              </w:rPr>
              <w:t>Regulamentul (CE) nr. 2100/94</w:t>
            </w:r>
            <w:r>
              <w:rPr>
                <w:sz w:val="20"/>
                <w:szCs w:val="20"/>
              </w:rPr>
              <w:t xml:space="preserve"> transpus în Legea nr. 39/2008 </w:t>
            </w:r>
            <w:r w:rsidRPr="00E45CA5">
              <w:rPr>
                <w:sz w:val="20"/>
                <w:szCs w:val="20"/>
              </w:rPr>
              <w:t xml:space="preserve">privind </w:t>
            </w:r>
            <w:proofErr w:type="spellStart"/>
            <w:r w:rsidRPr="00E45CA5">
              <w:rPr>
                <w:sz w:val="20"/>
                <w:szCs w:val="20"/>
              </w:rPr>
              <w:t>protecţia</w:t>
            </w:r>
            <w:proofErr w:type="spellEnd"/>
            <w:r w:rsidRPr="00E45CA5">
              <w:rPr>
                <w:sz w:val="20"/>
                <w:szCs w:val="20"/>
              </w:rPr>
              <w:t xml:space="preserve"> soiurilor de plante</w:t>
            </w:r>
          </w:p>
        </w:tc>
      </w:tr>
      <w:tr w:rsidR="005B679B" w:rsidRPr="005B679B" w14:paraId="0F391BD0" w14:textId="77777777" w:rsidTr="0014248B">
        <w:trPr>
          <w:trHeight w:val="113"/>
        </w:trPr>
        <w:tc>
          <w:tcPr>
            <w:tcW w:w="1710" w:type="pct"/>
            <w:gridSpan w:val="3"/>
            <w:shd w:val="clear" w:color="auto" w:fill="auto"/>
          </w:tcPr>
          <w:p w14:paraId="3257B0A5" w14:textId="77777777" w:rsidR="005B679B" w:rsidRPr="005B679B" w:rsidRDefault="005B679B" w:rsidP="005B679B">
            <w:pPr>
              <w:tabs>
                <w:tab w:val="left" w:pos="1091"/>
              </w:tabs>
              <w:spacing w:after="0"/>
              <w:rPr>
                <w:sz w:val="20"/>
                <w:szCs w:val="20"/>
              </w:rPr>
            </w:pPr>
            <w:r w:rsidRPr="005B679B">
              <w:rPr>
                <w:sz w:val="20"/>
                <w:szCs w:val="20"/>
              </w:rPr>
              <w:t>Articolul 10</w:t>
            </w:r>
          </w:p>
          <w:p w14:paraId="69207E75" w14:textId="77777777" w:rsidR="005B679B" w:rsidRPr="005B679B" w:rsidRDefault="005B679B" w:rsidP="005B679B">
            <w:pPr>
              <w:tabs>
                <w:tab w:val="left" w:pos="1091"/>
              </w:tabs>
              <w:spacing w:after="0"/>
              <w:rPr>
                <w:sz w:val="20"/>
                <w:szCs w:val="20"/>
              </w:rPr>
            </w:pPr>
            <w:r w:rsidRPr="005B679B">
              <w:rPr>
                <w:sz w:val="20"/>
                <w:szCs w:val="20"/>
              </w:rPr>
              <w:t>(1) Orice solicitare sau retragere a solicitării de admitere a unui soi, orice înscriere într-un catalog de soiuri, precum și diversele modificări ale acestuia sunt notificate imediat celorlalte state membre și Comisiei.</w:t>
            </w:r>
          </w:p>
        </w:tc>
        <w:tc>
          <w:tcPr>
            <w:tcW w:w="1512" w:type="pct"/>
            <w:shd w:val="clear" w:color="auto" w:fill="auto"/>
            <w:vAlign w:val="center"/>
          </w:tcPr>
          <w:p w14:paraId="1EA04A83" w14:textId="77777777" w:rsidR="005B679B" w:rsidRPr="005B679B" w:rsidRDefault="005B679B" w:rsidP="005B679B">
            <w:pPr>
              <w:tabs>
                <w:tab w:val="left" w:pos="1091"/>
              </w:tabs>
              <w:spacing w:after="0"/>
              <w:jc w:val="center"/>
              <w:rPr>
                <w:sz w:val="20"/>
                <w:szCs w:val="20"/>
              </w:rPr>
            </w:pPr>
          </w:p>
        </w:tc>
        <w:tc>
          <w:tcPr>
            <w:tcW w:w="988" w:type="pct"/>
            <w:shd w:val="clear" w:color="auto" w:fill="auto"/>
            <w:vAlign w:val="center"/>
          </w:tcPr>
          <w:p w14:paraId="06574EAC" w14:textId="6F4DF3AB" w:rsidR="005B679B" w:rsidRPr="005B679B" w:rsidRDefault="005F37C0" w:rsidP="005B679B">
            <w:pPr>
              <w:tabs>
                <w:tab w:val="left" w:pos="1091"/>
              </w:tabs>
              <w:spacing w:after="0"/>
              <w:jc w:val="center"/>
              <w:rPr>
                <w:b/>
                <w:bCs/>
                <w:sz w:val="20"/>
                <w:szCs w:val="20"/>
              </w:rPr>
            </w:pPr>
            <w:r w:rsidRPr="005F37C0">
              <w:rPr>
                <w:b/>
                <w:bCs/>
                <w:sz w:val="20"/>
                <w:szCs w:val="20"/>
              </w:rPr>
              <w:t>Norme UE neaplicabile</w:t>
            </w:r>
          </w:p>
        </w:tc>
        <w:tc>
          <w:tcPr>
            <w:tcW w:w="790" w:type="pct"/>
            <w:shd w:val="clear" w:color="auto" w:fill="auto"/>
            <w:vAlign w:val="center"/>
          </w:tcPr>
          <w:p w14:paraId="4F49A1C8" w14:textId="44C096BD" w:rsidR="005B679B" w:rsidRPr="005B679B" w:rsidRDefault="005B679B" w:rsidP="005B679B">
            <w:pPr>
              <w:tabs>
                <w:tab w:val="left" w:pos="1091"/>
              </w:tabs>
              <w:spacing w:after="0"/>
              <w:jc w:val="center"/>
              <w:rPr>
                <w:sz w:val="20"/>
                <w:szCs w:val="20"/>
              </w:rPr>
            </w:pPr>
          </w:p>
        </w:tc>
      </w:tr>
      <w:tr w:rsidR="005B679B" w:rsidRPr="005B679B" w14:paraId="442ECABF" w14:textId="77777777" w:rsidTr="0014248B">
        <w:trPr>
          <w:trHeight w:val="113"/>
        </w:trPr>
        <w:tc>
          <w:tcPr>
            <w:tcW w:w="1710" w:type="pct"/>
            <w:gridSpan w:val="3"/>
            <w:shd w:val="clear" w:color="auto" w:fill="auto"/>
          </w:tcPr>
          <w:p w14:paraId="1CECBF46" w14:textId="77777777" w:rsidR="005B679B" w:rsidRPr="005B679B" w:rsidRDefault="005B679B" w:rsidP="005B679B">
            <w:pPr>
              <w:tabs>
                <w:tab w:val="left" w:pos="1091"/>
              </w:tabs>
              <w:spacing w:after="0"/>
              <w:rPr>
                <w:sz w:val="20"/>
                <w:szCs w:val="20"/>
              </w:rPr>
            </w:pPr>
            <w:r w:rsidRPr="005B679B">
              <w:rPr>
                <w:sz w:val="20"/>
                <w:szCs w:val="20"/>
              </w:rPr>
              <w:t xml:space="preserve">(2) Statele membre comunică celorlalte state membre și Comisiei, pentru fiecare soi nou admis, o scurtă descriere a celor mai importante caracteristici privind utilizarea acestuia. Această dispoziție nu se aplică în cazul soiurilor (linii </w:t>
            </w:r>
            <w:proofErr w:type="spellStart"/>
            <w:r w:rsidRPr="005B679B">
              <w:rPr>
                <w:sz w:val="20"/>
                <w:szCs w:val="20"/>
              </w:rPr>
              <w:t>consangvinizate</w:t>
            </w:r>
            <w:proofErr w:type="spellEnd"/>
            <w:r w:rsidRPr="005B679B">
              <w:rPr>
                <w:sz w:val="20"/>
                <w:szCs w:val="20"/>
              </w:rPr>
              <w:t>, hibrizi) destinate exclusiv utilizării ca componente pentru soiuri finale. La cerere, statele membre comunică și caracteristicile care permit distingerea soiului de alte soiuri similare.</w:t>
            </w:r>
          </w:p>
        </w:tc>
        <w:tc>
          <w:tcPr>
            <w:tcW w:w="1512" w:type="pct"/>
            <w:shd w:val="clear" w:color="auto" w:fill="auto"/>
            <w:vAlign w:val="center"/>
          </w:tcPr>
          <w:p w14:paraId="4172A98F" w14:textId="77777777" w:rsidR="005B679B" w:rsidRPr="005B679B" w:rsidRDefault="005B679B" w:rsidP="005B679B">
            <w:pPr>
              <w:tabs>
                <w:tab w:val="left" w:pos="1091"/>
              </w:tabs>
              <w:spacing w:after="0"/>
              <w:jc w:val="center"/>
              <w:rPr>
                <w:sz w:val="20"/>
                <w:szCs w:val="20"/>
              </w:rPr>
            </w:pPr>
          </w:p>
        </w:tc>
        <w:tc>
          <w:tcPr>
            <w:tcW w:w="988" w:type="pct"/>
            <w:shd w:val="clear" w:color="auto" w:fill="auto"/>
            <w:vAlign w:val="center"/>
          </w:tcPr>
          <w:p w14:paraId="66DFB793" w14:textId="4A51D831" w:rsidR="005B679B" w:rsidRPr="005B679B" w:rsidRDefault="006E64B1" w:rsidP="005B679B">
            <w:pPr>
              <w:tabs>
                <w:tab w:val="left" w:pos="1091"/>
              </w:tabs>
              <w:spacing w:after="0"/>
              <w:jc w:val="center"/>
              <w:rPr>
                <w:b/>
                <w:bCs/>
                <w:sz w:val="20"/>
                <w:szCs w:val="20"/>
              </w:rPr>
            </w:pPr>
            <w:r w:rsidRPr="006E64B1">
              <w:rPr>
                <w:b/>
                <w:bCs/>
                <w:sz w:val="20"/>
                <w:szCs w:val="20"/>
              </w:rPr>
              <w:t>Parțial compatibil</w:t>
            </w:r>
          </w:p>
        </w:tc>
        <w:tc>
          <w:tcPr>
            <w:tcW w:w="790" w:type="pct"/>
            <w:shd w:val="clear" w:color="auto" w:fill="auto"/>
            <w:vAlign w:val="center"/>
          </w:tcPr>
          <w:p w14:paraId="2255E9BC" w14:textId="6E75560D" w:rsidR="005B679B" w:rsidRPr="005B679B" w:rsidRDefault="006E64B1" w:rsidP="006E64B1">
            <w:pPr>
              <w:tabs>
                <w:tab w:val="left" w:pos="1091"/>
              </w:tabs>
              <w:spacing w:after="0"/>
              <w:jc w:val="center"/>
              <w:rPr>
                <w:sz w:val="20"/>
                <w:szCs w:val="20"/>
              </w:rPr>
            </w:pPr>
            <w:r>
              <w:rPr>
                <w:sz w:val="20"/>
                <w:szCs w:val="20"/>
              </w:rPr>
              <w:t>Transpus prin pct.44</w:t>
            </w:r>
            <w:r w:rsidRPr="006E64B1">
              <w:rPr>
                <w:sz w:val="20"/>
                <w:szCs w:val="20"/>
              </w:rPr>
              <w:t xml:space="preserve"> din Hotărârii Guvernului nr. 43/2013</w:t>
            </w:r>
          </w:p>
        </w:tc>
      </w:tr>
      <w:tr w:rsidR="005B679B" w:rsidRPr="005B679B" w14:paraId="59EAE83B" w14:textId="77777777" w:rsidTr="0014248B">
        <w:trPr>
          <w:trHeight w:val="113"/>
        </w:trPr>
        <w:tc>
          <w:tcPr>
            <w:tcW w:w="1710" w:type="pct"/>
            <w:gridSpan w:val="3"/>
            <w:shd w:val="clear" w:color="auto" w:fill="auto"/>
          </w:tcPr>
          <w:p w14:paraId="5224E68A" w14:textId="77777777" w:rsidR="005B679B" w:rsidRPr="005B679B" w:rsidRDefault="005B679B" w:rsidP="005B679B">
            <w:pPr>
              <w:tabs>
                <w:tab w:val="left" w:pos="1091"/>
              </w:tabs>
              <w:spacing w:after="0"/>
              <w:rPr>
                <w:sz w:val="20"/>
                <w:szCs w:val="20"/>
              </w:rPr>
            </w:pPr>
            <w:r w:rsidRPr="005B679B">
              <w:rPr>
                <w:sz w:val="20"/>
                <w:szCs w:val="20"/>
              </w:rPr>
              <w:t>(3) Fiecare stat membru pune la dispoziția celorlalte state membre și a Comisiei dosarele menționate la articolul 9 alineatul (4) privind soiurile care au fost admise sau a căror admitere a fost anulată. Informațiile reciproce cu privire la aceste dosare sunt confidențiale.</w:t>
            </w:r>
          </w:p>
        </w:tc>
        <w:tc>
          <w:tcPr>
            <w:tcW w:w="1512" w:type="pct"/>
            <w:shd w:val="clear" w:color="auto" w:fill="auto"/>
            <w:vAlign w:val="center"/>
          </w:tcPr>
          <w:p w14:paraId="6CAD1E36" w14:textId="77777777" w:rsidR="005B679B" w:rsidRPr="005B679B" w:rsidRDefault="005B679B" w:rsidP="005B679B">
            <w:pPr>
              <w:tabs>
                <w:tab w:val="left" w:pos="1091"/>
              </w:tabs>
              <w:spacing w:after="0"/>
              <w:jc w:val="center"/>
              <w:rPr>
                <w:sz w:val="20"/>
                <w:szCs w:val="20"/>
              </w:rPr>
            </w:pPr>
          </w:p>
        </w:tc>
        <w:tc>
          <w:tcPr>
            <w:tcW w:w="988" w:type="pct"/>
            <w:shd w:val="clear" w:color="auto" w:fill="auto"/>
            <w:vAlign w:val="center"/>
          </w:tcPr>
          <w:p w14:paraId="486CF4E7" w14:textId="430D4089" w:rsidR="005B679B" w:rsidRPr="005B679B" w:rsidRDefault="006E64B1" w:rsidP="005B679B">
            <w:pPr>
              <w:tabs>
                <w:tab w:val="left" w:pos="1091"/>
              </w:tabs>
              <w:spacing w:after="0"/>
              <w:jc w:val="center"/>
              <w:rPr>
                <w:b/>
                <w:bCs/>
                <w:sz w:val="20"/>
                <w:szCs w:val="20"/>
              </w:rPr>
            </w:pPr>
            <w:r w:rsidRPr="006E64B1">
              <w:rPr>
                <w:b/>
                <w:bCs/>
                <w:sz w:val="20"/>
                <w:szCs w:val="20"/>
              </w:rPr>
              <w:t>Parțial compatibil</w:t>
            </w:r>
          </w:p>
        </w:tc>
        <w:tc>
          <w:tcPr>
            <w:tcW w:w="790" w:type="pct"/>
            <w:shd w:val="clear" w:color="auto" w:fill="auto"/>
            <w:vAlign w:val="center"/>
          </w:tcPr>
          <w:p w14:paraId="61BEA7C4" w14:textId="063D46B9" w:rsidR="005B679B" w:rsidRPr="005B679B" w:rsidRDefault="006E64B1" w:rsidP="006E64B1">
            <w:pPr>
              <w:tabs>
                <w:tab w:val="left" w:pos="1091"/>
              </w:tabs>
              <w:spacing w:after="0"/>
              <w:jc w:val="center"/>
              <w:rPr>
                <w:sz w:val="20"/>
                <w:szCs w:val="20"/>
              </w:rPr>
            </w:pPr>
            <w:r>
              <w:rPr>
                <w:sz w:val="20"/>
                <w:szCs w:val="20"/>
              </w:rPr>
              <w:t>Transpus prin pct.42</w:t>
            </w:r>
            <w:r w:rsidRPr="006E64B1">
              <w:rPr>
                <w:sz w:val="20"/>
                <w:szCs w:val="20"/>
              </w:rPr>
              <w:t xml:space="preserve"> din Hotărârii Guvernului nr. 43/2013</w:t>
            </w:r>
          </w:p>
        </w:tc>
      </w:tr>
      <w:tr w:rsidR="005B679B" w:rsidRPr="005B679B" w14:paraId="3B3A6BF3" w14:textId="77777777" w:rsidTr="0014248B">
        <w:trPr>
          <w:trHeight w:val="113"/>
        </w:trPr>
        <w:tc>
          <w:tcPr>
            <w:tcW w:w="1710" w:type="pct"/>
            <w:gridSpan w:val="3"/>
            <w:shd w:val="clear" w:color="auto" w:fill="auto"/>
          </w:tcPr>
          <w:p w14:paraId="23DC0E8E" w14:textId="77777777" w:rsidR="005B679B" w:rsidRPr="005B679B" w:rsidRDefault="005B679B" w:rsidP="005B679B">
            <w:pPr>
              <w:tabs>
                <w:tab w:val="left" w:pos="1091"/>
              </w:tabs>
              <w:spacing w:after="0"/>
              <w:rPr>
                <w:sz w:val="20"/>
                <w:szCs w:val="20"/>
              </w:rPr>
            </w:pPr>
            <w:r w:rsidRPr="005B679B">
              <w:rPr>
                <w:sz w:val="20"/>
                <w:szCs w:val="20"/>
              </w:rPr>
              <w:lastRenderedPageBreak/>
              <w:t>(4) Statele membre se asigură că dosarele de admitere sunt puse, pentru uz personal și exclusiv, la dispoziția oricărei persoane care a dovedit un interes justificat în acest sens. Aceste dispoziții nu se aplică în cazul în care, în temeiul articolului 7 alineatul (3), datele trebuie să rămână confidențiale.</w:t>
            </w:r>
          </w:p>
        </w:tc>
        <w:tc>
          <w:tcPr>
            <w:tcW w:w="1512" w:type="pct"/>
            <w:shd w:val="clear" w:color="auto" w:fill="auto"/>
            <w:vAlign w:val="center"/>
          </w:tcPr>
          <w:p w14:paraId="4C271F5F" w14:textId="77777777" w:rsidR="005B679B" w:rsidRPr="005B679B" w:rsidRDefault="005B679B" w:rsidP="005B679B">
            <w:pPr>
              <w:tabs>
                <w:tab w:val="left" w:pos="1091"/>
              </w:tabs>
              <w:spacing w:after="0"/>
              <w:jc w:val="center"/>
              <w:rPr>
                <w:sz w:val="20"/>
                <w:szCs w:val="20"/>
              </w:rPr>
            </w:pPr>
          </w:p>
        </w:tc>
        <w:tc>
          <w:tcPr>
            <w:tcW w:w="988" w:type="pct"/>
            <w:shd w:val="clear" w:color="auto" w:fill="auto"/>
            <w:vAlign w:val="center"/>
          </w:tcPr>
          <w:p w14:paraId="13EB6BC9" w14:textId="0D1A9370" w:rsidR="005B679B" w:rsidRPr="005B679B" w:rsidRDefault="005F37C0" w:rsidP="005B679B">
            <w:pPr>
              <w:tabs>
                <w:tab w:val="left" w:pos="1091"/>
              </w:tabs>
              <w:spacing w:after="0"/>
              <w:jc w:val="center"/>
              <w:rPr>
                <w:b/>
                <w:bCs/>
                <w:sz w:val="20"/>
                <w:szCs w:val="20"/>
              </w:rPr>
            </w:pPr>
            <w:r w:rsidRPr="005F37C0">
              <w:rPr>
                <w:b/>
                <w:bCs/>
                <w:sz w:val="20"/>
                <w:szCs w:val="20"/>
              </w:rPr>
              <w:t>Norme UE neaplicabile</w:t>
            </w:r>
          </w:p>
        </w:tc>
        <w:tc>
          <w:tcPr>
            <w:tcW w:w="790" w:type="pct"/>
            <w:shd w:val="clear" w:color="auto" w:fill="auto"/>
            <w:vAlign w:val="center"/>
          </w:tcPr>
          <w:p w14:paraId="1E64E7A5" w14:textId="0847B223" w:rsidR="005B679B" w:rsidRPr="005B679B" w:rsidRDefault="005B679B" w:rsidP="005B679B">
            <w:pPr>
              <w:tabs>
                <w:tab w:val="left" w:pos="1091"/>
              </w:tabs>
              <w:spacing w:after="0"/>
              <w:jc w:val="center"/>
              <w:rPr>
                <w:sz w:val="20"/>
                <w:szCs w:val="20"/>
              </w:rPr>
            </w:pPr>
          </w:p>
        </w:tc>
      </w:tr>
      <w:tr w:rsidR="005B679B" w:rsidRPr="005B679B" w14:paraId="5C086F7B" w14:textId="77777777" w:rsidTr="0014248B">
        <w:trPr>
          <w:trHeight w:val="113"/>
        </w:trPr>
        <w:tc>
          <w:tcPr>
            <w:tcW w:w="1710" w:type="pct"/>
            <w:gridSpan w:val="3"/>
            <w:shd w:val="clear" w:color="auto" w:fill="auto"/>
          </w:tcPr>
          <w:p w14:paraId="4B4C104F" w14:textId="77777777" w:rsidR="005B679B" w:rsidRPr="005B679B" w:rsidRDefault="005B679B" w:rsidP="005B679B">
            <w:pPr>
              <w:tabs>
                <w:tab w:val="left" w:pos="1091"/>
              </w:tabs>
              <w:spacing w:after="0"/>
              <w:rPr>
                <w:sz w:val="20"/>
                <w:szCs w:val="20"/>
              </w:rPr>
            </w:pPr>
            <w:r w:rsidRPr="005B679B">
              <w:rPr>
                <w:sz w:val="20"/>
                <w:szCs w:val="20"/>
              </w:rPr>
              <w:t>(5) În cazul în care admiterea unui soi este refuzată sau anulată, rezultatele examinărilor sunt puse la dispoziția persoanelor interesate de decizia adoptată.</w:t>
            </w:r>
          </w:p>
        </w:tc>
        <w:tc>
          <w:tcPr>
            <w:tcW w:w="1512" w:type="pct"/>
            <w:shd w:val="clear" w:color="auto" w:fill="auto"/>
            <w:vAlign w:val="center"/>
          </w:tcPr>
          <w:p w14:paraId="401A8808" w14:textId="77777777" w:rsidR="005B679B" w:rsidRPr="005B679B" w:rsidRDefault="005B679B" w:rsidP="005B679B">
            <w:pPr>
              <w:tabs>
                <w:tab w:val="left" w:pos="1091"/>
              </w:tabs>
              <w:spacing w:after="0"/>
              <w:jc w:val="center"/>
              <w:rPr>
                <w:sz w:val="20"/>
                <w:szCs w:val="20"/>
              </w:rPr>
            </w:pPr>
          </w:p>
        </w:tc>
        <w:tc>
          <w:tcPr>
            <w:tcW w:w="988" w:type="pct"/>
            <w:shd w:val="clear" w:color="auto" w:fill="auto"/>
            <w:vAlign w:val="center"/>
          </w:tcPr>
          <w:p w14:paraId="54E172DF" w14:textId="77777777" w:rsidR="005B679B" w:rsidRPr="005B679B" w:rsidRDefault="005B679B" w:rsidP="005B679B">
            <w:pPr>
              <w:tabs>
                <w:tab w:val="left" w:pos="1091"/>
              </w:tabs>
              <w:spacing w:after="0"/>
              <w:jc w:val="center"/>
              <w:rPr>
                <w:b/>
                <w:bCs/>
                <w:sz w:val="20"/>
                <w:szCs w:val="20"/>
              </w:rPr>
            </w:pPr>
            <w:r w:rsidRPr="005B679B">
              <w:rPr>
                <w:b/>
                <w:bCs/>
                <w:sz w:val="20"/>
                <w:szCs w:val="20"/>
              </w:rPr>
              <w:t>Compatibil</w:t>
            </w:r>
          </w:p>
        </w:tc>
        <w:tc>
          <w:tcPr>
            <w:tcW w:w="790" w:type="pct"/>
            <w:shd w:val="clear" w:color="auto" w:fill="auto"/>
            <w:vAlign w:val="center"/>
          </w:tcPr>
          <w:p w14:paraId="7EAAE292" w14:textId="162C8395" w:rsidR="005B679B" w:rsidRPr="005B679B" w:rsidRDefault="005F37C0" w:rsidP="005B679B">
            <w:pPr>
              <w:tabs>
                <w:tab w:val="left" w:pos="1091"/>
              </w:tabs>
              <w:spacing w:after="0"/>
              <w:jc w:val="center"/>
              <w:rPr>
                <w:sz w:val="20"/>
                <w:szCs w:val="20"/>
              </w:rPr>
            </w:pPr>
            <w:r w:rsidRPr="005F37C0">
              <w:rPr>
                <w:sz w:val="20"/>
                <w:szCs w:val="20"/>
              </w:rPr>
              <w:t>Transpus prin pct.49 din Hotărârii Guvernului nr. 43/2013</w:t>
            </w:r>
          </w:p>
        </w:tc>
      </w:tr>
      <w:tr w:rsidR="005B679B" w:rsidRPr="005B679B" w14:paraId="77FA69B0" w14:textId="77777777" w:rsidTr="0014248B">
        <w:trPr>
          <w:trHeight w:val="113"/>
        </w:trPr>
        <w:tc>
          <w:tcPr>
            <w:tcW w:w="1710" w:type="pct"/>
            <w:gridSpan w:val="3"/>
            <w:shd w:val="clear" w:color="auto" w:fill="auto"/>
          </w:tcPr>
          <w:p w14:paraId="4AA9A51D" w14:textId="77777777" w:rsidR="005B679B" w:rsidRPr="005B679B" w:rsidRDefault="005B679B" w:rsidP="005B679B">
            <w:pPr>
              <w:tabs>
                <w:tab w:val="left" w:pos="1091"/>
              </w:tabs>
              <w:spacing w:after="0"/>
              <w:rPr>
                <w:sz w:val="20"/>
                <w:szCs w:val="20"/>
              </w:rPr>
            </w:pPr>
            <w:r w:rsidRPr="005B679B">
              <w:rPr>
                <w:sz w:val="20"/>
                <w:szCs w:val="20"/>
              </w:rPr>
              <w:t>Articolul 11</w:t>
            </w:r>
          </w:p>
          <w:p w14:paraId="693024CC" w14:textId="77777777" w:rsidR="005B679B" w:rsidRPr="005B679B" w:rsidRDefault="005B679B" w:rsidP="005B679B">
            <w:pPr>
              <w:tabs>
                <w:tab w:val="left" w:pos="1091"/>
              </w:tabs>
              <w:spacing w:after="0"/>
              <w:rPr>
                <w:sz w:val="20"/>
                <w:szCs w:val="20"/>
              </w:rPr>
            </w:pPr>
            <w:r w:rsidRPr="005B679B">
              <w:rPr>
                <w:sz w:val="20"/>
                <w:szCs w:val="20"/>
              </w:rPr>
              <w:t>(1) Statele membre dispun ca soiurile admise să fie menținute prin selecție conservativă.</w:t>
            </w:r>
          </w:p>
        </w:tc>
        <w:tc>
          <w:tcPr>
            <w:tcW w:w="1512" w:type="pct"/>
            <w:shd w:val="clear" w:color="auto" w:fill="auto"/>
          </w:tcPr>
          <w:p w14:paraId="6A980F2B" w14:textId="3A052FDB" w:rsidR="005B679B" w:rsidRPr="005B679B" w:rsidRDefault="005B679B" w:rsidP="005B679B">
            <w:pPr>
              <w:tabs>
                <w:tab w:val="left" w:pos="1091"/>
              </w:tabs>
              <w:spacing w:after="0"/>
              <w:rPr>
                <w:b/>
                <w:bCs/>
                <w:sz w:val="20"/>
                <w:szCs w:val="20"/>
              </w:rPr>
            </w:pPr>
          </w:p>
        </w:tc>
        <w:tc>
          <w:tcPr>
            <w:tcW w:w="988" w:type="pct"/>
            <w:shd w:val="clear" w:color="auto" w:fill="auto"/>
            <w:vAlign w:val="center"/>
          </w:tcPr>
          <w:p w14:paraId="668AE053" w14:textId="77777777" w:rsidR="005B679B" w:rsidRPr="005B679B" w:rsidRDefault="005B679B" w:rsidP="005B679B">
            <w:pPr>
              <w:tabs>
                <w:tab w:val="left" w:pos="1091"/>
              </w:tabs>
              <w:spacing w:after="0"/>
              <w:jc w:val="center"/>
              <w:rPr>
                <w:b/>
                <w:bCs/>
                <w:sz w:val="20"/>
                <w:szCs w:val="20"/>
              </w:rPr>
            </w:pPr>
            <w:r w:rsidRPr="005B679B">
              <w:rPr>
                <w:b/>
                <w:bCs/>
                <w:sz w:val="20"/>
                <w:szCs w:val="20"/>
              </w:rPr>
              <w:t>Compatibil</w:t>
            </w:r>
          </w:p>
        </w:tc>
        <w:tc>
          <w:tcPr>
            <w:tcW w:w="790" w:type="pct"/>
            <w:shd w:val="clear" w:color="auto" w:fill="auto"/>
            <w:vAlign w:val="center"/>
          </w:tcPr>
          <w:p w14:paraId="63BE2C1A" w14:textId="3BB56C36" w:rsidR="005B679B" w:rsidRPr="005B679B" w:rsidRDefault="005F37C0" w:rsidP="005B679B">
            <w:pPr>
              <w:tabs>
                <w:tab w:val="left" w:pos="1091"/>
              </w:tabs>
              <w:spacing w:after="0"/>
              <w:jc w:val="center"/>
              <w:rPr>
                <w:sz w:val="20"/>
                <w:szCs w:val="20"/>
              </w:rPr>
            </w:pPr>
            <w:r w:rsidRPr="005F37C0">
              <w:rPr>
                <w:sz w:val="20"/>
                <w:szCs w:val="20"/>
              </w:rPr>
              <w:t>Transpus prin pct.42</w:t>
            </w:r>
            <w:r>
              <w:rPr>
                <w:sz w:val="20"/>
                <w:szCs w:val="20"/>
                <w:vertAlign w:val="superscript"/>
              </w:rPr>
              <w:t>1</w:t>
            </w:r>
            <w:r w:rsidRPr="005F37C0">
              <w:rPr>
                <w:sz w:val="20"/>
                <w:szCs w:val="20"/>
              </w:rPr>
              <w:t xml:space="preserve"> din Hotărârii Guvernului nr. 43/2013</w:t>
            </w:r>
          </w:p>
        </w:tc>
      </w:tr>
      <w:tr w:rsidR="005B679B" w:rsidRPr="005B679B" w14:paraId="6E67330C" w14:textId="77777777" w:rsidTr="0014248B">
        <w:trPr>
          <w:trHeight w:val="113"/>
        </w:trPr>
        <w:tc>
          <w:tcPr>
            <w:tcW w:w="1710" w:type="pct"/>
            <w:gridSpan w:val="3"/>
            <w:shd w:val="clear" w:color="auto" w:fill="auto"/>
          </w:tcPr>
          <w:p w14:paraId="5CB57BD9" w14:textId="77777777" w:rsidR="005B679B" w:rsidRPr="005B679B" w:rsidRDefault="005B679B" w:rsidP="005B679B">
            <w:pPr>
              <w:tabs>
                <w:tab w:val="left" w:pos="1091"/>
              </w:tabs>
              <w:spacing w:after="0"/>
              <w:rPr>
                <w:sz w:val="20"/>
                <w:szCs w:val="20"/>
              </w:rPr>
            </w:pPr>
            <w:r w:rsidRPr="005B679B">
              <w:rPr>
                <w:sz w:val="20"/>
                <w:szCs w:val="20"/>
              </w:rPr>
              <w:t>(2) Selecția conservativă trebuie să fie întotdeauna controlabilă pe baza înregistrărilor efectuate de către persoana sau persoanele responsabile de soiul respectiv. De asemenea, aceste înregistrări trebuie să cuprindă producția din toate generațiile anterioare semințelor sau materialului săditor de bază.</w:t>
            </w:r>
          </w:p>
        </w:tc>
        <w:tc>
          <w:tcPr>
            <w:tcW w:w="1512" w:type="pct"/>
            <w:shd w:val="clear" w:color="auto" w:fill="auto"/>
          </w:tcPr>
          <w:p w14:paraId="43693F91" w14:textId="3D5041DF" w:rsidR="005B679B" w:rsidRPr="005B679B" w:rsidRDefault="005B679B" w:rsidP="005B679B">
            <w:pPr>
              <w:tabs>
                <w:tab w:val="left" w:pos="1091"/>
              </w:tabs>
              <w:spacing w:after="0"/>
              <w:rPr>
                <w:sz w:val="20"/>
                <w:szCs w:val="20"/>
              </w:rPr>
            </w:pPr>
          </w:p>
        </w:tc>
        <w:tc>
          <w:tcPr>
            <w:tcW w:w="988" w:type="pct"/>
            <w:shd w:val="clear" w:color="auto" w:fill="auto"/>
            <w:vAlign w:val="center"/>
          </w:tcPr>
          <w:p w14:paraId="37B8860D" w14:textId="77777777" w:rsidR="005B679B" w:rsidRPr="005B679B" w:rsidRDefault="005B679B" w:rsidP="005B679B">
            <w:pPr>
              <w:tabs>
                <w:tab w:val="left" w:pos="1091"/>
              </w:tabs>
              <w:spacing w:after="0"/>
              <w:jc w:val="center"/>
              <w:rPr>
                <w:b/>
                <w:bCs/>
                <w:sz w:val="20"/>
                <w:szCs w:val="20"/>
              </w:rPr>
            </w:pPr>
            <w:r w:rsidRPr="005B679B">
              <w:rPr>
                <w:b/>
                <w:bCs/>
                <w:sz w:val="20"/>
                <w:szCs w:val="20"/>
              </w:rPr>
              <w:t>Compatibil</w:t>
            </w:r>
          </w:p>
        </w:tc>
        <w:tc>
          <w:tcPr>
            <w:tcW w:w="790" w:type="pct"/>
            <w:shd w:val="clear" w:color="auto" w:fill="auto"/>
            <w:vAlign w:val="center"/>
          </w:tcPr>
          <w:p w14:paraId="16BF164E" w14:textId="018521F5" w:rsidR="005B679B" w:rsidRPr="005B679B" w:rsidRDefault="005F37C0" w:rsidP="005B679B">
            <w:pPr>
              <w:tabs>
                <w:tab w:val="left" w:pos="1091"/>
              </w:tabs>
              <w:spacing w:after="0"/>
              <w:jc w:val="center"/>
              <w:rPr>
                <w:sz w:val="20"/>
                <w:szCs w:val="20"/>
              </w:rPr>
            </w:pPr>
            <w:r w:rsidRPr="005F37C0">
              <w:rPr>
                <w:sz w:val="20"/>
                <w:szCs w:val="20"/>
              </w:rPr>
              <w:t>Transpus prin pct.42</w:t>
            </w:r>
            <w:r>
              <w:rPr>
                <w:sz w:val="20"/>
                <w:szCs w:val="20"/>
                <w:vertAlign w:val="superscript"/>
              </w:rPr>
              <w:t>2</w:t>
            </w:r>
            <w:r w:rsidRPr="005F37C0">
              <w:rPr>
                <w:sz w:val="20"/>
                <w:szCs w:val="20"/>
              </w:rPr>
              <w:t xml:space="preserve"> din Hotărârii Guvernului nr. 43/2013</w:t>
            </w:r>
          </w:p>
        </w:tc>
      </w:tr>
      <w:tr w:rsidR="005B679B" w:rsidRPr="005B679B" w14:paraId="11A39B4A" w14:textId="77777777" w:rsidTr="0014248B">
        <w:trPr>
          <w:trHeight w:val="113"/>
        </w:trPr>
        <w:tc>
          <w:tcPr>
            <w:tcW w:w="1710" w:type="pct"/>
            <w:gridSpan w:val="3"/>
            <w:shd w:val="clear" w:color="auto" w:fill="auto"/>
          </w:tcPr>
          <w:p w14:paraId="081E3E10" w14:textId="77777777" w:rsidR="005B679B" w:rsidRPr="005B679B" w:rsidRDefault="005B679B" w:rsidP="005B679B">
            <w:pPr>
              <w:tabs>
                <w:tab w:val="left" w:pos="1091"/>
              </w:tabs>
              <w:spacing w:after="0"/>
              <w:rPr>
                <w:sz w:val="20"/>
                <w:szCs w:val="20"/>
              </w:rPr>
            </w:pPr>
            <w:r w:rsidRPr="005B679B">
              <w:rPr>
                <w:sz w:val="20"/>
                <w:szCs w:val="20"/>
              </w:rPr>
              <w:t>(3) Se pot solicita probe de la autorul soiului. În cazul în care este necesar, acestea pot fi prelevate oficial.</w:t>
            </w:r>
          </w:p>
        </w:tc>
        <w:tc>
          <w:tcPr>
            <w:tcW w:w="1512" w:type="pct"/>
            <w:shd w:val="clear" w:color="auto" w:fill="auto"/>
          </w:tcPr>
          <w:p w14:paraId="20D4C251" w14:textId="4AFBE645" w:rsidR="005B679B" w:rsidRPr="005B679B" w:rsidRDefault="005B679B" w:rsidP="005B679B">
            <w:pPr>
              <w:tabs>
                <w:tab w:val="left" w:pos="1091"/>
              </w:tabs>
              <w:spacing w:after="0"/>
              <w:rPr>
                <w:sz w:val="20"/>
                <w:szCs w:val="20"/>
              </w:rPr>
            </w:pPr>
          </w:p>
        </w:tc>
        <w:tc>
          <w:tcPr>
            <w:tcW w:w="988" w:type="pct"/>
            <w:shd w:val="clear" w:color="auto" w:fill="auto"/>
            <w:vAlign w:val="center"/>
          </w:tcPr>
          <w:p w14:paraId="1D2F7339" w14:textId="77777777" w:rsidR="005B679B" w:rsidRPr="005B679B" w:rsidRDefault="005B679B" w:rsidP="005B679B">
            <w:pPr>
              <w:tabs>
                <w:tab w:val="left" w:pos="1091"/>
              </w:tabs>
              <w:spacing w:after="0"/>
              <w:jc w:val="center"/>
              <w:rPr>
                <w:b/>
                <w:bCs/>
                <w:sz w:val="20"/>
                <w:szCs w:val="20"/>
              </w:rPr>
            </w:pPr>
            <w:r w:rsidRPr="005B679B">
              <w:rPr>
                <w:b/>
                <w:bCs/>
                <w:sz w:val="20"/>
                <w:szCs w:val="20"/>
              </w:rPr>
              <w:t>Compatibil</w:t>
            </w:r>
          </w:p>
        </w:tc>
        <w:tc>
          <w:tcPr>
            <w:tcW w:w="790" w:type="pct"/>
            <w:shd w:val="clear" w:color="auto" w:fill="auto"/>
            <w:vAlign w:val="center"/>
          </w:tcPr>
          <w:p w14:paraId="58080F2B" w14:textId="15DF947D" w:rsidR="005B679B" w:rsidRPr="005B679B" w:rsidRDefault="005F37C0" w:rsidP="005B679B">
            <w:pPr>
              <w:tabs>
                <w:tab w:val="left" w:pos="1091"/>
              </w:tabs>
              <w:spacing w:after="0"/>
              <w:jc w:val="center"/>
              <w:rPr>
                <w:sz w:val="20"/>
                <w:szCs w:val="20"/>
              </w:rPr>
            </w:pPr>
            <w:r w:rsidRPr="005F37C0">
              <w:rPr>
                <w:sz w:val="20"/>
                <w:szCs w:val="20"/>
              </w:rPr>
              <w:t>Transpus prin pct.42</w:t>
            </w:r>
            <w:r>
              <w:rPr>
                <w:sz w:val="20"/>
                <w:szCs w:val="20"/>
                <w:vertAlign w:val="superscript"/>
              </w:rPr>
              <w:t>3</w:t>
            </w:r>
            <w:r w:rsidRPr="005F37C0">
              <w:rPr>
                <w:sz w:val="20"/>
                <w:szCs w:val="20"/>
              </w:rPr>
              <w:t xml:space="preserve"> din Hotărârii Guvernului nr. 43/2013</w:t>
            </w:r>
          </w:p>
        </w:tc>
      </w:tr>
      <w:tr w:rsidR="005B679B" w:rsidRPr="005B679B" w14:paraId="3448350C" w14:textId="77777777" w:rsidTr="0014248B">
        <w:trPr>
          <w:trHeight w:val="113"/>
        </w:trPr>
        <w:tc>
          <w:tcPr>
            <w:tcW w:w="1710" w:type="pct"/>
            <w:gridSpan w:val="3"/>
            <w:shd w:val="clear" w:color="auto" w:fill="auto"/>
          </w:tcPr>
          <w:p w14:paraId="4C893202" w14:textId="77777777" w:rsidR="005B679B" w:rsidRPr="005B679B" w:rsidRDefault="005B679B" w:rsidP="005B679B">
            <w:pPr>
              <w:tabs>
                <w:tab w:val="left" w:pos="1091"/>
              </w:tabs>
              <w:spacing w:after="0"/>
              <w:rPr>
                <w:sz w:val="20"/>
                <w:szCs w:val="20"/>
              </w:rPr>
            </w:pPr>
            <w:r w:rsidRPr="005B679B">
              <w:rPr>
                <w:sz w:val="20"/>
                <w:szCs w:val="20"/>
              </w:rPr>
              <w:t>(4) În cazul în care selecția conservativă are loc într-un stat membru altul decât cel în care soiul a fost admis, statele membre în cauză își acordă asistență administrativă în privința controlului.</w:t>
            </w:r>
          </w:p>
        </w:tc>
        <w:tc>
          <w:tcPr>
            <w:tcW w:w="1512" w:type="pct"/>
            <w:shd w:val="clear" w:color="auto" w:fill="auto"/>
          </w:tcPr>
          <w:p w14:paraId="4650658C" w14:textId="77777777" w:rsidR="005B679B" w:rsidRPr="005B679B" w:rsidRDefault="005B679B" w:rsidP="005B679B">
            <w:pPr>
              <w:tabs>
                <w:tab w:val="left" w:pos="1091"/>
              </w:tabs>
              <w:spacing w:after="0"/>
              <w:rPr>
                <w:sz w:val="20"/>
                <w:szCs w:val="20"/>
              </w:rPr>
            </w:pPr>
          </w:p>
        </w:tc>
        <w:tc>
          <w:tcPr>
            <w:tcW w:w="988" w:type="pct"/>
            <w:shd w:val="clear" w:color="auto" w:fill="auto"/>
            <w:vAlign w:val="center"/>
          </w:tcPr>
          <w:p w14:paraId="15547824" w14:textId="77777777" w:rsidR="005B679B" w:rsidRPr="005B679B" w:rsidRDefault="005B679B" w:rsidP="005B679B">
            <w:pPr>
              <w:tabs>
                <w:tab w:val="left" w:pos="1091"/>
              </w:tabs>
              <w:spacing w:after="0"/>
              <w:jc w:val="center"/>
              <w:rPr>
                <w:b/>
                <w:bCs/>
                <w:sz w:val="20"/>
                <w:szCs w:val="20"/>
              </w:rPr>
            </w:pPr>
            <w:r w:rsidRPr="005B679B">
              <w:rPr>
                <w:b/>
                <w:sz w:val="20"/>
                <w:szCs w:val="20"/>
              </w:rPr>
              <w:t>Norme UE neaplicabile</w:t>
            </w:r>
          </w:p>
        </w:tc>
        <w:tc>
          <w:tcPr>
            <w:tcW w:w="790" w:type="pct"/>
            <w:shd w:val="clear" w:color="auto" w:fill="auto"/>
            <w:vAlign w:val="center"/>
          </w:tcPr>
          <w:p w14:paraId="43AACF35" w14:textId="77777777" w:rsidR="005B679B" w:rsidRPr="005B679B" w:rsidRDefault="005B679B" w:rsidP="005B679B">
            <w:pPr>
              <w:tabs>
                <w:tab w:val="left" w:pos="1091"/>
              </w:tabs>
              <w:spacing w:after="0"/>
              <w:jc w:val="center"/>
              <w:rPr>
                <w:sz w:val="20"/>
                <w:szCs w:val="20"/>
              </w:rPr>
            </w:pPr>
          </w:p>
        </w:tc>
      </w:tr>
      <w:tr w:rsidR="005B679B" w:rsidRPr="005B679B" w14:paraId="01FA5555" w14:textId="77777777" w:rsidTr="0014248B">
        <w:trPr>
          <w:trHeight w:val="113"/>
        </w:trPr>
        <w:tc>
          <w:tcPr>
            <w:tcW w:w="1710" w:type="pct"/>
            <w:gridSpan w:val="3"/>
            <w:shd w:val="clear" w:color="auto" w:fill="auto"/>
          </w:tcPr>
          <w:p w14:paraId="5127E1A7" w14:textId="77777777" w:rsidR="005B679B" w:rsidRPr="005B679B" w:rsidRDefault="005B679B" w:rsidP="005B679B">
            <w:pPr>
              <w:tabs>
                <w:tab w:val="left" w:pos="1091"/>
              </w:tabs>
              <w:spacing w:after="0"/>
              <w:rPr>
                <w:sz w:val="20"/>
                <w:szCs w:val="20"/>
              </w:rPr>
            </w:pPr>
            <w:r w:rsidRPr="005B679B">
              <w:rPr>
                <w:sz w:val="20"/>
                <w:szCs w:val="20"/>
              </w:rPr>
              <w:t>Articolul 12</w:t>
            </w:r>
          </w:p>
          <w:p w14:paraId="0208AAC6" w14:textId="77777777" w:rsidR="005B679B" w:rsidRPr="005B679B" w:rsidRDefault="005B679B" w:rsidP="005B679B">
            <w:pPr>
              <w:tabs>
                <w:tab w:val="left" w:pos="1091"/>
              </w:tabs>
              <w:spacing w:after="0"/>
              <w:rPr>
                <w:sz w:val="20"/>
                <w:szCs w:val="20"/>
              </w:rPr>
            </w:pPr>
            <w:r w:rsidRPr="005B679B">
              <w:rPr>
                <w:sz w:val="20"/>
                <w:szCs w:val="20"/>
              </w:rPr>
              <w:t>(1) Admiterea este valabilă până la sfârșitul celui de-al zecelea an calendaristic care urmează anului admiterii.</w:t>
            </w:r>
          </w:p>
          <w:p w14:paraId="218C1F03" w14:textId="77777777" w:rsidR="005B679B" w:rsidRPr="005B679B" w:rsidRDefault="005B679B" w:rsidP="005B679B">
            <w:pPr>
              <w:tabs>
                <w:tab w:val="left" w:pos="1091"/>
              </w:tabs>
              <w:spacing w:after="0"/>
              <w:rPr>
                <w:sz w:val="20"/>
                <w:szCs w:val="20"/>
              </w:rPr>
            </w:pPr>
            <w:r w:rsidRPr="005B679B">
              <w:rPr>
                <w:sz w:val="20"/>
                <w:szCs w:val="20"/>
              </w:rPr>
              <w:t>Admiterea soiurilor de către autoritățile fostei Republici Democrate Germane înainte de unificarea germană este valabilă până cel târziu la sfârșitul celui de-al zecelea an calendaristic care urmează după înregistrarea acestor soiuri în catalogul soiurilor întocmit de Germania în conformitate cu articolul 3 alineatul (1).</w:t>
            </w:r>
          </w:p>
        </w:tc>
        <w:tc>
          <w:tcPr>
            <w:tcW w:w="1512" w:type="pct"/>
            <w:shd w:val="clear" w:color="auto" w:fill="auto"/>
          </w:tcPr>
          <w:p w14:paraId="4D4F6A08" w14:textId="005DB48B" w:rsidR="005B679B" w:rsidRPr="005B679B" w:rsidRDefault="005B679B" w:rsidP="000B2AD2">
            <w:pPr>
              <w:tabs>
                <w:tab w:val="left" w:pos="1091"/>
              </w:tabs>
              <w:spacing w:after="0"/>
              <w:rPr>
                <w:sz w:val="20"/>
                <w:szCs w:val="20"/>
              </w:rPr>
            </w:pPr>
          </w:p>
        </w:tc>
        <w:tc>
          <w:tcPr>
            <w:tcW w:w="988" w:type="pct"/>
            <w:shd w:val="clear" w:color="auto" w:fill="auto"/>
            <w:vAlign w:val="center"/>
          </w:tcPr>
          <w:p w14:paraId="7AA39470" w14:textId="335C4715" w:rsidR="005B679B" w:rsidRPr="005B679B" w:rsidRDefault="000B2AD2" w:rsidP="005B679B">
            <w:pPr>
              <w:tabs>
                <w:tab w:val="left" w:pos="1091"/>
              </w:tabs>
              <w:spacing w:after="0"/>
              <w:jc w:val="center"/>
              <w:rPr>
                <w:b/>
                <w:bCs/>
                <w:sz w:val="20"/>
                <w:szCs w:val="20"/>
              </w:rPr>
            </w:pPr>
            <w:r w:rsidRPr="005B679B">
              <w:rPr>
                <w:b/>
                <w:sz w:val="20"/>
                <w:szCs w:val="20"/>
              </w:rPr>
              <w:t>Norme UE neaplicabile</w:t>
            </w:r>
          </w:p>
        </w:tc>
        <w:tc>
          <w:tcPr>
            <w:tcW w:w="790" w:type="pct"/>
            <w:shd w:val="clear" w:color="auto" w:fill="auto"/>
            <w:vAlign w:val="center"/>
          </w:tcPr>
          <w:p w14:paraId="590B13AD" w14:textId="761FAFCA" w:rsidR="005B679B" w:rsidRPr="005B679B" w:rsidRDefault="005B679B" w:rsidP="005B679B">
            <w:pPr>
              <w:tabs>
                <w:tab w:val="left" w:pos="1091"/>
              </w:tabs>
              <w:spacing w:after="0"/>
              <w:jc w:val="center"/>
              <w:rPr>
                <w:sz w:val="20"/>
                <w:szCs w:val="20"/>
              </w:rPr>
            </w:pPr>
          </w:p>
        </w:tc>
      </w:tr>
      <w:tr w:rsidR="005B679B" w:rsidRPr="005B679B" w14:paraId="497364EA" w14:textId="77777777" w:rsidTr="0014248B">
        <w:trPr>
          <w:trHeight w:val="113"/>
        </w:trPr>
        <w:tc>
          <w:tcPr>
            <w:tcW w:w="1710" w:type="pct"/>
            <w:gridSpan w:val="3"/>
            <w:shd w:val="clear" w:color="auto" w:fill="auto"/>
          </w:tcPr>
          <w:p w14:paraId="6963FABC" w14:textId="77777777" w:rsidR="000B2AD2" w:rsidRDefault="005B679B" w:rsidP="005B679B">
            <w:pPr>
              <w:tabs>
                <w:tab w:val="left" w:pos="1091"/>
              </w:tabs>
              <w:spacing w:after="0"/>
              <w:rPr>
                <w:sz w:val="20"/>
                <w:szCs w:val="20"/>
              </w:rPr>
            </w:pPr>
            <w:r w:rsidRPr="005B679B">
              <w:rPr>
                <w:sz w:val="20"/>
                <w:szCs w:val="20"/>
              </w:rPr>
              <w:t xml:space="preserve">(2) Admiterea unui soi poate fi reînnoită la intervale determinate de timp în cazul în care importanța menținerii sale în cultură justifică acest lucru sau în cazul în care acesta trebuie menținut pentru conservarea resurselor genetice ale plantelor și sub rezerva îndeplinirii în continuare a condițiilor prevăzute pentru </w:t>
            </w:r>
            <w:proofErr w:type="spellStart"/>
            <w:r w:rsidRPr="005B679B">
              <w:rPr>
                <w:sz w:val="20"/>
                <w:szCs w:val="20"/>
              </w:rPr>
              <w:t>distinctivitate</w:t>
            </w:r>
            <w:proofErr w:type="spellEnd"/>
            <w:r w:rsidRPr="005B679B">
              <w:rPr>
                <w:sz w:val="20"/>
                <w:szCs w:val="20"/>
              </w:rPr>
              <w:t xml:space="preserve">, </w:t>
            </w:r>
            <w:r w:rsidRPr="005B679B">
              <w:rPr>
                <w:sz w:val="20"/>
                <w:szCs w:val="20"/>
              </w:rPr>
              <w:lastRenderedPageBreak/>
              <w:t>omogenitate și stabilitate sau a criteriilor stabilite în conformitate cu articolul 20 alineatele (2) și (3). Cu excepția cazului resurselor genetice ale plantelor în sensul articolului 20, cererea de reînnoire se depune cel târziu cu doi ani înainte de expirarea admiterii.</w:t>
            </w:r>
            <w:r w:rsidR="000B2AD2" w:rsidRPr="005B679B">
              <w:rPr>
                <w:sz w:val="20"/>
                <w:szCs w:val="20"/>
              </w:rPr>
              <w:t xml:space="preserve"> </w:t>
            </w:r>
          </w:p>
          <w:p w14:paraId="7BA84703" w14:textId="270EE9B6" w:rsidR="005B679B" w:rsidRPr="005B679B" w:rsidRDefault="000B2AD2" w:rsidP="005B679B">
            <w:pPr>
              <w:tabs>
                <w:tab w:val="left" w:pos="1091"/>
              </w:tabs>
              <w:spacing w:after="0"/>
              <w:rPr>
                <w:sz w:val="20"/>
                <w:szCs w:val="20"/>
              </w:rPr>
            </w:pPr>
            <w:r>
              <w:rPr>
                <w:sz w:val="20"/>
                <w:szCs w:val="20"/>
              </w:rPr>
              <w:t>(</w:t>
            </w:r>
            <w:r w:rsidRPr="005B679B">
              <w:rPr>
                <w:sz w:val="20"/>
                <w:szCs w:val="20"/>
              </w:rPr>
              <w:t>3) Durata unei admiteri trebuie prelungită provizoriu până în momentul luării deciziei cu privire la cererea de prelungire.</w:t>
            </w:r>
          </w:p>
        </w:tc>
        <w:tc>
          <w:tcPr>
            <w:tcW w:w="1512" w:type="pct"/>
            <w:shd w:val="clear" w:color="auto" w:fill="auto"/>
          </w:tcPr>
          <w:p w14:paraId="38FC9E7D" w14:textId="0228AF28" w:rsidR="005B679B" w:rsidRPr="005B679B" w:rsidRDefault="005B679B" w:rsidP="005B679B">
            <w:pPr>
              <w:tabs>
                <w:tab w:val="left" w:pos="1091"/>
              </w:tabs>
              <w:spacing w:after="0"/>
              <w:rPr>
                <w:b/>
                <w:bCs/>
                <w:sz w:val="20"/>
                <w:szCs w:val="20"/>
              </w:rPr>
            </w:pPr>
          </w:p>
        </w:tc>
        <w:tc>
          <w:tcPr>
            <w:tcW w:w="988" w:type="pct"/>
            <w:shd w:val="clear" w:color="auto" w:fill="auto"/>
            <w:vAlign w:val="center"/>
          </w:tcPr>
          <w:p w14:paraId="4E590691" w14:textId="77777777" w:rsidR="005B679B" w:rsidRPr="005B679B" w:rsidRDefault="005B679B" w:rsidP="005B679B">
            <w:pPr>
              <w:tabs>
                <w:tab w:val="left" w:pos="1091"/>
              </w:tabs>
              <w:spacing w:after="0"/>
              <w:jc w:val="center"/>
              <w:rPr>
                <w:b/>
                <w:bCs/>
                <w:sz w:val="20"/>
                <w:szCs w:val="20"/>
              </w:rPr>
            </w:pPr>
            <w:r w:rsidRPr="005B679B">
              <w:rPr>
                <w:b/>
                <w:bCs/>
                <w:sz w:val="20"/>
                <w:szCs w:val="20"/>
              </w:rPr>
              <w:t>Compatibil</w:t>
            </w:r>
          </w:p>
        </w:tc>
        <w:tc>
          <w:tcPr>
            <w:tcW w:w="790" w:type="pct"/>
            <w:shd w:val="clear" w:color="auto" w:fill="auto"/>
            <w:vAlign w:val="center"/>
          </w:tcPr>
          <w:p w14:paraId="4EEAFFE9" w14:textId="2852A155" w:rsidR="005B679B" w:rsidRPr="005B679B" w:rsidRDefault="000B2AD2" w:rsidP="000B2AD2">
            <w:pPr>
              <w:tabs>
                <w:tab w:val="left" w:pos="1091"/>
              </w:tabs>
              <w:spacing w:after="0"/>
              <w:jc w:val="center"/>
              <w:rPr>
                <w:sz w:val="20"/>
                <w:szCs w:val="20"/>
              </w:rPr>
            </w:pPr>
            <w:r w:rsidRPr="000B2AD2">
              <w:rPr>
                <w:sz w:val="20"/>
                <w:szCs w:val="20"/>
              </w:rPr>
              <w:t>Transpus prin pct.</w:t>
            </w:r>
            <w:r>
              <w:rPr>
                <w:sz w:val="20"/>
                <w:szCs w:val="20"/>
              </w:rPr>
              <w:t xml:space="preserve"> 55- 57</w:t>
            </w:r>
            <w:r w:rsidRPr="000B2AD2">
              <w:rPr>
                <w:sz w:val="20"/>
                <w:szCs w:val="20"/>
              </w:rPr>
              <w:t xml:space="preserve"> din Hotărârii Guvernului nr. 43/2013</w:t>
            </w:r>
          </w:p>
        </w:tc>
      </w:tr>
      <w:tr w:rsidR="005B679B" w:rsidRPr="005B679B" w14:paraId="71AFD0EC" w14:textId="77777777" w:rsidTr="0014248B">
        <w:trPr>
          <w:trHeight w:val="113"/>
        </w:trPr>
        <w:tc>
          <w:tcPr>
            <w:tcW w:w="1710" w:type="pct"/>
            <w:gridSpan w:val="3"/>
            <w:shd w:val="clear" w:color="auto" w:fill="auto"/>
          </w:tcPr>
          <w:p w14:paraId="3EDD729A" w14:textId="77777777" w:rsidR="005B679B" w:rsidRPr="005B679B" w:rsidRDefault="005B679B" w:rsidP="005B679B">
            <w:pPr>
              <w:tabs>
                <w:tab w:val="left" w:pos="1091"/>
              </w:tabs>
              <w:spacing w:after="0"/>
              <w:rPr>
                <w:sz w:val="20"/>
                <w:szCs w:val="20"/>
              </w:rPr>
            </w:pPr>
            <w:r w:rsidRPr="005B679B">
              <w:rPr>
                <w:sz w:val="20"/>
                <w:szCs w:val="20"/>
              </w:rPr>
              <w:lastRenderedPageBreak/>
              <w:t>Articolul 13</w:t>
            </w:r>
          </w:p>
          <w:p w14:paraId="50824B32" w14:textId="77777777" w:rsidR="005B679B" w:rsidRPr="005B679B" w:rsidRDefault="005B679B" w:rsidP="005B679B">
            <w:pPr>
              <w:tabs>
                <w:tab w:val="left" w:pos="1091"/>
              </w:tabs>
              <w:spacing w:after="0"/>
              <w:rPr>
                <w:sz w:val="20"/>
                <w:szCs w:val="20"/>
              </w:rPr>
            </w:pPr>
            <w:r w:rsidRPr="005B679B">
              <w:rPr>
                <w:sz w:val="20"/>
                <w:szCs w:val="20"/>
              </w:rPr>
              <w:t xml:space="preserve">(1) Statele membre asigură eliminarea oricăror dubii apărute după admiterea unui soi în ceea ce privește evaluarea </w:t>
            </w:r>
            <w:proofErr w:type="spellStart"/>
            <w:r w:rsidRPr="005B679B">
              <w:rPr>
                <w:sz w:val="20"/>
                <w:szCs w:val="20"/>
              </w:rPr>
              <w:t>distinctivității</w:t>
            </w:r>
            <w:proofErr w:type="spellEnd"/>
            <w:r w:rsidRPr="005B679B">
              <w:rPr>
                <w:sz w:val="20"/>
                <w:szCs w:val="20"/>
              </w:rPr>
              <w:t xml:space="preserve"> sau a denumirii sale în momentul admiterii.</w:t>
            </w:r>
          </w:p>
        </w:tc>
        <w:tc>
          <w:tcPr>
            <w:tcW w:w="1512" w:type="pct"/>
            <w:shd w:val="clear" w:color="auto" w:fill="auto"/>
            <w:vAlign w:val="center"/>
          </w:tcPr>
          <w:p w14:paraId="318BA16B" w14:textId="77777777" w:rsidR="005B679B" w:rsidRPr="005B679B" w:rsidRDefault="005B679B" w:rsidP="005B679B">
            <w:pPr>
              <w:tabs>
                <w:tab w:val="left" w:pos="1091"/>
              </w:tabs>
              <w:spacing w:after="0"/>
              <w:jc w:val="center"/>
              <w:rPr>
                <w:sz w:val="20"/>
                <w:szCs w:val="20"/>
              </w:rPr>
            </w:pPr>
          </w:p>
        </w:tc>
        <w:tc>
          <w:tcPr>
            <w:tcW w:w="988" w:type="pct"/>
            <w:shd w:val="clear" w:color="auto" w:fill="auto"/>
            <w:vAlign w:val="center"/>
          </w:tcPr>
          <w:p w14:paraId="54BC610F" w14:textId="77777777" w:rsidR="005B679B" w:rsidRPr="005B679B" w:rsidRDefault="005B679B" w:rsidP="005B679B">
            <w:pPr>
              <w:tabs>
                <w:tab w:val="left" w:pos="1091"/>
              </w:tabs>
              <w:spacing w:after="0"/>
              <w:jc w:val="center"/>
              <w:rPr>
                <w:b/>
                <w:bCs/>
                <w:sz w:val="20"/>
                <w:szCs w:val="20"/>
              </w:rPr>
            </w:pPr>
            <w:r w:rsidRPr="005B679B">
              <w:rPr>
                <w:b/>
                <w:bCs/>
                <w:sz w:val="20"/>
                <w:szCs w:val="20"/>
              </w:rPr>
              <w:t>Compatibil</w:t>
            </w:r>
          </w:p>
        </w:tc>
        <w:tc>
          <w:tcPr>
            <w:tcW w:w="790" w:type="pct"/>
            <w:shd w:val="clear" w:color="auto" w:fill="auto"/>
            <w:vAlign w:val="center"/>
          </w:tcPr>
          <w:p w14:paraId="282282CE" w14:textId="7FE784FF" w:rsidR="005B679B" w:rsidRPr="005B679B" w:rsidRDefault="000B2AD2" w:rsidP="000B2AD2">
            <w:pPr>
              <w:tabs>
                <w:tab w:val="left" w:pos="1091"/>
              </w:tabs>
              <w:spacing w:after="0"/>
              <w:jc w:val="center"/>
              <w:rPr>
                <w:sz w:val="20"/>
                <w:szCs w:val="20"/>
              </w:rPr>
            </w:pPr>
            <w:r w:rsidRPr="000B2AD2">
              <w:rPr>
                <w:sz w:val="20"/>
                <w:szCs w:val="20"/>
              </w:rPr>
              <w:t xml:space="preserve">Transpus prin pct. </w:t>
            </w:r>
            <w:r>
              <w:rPr>
                <w:sz w:val="20"/>
                <w:szCs w:val="20"/>
              </w:rPr>
              <w:t>13</w:t>
            </w:r>
            <w:r w:rsidRPr="000B2AD2">
              <w:rPr>
                <w:sz w:val="20"/>
                <w:szCs w:val="20"/>
              </w:rPr>
              <w:t xml:space="preserve"> din Hotărârii Guvernului nr. 43/2013</w:t>
            </w:r>
          </w:p>
        </w:tc>
      </w:tr>
      <w:tr w:rsidR="005B679B" w:rsidRPr="005B679B" w14:paraId="212C57B5" w14:textId="77777777" w:rsidTr="0014248B">
        <w:trPr>
          <w:trHeight w:val="113"/>
        </w:trPr>
        <w:tc>
          <w:tcPr>
            <w:tcW w:w="1710" w:type="pct"/>
            <w:gridSpan w:val="3"/>
            <w:shd w:val="clear" w:color="auto" w:fill="auto"/>
          </w:tcPr>
          <w:p w14:paraId="00EEECD1" w14:textId="77777777" w:rsidR="005B679B" w:rsidRPr="005B679B" w:rsidRDefault="005B679B" w:rsidP="005B679B">
            <w:pPr>
              <w:tabs>
                <w:tab w:val="left" w:pos="1091"/>
              </w:tabs>
              <w:spacing w:after="0"/>
              <w:rPr>
                <w:sz w:val="20"/>
                <w:szCs w:val="20"/>
              </w:rPr>
            </w:pPr>
            <w:r w:rsidRPr="005B679B">
              <w:rPr>
                <w:sz w:val="20"/>
                <w:szCs w:val="20"/>
              </w:rPr>
              <w:t xml:space="preserve">(2) În cazul în care se constată, după admiterea unui soi, că, în momentul admiterii, nu era îndeplinită condiția de </w:t>
            </w:r>
            <w:proofErr w:type="spellStart"/>
            <w:r w:rsidRPr="005B679B">
              <w:rPr>
                <w:sz w:val="20"/>
                <w:szCs w:val="20"/>
              </w:rPr>
              <w:t>distinctivitate</w:t>
            </w:r>
            <w:proofErr w:type="spellEnd"/>
            <w:r w:rsidRPr="005B679B">
              <w:rPr>
                <w:sz w:val="20"/>
                <w:szCs w:val="20"/>
              </w:rPr>
              <w:t xml:space="preserve"> în sensul articolului 5, admiterea este înlocuită printr-o altă decizie sau, după caz, de anulare, în conformitate cu prezenta directivă.</w:t>
            </w:r>
          </w:p>
          <w:p w14:paraId="68FFC3CC" w14:textId="77777777" w:rsidR="005B679B" w:rsidRPr="005B679B" w:rsidRDefault="005B679B" w:rsidP="005B679B">
            <w:pPr>
              <w:tabs>
                <w:tab w:val="left" w:pos="1091"/>
              </w:tabs>
              <w:spacing w:after="0"/>
              <w:rPr>
                <w:sz w:val="20"/>
                <w:szCs w:val="20"/>
              </w:rPr>
            </w:pPr>
            <w:r w:rsidRPr="005B679B">
              <w:rPr>
                <w:sz w:val="20"/>
                <w:szCs w:val="20"/>
              </w:rPr>
              <w:t>Prin noua decizie, soiul nu mai este considerat, cu efect din momentul admiterii inițiale, un soi cunoscut în Comunitate în sensul articolului 5 alineatul (1).</w:t>
            </w:r>
          </w:p>
        </w:tc>
        <w:tc>
          <w:tcPr>
            <w:tcW w:w="1512" w:type="pct"/>
            <w:shd w:val="clear" w:color="auto" w:fill="auto"/>
            <w:vAlign w:val="center"/>
          </w:tcPr>
          <w:p w14:paraId="370759F4" w14:textId="77777777" w:rsidR="005B679B" w:rsidRPr="005B679B" w:rsidRDefault="005B679B" w:rsidP="005B679B">
            <w:pPr>
              <w:tabs>
                <w:tab w:val="left" w:pos="1091"/>
              </w:tabs>
              <w:spacing w:after="0"/>
              <w:jc w:val="center"/>
              <w:rPr>
                <w:sz w:val="20"/>
                <w:szCs w:val="20"/>
              </w:rPr>
            </w:pPr>
          </w:p>
        </w:tc>
        <w:tc>
          <w:tcPr>
            <w:tcW w:w="988" w:type="pct"/>
            <w:shd w:val="clear" w:color="auto" w:fill="auto"/>
            <w:vAlign w:val="center"/>
          </w:tcPr>
          <w:p w14:paraId="3012B9B6" w14:textId="77777777" w:rsidR="005B679B" w:rsidRPr="005B679B" w:rsidRDefault="005B679B" w:rsidP="005B679B">
            <w:pPr>
              <w:tabs>
                <w:tab w:val="left" w:pos="1091"/>
              </w:tabs>
              <w:spacing w:after="0"/>
              <w:jc w:val="center"/>
              <w:rPr>
                <w:b/>
                <w:bCs/>
                <w:sz w:val="20"/>
                <w:szCs w:val="20"/>
              </w:rPr>
            </w:pPr>
            <w:r w:rsidRPr="005B679B">
              <w:rPr>
                <w:b/>
                <w:bCs/>
                <w:sz w:val="20"/>
                <w:szCs w:val="20"/>
              </w:rPr>
              <w:t>Compatibil</w:t>
            </w:r>
          </w:p>
        </w:tc>
        <w:tc>
          <w:tcPr>
            <w:tcW w:w="790" w:type="pct"/>
            <w:shd w:val="clear" w:color="auto" w:fill="auto"/>
            <w:vAlign w:val="center"/>
          </w:tcPr>
          <w:p w14:paraId="0481D9DF" w14:textId="6D00EBD0" w:rsidR="005B679B" w:rsidRPr="005B679B" w:rsidRDefault="00563DD7" w:rsidP="00563DD7">
            <w:pPr>
              <w:tabs>
                <w:tab w:val="left" w:pos="1091"/>
              </w:tabs>
              <w:spacing w:after="0"/>
              <w:jc w:val="center"/>
              <w:rPr>
                <w:sz w:val="20"/>
                <w:szCs w:val="20"/>
              </w:rPr>
            </w:pPr>
            <w:r>
              <w:rPr>
                <w:sz w:val="20"/>
                <w:szCs w:val="20"/>
              </w:rPr>
              <w:t>Transpus prin pct. 48</w:t>
            </w:r>
            <w:r w:rsidRPr="00563DD7">
              <w:rPr>
                <w:sz w:val="20"/>
                <w:szCs w:val="20"/>
              </w:rPr>
              <w:t xml:space="preserve"> din Hotărârii Guvernului nr. 43/2013</w:t>
            </w:r>
          </w:p>
        </w:tc>
      </w:tr>
      <w:tr w:rsidR="005B679B" w:rsidRPr="005B679B" w14:paraId="3DDD0F7B" w14:textId="77777777" w:rsidTr="0014248B">
        <w:trPr>
          <w:trHeight w:val="113"/>
        </w:trPr>
        <w:tc>
          <w:tcPr>
            <w:tcW w:w="1710" w:type="pct"/>
            <w:gridSpan w:val="3"/>
            <w:shd w:val="clear" w:color="auto" w:fill="auto"/>
          </w:tcPr>
          <w:p w14:paraId="3D2D6E15" w14:textId="77777777" w:rsidR="005B679B" w:rsidRPr="005B679B" w:rsidRDefault="005B679B" w:rsidP="005B679B">
            <w:pPr>
              <w:tabs>
                <w:tab w:val="left" w:pos="1091"/>
              </w:tabs>
              <w:spacing w:after="0"/>
              <w:rPr>
                <w:sz w:val="20"/>
                <w:szCs w:val="20"/>
              </w:rPr>
            </w:pPr>
            <w:r w:rsidRPr="005B679B">
              <w:rPr>
                <w:sz w:val="20"/>
                <w:szCs w:val="20"/>
              </w:rPr>
              <w:t>(3) În cazul în care se constată, după admiterea unui soi, că denumirea sa în sensul articolului 9 nu era acceptabilă în momentul admiterii, denumirea este adaptată astfel încât să respecte prevederile prezentei directive. Statele membre pot să permită utilizarea temporară, cu titlu suplimentar, a denumirii anterioare. Normele conform cărora se permite utilizarea cu titlu suplimentar a denumirii anterioare pot fi stabilite conform procedurii prevăzute la articolul 23 alineatul (2).</w:t>
            </w:r>
          </w:p>
        </w:tc>
        <w:tc>
          <w:tcPr>
            <w:tcW w:w="1512" w:type="pct"/>
            <w:shd w:val="clear" w:color="auto" w:fill="auto"/>
            <w:vAlign w:val="center"/>
          </w:tcPr>
          <w:p w14:paraId="12E4DF5E" w14:textId="77777777" w:rsidR="005B679B" w:rsidRPr="005B679B" w:rsidRDefault="005B679B" w:rsidP="005B679B">
            <w:pPr>
              <w:tabs>
                <w:tab w:val="left" w:pos="1091"/>
              </w:tabs>
              <w:spacing w:after="0"/>
              <w:jc w:val="center"/>
              <w:rPr>
                <w:sz w:val="20"/>
                <w:szCs w:val="20"/>
              </w:rPr>
            </w:pPr>
          </w:p>
        </w:tc>
        <w:tc>
          <w:tcPr>
            <w:tcW w:w="988" w:type="pct"/>
            <w:shd w:val="clear" w:color="auto" w:fill="auto"/>
            <w:vAlign w:val="center"/>
          </w:tcPr>
          <w:p w14:paraId="7159D46A" w14:textId="77777777" w:rsidR="005B679B" w:rsidRPr="005B679B" w:rsidRDefault="005B679B" w:rsidP="005B679B">
            <w:pPr>
              <w:tabs>
                <w:tab w:val="left" w:pos="1091"/>
              </w:tabs>
              <w:spacing w:after="0"/>
              <w:ind w:firstLine="6"/>
              <w:jc w:val="center"/>
              <w:rPr>
                <w:b/>
                <w:bCs/>
                <w:sz w:val="20"/>
                <w:szCs w:val="20"/>
              </w:rPr>
            </w:pPr>
            <w:r w:rsidRPr="005B679B">
              <w:rPr>
                <w:b/>
                <w:bCs/>
                <w:sz w:val="20"/>
                <w:szCs w:val="20"/>
              </w:rPr>
              <w:t>Compatibil</w:t>
            </w:r>
          </w:p>
        </w:tc>
        <w:tc>
          <w:tcPr>
            <w:tcW w:w="790" w:type="pct"/>
            <w:shd w:val="clear" w:color="auto" w:fill="auto"/>
            <w:vAlign w:val="center"/>
          </w:tcPr>
          <w:p w14:paraId="39635B47" w14:textId="661367C9" w:rsidR="005B679B" w:rsidRPr="005B679B" w:rsidRDefault="005B679B" w:rsidP="005B679B">
            <w:pPr>
              <w:tabs>
                <w:tab w:val="left" w:pos="1091"/>
              </w:tabs>
              <w:spacing w:after="0"/>
              <w:ind w:firstLine="6"/>
              <w:jc w:val="center"/>
              <w:rPr>
                <w:sz w:val="20"/>
                <w:szCs w:val="20"/>
              </w:rPr>
            </w:pPr>
            <w:r w:rsidRPr="005B679B">
              <w:rPr>
                <w:sz w:val="20"/>
                <w:szCs w:val="20"/>
              </w:rPr>
              <w:t xml:space="preserve">Transpus prin pct.53, </w:t>
            </w:r>
            <w:proofErr w:type="spellStart"/>
            <w:r w:rsidRPr="005B679B">
              <w:rPr>
                <w:sz w:val="20"/>
                <w:szCs w:val="20"/>
              </w:rPr>
              <w:t>subpct</w:t>
            </w:r>
            <w:proofErr w:type="spellEnd"/>
            <w:r w:rsidRPr="005B679B">
              <w:rPr>
                <w:sz w:val="20"/>
                <w:szCs w:val="20"/>
              </w:rPr>
              <w:t xml:space="preserve">. 5) </w:t>
            </w:r>
            <w:r w:rsidR="0014248B" w:rsidRPr="0014248B">
              <w:rPr>
                <w:sz w:val="20"/>
                <w:szCs w:val="20"/>
              </w:rPr>
              <w:t>din Hotărârii Guvernului nr. 43/2013</w:t>
            </w:r>
          </w:p>
        </w:tc>
      </w:tr>
      <w:tr w:rsidR="005B679B" w:rsidRPr="005B679B" w14:paraId="77D5E86B" w14:textId="77777777" w:rsidTr="0014248B">
        <w:trPr>
          <w:trHeight w:val="113"/>
        </w:trPr>
        <w:tc>
          <w:tcPr>
            <w:tcW w:w="1710" w:type="pct"/>
            <w:gridSpan w:val="3"/>
            <w:shd w:val="clear" w:color="auto" w:fill="auto"/>
          </w:tcPr>
          <w:p w14:paraId="64A7B3CE" w14:textId="77777777" w:rsidR="005B679B" w:rsidRPr="005B679B" w:rsidRDefault="005B679B" w:rsidP="005B679B">
            <w:pPr>
              <w:tabs>
                <w:tab w:val="left" w:pos="1091"/>
              </w:tabs>
              <w:spacing w:after="0"/>
              <w:rPr>
                <w:sz w:val="20"/>
                <w:szCs w:val="20"/>
              </w:rPr>
            </w:pPr>
            <w:r w:rsidRPr="005B679B">
              <w:rPr>
                <w:sz w:val="20"/>
                <w:szCs w:val="20"/>
              </w:rPr>
              <w:t>(4) Se pot adopta norme de aplicare a alineatelor (1) și (2) conform procedurii prevăzute la articolul 23 alineatul (2).</w:t>
            </w:r>
          </w:p>
        </w:tc>
        <w:tc>
          <w:tcPr>
            <w:tcW w:w="1512" w:type="pct"/>
            <w:shd w:val="clear" w:color="auto" w:fill="auto"/>
            <w:vAlign w:val="center"/>
          </w:tcPr>
          <w:p w14:paraId="10A9C2AD" w14:textId="77777777" w:rsidR="005B679B" w:rsidRPr="005B679B" w:rsidRDefault="005B679B" w:rsidP="005B679B">
            <w:pPr>
              <w:tabs>
                <w:tab w:val="left" w:pos="1091"/>
              </w:tabs>
              <w:spacing w:after="0"/>
              <w:jc w:val="center"/>
              <w:rPr>
                <w:sz w:val="20"/>
                <w:szCs w:val="20"/>
              </w:rPr>
            </w:pPr>
          </w:p>
        </w:tc>
        <w:tc>
          <w:tcPr>
            <w:tcW w:w="988" w:type="pct"/>
            <w:shd w:val="clear" w:color="auto" w:fill="auto"/>
            <w:vAlign w:val="center"/>
          </w:tcPr>
          <w:p w14:paraId="5B9E1C58" w14:textId="24FB078D" w:rsidR="005B679B" w:rsidRPr="005B679B" w:rsidRDefault="00D21754" w:rsidP="005B679B">
            <w:pPr>
              <w:tabs>
                <w:tab w:val="left" w:pos="1091"/>
              </w:tabs>
              <w:spacing w:after="0"/>
              <w:jc w:val="center"/>
              <w:rPr>
                <w:b/>
                <w:bCs/>
                <w:sz w:val="20"/>
                <w:szCs w:val="20"/>
              </w:rPr>
            </w:pPr>
            <w:r w:rsidRPr="00D21754">
              <w:rPr>
                <w:b/>
                <w:bCs/>
                <w:sz w:val="20"/>
                <w:szCs w:val="20"/>
              </w:rPr>
              <w:t>Norme UE neaplicabile</w:t>
            </w:r>
          </w:p>
        </w:tc>
        <w:tc>
          <w:tcPr>
            <w:tcW w:w="790" w:type="pct"/>
            <w:shd w:val="clear" w:color="auto" w:fill="auto"/>
            <w:vAlign w:val="center"/>
          </w:tcPr>
          <w:p w14:paraId="62C0AA17" w14:textId="68CBA80A" w:rsidR="005B679B" w:rsidRPr="005B679B" w:rsidRDefault="005B679B" w:rsidP="005B679B">
            <w:pPr>
              <w:tabs>
                <w:tab w:val="left" w:pos="1091"/>
              </w:tabs>
              <w:spacing w:after="0"/>
              <w:jc w:val="center"/>
              <w:rPr>
                <w:sz w:val="20"/>
                <w:szCs w:val="20"/>
              </w:rPr>
            </w:pPr>
          </w:p>
        </w:tc>
      </w:tr>
      <w:tr w:rsidR="005B679B" w:rsidRPr="005B679B" w14:paraId="4F7FB609" w14:textId="77777777" w:rsidTr="0014248B">
        <w:trPr>
          <w:trHeight w:val="113"/>
        </w:trPr>
        <w:tc>
          <w:tcPr>
            <w:tcW w:w="1710" w:type="pct"/>
            <w:gridSpan w:val="3"/>
            <w:shd w:val="clear" w:color="auto" w:fill="auto"/>
          </w:tcPr>
          <w:p w14:paraId="64425651" w14:textId="77777777" w:rsidR="005B679B" w:rsidRPr="005B679B" w:rsidRDefault="005B679B" w:rsidP="005B679B">
            <w:pPr>
              <w:tabs>
                <w:tab w:val="left" w:pos="1091"/>
              </w:tabs>
              <w:spacing w:after="0"/>
              <w:rPr>
                <w:sz w:val="20"/>
                <w:szCs w:val="20"/>
              </w:rPr>
            </w:pPr>
            <w:r w:rsidRPr="005B679B">
              <w:rPr>
                <w:sz w:val="20"/>
                <w:szCs w:val="20"/>
              </w:rPr>
              <w:t>Articolul 14</w:t>
            </w:r>
          </w:p>
          <w:p w14:paraId="5FF64E98" w14:textId="77777777" w:rsidR="005B679B" w:rsidRPr="005B679B" w:rsidRDefault="005B679B" w:rsidP="005B679B">
            <w:pPr>
              <w:tabs>
                <w:tab w:val="left" w:pos="1091"/>
              </w:tabs>
              <w:spacing w:after="0"/>
              <w:rPr>
                <w:sz w:val="20"/>
                <w:szCs w:val="20"/>
              </w:rPr>
            </w:pPr>
            <w:r w:rsidRPr="005B679B">
              <w:rPr>
                <w:sz w:val="20"/>
                <w:szCs w:val="20"/>
              </w:rPr>
              <w:t>(1) Statele membre asigură anularea admiterii unui soi în cazul în care:</w:t>
            </w:r>
          </w:p>
          <w:p w14:paraId="12042825" w14:textId="77777777" w:rsidR="005B679B" w:rsidRDefault="005B679B" w:rsidP="005B679B">
            <w:pPr>
              <w:tabs>
                <w:tab w:val="left" w:pos="1091"/>
              </w:tabs>
              <w:spacing w:after="0"/>
              <w:rPr>
                <w:sz w:val="20"/>
                <w:szCs w:val="20"/>
              </w:rPr>
            </w:pPr>
            <w:r w:rsidRPr="005B679B">
              <w:rPr>
                <w:sz w:val="20"/>
                <w:szCs w:val="20"/>
              </w:rPr>
              <w:t>(a) se dovedește, în cursul examinărilor, că soiul nu mai este distinct, stabil sau suficient de omogen;</w:t>
            </w:r>
          </w:p>
          <w:p w14:paraId="6997E678" w14:textId="77777777" w:rsidR="0014248B" w:rsidRPr="0014248B" w:rsidRDefault="0014248B" w:rsidP="0014248B">
            <w:pPr>
              <w:tabs>
                <w:tab w:val="left" w:pos="1091"/>
              </w:tabs>
              <w:spacing w:after="0"/>
              <w:rPr>
                <w:sz w:val="20"/>
                <w:szCs w:val="20"/>
              </w:rPr>
            </w:pPr>
            <w:r w:rsidRPr="0014248B">
              <w:rPr>
                <w:sz w:val="20"/>
                <w:szCs w:val="20"/>
              </w:rPr>
              <w:t>(b) persoana sau persoanele responsabile pentru soi solicită acest lucru, cu excepția cazului în care se menține selecția conservativă.</w:t>
            </w:r>
          </w:p>
          <w:p w14:paraId="037173EC" w14:textId="77777777" w:rsidR="0014248B" w:rsidRPr="0014248B" w:rsidRDefault="0014248B" w:rsidP="0014248B">
            <w:pPr>
              <w:tabs>
                <w:tab w:val="left" w:pos="1091"/>
              </w:tabs>
              <w:spacing w:after="0"/>
              <w:rPr>
                <w:sz w:val="20"/>
                <w:szCs w:val="20"/>
              </w:rPr>
            </w:pPr>
            <w:r w:rsidRPr="0014248B">
              <w:rPr>
                <w:sz w:val="20"/>
                <w:szCs w:val="20"/>
              </w:rPr>
              <w:lastRenderedPageBreak/>
              <w:t>(2)   Statele membre pot să anuleze admiterea unui soi în cazul în care:</w:t>
            </w:r>
          </w:p>
          <w:p w14:paraId="3278CE8C" w14:textId="77777777" w:rsidR="0014248B" w:rsidRPr="0014248B" w:rsidRDefault="0014248B" w:rsidP="0014248B">
            <w:pPr>
              <w:tabs>
                <w:tab w:val="left" w:pos="1091"/>
              </w:tabs>
              <w:spacing w:after="0"/>
              <w:rPr>
                <w:sz w:val="20"/>
                <w:szCs w:val="20"/>
              </w:rPr>
            </w:pPr>
            <w:r w:rsidRPr="0014248B">
              <w:rPr>
                <w:sz w:val="20"/>
                <w:szCs w:val="20"/>
              </w:rPr>
              <w:t>(a) nu sunt respectate actele cu putere de lege și actele administrative adoptate pentru aducerea la îndeplinire a prezentei directive;</w:t>
            </w:r>
          </w:p>
          <w:p w14:paraId="209472C7" w14:textId="05319D4F" w:rsidR="0014248B" w:rsidRPr="005B679B" w:rsidRDefault="0014248B" w:rsidP="0014248B">
            <w:pPr>
              <w:tabs>
                <w:tab w:val="left" w:pos="1091"/>
              </w:tabs>
              <w:spacing w:after="0"/>
              <w:rPr>
                <w:sz w:val="20"/>
                <w:szCs w:val="20"/>
              </w:rPr>
            </w:pPr>
            <w:r w:rsidRPr="0014248B">
              <w:rPr>
                <w:sz w:val="20"/>
                <w:szCs w:val="20"/>
              </w:rPr>
              <w:t xml:space="preserve"> (b) în momentul cererii de admitere sau în cursul procedurii de examinare au fost furnizate indicații false sau frauduloase privind datele de care depinde admiterea.</w:t>
            </w:r>
            <w:r w:rsidRPr="005B679B">
              <w:rPr>
                <w:sz w:val="20"/>
                <w:szCs w:val="20"/>
              </w:rPr>
              <w:t xml:space="preserve"> Articolul 15</w:t>
            </w:r>
          </w:p>
          <w:p w14:paraId="07321003" w14:textId="7A03F742" w:rsidR="0014248B" w:rsidRPr="005B679B" w:rsidRDefault="0014248B" w:rsidP="0014248B">
            <w:pPr>
              <w:tabs>
                <w:tab w:val="left" w:pos="1091"/>
              </w:tabs>
              <w:spacing w:after="0"/>
              <w:rPr>
                <w:sz w:val="20"/>
                <w:szCs w:val="20"/>
              </w:rPr>
            </w:pPr>
            <w:r w:rsidRPr="005B679B">
              <w:rPr>
                <w:sz w:val="20"/>
                <w:szCs w:val="20"/>
              </w:rPr>
              <w:t>(1) Statele membre asigură eliminarea din catalogul lor a unui soi în cazul în care admiterea acestuia este anulată sau în cazul în care perioada de valabilitate a admiterii a expirat.</w:t>
            </w:r>
          </w:p>
        </w:tc>
        <w:tc>
          <w:tcPr>
            <w:tcW w:w="1512" w:type="pct"/>
            <w:shd w:val="clear" w:color="auto" w:fill="auto"/>
          </w:tcPr>
          <w:p w14:paraId="269D010F" w14:textId="77777777" w:rsidR="005B679B" w:rsidRPr="005B679B" w:rsidRDefault="005B679B" w:rsidP="005B679B">
            <w:pPr>
              <w:tabs>
                <w:tab w:val="left" w:pos="1091"/>
              </w:tabs>
              <w:spacing w:after="0"/>
              <w:rPr>
                <w:sz w:val="20"/>
                <w:szCs w:val="20"/>
              </w:rPr>
            </w:pPr>
          </w:p>
        </w:tc>
        <w:tc>
          <w:tcPr>
            <w:tcW w:w="988" w:type="pct"/>
            <w:shd w:val="clear" w:color="auto" w:fill="auto"/>
            <w:vAlign w:val="center"/>
          </w:tcPr>
          <w:p w14:paraId="703E583D" w14:textId="77777777" w:rsidR="005B679B" w:rsidRPr="005B679B" w:rsidRDefault="005B679B" w:rsidP="005B679B">
            <w:pPr>
              <w:tabs>
                <w:tab w:val="left" w:pos="1091"/>
              </w:tabs>
              <w:spacing w:after="0"/>
              <w:jc w:val="center"/>
              <w:rPr>
                <w:b/>
                <w:bCs/>
                <w:sz w:val="20"/>
                <w:szCs w:val="20"/>
              </w:rPr>
            </w:pPr>
            <w:r w:rsidRPr="005B679B">
              <w:rPr>
                <w:b/>
                <w:bCs/>
                <w:sz w:val="20"/>
                <w:szCs w:val="20"/>
              </w:rPr>
              <w:t>Compatibil</w:t>
            </w:r>
          </w:p>
        </w:tc>
        <w:tc>
          <w:tcPr>
            <w:tcW w:w="790" w:type="pct"/>
            <w:shd w:val="clear" w:color="auto" w:fill="auto"/>
            <w:vAlign w:val="center"/>
          </w:tcPr>
          <w:p w14:paraId="0B1E30E6" w14:textId="0E2B9B7D" w:rsidR="005B679B" w:rsidRPr="005B679B" w:rsidRDefault="0014248B" w:rsidP="005B679B">
            <w:pPr>
              <w:tabs>
                <w:tab w:val="left" w:pos="1091"/>
              </w:tabs>
              <w:spacing w:after="0"/>
              <w:jc w:val="center"/>
              <w:rPr>
                <w:sz w:val="20"/>
                <w:szCs w:val="20"/>
              </w:rPr>
            </w:pPr>
            <w:r w:rsidRPr="0014248B">
              <w:rPr>
                <w:sz w:val="20"/>
                <w:szCs w:val="20"/>
              </w:rPr>
              <w:t>Transpus pr</w:t>
            </w:r>
            <w:r>
              <w:rPr>
                <w:sz w:val="20"/>
                <w:szCs w:val="20"/>
              </w:rPr>
              <w:t>in pct. 53</w:t>
            </w:r>
            <w:r w:rsidRPr="0014248B">
              <w:rPr>
                <w:sz w:val="20"/>
                <w:szCs w:val="20"/>
              </w:rPr>
              <w:t xml:space="preserve"> din Hotărârii Guvernului nr. 43/2013</w:t>
            </w:r>
          </w:p>
        </w:tc>
      </w:tr>
      <w:tr w:rsidR="005B679B" w:rsidRPr="005B679B" w14:paraId="312FE990" w14:textId="77777777" w:rsidTr="0014248B">
        <w:trPr>
          <w:trHeight w:val="113"/>
        </w:trPr>
        <w:tc>
          <w:tcPr>
            <w:tcW w:w="1710" w:type="pct"/>
            <w:gridSpan w:val="3"/>
            <w:shd w:val="clear" w:color="auto" w:fill="auto"/>
          </w:tcPr>
          <w:p w14:paraId="532B35D7" w14:textId="77777777" w:rsidR="005B679B" w:rsidRPr="005B679B" w:rsidRDefault="005B679B" w:rsidP="005B679B">
            <w:pPr>
              <w:tabs>
                <w:tab w:val="left" w:pos="1091"/>
              </w:tabs>
              <w:spacing w:after="0"/>
              <w:rPr>
                <w:sz w:val="20"/>
                <w:szCs w:val="20"/>
              </w:rPr>
            </w:pPr>
            <w:r w:rsidRPr="005B679B">
              <w:rPr>
                <w:sz w:val="20"/>
                <w:szCs w:val="20"/>
              </w:rPr>
              <w:lastRenderedPageBreak/>
              <w:t>(2) Statele membre pot acorda, pentru teritoriul propriu, un termen pentru certificarea și comercializarea semințelor sau a materialului săditor, până cel târziu la data de 30 iunie a celui de-al treilea an după expirarea admiterii.</w:t>
            </w:r>
          </w:p>
          <w:p w14:paraId="3BBD5B0A" w14:textId="77777777" w:rsidR="005B679B" w:rsidRPr="005B679B" w:rsidRDefault="005B679B" w:rsidP="005B679B">
            <w:pPr>
              <w:tabs>
                <w:tab w:val="left" w:pos="1091"/>
              </w:tabs>
              <w:spacing w:after="0"/>
              <w:rPr>
                <w:sz w:val="20"/>
                <w:szCs w:val="20"/>
              </w:rPr>
            </w:pPr>
            <w:r w:rsidRPr="005B679B">
              <w:rPr>
                <w:sz w:val="20"/>
                <w:szCs w:val="20"/>
              </w:rPr>
              <w:t>Pentru soiurile care au figurat, în temeiul articolului 16 alineatul (1), în catalogul comun al soiurilor menționat la articolul 17, termenul care expiră ultimul dintre termenele de admitere acordate de diferitele state membre în temeiul primului paragraf se aplică comercializării în toate statele membre, în măsura în care semințele sau materialul săditor din soiul în cauză nu au fost supuse nici unei restricții de comercializare în ceea ce privește soiul.</w:t>
            </w:r>
          </w:p>
        </w:tc>
        <w:tc>
          <w:tcPr>
            <w:tcW w:w="1512" w:type="pct"/>
            <w:shd w:val="clear" w:color="auto" w:fill="auto"/>
            <w:vAlign w:val="center"/>
          </w:tcPr>
          <w:p w14:paraId="6A5A519E" w14:textId="77777777" w:rsidR="005B679B" w:rsidRPr="005B679B" w:rsidRDefault="005B679B" w:rsidP="005B679B">
            <w:pPr>
              <w:tabs>
                <w:tab w:val="left" w:pos="1091"/>
              </w:tabs>
              <w:spacing w:after="0"/>
              <w:jc w:val="center"/>
              <w:rPr>
                <w:sz w:val="20"/>
                <w:szCs w:val="20"/>
              </w:rPr>
            </w:pPr>
          </w:p>
        </w:tc>
        <w:tc>
          <w:tcPr>
            <w:tcW w:w="988" w:type="pct"/>
            <w:shd w:val="clear" w:color="auto" w:fill="auto"/>
            <w:vAlign w:val="center"/>
          </w:tcPr>
          <w:p w14:paraId="25FA0313" w14:textId="18F76A8B" w:rsidR="005B679B" w:rsidRPr="005B679B" w:rsidRDefault="0014248B" w:rsidP="005B679B">
            <w:pPr>
              <w:tabs>
                <w:tab w:val="left" w:pos="1091"/>
              </w:tabs>
              <w:spacing w:after="0"/>
              <w:jc w:val="center"/>
              <w:rPr>
                <w:b/>
                <w:bCs/>
                <w:sz w:val="20"/>
                <w:szCs w:val="20"/>
              </w:rPr>
            </w:pPr>
            <w:r>
              <w:rPr>
                <w:b/>
                <w:bCs/>
                <w:sz w:val="20"/>
                <w:szCs w:val="20"/>
              </w:rPr>
              <w:t>Compatibil</w:t>
            </w:r>
          </w:p>
        </w:tc>
        <w:tc>
          <w:tcPr>
            <w:tcW w:w="790" w:type="pct"/>
            <w:shd w:val="clear" w:color="auto" w:fill="auto"/>
            <w:vAlign w:val="center"/>
          </w:tcPr>
          <w:p w14:paraId="655F401E" w14:textId="5C707130" w:rsidR="005B679B" w:rsidRPr="005B679B" w:rsidRDefault="005B679B" w:rsidP="005B679B">
            <w:pPr>
              <w:tabs>
                <w:tab w:val="left" w:pos="1091"/>
              </w:tabs>
              <w:spacing w:after="0"/>
              <w:jc w:val="center"/>
              <w:rPr>
                <w:sz w:val="20"/>
                <w:szCs w:val="20"/>
              </w:rPr>
            </w:pPr>
            <w:r w:rsidRPr="005B679B">
              <w:rPr>
                <w:sz w:val="20"/>
                <w:szCs w:val="20"/>
              </w:rPr>
              <w:t xml:space="preserve">Transpus prin pct.54 </w:t>
            </w:r>
            <w:r w:rsidR="0014248B" w:rsidRPr="0014248B">
              <w:rPr>
                <w:sz w:val="20"/>
                <w:szCs w:val="20"/>
              </w:rPr>
              <w:t>din Hotărârii Guvernului nr. 43/2013</w:t>
            </w:r>
          </w:p>
        </w:tc>
      </w:tr>
      <w:tr w:rsidR="005B679B" w:rsidRPr="005B679B" w14:paraId="267D77B0" w14:textId="77777777" w:rsidTr="0014248B">
        <w:trPr>
          <w:trHeight w:val="113"/>
        </w:trPr>
        <w:tc>
          <w:tcPr>
            <w:tcW w:w="1710" w:type="pct"/>
            <w:gridSpan w:val="3"/>
            <w:shd w:val="clear" w:color="auto" w:fill="auto"/>
          </w:tcPr>
          <w:p w14:paraId="16201541" w14:textId="77777777" w:rsidR="005B679B" w:rsidRPr="005B679B" w:rsidRDefault="005B679B" w:rsidP="005B679B">
            <w:pPr>
              <w:tabs>
                <w:tab w:val="left" w:pos="1091"/>
              </w:tabs>
              <w:spacing w:after="0"/>
              <w:rPr>
                <w:sz w:val="20"/>
                <w:szCs w:val="20"/>
              </w:rPr>
            </w:pPr>
            <w:r w:rsidRPr="005B679B">
              <w:rPr>
                <w:sz w:val="20"/>
                <w:szCs w:val="20"/>
              </w:rPr>
              <w:t>Articolul 16</w:t>
            </w:r>
          </w:p>
          <w:p w14:paraId="67DC0D37" w14:textId="77777777" w:rsidR="005B679B" w:rsidRPr="005B679B" w:rsidRDefault="005B679B" w:rsidP="005B679B">
            <w:pPr>
              <w:tabs>
                <w:tab w:val="left" w:pos="1091"/>
              </w:tabs>
              <w:spacing w:after="0"/>
              <w:rPr>
                <w:sz w:val="20"/>
                <w:szCs w:val="20"/>
              </w:rPr>
            </w:pPr>
            <w:r w:rsidRPr="005B679B">
              <w:rPr>
                <w:sz w:val="20"/>
                <w:szCs w:val="20"/>
              </w:rPr>
              <w:t>(1)   Statele membre se asigură că, de la data publicării prevăzute la articolul 17, semințele din soiurile admise conform dispozițiilor din prezenta directivă sau conform principii corespondente celor din prezenta directivă nu sunt supuse nici unei restricții de comercializare în ceea ce privește soiul.</w:t>
            </w:r>
          </w:p>
          <w:p w14:paraId="7FF3F66E" w14:textId="77777777" w:rsidR="005B679B" w:rsidRPr="005B679B" w:rsidRDefault="005B679B" w:rsidP="005B679B">
            <w:pPr>
              <w:tabs>
                <w:tab w:val="left" w:pos="1091"/>
              </w:tabs>
              <w:spacing w:after="0"/>
              <w:rPr>
                <w:sz w:val="20"/>
                <w:szCs w:val="20"/>
              </w:rPr>
            </w:pPr>
            <w:r w:rsidRPr="005B679B">
              <w:rPr>
                <w:sz w:val="20"/>
                <w:szCs w:val="20"/>
              </w:rPr>
              <w:t xml:space="preserve">(2)   Un stat membru poate fi autorizat, pe baza unei cereri care trebuie soluționată conform procedurii prevăzute la articolul 23 alineatul (2) sau la articolul 23 alineatul (3) pentru soiurile modificate genetic, să interzică, pe teritoriul său sau pe o parte din teritoriul său, utilizarea soiului sau să prevadă condiții adecvate pentru cultivarea </w:t>
            </w:r>
            <w:proofErr w:type="spellStart"/>
            <w:r w:rsidRPr="005B679B">
              <w:rPr>
                <w:sz w:val="20"/>
                <w:szCs w:val="20"/>
              </w:rPr>
              <w:t>soilui</w:t>
            </w:r>
            <w:proofErr w:type="spellEnd"/>
            <w:r w:rsidRPr="005B679B">
              <w:rPr>
                <w:sz w:val="20"/>
                <w:szCs w:val="20"/>
              </w:rPr>
              <w:t xml:space="preserve"> și, în cazul menționat la litera (c), condiții de utilizare pentru produsele obținute din cultivarea acestui soi:</w:t>
            </w:r>
          </w:p>
          <w:p w14:paraId="4D41D90A" w14:textId="77777777" w:rsidR="005B679B" w:rsidRPr="005B679B" w:rsidRDefault="005B679B" w:rsidP="005B679B">
            <w:pPr>
              <w:tabs>
                <w:tab w:val="left" w:pos="1091"/>
              </w:tabs>
              <w:spacing w:after="0"/>
              <w:rPr>
                <w:sz w:val="20"/>
                <w:szCs w:val="20"/>
              </w:rPr>
            </w:pPr>
            <w:r w:rsidRPr="005B679B">
              <w:rPr>
                <w:sz w:val="20"/>
                <w:szCs w:val="20"/>
              </w:rPr>
              <w:lastRenderedPageBreak/>
              <w:t>(a) în cazul în care se face dovada că prin cultivarea acestui soi s-ar putea aduce daune, din punct de vedere fitosanitar, cultivării altor soiuri sau specii;</w:t>
            </w:r>
          </w:p>
          <w:p w14:paraId="723030DE" w14:textId="77777777" w:rsidR="005B679B" w:rsidRPr="005B679B" w:rsidRDefault="005B679B" w:rsidP="005B679B">
            <w:pPr>
              <w:tabs>
                <w:tab w:val="left" w:pos="1091"/>
              </w:tabs>
              <w:spacing w:after="0"/>
              <w:rPr>
                <w:sz w:val="20"/>
                <w:szCs w:val="20"/>
              </w:rPr>
            </w:pPr>
            <w:r w:rsidRPr="005B679B">
              <w:rPr>
                <w:sz w:val="20"/>
                <w:szCs w:val="20"/>
              </w:rPr>
              <w:t>(b) în cazul în care s-a constatat, pe baza unor examinări oficiale în câmp, efectuate în statul membru solicitant, aplicându-se prin analogie dispozițiile articolului 5 alineatul (4), că soiul nu produce, în nici o parte din teritoriul său, rezultate corespunzătoare celor obținute pentru un soi comparabil admis pe teritoriul statului membru în cauză, sau în cazul în care este cunoscut faptul că, prin natura sa sau prin clasa sa de maturitate, soiul nu este apt pentru cultivare în nici o parte din teritoriul său. Cererea trebuie depusă înainte de sfârșitul celui de-al treilea an calendaristic de după anul admiterii;</w:t>
            </w:r>
          </w:p>
          <w:p w14:paraId="3DCFA57E" w14:textId="77777777" w:rsidR="005B679B" w:rsidRPr="005B679B" w:rsidRDefault="005B679B" w:rsidP="005B679B">
            <w:pPr>
              <w:tabs>
                <w:tab w:val="left" w:pos="1091"/>
              </w:tabs>
              <w:spacing w:after="0"/>
              <w:rPr>
                <w:sz w:val="20"/>
                <w:szCs w:val="20"/>
              </w:rPr>
            </w:pPr>
            <w:r w:rsidRPr="005B679B">
              <w:rPr>
                <w:sz w:val="20"/>
                <w:szCs w:val="20"/>
              </w:rPr>
              <w:t>(c) în cazul în care există motive întemeiate, altele decât cele care deja evocate sau care au putut fi evocate în cursul procedurii prevăzute la articolul 10 alineatul (2), pentru a se considera că soiul prezintă un risc pentru sănătatea oamenilor sau pentru mediul înconjurător.</w:t>
            </w:r>
          </w:p>
        </w:tc>
        <w:tc>
          <w:tcPr>
            <w:tcW w:w="1512" w:type="pct"/>
            <w:shd w:val="clear" w:color="auto" w:fill="auto"/>
          </w:tcPr>
          <w:p w14:paraId="620C9B87" w14:textId="77777777" w:rsidR="005B679B" w:rsidRPr="005B679B" w:rsidRDefault="005B679B" w:rsidP="005B679B">
            <w:pPr>
              <w:tabs>
                <w:tab w:val="left" w:pos="1091"/>
              </w:tabs>
              <w:spacing w:after="0"/>
              <w:rPr>
                <w:sz w:val="20"/>
                <w:szCs w:val="20"/>
              </w:rPr>
            </w:pPr>
          </w:p>
        </w:tc>
        <w:tc>
          <w:tcPr>
            <w:tcW w:w="988" w:type="pct"/>
            <w:shd w:val="clear" w:color="auto" w:fill="auto"/>
            <w:vAlign w:val="center"/>
          </w:tcPr>
          <w:p w14:paraId="18B77232" w14:textId="2898989B" w:rsidR="005B679B" w:rsidRPr="005B679B" w:rsidRDefault="0014248B" w:rsidP="005B679B">
            <w:pPr>
              <w:tabs>
                <w:tab w:val="left" w:pos="1091"/>
              </w:tabs>
              <w:spacing w:after="0"/>
              <w:jc w:val="center"/>
              <w:rPr>
                <w:b/>
                <w:bCs/>
                <w:sz w:val="20"/>
                <w:szCs w:val="20"/>
              </w:rPr>
            </w:pPr>
            <w:r w:rsidRPr="0014248B">
              <w:rPr>
                <w:b/>
                <w:bCs/>
                <w:sz w:val="20"/>
                <w:szCs w:val="20"/>
              </w:rPr>
              <w:t>Norme UE neaplicabile</w:t>
            </w:r>
          </w:p>
        </w:tc>
        <w:tc>
          <w:tcPr>
            <w:tcW w:w="790" w:type="pct"/>
            <w:shd w:val="clear" w:color="auto" w:fill="auto"/>
            <w:vAlign w:val="center"/>
          </w:tcPr>
          <w:p w14:paraId="58B6D46F" w14:textId="66BF13DC" w:rsidR="005B679B" w:rsidRPr="005B679B" w:rsidRDefault="005B679B" w:rsidP="005B679B">
            <w:pPr>
              <w:tabs>
                <w:tab w:val="left" w:pos="1091"/>
              </w:tabs>
              <w:spacing w:after="0"/>
              <w:jc w:val="center"/>
              <w:rPr>
                <w:sz w:val="20"/>
                <w:szCs w:val="20"/>
              </w:rPr>
            </w:pPr>
          </w:p>
        </w:tc>
      </w:tr>
      <w:tr w:rsidR="005B679B" w:rsidRPr="005B679B" w14:paraId="142AEACA" w14:textId="77777777" w:rsidTr="0014248B">
        <w:trPr>
          <w:trHeight w:val="113"/>
        </w:trPr>
        <w:tc>
          <w:tcPr>
            <w:tcW w:w="1710" w:type="pct"/>
            <w:gridSpan w:val="3"/>
            <w:shd w:val="clear" w:color="auto" w:fill="auto"/>
          </w:tcPr>
          <w:p w14:paraId="36655083" w14:textId="77777777" w:rsidR="005B679B" w:rsidRPr="005B679B" w:rsidRDefault="005B679B" w:rsidP="005B679B">
            <w:pPr>
              <w:tabs>
                <w:tab w:val="left" w:pos="1091"/>
              </w:tabs>
              <w:spacing w:after="0"/>
              <w:rPr>
                <w:sz w:val="20"/>
                <w:szCs w:val="20"/>
              </w:rPr>
            </w:pPr>
            <w:r w:rsidRPr="005B679B">
              <w:rPr>
                <w:sz w:val="20"/>
                <w:szCs w:val="20"/>
              </w:rPr>
              <w:lastRenderedPageBreak/>
              <w:t>Articolul 17</w:t>
            </w:r>
          </w:p>
          <w:p w14:paraId="67CE868E" w14:textId="77777777" w:rsidR="005B679B" w:rsidRPr="005B679B" w:rsidRDefault="005B679B" w:rsidP="005B679B">
            <w:pPr>
              <w:tabs>
                <w:tab w:val="left" w:pos="1091"/>
              </w:tabs>
              <w:spacing w:after="0"/>
              <w:rPr>
                <w:sz w:val="20"/>
                <w:szCs w:val="20"/>
              </w:rPr>
            </w:pPr>
            <w:r w:rsidRPr="005B679B">
              <w:rPr>
                <w:sz w:val="20"/>
                <w:szCs w:val="20"/>
              </w:rPr>
              <w:t>Conform informațiilor furnizate de statele membre și pe măsură ce acestea îi parvin, Comisia asigură publicarea în Jurnalul Oficial al Comunităților Europene, seria C, sub denumirea de „Catalogul comun al soiurilor de plante agricole”, a tuturor soiurilor ale căror semințe sau al căror material săditor nu sunt supuse, în temeiul articolului 16, nici unei restricții de comercializare în ceea ce privește soiul, precum și a indicațiilor prevăzute la articolul 9 alineatul (1) privind persoana sau persoanele responsabile pentru selecția conservativă. Publicația indică statele membre care au beneficiat de o autorizare în conformitate cu articolul 16 alineatul (2) sau în conformitate cu articolul 18.</w:t>
            </w:r>
          </w:p>
          <w:p w14:paraId="790CF509" w14:textId="77777777" w:rsidR="005B679B" w:rsidRPr="005B679B" w:rsidRDefault="005B679B" w:rsidP="005B679B">
            <w:pPr>
              <w:tabs>
                <w:tab w:val="left" w:pos="1091"/>
              </w:tabs>
              <w:spacing w:after="0"/>
              <w:rPr>
                <w:sz w:val="20"/>
                <w:szCs w:val="20"/>
              </w:rPr>
            </w:pPr>
            <w:r w:rsidRPr="005B679B">
              <w:rPr>
                <w:sz w:val="20"/>
                <w:szCs w:val="20"/>
              </w:rPr>
              <w:t>Publicația cuprinde soiurile pentru care se aplică un termen de comercializare în conformitate cu articolul 15 alineatul (2) al doilea paragraf. Sunt indicate durata acestui termen și, după caz, statele membre pentru care nu se aplică.</w:t>
            </w:r>
          </w:p>
          <w:p w14:paraId="0121595A" w14:textId="77777777" w:rsidR="005B679B" w:rsidRPr="005B679B" w:rsidRDefault="005B679B" w:rsidP="005B679B">
            <w:pPr>
              <w:tabs>
                <w:tab w:val="left" w:pos="1091"/>
              </w:tabs>
              <w:spacing w:after="0"/>
              <w:rPr>
                <w:sz w:val="20"/>
                <w:szCs w:val="20"/>
              </w:rPr>
            </w:pPr>
            <w:r w:rsidRPr="005B679B">
              <w:rPr>
                <w:sz w:val="20"/>
                <w:szCs w:val="20"/>
              </w:rPr>
              <w:t>Notificarea de însoțire publicată indică în mod clar soiurile care au fost modificate genetic.</w:t>
            </w:r>
          </w:p>
        </w:tc>
        <w:tc>
          <w:tcPr>
            <w:tcW w:w="1512" w:type="pct"/>
            <w:shd w:val="clear" w:color="auto" w:fill="auto"/>
            <w:vAlign w:val="center"/>
          </w:tcPr>
          <w:p w14:paraId="776D8791" w14:textId="77777777" w:rsidR="005B679B" w:rsidRPr="005B679B" w:rsidRDefault="005B679B" w:rsidP="005B679B">
            <w:pPr>
              <w:tabs>
                <w:tab w:val="left" w:pos="1091"/>
              </w:tabs>
              <w:spacing w:after="0"/>
              <w:jc w:val="center"/>
              <w:rPr>
                <w:sz w:val="20"/>
                <w:szCs w:val="20"/>
              </w:rPr>
            </w:pPr>
          </w:p>
        </w:tc>
        <w:tc>
          <w:tcPr>
            <w:tcW w:w="988" w:type="pct"/>
            <w:shd w:val="clear" w:color="auto" w:fill="auto"/>
            <w:vAlign w:val="center"/>
          </w:tcPr>
          <w:p w14:paraId="3FF6B685" w14:textId="1B005FF4" w:rsidR="005B679B" w:rsidRPr="005B679B" w:rsidRDefault="0014248B" w:rsidP="005B679B">
            <w:pPr>
              <w:tabs>
                <w:tab w:val="left" w:pos="1091"/>
              </w:tabs>
              <w:spacing w:after="0"/>
              <w:jc w:val="center"/>
              <w:rPr>
                <w:b/>
                <w:bCs/>
                <w:sz w:val="20"/>
                <w:szCs w:val="20"/>
              </w:rPr>
            </w:pPr>
            <w:r w:rsidRPr="0014248B">
              <w:rPr>
                <w:b/>
                <w:bCs/>
                <w:sz w:val="20"/>
                <w:szCs w:val="20"/>
              </w:rPr>
              <w:t>Norme UE neaplicabile</w:t>
            </w:r>
          </w:p>
        </w:tc>
        <w:tc>
          <w:tcPr>
            <w:tcW w:w="790" w:type="pct"/>
            <w:shd w:val="clear" w:color="auto" w:fill="auto"/>
            <w:vAlign w:val="center"/>
          </w:tcPr>
          <w:p w14:paraId="79E3E807" w14:textId="786DC0F8" w:rsidR="005B679B" w:rsidRPr="005B679B" w:rsidRDefault="005B679B" w:rsidP="005B679B">
            <w:pPr>
              <w:tabs>
                <w:tab w:val="left" w:pos="1091"/>
              </w:tabs>
              <w:spacing w:after="0"/>
              <w:jc w:val="center"/>
              <w:rPr>
                <w:sz w:val="20"/>
                <w:szCs w:val="20"/>
              </w:rPr>
            </w:pPr>
          </w:p>
        </w:tc>
      </w:tr>
      <w:tr w:rsidR="005B679B" w:rsidRPr="005B679B" w14:paraId="3EBFE9C5" w14:textId="77777777" w:rsidTr="0014248B">
        <w:trPr>
          <w:trHeight w:val="113"/>
        </w:trPr>
        <w:tc>
          <w:tcPr>
            <w:tcW w:w="1710" w:type="pct"/>
            <w:gridSpan w:val="3"/>
            <w:shd w:val="clear" w:color="auto" w:fill="auto"/>
          </w:tcPr>
          <w:p w14:paraId="4D7E10F6" w14:textId="77777777" w:rsidR="005B679B" w:rsidRPr="005B679B" w:rsidRDefault="005B679B" w:rsidP="005B679B">
            <w:pPr>
              <w:tabs>
                <w:tab w:val="left" w:pos="1091"/>
              </w:tabs>
              <w:spacing w:after="0"/>
              <w:rPr>
                <w:sz w:val="20"/>
                <w:szCs w:val="20"/>
              </w:rPr>
            </w:pPr>
            <w:r w:rsidRPr="005B679B">
              <w:rPr>
                <w:sz w:val="20"/>
                <w:szCs w:val="20"/>
              </w:rPr>
              <w:t>Articolul 18</w:t>
            </w:r>
          </w:p>
          <w:p w14:paraId="785D9571" w14:textId="77777777" w:rsidR="005B679B" w:rsidRPr="005B679B" w:rsidRDefault="005B679B" w:rsidP="005B679B">
            <w:pPr>
              <w:tabs>
                <w:tab w:val="left" w:pos="1091"/>
              </w:tabs>
              <w:spacing w:after="0"/>
              <w:rPr>
                <w:sz w:val="20"/>
                <w:szCs w:val="20"/>
              </w:rPr>
            </w:pPr>
            <w:r w:rsidRPr="005B679B">
              <w:rPr>
                <w:sz w:val="20"/>
                <w:szCs w:val="20"/>
              </w:rPr>
              <w:lastRenderedPageBreak/>
              <w:t>În cazul în care se constată că cultivarea unui soi înscris în catalogul comun al soiurilor ar putea, într-un stat membru, să dăuneze din punct de vedere fitosanitar cultivării de alte soiuri sau specii, să prezinte un risc pentru mediu sau pentru sănătatea oamenilor, statul membru în cauză poate fi autorizat, la cerere, conform procedurii prevăzute la articolul 23 alineatul (2) sau la articolul 23 alineatul (3), să interzică comercializarea semințelor sau a materialului săditor din acest soi pe întregul său teritoriu sau pe o parte din acesta. În cazul unui pericol iminent de propagare a unor organisme dăunătoare, al unui pericol iminent pentru sănătatea oamenilor sau pentru mediu, această interdicție poate fi impusă de statul membru în cauză din momentul depunerii cererii sale până în momentul deciziei definitive care trebuie adoptată în termen de trei luni, în conformitate cu procedura prevăzută la articolul 23 alineatul (2) sau la articolul 23 alineatul (3), în cazul în care este vorba de un soi modificat genetic.</w:t>
            </w:r>
          </w:p>
        </w:tc>
        <w:tc>
          <w:tcPr>
            <w:tcW w:w="1512" w:type="pct"/>
            <w:shd w:val="clear" w:color="auto" w:fill="auto"/>
            <w:vAlign w:val="center"/>
          </w:tcPr>
          <w:p w14:paraId="393AF55B" w14:textId="77777777" w:rsidR="005B679B" w:rsidRPr="005B679B" w:rsidRDefault="005B679B" w:rsidP="005B679B">
            <w:pPr>
              <w:tabs>
                <w:tab w:val="left" w:pos="1091"/>
              </w:tabs>
              <w:spacing w:after="0"/>
              <w:jc w:val="center"/>
              <w:rPr>
                <w:sz w:val="20"/>
                <w:szCs w:val="20"/>
              </w:rPr>
            </w:pPr>
          </w:p>
        </w:tc>
        <w:tc>
          <w:tcPr>
            <w:tcW w:w="988" w:type="pct"/>
            <w:shd w:val="clear" w:color="auto" w:fill="auto"/>
            <w:vAlign w:val="center"/>
          </w:tcPr>
          <w:p w14:paraId="25E36DB7" w14:textId="66DD7491" w:rsidR="005B679B" w:rsidRPr="005B679B" w:rsidRDefault="0029404B" w:rsidP="005B679B">
            <w:pPr>
              <w:tabs>
                <w:tab w:val="left" w:pos="1091"/>
              </w:tabs>
              <w:spacing w:after="0"/>
              <w:jc w:val="center"/>
              <w:rPr>
                <w:b/>
                <w:bCs/>
                <w:sz w:val="20"/>
                <w:szCs w:val="20"/>
              </w:rPr>
            </w:pPr>
            <w:r w:rsidRPr="0029404B">
              <w:rPr>
                <w:b/>
                <w:bCs/>
                <w:sz w:val="20"/>
                <w:szCs w:val="20"/>
              </w:rPr>
              <w:t>Norme UE neaplicabile</w:t>
            </w:r>
          </w:p>
        </w:tc>
        <w:tc>
          <w:tcPr>
            <w:tcW w:w="790" w:type="pct"/>
            <w:shd w:val="clear" w:color="auto" w:fill="auto"/>
            <w:vAlign w:val="center"/>
          </w:tcPr>
          <w:p w14:paraId="6A95DC13" w14:textId="67FA7148" w:rsidR="005B679B" w:rsidRPr="005B679B" w:rsidRDefault="005B679B" w:rsidP="005B679B">
            <w:pPr>
              <w:tabs>
                <w:tab w:val="left" w:pos="1091"/>
              </w:tabs>
              <w:spacing w:after="0"/>
              <w:jc w:val="center"/>
              <w:rPr>
                <w:sz w:val="20"/>
                <w:szCs w:val="20"/>
              </w:rPr>
            </w:pPr>
          </w:p>
        </w:tc>
      </w:tr>
      <w:tr w:rsidR="005B679B" w:rsidRPr="005B679B" w14:paraId="024E128D" w14:textId="77777777" w:rsidTr="0014248B">
        <w:trPr>
          <w:trHeight w:val="113"/>
        </w:trPr>
        <w:tc>
          <w:tcPr>
            <w:tcW w:w="1710" w:type="pct"/>
            <w:gridSpan w:val="3"/>
            <w:shd w:val="clear" w:color="auto" w:fill="auto"/>
          </w:tcPr>
          <w:p w14:paraId="6377F724" w14:textId="77777777" w:rsidR="005B679B" w:rsidRPr="005B679B" w:rsidRDefault="005B679B" w:rsidP="005B679B">
            <w:pPr>
              <w:tabs>
                <w:tab w:val="left" w:pos="1091"/>
              </w:tabs>
              <w:spacing w:after="0"/>
              <w:rPr>
                <w:sz w:val="20"/>
                <w:szCs w:val="20"/>
              </w:rPr>
            </w:pPr>
            <w:r w:rsidRPr="005B679B">
              <w:rPr>
                <w:sz w:val="20"/>
                <w:szCs w:val="20"/>
              </w:rPr>
              <w:lastRenderedPageBreak/>
              <w:t>Articolul 19</w:t>
            </w:r>
          </w:p>
          <w:p w14:paraId="0C511259" w14:textId="77777777" w:rsidR="005B679B" w:rsidRPr="005B679B" w:rsidRDefault="005B679B" w:rsidP="005B679B">
            <w:pPr>
              <w:tabs>
                <w:tab w:val="left" w:pos="1091"/>
              </w:tabs>
              <w:spacing w:after="0"/>
              <w:rPr>
                <w:sz w:val="20"/>
                <w:szCs w:val="20"/>
              </w:rPr>
            </w:pPr>
            <w:r w:rsidRPr="005B679B">
              <w:rPr>
                <w:sz w:val="20"/>
                <w:szCs w:val="20"/>
              </w:rPr>
              <w:t>În cazul în care un soi încetează să mai fie admis într-un stat membru care admisese anterior soiul în cauză, unul sau mai multe alte state membre pot să mențină admiterea acestui soi în cazul în care pe teritoriul lor sunt îndeplinite în continuare condițiile de admitere și este asigurată selecția conservativă.</w:t>
            </w:r>
          </w:p>
        </w:tc>
        <w:tc>
          <w:tcPr>
            <w:tcW w:w="1512" w:type="pct"/>
            <w:shd w:val="clear" w:color="auto" w:fill="auto"/>
            <w:vAlign w:val="center"/>
          </w:tcPr>
          <w:p w14:paraId="1D3993E3" w14:textId="77777777" w:rsidR="005B679B" w:rsidRPr="005B679B" w:rsidRDefault="005B679B" w:rsidP="005B679B">
            <w:pPr>
              <w:tabs>
                <w:tab w:val="left" w:pos="1091"/>
              </w:tabs>
              <w:spacing w:after="0"/>
              <w:jc w:val="center"/>
              <w:rPr>
                <w:sz w:val="20"/>
                <w:szCs w:val="20"/>
              </w:rPr>
            </w:pPr>
          </w:p>
        </w:tc>
        <w:tc>
          <w:tcPr>
            <w:tcW w:w="988" w:type="pct"/>
            <w:shd w:val="clear" w:color="auto" w:fill="auto"/>
            <w:vAlign w:val="center"/>
          </w:tcPr>
          <w:p w14:paraId="44EB1DBE" w14:textId="0F928503" w:rsidR="005B679B" w:rsidRPr="005B679B" w:rsidRDefault="0029404B" w:rsidP="005B679B">
            <w:pPr>
              <w:tabs>
                <w:tab w:val="left" w:pos="1091"/>
              </w:tabs>
              <w:spacing w:after="0"/>
              <w:jc w:val="center"/>
              <w:rPr>
                <w:b/>
                <w:bCs/>
                <w:sz w:val="20"/>
                <w:szCs w:val="20"/>
              </w:rPr>
            </w:pPr>
            <w:r w:rsidRPr="0029404B">
              <w:rPr>
                <w:b/>
                <w:bCs/>
                <w:sz w:val="20"/>
                <w:szCs w:val="20"/>
              </w:rPr>
              <w:t>Norme UE neaplicabile</w:t>
            </w:r>
          </w:p>
        </w:tc>
        <w:tc>
          <w:tcPr>
            <w:tcW w:w="790" w:type="pct"/>
            <w:shd w:val="clear" w:color="auto" w:fill="auto"/>
            <w:vAlign w:val="center"/>
          </w:tcPr>
          <w:p w14:paraId="6EB026D8" w14:textId="0DD8B558" w:rsidR="005B679B" w:rsidRPr="005B679B" w:rsidRDefault="005B679B" w:rsidP="005B679B">
            <w:pPr>
              <w:tabs>
                <w:tab w:val="left" w:pos="1091"/>
              </w:tabs>
              <w:spacing w:after="0"/>
              <w:jc w:val="center"/>
              <w:rPr>
                <w:sz w:val="20"/>
                <w:szCs w:val="20"/>
              </w:rPr>
            </w:pPr>
          </w:p>
        </w:tc>
      </w:tr>
      <w:tr w:rsidR="005B679B" w:rsidRPr="005B679B" w14:paraId="0200A084" w14:textId="77777777" w:rsidTr="0014248B">
        <w:trPr>
          <w:trHeight w:val="113"/>
        </w:trPr>
        <w:tc>
          <w:tcPr>
            <w:tcW w:w="1710" w:type="pct"/>
            <w:gridSpan w:val="3"/>
            <w:shd w:val="clear" w:color="auto" w:fill="auto"/>
          </w:tcPr>
          <w:p w14:paraId="082A67B2" w14:textId="77777777" w:rsidR="005B679B" w:rsidRPr="005B679B" w:rsidRDefault="005B679B" w:rsidP="005B679B">
            <w:pPr>
              <w:tabs>
                <w:tab w:val="left" w:pos="1091"/>
              </w:tabs>
              <w:spacing w:after="0"/>
              <w:rPr>
                <w:sz w:val="20"/>
                <w:szCs w:val="20"/>
              </w:rPr>
            </w:pPr>
            <w:r w:rsidRPr="005B679B">
              <w:rPr>
                <w:sz w:val="20"/>
                <w:szCs w:val="20"/>
              </w:rPr>
              <w:t>Articolul 20</w:t>
            </w:r>
          </w:p>
          <w:p w14:paraId="5DD8BB2E" w14:textId="77777777" w:rsidR="005B679B" w:rsidRPr="005B679B" w:rsidRDefault="005B679B" w:rsidP="005B679B">
            <w:pPr>
              <w:tabs>
                <w:tab w:val="left" w:pos="1091"/>
              </w:tabs>
              <w:spacing w:after="0"/>
              <w:rPr>
                <w:sz w:val="20"/>
                <w:szCs w:val="20"/>
              </w:rPr>
            </w:pPr>
            <w:r w:rsidRPr="005B679B">
              <w:rPr>
                <w:sz w:val="20"/>
                <w:szCs w:val="20"/>
              </w:rPr>
              <w:t>(1)   Se pot stabili condiții speciale, în conformitate cu procedura prevăzută la articolul 23 alineatul (2), pentru a ține seama de evoluția situației în ceea ce privește condițiile de comercializare a semințelor tratate chimic.</w:t>
            </w:r>
          </w:p>
          <w:p w14:paraId="5E91C84A" w14:textId="77777777" w:rsidR="005B679B" w:rsidRPr="005B679B" w:rsidRDefault="005B679B" w:rsidP="005B679B">
            <w:pPr>
              <w:tabs>
                <w:tab w:val="left" w:pos="1091"/>
              </w:tabs>
              <w:spacing w:after="0"/>
              <w:rPr>
                <w:sz w:val="20"/>
                <w:szCs w:val="20"/>
              </w:rPr>
            </w:pPr>
            <w:r w:rsidRPr="005B679B">
              <w:rPr>
                <w:sz w:val="20"/>
                <w:szCs w:val="20"/>
              </w:rPr>
              <w:t xml:space="preserve">(2)   Fără a aduce atingere dispozițiilor din Regulamentul (CE) nr. 1467/94 al Consiliului privind conservarea, caracterizarea, colectarea și utilizarea resurselor genetice în agricultură (13), se stabilesc condiții speciale în conformitate cu procedura prevăzută la articolul 23 alineatul (2), pentru a ține seama de evoluția situației în ceea ce privește conservarea </w:t>
            </w:r>
            <w:r w:rsidRPr="005B679B">
              <w:rPr>
                <w:i/>
                <w:iCs/>
                <w:sz w:val="20"/>
                <w:szCs w:val="20"/>
              </w:rPr>
              <w:t xml:space="preserve">in </w:t>
            </w:r>
            <w:proofErr w:type="spellStart"/>
            <w:r w:rsidRPr="005B679B">
              <w:rPr>
                <w:i/>
                <w:iCs/>
                <w:sz w:val="20"/>
                <w:szCs w:val="20"/>
              </w:rPr>
              <w:t>situ</w:t>
            </w:r>
            <w:proofErr w:type="spellEnd"/>
            <w:r w:rsidRPr="005B679B">
              <w:rPr>
                <w:sz w:val="20"/>
                <w:szCs w:val="20"/>
              </w:rPr>
              <w:t xml:space="preserve"> și utilizarea durabilă a resurselor genetice ale plantelor prin cultivarea și comercializarea semințelor din rase primitive și din soiuri </w:t>
            </w:r>
            <w:r w:rsidRPr="005B679B">
              <w:rPr>
                <w:sz w:val="20"/>
                <w:szCs w:val="20"/>
              </w:rPr>
              <w:lastRenderedPageBreak/>
              <w:t>adaptate natural la condițiile locale și regionale și amenințate de erodare genetică.</w:t>
            </w:r>
          </w:p>
          <w:p w14:paraId="19BDA1B7" w14:textId="77777777" w:rsidR="005B679B" w:rsidRPr="005B679B" w:rsidRDefault="005B679B" w:rsidP="005B679B">
            <w:pPr>
              <w:tabs>
                <w:tab w:val="left" w:pos="1091"/>
              </w:tabs>
              <w:spacing w:after="0"/>
              <w:rPr>
                <w:sz w:val="20"/>
                <w:szCs w:val="20"/>
              </w:rPr>
            </w:pPr>
            <w:r w:rsidRPr="005B679B">
              <w:rPr>
                <w:sz w:val="20"/>
                <w:szCs w:val="20"/>
              </w:rPr>
              <w:t>(3) Condițiile speciale menționate la alineatul (2) vizează în special următoarele aspecte:</w:t>
            </w:r>
          </w:p>
          <w:p w14:paraId="1AF1B35D" w14:textId="77777777" w:rsidR="005B679B" w:rsidRPr="005B679B" w:rsidRDefault="005B679B" w:rsidP="005B679B">
            <w:pPr>
              <w:tabs>
                <w:tab w:val="left" w:pos="1091"/>
              </w:tabs>
              <w:spacing w:after="0"/>
              <w:rPr>
                <w:sz w:val="20"/>
                <w:szCs w:val="20"/>
              </w:rPr>
            </w:pPr>
            <w:r w:rsidRPr="005B679B">
              <w:rPr>
                <w:sz w:val="20"/>
                <w:szCs w:val="20"/>
              </w:rPr>
              <w:t>(a) rasele primitive și soiurile sunt admise conform dispozițiilor din prezenta directivă. Procedura de admitere oficială ține seama de caracteristicile și condițiile specifice referitoare la calitate. Sunt luate în considerare în special rezultatele testelor neoficiale și cunoștințele acumulate pe baza experienței practice în timpul cultivării, reproducerii și utilizării, precum și descrierile detaliate ale soiurilor și denumirile asociate acestora, notificate statului membru interesat, iar în cazul în care acestea sunt concludente examinarea oficială nu mai este necesară. Din momentul admiterii, această rasă primitivă sau acest soi figurează ca „soi de conservare” în catalogul comun;</w:t>
            </w:r>
          </w:p>
          <w:p w14:paraId="457AAE02" w14:textId="77777777" w:rsidR="005B679B" w:rsidRPr="005B679B" w:rsidRDefault="005B679B" w:rsidP="005B679B">
            <w:pPr>
              <w:tabs>
                <w:tab w:val="left" w:pos="1091"/>
              </w:tabs>
              <w:spacing w:after="0"/>
              <w:rPr>
                <w:sz w:val="20"/>
                <w:szCs w:val="20"/>
              </w:rPr>
            </w:pPr>
            <w:r w:rsidRPr="005B679B">
              <w:rPr>
                <w:sz w:val="20"/>
                <w:szCs w:val="20"/>
              </w:rPr>
              <w:t>(b) restricții cantitative adecvate.</w:t>
            </w:r>
          </w:p>
        </w:tc>
        <w:tc>
          <w:tcPr>
            <w:tcW w:w="1512" w:type="pct"/>
            <w:shd w:val="clear" w:color="auto" w:fill="auto"/>
            <w:vAlign w:val="center"/>
          </w:tcPr>
          <w:p w14:paraId="0E72578C" w14:textId="77777777" w:rsidR="005B679B" w:rsidRPr="005B679B" w:rsidRDefault="005B679B" w:rsidP="005B679B">
            <w:pPr>
              <w:tabs>
                <w:tab w:val="left" w:pos="1091"/>
              </w:tabs>
              <w:spacing w:after="0"/>
              <w:jc w:val="center"/>
              <w:rPr>
                <w:sz w:val="20"/>
                <w:szCs w:val="20"/>
              </w:rPr>
            </w:pPr>
          </w:p>
        </w:tc>
        <w:tc>
          <w:tcPr>
            <w:tcW w:w="988" w:type="pct"/>
            <w:shd w:val="clear" w:color="auto" w:fill="auto"/>
            <w:vAlign w:val="center"/>
          </w:tcPr>
          <w:p w14:paraId="53956103" w14:textId="607BA778" w:rsidR="005B679B" w:rsidRPr="005B679B" w:rsidRDefault="002A41B3" w:rsidP="005B679B">
            <w:pPr>
              <w:tabs>
                <w:tab w:val="left" w:pos="1091"/>
              </w:tabs>
              <w:spacing w:after="0"/>
              <w:jc w:val="center"/>
              <w:rPr>
                <w:b/>
                <w:bCs/>
                <w:sz w:val="20"/>
                <w:szCs w:val="20"/>
              </w:rPr>
            </w:pPr>
            <w:r w:rsidRPr="002A41B3">
              <w:rPr>
                <w:b/>
                <w:bCs/>
                <w:sz w:val="20"/>
                <w:szCs w:val="20"/>
              </w:rPr>
              <w:t>Norme UE neaplicabile</w:t>
            </w:r>
          </w:p>
        </w:tc>
        <w:tc>
          <w:tcPr>
            <w:tcW w:w="790" w:type="pct"/>
            <w:shd w:val="clear" w:color="auto" w:fill="auto"/>
            <w:vAlign w:val="center"/>
          </w:tcPr>
          <w:p w14:paraId="314454D9" w14:textId="02D48B74" w:rsidR="005B679B" w:rsidRPr="005B679B" w:rsidRDefault="005B679B" w:rsidP="005B679B">
            <w:pPr>
              <w:tabs>
                <w:tab w:val="left" w:pos="1091"/>
              </w:tabs>
              <w:spacing w:after="0"/>
              <w:jc w:val="center"/>
              <w:rPr>
                <w:sz w:val="20"/>
                <w:szCs w:val="20"/>
              </w:rPr>
            </w:pPr>
          </w:p>
        </w:tc>
      </w:tr>
      <w:tr w:rsidR="005B679B" w:rsidRPr="005B679B" w14:paraId="673FFFED" w14:textId="77777777" w:rsidTr="0014248B">
        <w:trPr>
          <w:trHeight w:val="113"/>
        </w:trPr>
        <w:tc>
          <w:tcPr>
            <w:tcW w:w="1710" w:type="pct"/>
            <w:gridSpan w:val="3"/>
            <w:shd w:val="clear" w:color="auto" w:fill="auto"/>
          </w:tcPr>
          <w:p w14:paraId="6D1A980E" w14:textId="77777777" w:rsidR="005B679B" w:rsidRPr="005B679B" w:rsidRDefault="005B679B" w:rsidP="005B679B">
            <w:pPr>
              <w:tabs>
                <w:tab w:val="left" w:pos="1091"/>
              </w:tabs>
              <w:spacing w:after="0"/>
              <w:rPr>
                <w:sz w:val="20"/>
                <w:szCs w:val="20"/>
              </w:rPr>
            </w:pPr>
            <w:r w:rsidRPr="005B679B">
              <w:rPr>
                <w:sz w:val="20"/>
                <w:szCs w:val="20"/>
              </w:rPr>
              <w:lastRenderedPageBreak/>
              <w:t>Articolul 21</w:t>
            </w:r>
          </w:p>
          <w:p w14:paraId="30484275" w14:textId="77777777" w:rsidR="005B679B" w:rsidRPr="005B679B" w:rsidRDefault="005B679B" w:rsidP="005B679B">
            <w:pPr>
              <w:tabs>
                <w:tab w:val="left" w:pos="1091"/>
              </w:tabs>
              <w:spacing w:after="0"/>
              <w:rPr>
                <w:sz w:val="20"/>
                <w:szCs w:val="20"/>
                <w:highlight w:val="yellow"/>
              </w:rPr>
            </w:pPr>
            <w:r w:rsidRPr="005B679B">
              <w:rPr>
                <w:sz w:val="20"/>
                <w:szCs w:val="20"/>
              </w:rPr>
              <w:t>Se pot stabili condiții speciale în conformitate cu procedura prevăzută la articolul 23 alineatul (2), pentru a ține seama de evoluția situației în domeniul conservării resurselor genetice.</w:t>
            </w:r>
          </w:p>
        </w:tc>
        <w:tc>
          <w:tcPr>
            <w:tcW w:w="1512" w:type="pct"/>
            <w:shd w:val="clear" w:color="auto" w:fill="auto"/>
          </w:tcPr>
          <w:p w14:paraId="5F2A462A" w14:textId="77777777" w:rsidR="005B679B" w:rsidRPr="005B679B" w:rsidRDefault="005B679B" w:rsidP="005B679B">
            <w:pPr>
              <w:tabs>
                <w:tab w:val="left" w:pos="1091"/>
              </w:tabs>
              <w:spacing w:after="0"/>
              <w:rPr>
                <w:sz w:val="20"/>
                <w:szCs w:val="20"/>
              </w:rPr>
            </w:pPr>
          </w:p>
        </w:tc>
        <w:tc>
          <w:tcPr>
            <w:tcW w:w="988" w:type="pct"/>
            <w:shd w:val="clear" w:color="auto" w:fill="auto"/>
            <w:vAlign w:val="center"/>
          </w:tcPr>
          <w:p w14:paraId="73D293EB" w14:textId="77777777" w:rsidR="005B679B" w:rsidRPr="005B679B" w:rsidRDefault="005B679B" w:rsidP="005B679B">
            <w:pPr>
              <w:tabs>
                <w:tab w:val="left" w:pos="1091"/>
              </w:tabs>
              <w:spacing w:after="0"/>
              <w:jc w:val="center"/>
              <w:rPr>
                <w:b/>
                <w:bCs/>
                <w:sz w:val="20"/>
                <w:szCs w:val="20"/>
              </w:rPr>
            </w:pPr>
            <w:r w:rsidRPr="005B679B">
              <w:rPr>
                <w:b/>
                <w:bCs/>
                <w:sz w:val="20"/>
                <w:szCs w:val="20"/>
              </w:rPr>
              <w:t>Norme UE neaplicabile</w:t>
            </w:r>
          </w:p>
        </w:tc>
        <w:tc>
          <w:tcPr>
            <w:tcW w:w="790" w:type="pct"/>
            <w:shd w:val="clear" w:color="auto" w:fill="auto"/>
            <w:vAlign w:val="center"/>
          </w:tcPr>
          <w:p w14:paraId="36710D60" w14:textId="77777777" w:rsidR="005B679B" w:rsidRPr="005B679B" w:rsidRDefault="005B679B" w:rsidP="005B679B">
            <w:pPr>
              <w:tabs>
                <w:tab w:val="left" w:pos="1091"/>
              </w:tabs>
              <w:spacing w:after="0"/>
              <w:jc w:val="center"/>
              <w:rPr>
                <w:sz w:val="20"/>
                <w:szCs w:val="20"/>
              </w:rPr>
            </w:pPr>
          </w:p>
        </w:tc>
      </w:tr>
      <w:tr w:rsidR="005B679B" w:rsidRPr="005B679B" w14:paraId="22C4662C" w14:textId="77777777" w:rsidTr="0014248B">
        <w:trPr>
          <w:trHeight w:val="113"/>
        </w:trPr>
        <w:tc>
          <w:tcPr>
            <w:tcW w:w="1710" w:type="pct"/>
            <w:gridSpan w:val="3"/>
            <w:shd w:val="clear" w:color="auto" w:fill="auto"/>
          </w:tcPr>
          <w:p w14:paraId="1D4A1937" w14:textId="77777777" w:rsidR="005B679B" w:rsidRPr="005B679B" w:rsidRDefault="005B679B" w:rsidP="005B679B">
            <w:pPr>
              <w:tabs>
                <w:tab w:val="left" w:pos="1091"/>
              </w:tabs>
              <w:spacing w:after="0"/>
              <w:rPr>
                <w:sz w:val="20"/>
                <w:szCs w:val="20"/>
              </w:rPr>
            </w:pPr>
            <w:r w:rsidRPr="005B679B">
              <w:rPr>
                <w:sz w:val="20"/>
                <w:szCs w:val="20"/>
              </w:rPr>
              <w:t>Articolul 22</w:t>
            </w:r>
          </w:p>
          <w:p w14:paraId="3EB61EF5" w14:textId="77777777" w:rsidR="005B679B" w:rsidRPr="005B679B" w:rsidRDefault="005B679B" w:rsidP="005B679B">
            <w:pPr>
              <w:tabs>
                <w:tab w:val="left" w:pos="1091"/>
              </w:tabs>
              <w:spacing w:after="0"/>
              <w:rPr>
                <w:sz w:val="20"/>
                <w:szCs w:val="20"/>
              </w:rPr>
            </w:pPr>
            <w:r w:rsidRPr="005B679B">
              <w:rPr>
                <w:sz w:val="20"/>
                <w:szCs w:val="20"/>
              </w:rPr>
              <w:t>(1) La propunerea Comisiei, Consiliul, hotărând cu majoritate calificată, constată:</w:t>
            </w:r>
          </w:p>
          <w:p w14:paraId="6BCE7DE2" w14:textId="77777777" w:rsidR="005B679B" w:rsidRPr="005B679B" w:rsidRDefault="005B679B" w:rsidP="005B679B">
            <w:pPr>
              <w:tabs>
                <w:tab w:val="left" w:pos="1091"/>
              </w:tabs>
              <w:spacing w:after="0"/>
              <w:rPr>
                <w:sz w:val="20"/>
                <w:szCs w:val="20"/>
              </w:rPr>
            </w:pPr>
            <w:r w:rsidRPr="005B679B">
              <w:rPr>
                <w:sz w:val="20"/>
                <w:szCs w:val="20"/>
              </w:rPr>
              <w:t>(a) dacă examinările oficiale ale soiurilor efectuate într-o țară terță oferă aceleași garanții ca și examinările din statele membre, prevăzute la articolul 7;</w:t>
            </w:r>
          </w:p>
          <w:p w14:paraId="6BC041FB" w14:textId="77777777" w:rsidR="005B679B" w:rsidRPr="005B679B" w:rsidRDefault="005B679B" w:rsidP="005B679B">
            <w:pPr>
              <w:tabs>
                <w:tab w:val="left" w:pos="1091"/>
              </w:tabs>
              <w:spacing w:after="0"/>
              <w:rPr>
                <w:sz w:val="20"/>
                <w:szCs w:val="20"/>
              </w:rPr>
            </w:pPr>
            <w:r w:rsidRPr="005B679B">
              <w:rPr>
                <w:sz w:val="20"/>
                <w:szCs w:val="20"/>
              </w:rPr>
              <w:t>(b) dacă controalele privind selecția conservativă efectuate într-o țară terță oferă aceleași garanții ca și controalele efectuate de statele membre.</w:t>
            </w:r>
          </w:p>
          <w:p w14:paraId="49B03631" w14:textId="77777777" w:rsidR="005B679B" w:rsidRPr="005B679B" w:rsidRDefault="005B679B" w:rsidP="005B679B">
            <w:pPr>
              <w:tabs>
                <w:tab w:val="left" w:pos="1091"/>
              </w:tabs>
              <w:spacing w:after="0"/>
              <w:rPr>
                <w:sz w:val="20"/>
                <w:szCs w:val="20"/>
              </w:rPr>
            </w:pPr>
            <w:r w:rsidRPr="005B679B">
              <w:rPr>
                <w:sz w:val="20"/>
                <w:szCs w:val="20"/>
              </w:rPr>
              <w:t>(2) Alineatul (1) se aplică, de asemenea, oricărui nou stat membru, din momentul aderării și până la data la care acesta trebuie să pună în aplicare dispozițiile legale, de reglementare și administrative necesare aducerii la îndeplinire a dispozițiilor prezentei directive.</w:t>
            </w:r>
          </w:p>
        </w:tc>
        <w:tc>
          <w:tcPr>
            <w:tcW w:w="1512" w:type="pct"/>
            <w:shd w:val="clear" w:color="auto" w:fill="auto"/>
          </w:tcPr>
          <w:p w14:paraId="081BC0F5" w14:textId="77777777" w:rsidR="005B679B" w:rsidRPr="005B679B" w:rsidRDefault="005B679B" w:rsidP="005B679B">
            <w:pPr>
              <w:tabs>
                <w:tab w:val="left" w:pos="1091"/>
              </w:tabs>
              <w:spacing w:after="0"/>
              <w:rPr>
                <w:sz w:val="20"/>
                <w:szCs w:val="20"/>
              </w:rPr>
            </w:pPr>
          </w:p>
        </w:tc>
        <w:tc>
          <w:tcPr>
            <w:tcW w:w="988" w:type="pct"/>
            <w:shd w:val="clear" w:color="auto" w:fill="auto"/>
            <w:vAlign w:val="center"/>
          </w:tcPr>
          <w:p w14:paraId="2BC63199" w14:textId="77777777" w:rsidR="005B679B" w:rsidRPr="005B679B" w:rsidRDefault="005B679B" w:rsidP="005B679B">
            <w:pPr>
              <w:tabs>
                <w:tab w:val="left" w:pos="1091"/>
              </w:tabs>
              <w:spacing w:after="0"/>
              <w:jc w:val="center"/>
              <w:rPr>
                <w:b/>
                <w:bCs/>
                <w:sz w:val="20"/>
                <w:szCs w:val="20"/>
              </w:rPr>
            </w:pPr>
            <w:r w:rsidRPr="005B679B">
              <w:rPr>
                <w:b/>
                <w:bCs/>
                <w:sz w:val="20"/>
                <w:szCs w:val="20"/>
              </w:rPr>
              <w:t>Norme UE neaplicabile</w:t>
            </w:r>
          </w:p>
        </w:tc>
        <w:tc>
          <w:tcPr>
            <w:tcW w:w="790" w:type="pct"/>
            <w:shd w:val="clear" w:color="auto" w:fill="auto"/>
            <w:vAlign w:val="center"/>
          </w:tcPr>
          <w:p w14:paraId="06AF0211" w14:textId="77777777" w:rsidR="005B679B" w:rsidRPr="005B679B" w:rsidRDefault="005B679B" w:rsidP="005B679B">
            <w:pPr>
              <w:tabs>
                <w:tab w:val="left" w:pos="1091"/>
              </w:tabs>
              <w:spacing w:after="0"/>
              <w:jc w:val="center"/>
              <w:rPr>
                <w:sz w:val="20"/>
                <w:szCs w:val="20"/>
              </w:rPr>
            </w:pPr>
          </w:p>
        </w:tc>
      </w:tr>
      <w:tr w:rsidR="005B679B" w:rsidRPr="005B679B" w14:paraId="3CD14200" w14:textId="77777777" w:rsidTr="0014248B">
        <w:trPr>
          <w:trHeight w:val="113"/>
        </w:trPr>
        <w:tc>
          <w:tcPr>
            <w:tcW w:w="1710" w:type="pct"/>
            <w:gridSpan w:val="3"/>
            <w:shd w:val="clear" w:color="auto" w:fill="auto"/>
          </w:tcPr>
          <w:p w14:paraId="639070FD" w14:textId="77777777" w:rsidR="005B679B" w:rsidRPr="005B679B" w:rsidRDefault="005B679B" w:rsidP="005B679B">
            <w:pPr>
              <w:tabs>
                <w:tab w:val="left" w:pos="1091"/>
              </w:tabs>
              <w:spacing w:after="0"/>
              <w:rPr>
                <w:sz w:val="20"/>
                <w:szCs w:val="20"/>
              </w:rPr>
            </w:pPr>
            <w:r w:rsidRPr="005B679B">
              <w:rPr>
                <w:sz w:val="20"/>
                <w:szCs w:val="20"/>
              </w:rPr>
              <w:t>Articolul 23</w:t>
            </w:r>
          </w:p>
          <w:p w14:paraId="374B83EF" w14:textId="77777777" w:rsidR="005B679B" w:rsidRPr="005B679B" w:rsidRDefault="005B679B" w:rsidP="005B679B">
            <w:pPr>
              <w:tabs>
                <w:tab w:val="left" w:pos="1091"/>
              </w:tabs>
              <w:spacing w:after="0"/>
              <w:rPr>
                <w:sz w:val="20"/>
                <w:szCs w:val="20"/>
              </w:rPr>
            </w:pPr>
            <w:r w:rsidRPr="005B679B">
              <w:rPr>
                <w:sz w:val="20"/>
                <w:szCs w:val="20"/>
              </w:rPr>
              <w:t xml:space="preserve">(1) Comisia este asistată de Comitetul permanent pentru semințe și material săditor pentru agricultură, horticultură </w:t>
            </w:r>
            <w:r w:rsidRPr="005B679B">
              <w:rPr>
                <w:sz w:val="20"/>
                <w:szCs w:val="20"/>
              </w:rPr>
              <w:lastRenderedPageBreak/>
              <w:t>și silvicultură, instituit prin articolul 1 din Decizia 66/399/CEE (14) a Consiliului.</w:t>
            </w:r>
          </w:p>
          <w:p w14:paraId="6711427C" w14:textId="77777777" w:rsidR="005B679B" w:rsidRPr="005B679B" w:rsidRDefault="005B679B" w:rsidP="005B679B">
            <w:pPr>
              <w:tabs>
                <w:tab w:val="left" w:pos="1091"/>
              </w:tabs>
              <w:spacing w:after="0"/>
              <w:rPr>
                <w:sz w:val="20"/>
                <w:szCs w:val="20"/>
              </w:rPr>
            </w:pPr>
            <w:r w:rsidRPr="005B679B">
              <w:rPr>
                <w:sz w:val="20"/>
                <w:szCs w:val="20"/>
              </w:rPr>
              <w:t>(2) În cazul în care se face trimitere la prezentul alineat, se aplică articolele 4 și 7 din Decizia 1999/468/CE.</w:t>
            </w:r>
          </w:p>
          <w:p w14:paraId="1C308702" w14:textId="77777777" w:rsidR="005B679B" w:rsidRPr="005B679B" w:rsidRDefault="005B679B" w:rsidP="005B679B">
            <w:pPr>
              <w:tabs>
                <w:tab w:val="left" w:pos="1091"/>
              </w:tabs>
              <w:spacing w:after="0"/>
              <w:rPr>
                <w:sz w:val="20"/>
                <w:szCs w:val="20"/>
              </w:rPr>
            </w:pPr>
            <w:r w:rsidRPr="005B679B">
              <w:rPr>
                <w:sz w:val="20"/>
                <w:szCs w:val="20"/>
              </w:rPr>
              <w:t>Perioada prevăzută la articolul 4 alineatul (3) din Decizia 1999/468/CE se stabilește la o lună.</w:t>
            </w:r>
          </w:p>
          <w:p w14:paraId="0CB82A27" w14:textId="77777777" w:rsidR="005B679B" w:rsidRPr="005B679B" w:rsidRDefault="005B679B" w:rsidP="005B679B">
            <w:pPr>
              <w:tabs>
                <w:tab w:val="left" w:pos="1091"/>
              </w:tabs>
              <w:spacing w:after="0"/>
              <w:rPr>
                <w:sz w:val="20"/>
                <w:szCs w:val="20"/>
              </w:rPr>
            </w:pPr>
            <w:r w:rsidRPr="005B679B">
              <w:rPr>
                <w:sz w:val="20"/>
                <w:szCs w:val="20"/>
              </w:rPr>
              <w:t>(3) În cazul în care se face trimitere la prezentul alineat, se aplică articolul 5 și 7 din Decizia 1999/468/CE.</w:t>
            </w:r>
          </w:p>
          <w:p w14:paraId="1035C627" w14:textId="77777777" w:rsidR="005B679B" w:rsidRPr="005B679B" w:rsidRDefault="005B679B" w:rsidP="005B679B">
            <w:pPr>
              <w:tabs>
                <w:tab w:val="left" w:pos="1091"/>
              </w:tabs>
              <w:spacing w:after="0"/>
              <w:rPr>
                <w:sz w:val="20"/>
                <w:szCs w:val="20"/>
              </w:rPr>
            </w:pPr>
            <w:r w:rsidRPr="005B679B">
              <w:rPr>
                <w:sz w:val="20"/>
                <w:szCs w:val="20"/>
              </w:rPr>
              <w:t>Perioada prevăzută la articolul 5 alineatul (6) din Decizia 1999/468/CE se stabilește la trei luni.</w:t>
            </w:r>
          </w:p>
          <w:p w14:paraId="79FF918B" w14:textId="77777777" w:rsidR="005B679B" w:rsidRPr="005B679B" w:rsidRDefault="005B679B" w:rsidP="005B679B">
            <w:pPr>
              <w:tabs>
                <w:tab w:val="left" w:pos="1091"/>
              </w:tabs>
              <w:spacing w:after="0"/>
              <w:rPr>
                <w:sz w:val="20"/>
                <w:szCs w:val="20"/>
              </w:rPr>
            </w:pPr>
            <w:r w:rsidRPr="005B679B">
              <w:rPr>
                <w:sz w:val="20"/>
                <w:szCs w:val="20"/>
              </w:rPr>
              <w:t>(4) Comitetul își stabilește regulamentul de procedură.</w:t>
            </w:r>
          </w:p>
        </w:tc>
        <w:tc>
          <w:tcPr>
            <w:tcW w:w="1512" w:type="pct"/>
            <w:shd w:val="clear" w:color="auto" w:fill="auto"/>
          </w:tcPr>
          <w:p w14:paraId="5C7F775B" w14:textId="77777777" w:rsidR="005B679B" w:rsidRPr="005B679B" w:rsidRDefault="005B679B" w:rsidP="005B679B">
            <w:pPr>
              <w:tabs>
                <w:tab w:val="left" w:pos="1091"/>
              </w:tabs>
              <w:spacing w:after="0"/>
              <w:rPr>
                <w:sz w:val="20"/>
                <w:szCs w:val="20"/>
              </w:rPr>
            </w:pPr>
          </w:p>
        </w:tc>
        <w:tc>
          <w:tcPr>
            <w:tcW w:w="988" w:type="pct"/>
            <w:shd w:val="clear" w:color="auto" w:fill="auto"/>
            <w:vAlign w:val="center"/>
          </w:tcPr>
          <w:p w14:paraId="2112D3A0" w14:textId="77777777" w:rsidR="005B679B" w:rsidRPr="005B679B" w:rsidRDefault="005B679B" w:rsidP="005B679B">
            <w:pPr>
              <w:tabs>
                <w:tab w:val="left" w:pos="1091"/>
              </w:tabs>
              <w:spacing w:after="0"/>
              <w:jc w:val="center"/>
              <w:rPr>
                <w:b/>
                <w:bCs/>
                <w:sz w:val="20"/>
                <w:szCs w:val="20"/>
              </w:rPr>
            </w:pPr>
            <w:r w:rsidRPr="005B679B">
              <w:rPr>
                <w:b/>
                <w:bCs/>
                <w:sz w:val="20"/>
                <w:szCs w:val="20"/>
              </w:rPr>
              <w:t>Norme UE neaplicabile</w:t>
            </w:r>
          </w:p>
        </w:tc>
        <w:tc>
          <w:tcPr>
            <w:tcW w:w="790" w:type="pct"/>
            <w:shd w:val="clear" w:color="auto" w:fill="auto"/>
            <w:vAlign w:val="center"/>
          </w:tcPr>
          <w:p w14:paraId="33AACA02" w14:textId="4DB1B0CF" w:rsidR="005B679B" w:rsidRPr="005B679B" w:rsidRDefault="005B679B" w:rsidP="005B679B">
            <w:pPr>
              <w:tabs>
                <w:tab w:val="left" w:pos="1091"/>
              </w:tabs>
              <w:spacing w:after="0"/>
              <w:jc w:val="center"/>
              <w:rPr>
                <w:b/>
                <w:bCs/>
                <w:sz w:val="20"/>
                <w:szCs w:val="20"/>
              </w:rPr>
            </w:pPr>
          </w:p>
        </w:tc>
      </w:tr>
      <w:tr w:rsidR="005B679B" w:rsidRPr="005B679B" w14:paraId="5D2127CE" w14:textId="77777777" w:rsidTr="0014248B">
        <w:trPr>
          <w:trHeight w:val="113"/>
        </w:trPr>
        <w:tc>
          <w:tcPr>
            <w:tcW w:w="1710" w:type="pct"/>
            <w:gridSpan w:val="3"/>
            <w:shd w:val="clear" w:color="auto" w:fill="auto"/>
          </w:tcPr>
          <w:p w14:paraId="42DDD051" w14:textId="77777777" w:rsidR="005B679B" w:rsidRPr="005B679B" w:rsidRDefault="005B679B" w:rsidP="005B679B">
            <w:pPr>
              <w:tabs>
                <w:tab w:val="left" w:pos="1091"/>
              </w:tabs>
              <w:spacing w:after="0"/>
              <w:rPr>
                <w:sz w:val="20"/>
                <w:szCs w:val="20"/>
              </w:rPr>
            </w:pPr>
            <w:r w:rsidRPr="005B679B">
              <w:rPr>
                <w:sz w:val="20"/>
                <w:szCs w:val="20"/>
              </w:rPr>
              <w:lastRenderedPageBreak/>
              <w:t>Articolul 24</w:t>
            </w:r>
          </w:p>
          <w:p w14:paraId="528D96DB" w14:textId="77777777" w:rsidR="005B679B" w:rsidRPr="005B679B" w:rsidRDefault="005B679B" w:rsidP="005B679B">
            <w:pPr>
              <w:tabs>
                <w:tab w:val="left" w:pos="1091"/>
              </w:tabs>
              <w:spacing w:after="0"/>
              <w:rPr>
                <w:sz w:val="20"/>
                <w:szCs w:val="20"/>
              </w:rPr>
            </w:pPr>
            <w:r w:rsidRPr="005B679B">
              <w:rPr>
                <w:sz w:val="20"/>
                <w:szCs w:val="20"/>
              </w:rPr>
              <w:t>Sub rezerva dispozițiilor de la articolele 16 și 18, prezenta directivă nu afectează dispozițiile legislațiilor naționale justificate de considerente privind protecția sănătății și a vieții persoanelor și animalelor sau conservarea plantelor sau protecția proprietății industriale sau comerciale.</w:t>
            </w:r>
          </w:p>
        </w:tc>
        <w:tc>
          <w:tcPr>
            <w:tcW w:w="1512" w:type="pct"/>
            <w:shd w:val="clear" w:color="auto" w:fill="auto"/>
          </w:tcPr>
          <w:p w14:paraId="1CE12AD3" w14:textId="77777777" w:rsidR="005B679B" w:rsidRPr="005B679B" w:rsidRDefault="005B679B" w:rsidP="005B679B">
            <w:pPr>
              <w:tabs>
                <w:tab w:val="left" w:pos="1091"/>
              </w:tabs>
              <w:spacing w:after="0"/>
              <w:rPr>
                <w:sz w:val="20"/>
                <w:szCs w:val="20"/>
              </w:rPr>
            </w:pPr>
          </w:p>
        </w:tc>
        <w:tc>
          <w:tcPr>
            <w:tcW w:w="988" w:type="pct"/>
            <w:shd w:val="clear" w:color="auto" w:fill="auto"/>
            <w:vAlign w:val="center"/>
          </w:tcPr>
          <w:p w14:paraId="05349D46" w14:textId="77777777" w:rsidR="005B679B" w:rsidRPr="005B679B" w:rsidRDefault="005B679B" w:rsidP="005B679B">
            <w:pPr>
              <w:tabs>
                <w:tab w:val="left" w:pos="1091"/>
              </w:tabs>
              <w:spacing w:after="0"/>
              <w:jc w:val="center"/>
              <w:rPr>
                <w:b/>
                <w:bCs/>
                <w:sz w:val="20"/>
                <w:szCs w:val="20"/>
              </w:rPr>
            </w:pPr>
            <w:r w:rsidRPr="005B679B">
              <w:rPr>
                <w:b/>
                <w:bCs/>
                <w:sz w:val="20"/>
                <w:szCs w:val="20"/>
              </w:rPr>
              <w:t>Norme UE neaplicabile</w:t>
            </w:r>
          </w:p>
        </w:tc>
        <w:tc>
          <w:tcPr>
            <w:tcW w:w="790" w:type="pct"/>
            <w:shd w:val="clear" w:color="auto" w:fill="auto"/>
            <w:vAlign w:val="center"/>
          </w:tcPr>
          <w:p w14:paraId="74A6AE71" w14:textId="34D8C5C0" w:rsidR="005B679B" w:rsidRPr="005B679B" w:rsidRDefault="005B679B" w:rsidP="005B679B">
            <w:pPr>
              <w:tabs>
                <w:tab w:val="left" w:pos="1091"/>
              </w:tabs>
              <w:spacing w:after="0"/>
              <w:jc w:val="center"/>
              <w:rPr>
                <w:sz w:val="20"/>
                <w:szCs w:val="20"/>
              </w:rPr>
            </w:pPr>
          </w:p>
        </w:tc>
      </w:tr>
      <w:tr w:rsidR="005B679B" w:rsidRPr="005B679B" w14:paraId="45070D19" w14:textId="77777777" w:rsidTr="0014248B">
        <w:trPr>
          <w:trHeight w:val="113"/>
        </w:trPr>
        <w:tc>
          <w:tcPr>
            <w:tcW w:w="1710" w:type="pct"/>
            <w:gridSpan w:val="3"/>
            <w:shd w:val="clear" w:color="auto" w:fill="auto"/>
          </w:tcPr>
          <w:p w14:paraId="5C00F5E2" w14:textId="77777777" w:rsidR="005B679B" w:rsidRPr="005B679B" w:rsidRDefault="005B679B" w:rsidP="005B679B">
            <w:pPr>
              <w:tabs>
                <w:tab w:val="left" w:pos="1091"/>
              </w:tabs>
              <w:spacing w:after="0"/>
              <w:rPr>
                <w:sz w:val="20"/>
                <w:szCs w:val="20"/>
              </w:rPr>
            </w:pPr>
            <w:r w:rsidRPr="005B679B">
              <w:rPr>
                <w:sz w:val="20"/>
                <w:szCs w:val="20"/>
              </w:rPr>
              <w:t>Articolul 25</w:t>
            </w:r>
          </w:p>
          <w:p w14:paraId="2BE5B618" w14:textId="77777777" w:rsidR="005B679B" w:rsidRPr="005B679B" w:rsidRDefault="005B679B" w:rsidP="005B679B">
            <w:pPr>
              <w:tabs>
                <w:tab w:val="left" w:pos="1091"/>
              </w:tabs>
              <w:spacing w:after="0"/>
              <w:rPr>
                <w:sz w:val="20"/>
                <w:szCs w:val="20"/>
              </w:rPr>
            </w:pPr>
            <w:r w:rsidRPr="005B679B">
              <w:rPr>
                <w:sz w:val="20"/>
                <w:szCs w:val="20"/>
              </w:rPr>
              <w:t>Statele membre comunică Comisiei textul dispozițiilor de drept intern pe care le adoptă în domeniul reglementat de prezenta directivă.</w:t>
            </w:r>
          </w:p>
          <w:p w14:paraId="26878C24" w14:textId="77777777" w:rsidR="005B679B" w:rsidRPr="005B679B" w:rsidRDefault="005B679B" w:rsidP="005B679B">
            <w:pPr>
              <w:tabs>
                <w:tab w:val="left" w:pos="1091"/>
              </w:tabs>
              <w:spacing w:after="0"/>
              <w:rPr>
                <w:sz w:val="20"/>
                <w:szCs w:val="20"/>
              </w:rPr>
            </w:pPr>
            <w:r w:rsidRPr="005B679B">
              <w:rPr>
                <w:sz w:val="20"/>
                <w:szCs w:val="20"/>
              </w:rPr>
              <w:t>Comisia informează celelalte state membre cu privire la aceasta.</w:t>
            </w:r>
          </w:p>
        </w:tc>
        <w:tc>
          <w:tcPr>
            <w:tcW w:w="1512" w:type="pct"/>
            <w:shd w:val="clear" w:color="auto" w:fill="auto"/>
          </w:tcPr>
          <w:p w14:paraId="3917F741" w14:textId="77777777" w:rsidR="005B679B" w:rsidRPr="005B679B" w:rsidRDefault="005B679B" w:rsidP="005B679B">
            <w:pPr>
              <w:tabs>
                <w:tab w:val="left" w:pos="1091"/>
              </w:tabs>
              <w:spacing w:after="0"/>
              <w:rPr>
                <w:sz w:val="20"/>
                <w:szCs w:val="20"/>
              </w:rPr>
            </w:pPr>
          </w:p>
        </w:tc>
        <w:tc>
          <w:tcPr>
            <w:tcW w:w="988" w:type="pct"/>
            <w:shd w:val="clear" w:color="auto" w:fill="auto"/>
            <w:vAlign w:val="center"/>
          </w:tcPr>
          <w:p w14:paraId="6775389A" w14:textId="77777777" w:rsidR="005B679B" w:rsidRPr="005B679B" w:rsidRDefault="005B679B" w:rsidP="005B679B">
            <w:pPr>
              <w:tabs>
                <w:tab w:val="left" w:pos="1091"/>
              </w:tabs>
              <w:spacing w:after="0"/>
              <w:jc w:val="center"/>
              <w:rPr>
                <w:b/>
                <w:bCs/>
                <w:sz w:val="20"/>
                <w:szCs w:val="20"/>
              </w:rPr>
            </w:pPr>
            <w:r w:rsidRPr="005B679B">
              <w:rPr>
                <w:b/>
                <w:bCs/>
                <w:sz w:val="20"/>
                <w:szCs w:val="20"/>
              </w:rPr>
              <w:t>Norme UE neaplicabile</w:t>
            </w:r>
          </w:p>
        </w:tc>
        <w:tc>
          <w:tcPr>
            <w:tcW w:w="790" w:type="pct"/>
            <w:shd w:val="clear" w:color="auto" w:fill="auto"/>
            <w:vAlign w:val="center"/>
          </w:tcPr>
          <w:p w14:paraId="5A7939AC" w14:textId="7B271456" w:rsidR="005B679B" w:rsidRPr="005B679B" w:rsidRDefault="005B679B" w:rsidP="005B679B">
            <w:pPr>
              <w:tabs>
                <w:tab w:val="left" w:pos="1091"/>
              </w:tabs>
              <w:spacing w:after="0"/>
              <w:jc w:val="center"/>
              <w:rPr>
                <w:sz w:val="20"/>
                <w:szCs w:val="20"/>
              </w:rPr>
            </w:pPr>
          </w:p>
        </w:tc>
      </w:tr>
      <w:tr w:rsidR="005B679B" w:rsidRPr="005B679B" w14:paraId="76A592BF" w14:textId="77777777" w:rsidTr="0014248B">
        <w:trPr>
          <w:trHeight w:val="113"/>
        </w:trPr>
        <w:tc>
          <w:tcPr>
            <w:tcW w:w="1710" w:type="pct"/>
            <w:gridSpan w:val="3"/>
            <w:shd w:val="clear" w:color="auto" w:fill="auto"/>
          </w:tcPr>
          <w:p w14:paraId="3A8E4FD3" w14:textId="77777777" w:rsidR="005B679B" w:rsidRPr="005B679B" w:rsidRDefault="005B679B" w:rsidP="005B679B">
            <w:pPr>
              <w:tabs>
                <w:tab w:val="left" w:pos="1091"/>
              </w:tabs>
              <w:spacing w:after="0"/>
              <w:rPr>
                <w:sz w:val="20"/>
                <w:szCs w:val="20"/>
              </w:rPr>
            </w:pPr>
            <w:r w:rsidRPr="005B679B">
              <w:rPr>
                <w:sz w:val="20"/>
                <w:szCs w:val="20"/>
              </w:rPr>
              <w:t>Articolul 26</w:t>
            </w:r>
          </w:p>
          <w:p w14:paraId="00992008" w14:textId="77777777" w:rsidR="005B679B" w:rsidRPr="005B679B" w:rsidRDefault="005B679B" w:rsidP="005B679B">
            <w:pPr>
              <w:tabs>
                <w:tab w:val="left" w:pos="1091"/>
              </w:tabs>
              <w:spacing w:after="0"/>
              <w:rPr>
                <w:sz w:val="20"/>
                <w:szCs w:val="20"/>
              </w:rPr>
            </w:pPr>
            <w:r w:rsidRPr="005B679B">
              <w:rPr>
                <w:sz w:val="20"/>
                <w:szCs w:val="20"/>
              </w:rPr>
              <w:t>(1)   Directiva 70/457/CEE, astfel cum a fost modificată prin directivele din anexa I partea A, se abrogă, fără a se aduce atingere obligațiilor statelor membre privind termenele de transpunere prevăzute în anexa I, partea B.</w:t>
            </w:r>
          </w:p>
          <w:p w14:paraId="0D6E863C" w14:textId="77777777" w:rsidR="005B679B" w:rsidRPr="005B679B" w:rsidRDefault="005B679B" w:rsidP="005B679B">
            <w:pPr>
              <w:tabs>
                <w:tab w:val="left" w:pos="1091"/>
              </w:tabs>
              <w:spacing w:after="0"/>
              <w:rPr>
                <w:sz w:val="20"/>
                <w:szCs w:val="20"/>
              </w:rPr>
            </w:pPr>
            <w:r w:rsidRPr="005B679B">
              <w:rPr>
                <w:sz w:val="20"/>
                <w:szCs w:val="20"/>
              </w:rPr>
              <w:t>(2)   Trimiterile la directiva abrogată se interpretează ca trimiteri la prezenta directivă și se citesc în conformitate cu tabelul de corespondență din anexa II.</w:t>
            </w:r>
          </w:p>
        </w:tc>
        <w:tc>
          <w:tcPr>
            <w:tcW w:w="1512" w:type="pct"/>
            <w:shd w:val="clear" w:color="auto" w:fill="auto"/>
          </w:tcPr>
          <w:p w14:paraId="64206F88" w14:textId="77777777" w:rsidR="005B679B" w:rsidRPr="005B679B" w:rsidRDefault="005B679B" w:rsidP="005B679B">
            <w:pPr>
              <w:tabs>
                <w:tab w:val="left" w:pos="1091"/>
              </w:tabs>
              <w:spacing w:after="0"/>
              <w:rPr>
                <w:sz w:val="20"/>
                <w:szCs w:val="20"/>
              </w:rPr>
            </w:pPr>
          </w:p>
        </w:tc>
        <w:tc>
          <w:tcPr>
            <w:tcW w:w="988" w:type="pct"/>
            <w:shd w:val="clear" w:color="auto" w:fill="auto"/>
            <w:vAlign w:val="center"/>
          </w:tcPr>
          <w:p w14:paraId="4B63A18A" w14:textId="77777777" w:rsidR="005B679B" w:rsidRPr="005B679B" w:rsidRDefault="005B679B" w:rsidP="005B679B">
            <w:pPr>
              <w:tabs>
                <w:tab w:val="left" w:pos="1091"/>
              </w:tabs>
              <w:spacing w:after="0"/>
              <w:jc w:val="center"/>
              <w:rPr>
                <w:b/>
                <w:bCs/>
                <w:sz w:val="20"/>
                <w:szCs w:val="20"/>
              </w:rPr>
            </w:pPr>
            <w:r w:rsidRPr="005B679B">
              <w:rPr>
                <w:b/>
                <w:bCs/>
                <w:sz w:val="20"/>
                <w:szCs w:val="20"/>
              </w:rPr>
              <w:t>Norme UE neaplicabile</w:t>
            </w:r>
          </w:p>
        </w:tc>
        <w:tc>
          <w:tcPr>
            <w:tcW w:w="790" w:type="pct"/>
            <w:shd w:val="clear" w:color="auto" w:fill="auto"/>
            <w:vAlign w:val="center"/>
          </w:tcPr>
          <w:p w14:paraId="4ED9B21F" w14:textId="25443349" w:rsidR="005B679B" w:rsidRPr="005B679B" w:rsidRDefault="005B679B" w:rsidP="005B679B">
            <w:pPr>
              <w:tabs>
                <w:tab w:val="left" w:pos="1091"/>
              </w:tabs>
              <w:spacing w:after="0"/>
              <w:jc w:val="center"/>
              <w:rPr>
                <w:sz w:val="20"/>
                <w:szCs w:val="20"/>
              </w:rPr>
            </w:pPr>
          </w:p>
        </w:tc>
      </w:tr>
      <w:tr w:rsidR="005B679B" w:rsidRPr="005B679B" w14:paraId="0B758E81" w14:textId="77777777" w:rsidTr="0014248B">
        <w:trPr>
          <w:trHeight w:val="113"/>
        </w:trPr>
        <w:tc>
          <w:tcPr>
            <w:tcW w:w="1710" w:type="pct"/>
            <w:gridSpan w:val="3"/>
            <w:shd w:val="clear" w:color="auto" w:fill="auto"/>
          </w:tcPr>
          <w:p w14:paraId="48FBA16C" w14:textId="77777777" w:rsidR="005B679B" w:rsidRPr="005B679B" w:rsidRDefault="005B679B" w:rsidP="005B679B">
            <w:pPr>
              <w:tabs>
                <w:tab w:val="left" w:pos="1091"/>
              </w:tabs>
              <w:spacing w:after="0"/>
              <w:rPr>
                <w:sz w:val="20"/>
                <w:szCs w:val="20"/>
              </w:rPr>
            </w:pPr>
            <w:r w:rsidRPr="005B679B">
              <w:rPr>
                <w:sz w:val="20"/>
                <w:szCs w:val="20"/>
              </w:rPr>
              <w:t>Articolul 27</w:t>
            </w:r>
          </w:p>
          <w:p w14:paraId="786C85C5" w14:textId="77777777" w:rsidR="005B679B" w:rsidRPr="005B679B" w:rsidRDefault="005B679B" w:rsidP="005B679B">
            <w:pPr>
              <w:tabs>
                <w:tab w:val="left" w:pos="1091"/>
              </w:tabs>
              <w:spacing w:after="0"/>
              <w:rPr>
                <w:sz w:val="20"/>
                <w:szCs w:val="20"/>
              </w:rPr>
            </w:pPr>
            <w:r w:rsidRPr="005B679B">
              <w:rPr>
                <w:sz w:val="20"/>
                <w:szCs w:val="20"/>
              </w:rPr>
              <w:t>Prezenta directivă intră în vigoare în a douăzecea zi de la data publicării în Jurnalul Oficial al Comunităților Europene.</w:t>
            </w:r>
          </w:p>
        </w:tc>
        <w:tc>
          <w:tcPr>
            <w:tcW w:w="1512" w:type="pct"/>
            <w:shd w:val="clear" w:color="auto" w:fill="auto"/>
          </w:tcPr>
          <w:p w14:paraId="7654D917" w14:textId="77777777" w:rsidR="005B679B" w:rsidRPr="005B679B" w:rsidRDefault="005B679B" w:rsidP="005B679B">
            <w:pPr>
              <w:tabs>
                <w:tab w:val="left" w:pos="1091"/>
              </w:tabs>
              <w:spacing w:after="0"/>
              <w:rPr>
                <w:sz w:val="20"/>
                <w:szCs w:val="20"/>
              </w:rPr>
            </w:pPr>
          </w:p>
        </w:tc>
        <w:tc>
          <w:tcPr>
            <w:tcW w:w="988" w:type="pct"/>
            <w:shd w:val="clear" w:color="auto" w:fill="auto"/>
            <w:vAlign w:val="center"/>
          </w:tcPr>
          <w:p w14:paraId="30193161" w14:textId="77777777" w:rsidR="005B679B" w:rsidRPr="005B679B" w:rsidRDefault="005B679B" w:rsidP="005B679B">
            <w:pPr>
              <w:tabs>
                <w:tab w:val="left" w:pos="1091"/>
              </w:tabs>
              <w:spacing w:after="0"/>
              <w:jc w:val="center"/>
              <w:rPr>
                <w:b/>
                <w:bCs/>
                <w:sz w:val="20"/>
                <w:szCs w:val="20"/>
              </w:rPr>
            </w:pPr>
            <w:r w:rsidRPr="005B679B">
              <w:rPr>
                <w:b/>
                <w:bCs/>
                <w:sz w:val="20"/>
                <w:szCs w:val="20"/>
              </w:rPr>
              <w:t>Norme UE neaplicabile</w:t>
            </w:r>
          </w:p>
        </w:tc>
        <w:tc>
          <w:tcPr>
            <w:tcW w:w="790" w:type="pct"/>
            <w:shd w:val="clear" w:color="auto" w:fill="auto"/>
            <w:vAlign w:val="center"/>
          </w:tcPr>
          <w:p w14:paraId="70CBBF62" w14:textId="44703DBA" w:rsidR="005B679B" w:rsidRPr="005B679B" w:rsidRDefault="005B679B" w:rsidP="005B679B">
            <w:pPr>
              <w:tabs>
                <w:tab w:val="left" w:pos="1091"/>
              </w:tabs>
              <w:spacing w:after="0"/>
              <w:jc w:val="center"/>
              <w:rPr>
                <w:sz w:val="20"/>
                <w:szCs w:val="20"/>
              </w:rPr>
            </w:pPr>
          </w:p>
        </w:tc>
      </w:tr>
      <w:tr w:rsidR="005B679B" w:rsidRPr="005B679B" w14:paraId="49EFB6DD" w14:textId="77777777" w:rsidTr="0014248B">
        <w:trPr>
          <w:trHeight w:val="113"/>
        </w:trPr>
        <w:tc>
          <w:tcPr>
            <w:tcW w:w="1710" w:type="pct"/>
            <w:gridSpan w:val="3"/>
            <w:shd w:val="clear" w:color="auto" w:fill="auto"/>
          </w:tcPr>
          <w:p w14:paraId="37E89353" w14:textId="77777777" w:rsidR="005B679B" w:rsidRPr="005B679B" w:rsidRDefault="005B679B" w:rsidP="005B679B">
            <w:pPr>
              <w:tabs>
                <w:tab w:val="left" w:pos="1091"/>
              </w:tabs>
              <w:spacing w:after="0"/>
              <w:rPr>
                <w:sz w:val="20"/>
                <w:szCs w:val="20"/>
              </w:rPr>
            </w:pPr>
            <w:r w:rsidRPr="005B679B">
              <w:rPr>
                <w:sz w:val="20"/>
                <w:szCs w:val="20"/>
              </w:rPr>
              <w:t>Articolul 28</w:t>
            </w:r>
          </w:p>
          <w:p w14:paraId="7068B449" w14:textId="77777777" w:rsidR="005B679B" w:rsidRPr="005B679B" w:rsidRDefault="005B679B" w:rsidP="005B679B">
            <w:pPr>
              <w:tabs>
                <w:tab w:val="left" w:pos="1091"/>
              </w:tabs>
              <w:spacing w:after="0"/>
              <w:rPr>
                <w:sz w:val="20"/>
                <w:szCs w:val="20"/>
              </w:rPr>
            </w:pPr>
            <w:r w:rsidRPr="005B679B">
              <w:rPr>
                <w:sz w:val="20"/>
                <w:szCs w:val="20"/>
              </w:rPr>
              <w:t>Prezenta directivă se adresează statelor membre.</w:t>
            </w:r>
          </w:p>
        </w:tc>
        <w:tc>
          <w:tcPr>
            <w:tcW w:w="1512" w:type="pct"/>
            <w:shd w:val="clear" w:color="auto" w:fill="auto"/>
          </w:tcPr>
          <w:p w14:paraId="7BD94C40" w14:textId="77777777" w:rsidR="005B679B" w:rsidRPr="005B679B" w:rsidRDefault="005B679B" w:rsidP="005B679B">
            <w:pPr>
              <w:tabs>
                <w:tab w:val="left" w:pos="1091"/>
              </w:tabs>
              <w:spacing w:after="0"/>
              <w:rPr>
                <w:sz w:val="20"/>
                <w:szCs w:val="20"/>
              </w:rPr>
            </w:pPr>
          </w:p>
        </w:tc>
        <w:tc>
          <w:tcPr>
            <w:tcW w:w="988" w:type="pct"/>
            <w:shd w:val="clear" w:color="auto" w:fill="auto"/>
            <w:vAlign w:val="center"/>
          </w:tcPr>
          <w:p w14:paraId="5A4F3DA4" w14:textId="77777777" w:rsidR="005B679B" w:rsidRPr="005B679B" w:rsidRDefault="005B679B" w:rsidP="005B679B">
            <w:pPr>
              <w:tabs>
                <w:tab w:val="left" w:pos="1091"/>
              </w:tabs>
              <w:spacing w:after="0"/>
              <w:jc w:val="center"/>
              <w:rPr>
                <w:b/>
                <w:bCs/>
                <w:sz w:val="20"/>
                <w:szCs w:val="20"/>
              </w:rPr>
            </w:pPr>
            <w:r w:rsidRPr="005B679B">
              <w:rPr>
                <w:b/>
                <w:bCs/>
                <w:sz w:val="20"/>
                <w:szCs w:val="20"/>
              </w:rPr>
              <w:t>Norme UE neaplicabile</w:t>
            </w:r>
          </w:p>
        </w:tc>
        <w:tc>
          <w:tcPr>
            <w:tcW w:w="790" w:type="pct"/>
            <w:shd w:val="clear" w:color="auto" w:fill="auto"/>
            <w:vAlign w:val="center"/>
          </w:tcPr>
          <w:p w14:paraId="73F7B7F3" w14:textId="20FCE9FB" w:rsidR="005B679B" w:rsidRPr="005B679B" w:rsidRDefault="005B679B" w:rsidP="005B679B">
            <w:pPr>
              <w:tabs>
                <w:tab w:val="left" w:pos="1091"/>
              </w:tabs>
              <w:spacing w:after="0"/>
              <w:jc w:val="center"/>
              <w:rPr>
                <w:sz w:val="20"/>
                <w:szCs w:val="20"/>
              </w:rPr>
            </w:pPr>
          </w:p>
        </w:tc>
      </w:tr>
      <w:tr w:rsidR="005B679B" w:rsidRPr="005B679B" w14:paraId="362FB1C5" w14:textId="77777777" w:rsidTr="0014248B">
        <w:trPr>
          <w:trHeight w:val="113"/>
        </w:trPr>
        <w:tc>
          <w:tcPr>
            <w:tcW w:w="1710" w:type="pct"/>
            <w:gridSpan w:val="3"/>
            <w:shd w:val="clear" w:color="auto" w:fill="auto"/>
          </w:tcPr>
          <w:p w14:paraId="0C4709EA" w14:textId="77777777" w:rsidR="005B679B" w:rsidRPr="005B679B" w:rsidRDefault="005B679B" w:rsidP="005B679B">
            <w:pPr>
              <w:tabs>
                <w:tab w:val="left" w:pos="1091"/>
              </w:tabs>
              <w:spacing w:after="0"/>
              <w:jc w:val="center"/>
              <w:rPr>
                <w:b/>
                <w:bCs/>
                <w:sz w:val="20"/>
                <w:szCs w:val="20"/>
              </w:rPr>
            </w:pPr>
            <w:r w:rsidRPr="005B679B">
              <w:rPr>
                <w:b/>
                <w:bCs/>
                <w:sz w:val="20"/>
                <w:szCs w:val="20"/>
              </w:rPr>
              <w:t>ANEXA I</w:t>
            </w:r>
          </w:p>
          <w:p w14:paraId="1C541BD8" w14:textId="77777777" w:rsidR="005B679B" w:rsidRPr="005B679B" w:rsidRDefault="005B679B" w:rsidP="005B679B">
            <w:pPr>
              <w:tabs>
                <w:tab w:val="left" w:pos="1091"/>
              </w:tabs>
              <w:spacing w:after="0"/>
              <w:jc w:val="center"/>
              <w:rPr>
                <w:b/>
                <w:bCs/>
                <w:sz w:val="20"/>
                <w:szCs w:val="20"/>
              </w:rPr>
            </w:pPr>
            <w:r w:rsidRPr="005B679B">
              <w:rPr>
                <w:b/>
                <w:bCs/>
                <w:sz w:val="20"/>
                <w:szCs w:val="20"/>
              </w:rPr>
              <w:t>PARTEA A</w:t>
            </w:r>
          </w:p>
          <w:p w14:paraId="61BCEC08" w14:textId="77777777" w:rsidR="005B679B" w:rsidRPr="005B679B" w:rsidRDefault="005B679B" w:rsidP="005B679B">
            <w:pPr>
              <w:tabs>
                <w:tab w:val="left" w:pos="1091"/>
              </w:tabs>
              <w:spacing w:after="0"/>
              <w:jc w:val="center"/>
              <w:rPr>
                <w:b/>
                <w:bCs/>
                <w:sz w:val="20"/>
                <w:szCs w:val="20"/>
              </w:rPr>
            </w:pPr>
            <w:r w:rsidRPr="005B679B">
              <w:rPr>
                <w:b/>
                <w:bCs/>
                <w:sz w:val="20"/>
                <w:szCs w:val="20"/>
              </w:rPr>
              <w:lastRenderedPageBreak/>
              <w:t>DIRECTIVĂ ABROGATĂ ȘI MODIFICĂRILE SALE SUCCESIVE</w:t>
            </w:r>
          </w:p>
          <w:p w14:paraId="27B7E273" w14:textId="77777777" w:rsidR="005B679B" w:rsidRPr="005B679B" w:rsidRDefault="005B679B" w:rsidP="005B679B">
            <w:pPr>
              <w:tabs>
                <w:tab w:val="left" w:pos="1091"/>
              </w:tabs>
              <w:spacing w:after="0"/>
              <w:jc w:val="center"/>
              <w:rPr>
                <w:b/>
                <w:bCs/>
                <w:sz w:val="20"/>
                <w:szCs w:val="20"/>
              </w:rPr>
            </w:pPr>
            <w:r w:rsidRPr="005B679B">
              <w:rPr>
                <w:b/>
                <w:bCs/>
                <w:sz w:val="20"/>
                <w:szCs w:val="20"/>
              </w:rPr>
              <w:t>(menționate la articolul 26)</w:t>
            </w:r>
          </w:p>
        </w:tc>
        <w:tc>
          <w:tcPr>
            <w:tcW w:w="1512" w:type="pct"/>
            <w:vMerge w:val="restart"/>
            <w:shd w:val="clear" w:color="auto" w:fill="auto"/>
          </w:tcPr>
          <w:p w14:paraId="54770CB3" w14:textId="77777777" w:rsidR="005B679B" w:rsidRPr="005B679B" w:rsidRDefault="005B679B" w:rsidP="005B679B">
            <w:pPr>
              <w:tabs>
                <w:tab w:val="left" w:pos="1091"/>
              </w:tabs>
              <w:spacing w:after="0"/>
              <w:rPr>
                <w:sz w:val="20"/>
                <w:szCs w:val="20"/>
              </w:rPr>
            </w:pPr>
          </w:p>
        </w:tc>
        <w:tc>
          <w:tcPr>
            <w:tcW w:w="988" w:type="pct"/>
            <w:vMerge w:val="restart"/>
            <w:shd w:val="clear" w:color="auto" w:fill="auto"/>
            <w:vAlign w:val="center"/>
          </w:tcPr>
          <w:p w14:paraId="762F0E55" w14:textId="77777777" w:rsidR="005B679B" w:rsidRPr="005B679B" w:rsidRDefault="005B679B" w:rsidP="005B679B">
            <w:pPr>
              <w:tabs>
                <w:tab w:val="left" w:pos="1091"/>
              </w:tabs>
              <w:spacing w:after="0"/>
              <w:jc w:val="center"/>
              <w:rPr>
                <w:b/>
                <w:bCs/>
                <w:sz w:val="20"/>
                <w:szCs w:val="20"/>
              </w:rPr>
            </w:pPr>
            <w:r w:rsidRPr="005B679B">
              <w:rPr>
                <w:b/>
                <w:bCs/>
                <w:sz w:val="20"/>
                <w:szCs w:val="20"/>
              </w:rPr>
              <w:t>Normă UE neaplicabilă</w:t>
            </w:r>
          </w:p>
        </w:tc>
        <w:tc>
          <w:tcPr>
            <w:tcW w:w="790" w:type="pct"/>
            <w:vMerge w:val="restart"/>
            <w:shd w:val="clear" w:color="auto" w:fill="auto"/>
            <w:vAlign w:val="center"/>
          </w:tcPr>
          <w:p w14:paraId="40049B46" w14:textId="77777777" w:rsidR="005B679B" w:rsidRPr="005B679B" w:rsidRDefault="005B679B" w:rsidP="005B679B">
            <w:pPr>
              <w:tabs>
                <w:tab w:val="left" w:pos="1091"/>
              </w:tabs>
              <w:spacing w:after="0"/>
              <w:jc w:val="center"/>
              <w:rPr>
                <w:b/>
                <w:bCs/>
                <w:sz w:val="20"/>
                <w:szCs w:val="20"/>
              </w:rPr>
            </w:pPr>
          </w:p>
        </w:tc>
      </w:tr>
      <w:tr w:rsidR="005B679B" w:rsidRPr="005B679B" w14:paraId="379E8D02" w14:textId="77777777" w:rsidTr="0014248B">
        <w:trPr>
          <w:trHeight w:val="113"/>
        </w:trPr>
        <w:tc>
          <w:tcPr>
            <w:tcW w:w="855" w:type="pct"/>
            <w:gridSpan w:val="2"/>
            <w:tcBorders>
              <w:top w:val="single" w:sz="6" w:space="0" w:color="000000"/>
              <w:left w:val="single" w:sz="6" w:space="0" w:color="000000"/>
              <w:bottom w:val="single" w:sz="6" w:space="0" w:color="000000"/>
              <w:right w:val="single" w:sz="6" w:space="0" w:color="000000"/>
            </w:tcBorders>
            <w:shd w:val="clear" w:color="auto" w:fill="FFFFFF"/>
          </w:tcPr>
          <w:p w14:paraId="5EC396E6" w14:textId="77777777" w:rsidR="005B679B" w:rsidRPr="005B679B" w:rsidRDefault="005B679B" w:rsidP="005B679B">
            <w:pPr>
              <w:tabs>
                <w:tab w:val="left" w:pos="1091"/>
              </w:tabs>
              <w:spacing w:after="0"/>
              <w:rPr>
                <w:b/>
                <w:bCs/>
                <w:sz w:val="20"/>
                <w:szCs w:val="20"/>
              </w:rPr>
            </w:pPr>
            <w:r w:rsidRPr="005B679B">
              <w:rPr>
                <w:sz w:val="20"/>
                <w:szCs w:val="20"/>
                <w:lang w:eastAsia="ro-RO"/>
              </w:rPr>
              <w:lastRenderedPageBreak/>
              <w:t>Directiva 70/457/CEE (JO L 225, 12.10.1970, p. 1)</w:t>
            </w:r>
          </w:p>
        </w:tc>
        <w:tc>
          <w:tcPr>
            <w:tcW w:w="855" w:type="pct"/>
            <w:tcBorders>
              <w:top w:val="single" w:sz="6" w:space="0" w:color="000000"/>
              <w:left w:val="single" w:sz="6" w:space="0" w:color="000000"/>
              <w:bottom w:val="single" w:sz="6" w:space="0" w:color="000000"/>
              <w:right w:val="single" w:sz="6" w:space="0" w:color="000000"/>
            </w:tcBorders>
            <w:shd w:val="clear" w:color="auto" w:fill="FFFFFF"/>
          </w:tcPr>
          <w:p w14:paraId="1080E893" w14:textId="77777777" w:rsidR="005B679B" w:rsidRPr="005B679B" w:rsidRDefault="005B679B" w:rsidP="005B679B">
            <w:pPr>
              <w:tabs>
                <w:tab w:val="left" w:pos="1091"/>
              </w:tabs>
              <w:spacing w:after="0"/>
              <w:rPr>
                <w:sz w:val="20"/>
                <w:szCs w:val="20"/>
              </w:rPr>
            </w:pPr>
            <w:r w:rsidRPr="005B679B">
              <w:rPr>
                <w:color w:val="333333"/>
                <w:sz w:val="20"/>
                <w:szCs w:val="20"/>
                <w:lang w:eastAsia="ro-RO"/>
              </w:rPr>
              <w:t>doar în ceea ce privește trimiterile la dispozițiile Directivei 70/457/CEE de la articolele 1 și 2</w:t>
            </w:r>
          </w:p>
        </w:tc>
        <w:tc>
          <w:tcPr>
            <w:tcW w:w="1512" w:type="pct"/>
            <w:vMerge/>
            <w:shd w:val="clear" w:color="auto" w:fill="auto"/>
          </w:tcPr>
          <w:p w14:paraId="3C66FBE9" w14:textId="77777777" w:rsidR="005B679B" w:rsidRPr="005B679B" w:rsidRDefault="005B679B" w:rsidP="005B679B">
            <w:pPr>
              <w:tabs>
                <w:tab w:val="left" w:pos="1091"/>
              </w:tabs>
              <w:spacing w:after="0"/>
              <w:rPr>
                <w:sz w:val="20"/>
                <w:szCs w:val="20"/>
              </w:rPr>
            </w:pPr>
          </w:p>
        </w:tc>
        <w:tc>
          <w:tcPr>
            <w:tcW w:w="988" w:type="pct"/>
            <w:vMerge/>
            <w:shd w:val="clear" w:color="auto" w:fill="auto"/>
            <w:vAlign w:val="center"/>
          </w:tcPr>
          <w:p w14:paraId="55DAEF70" w14:textId="77777777" w:rsidR="005B679B" w:rsidRPr="005B679B" w:rsidRDefault="005B679B" w:rsidP="005B679B">
            <w:pPr>
              <w:tabs>
                <w:tab w:val="left" w:pos="1091"/>
              </w:tabs>
              <w:spacing w:after="0"/>
              <w:jc w:val="center"/>
              <w:rPr>
                <w:b/>
                <w:bCs/>
                <w:sz w:val="20"/>
                <w:szCs w:val="20"/>
              </w:rPr>
            </w:pPr>
          </w:p>
        </w:tc>
        <w:tc>
          <w:tcPr>
            <w:tcW w:w="790" w:type="pct"/>
            <w:vMerge/>
            <w:shd w:val="clear" w:color="auto" w:fill="auto"/>
            <w:vAlign w:val="center"/>
          </w:tcPr>
          <w:p w14:paraId="3729EF23" w14:textId="77777777" w:rsidR="005B679B" w:rsidRPr="005B679B" w:rsidRDefault="005B679B" w:rsidP="005B679B">
            <w:pPr>
              <w:tabs>
                <w:tab w:val="left" w:pos="1091"/>
              </w:tabs>
              <w:spacing w:after="0"/>
              <w:jc w:val="center"/>
              <w:rPr>
                <w:b/>
                <w:bCs/>
                <w:sz w:val="20"/>
                <w:szCs w:val="20"/>
              </w:rPr>
            </w:pPr>
          </w:p>
        </w:tc>
      </w:tr>
      <w:tr w:rsidR="005B679B" w:rsidRPr="005B679B" w14:paraId="40E5265F" w14:textId="77777777" w:rsidTr="0014248B">
        <w:trPr>
          <w:trHeight w:val="113"/>
        </w:trPr>
        <w:tc>
          <w:tcPr>
            <w:tcW w:w="855" w:type="pct"/>
            <w:gridSpan w:val="2"/>
            <w:tcBorders>
              <w:top w:val="single" w:sz="6" w:space="0" w:color="000000"/>
              <w:left w:val="single" w:sz="6" w:space="0" w:color="000000"/>
              <w:bottom w:val="single" w:sz="6" w:space="0" w:color="000000"/>
              <w:right w:val="single" w:sz="6" w:space="0" w:color="000000"/>
            </w:tcBorders>
            <w:shd w:val="clear" w:color="auto" w:fill="FFFFFF"/>
          </w:tcPr>
          <w:p w14:paraId="589451DA" w14:textId="77777777" w:rsidR="005B679B" w:rsidRPr="005B679B" w:rsidRDefault="005B679B" w:rsidP="005B679B">
            <w:pPr>
              <w:tabs>
                <w:tab w:val="left" w:pos="1091"/>
              </w:tabs>
              <w:spacing w:after="0"/>
              <w:rPr>
                <w:b/>
                <w:bCs/>
                <w:sz w:val="20"/>
                <w:szCs w:val="20"/>
              </w:rPr>
            </w:pPr>
            <w:r w:rsidRPr="005B679B">
              <w:rPr>
                <w:sz w:val="20"/>
                <w:szCs w:val="20"/>
                <w:lang w:eastAsia="ro-RO"/>
              </w:rPr>
              <w:t>Directiva 72/274/CEE a Consiliului (JO L 171, 29.7.1972, p. 37)</w:t>
            </w:r>
          </w:p>
        </w:tc>
        <w:tc>
          <w:tcPr>
            <w:tcW w:w="855" w:type="pct"/>
            <w:tcBorders>
              <w:top w:val="single" w:sz="6" w:space="0" w:color="000000"/>
              <w:left w:val="single" w:sz="6" w:space="0" w:color="000000"/>
              <w:bottom w:val="single" w:sz="6" w:space="0" w:color="000000"/>
              <w:right w:val="single" w:sz="6" w:space="0" w:color="000000"/>
            </w:tcBorders>
            <w:shd w:val="clear" w:color="auto" w:fill="FFFFFF"/>
          </w:tcPr>
          <w:p w14:paraId="4D150704" w14:textId="77777777" w:rsidR="005B679B" w:rsidRPr="005B679B" w:rsidRDefault="005B679B" w:rsidP="005B679B">
            <w:pPr>
              <w:tabs>
                <w:tab w:val="left" w:pos="1091"/>
              </w:tabs>
              <w:spacing w:after="0"/>
              <w:rPr>
                <w:sz w:val="20"/>
                <w:szCs w:val="20"/>
              </w:rPr>
            </w:pPr>
            <w:r w:rsidRPr="005B679B">
              <w:rPr>
                <w:color w:val="333333"/>
                <w:sz w:val="20"/>
                <w:szCs w:val="20"/>
                <w:lang w:eastAsia="ro-RO"/>
              </w:rPr>
              <w:t>numai articolul 7</w:t>
            </w:r>
          </w:p>
        </w:tc>
        <w:tc>
          <w:tcPr>
            <w:tcW w:w="1512" w:type="pct"/>
            <w:vMerge/>
            <w:shd w:val="clear" w:color="auto" w:fill="auto"/>
          </w:tcPr>
          <w:p w14:paraId="3ABAF0BB" w14:textId="77777777" w:rsidR="005B679B" w:rsidRPr="005B679B" w:rsidRDefault="005B679B" w:rsidP="005B679B">
            <w:pPr>
              <w:tabs>
                <w:tab w:val="left" w:pos="1091"/>
              </w:tabs>
              <w:spacing w:after="0"/>
              <w:rPr>
                <w:sz w:val="20"/>
                <w:szCs w:val="20"/>
              </w:rPr>
            </w:pPr>
          </w:p>
        </w:tc>
        <w:tc>
          <w:tcPr>
            <w:tcW w:w="988" w:type="pct"/>
            <w:vMerge/>
            <w:shd w:val="clear" w:color="auto" w:fill="auto"/>
            <w:vAlign w:val="center"/>
          </w:tcPr>
          <w:p w14:paraId="30B20C54" w14:textId="77777777" w:rsidR="005B679B" w:rsidRPr="005B679B" w:rsidRDefault="005B679B" w:rsidP="005B679B">
            <w:pPr>
              <w:tabs>
                <w:tab w:val="left" w:pos="1091"/>
              </w:tabs>
              <w:spacing w:after="0"/>
              <w:jc w:val="center"/>
              <w:rPr>
                <w:b/>
                <w:bCs/>
                <w:sz w:val="20"/>
                <w:szCs w:val="20"/>
              </w:rPr>
            </w:pPr>
          </w:p>
        </w:tc>
        <w:tc>
          <w:tcPr>
            <w:tcW w:w="790" w:type="pct"/>
            <w:vMerge/>
            <w:shd w:val="clear" w:color="auto" w:fill="auto"/>
            <w:vAlign w:val="center"/>
          </w:tcPr>
          <w:p w14:paraId="595B165D" w14:textId="77777777" w:rsidR="005B679B" w:rsidRPr="005B679B" w:rsidRDefault="005B679B" w:rsidP="005B679B">
            <w:pPr>
              <w:tabs>
                <w:tab w:val="left" w:pos="1091"/>
              </w:tabs>
              <w:spacing w:after="0"/>
              <w:jc w:val="center"/>
              <w:rPr>
                <w:b/>
                <w:bCs/>
                <w:sz w:val="20"/>
                <w:szCs w:val="20"/>
              </w:rPr>
            </w:pPr>
          </w:p>
        </w:tc>
      </w:tr>
      <w:tr w:rsidR="005B679B" w:rsidRPr="005B679B" w14:paraId="5753ECEA" w14:textId="77777777" w:rsidTr="0014248B">
        <w:trPr>
          <w:trHeight w:val="113"/>
        </w:trPr>
        <w:tc>
          <w:tcPr>
            <w:tcW w:w="855" w:type="pct"/>
            <w:gridSpan w:val="2"/>
            <w:tcBorders>
              <w:top w:val="single" w:sz="6" w:space="0" w:color="000000"/>
              <w:left w:val="single" w:sz="6" w:space="0" w:color="000000"/>
              <w:bottom w:val="single" w:sz="6" w:space="0" w:color="000000"/>
              <w:right w:val="single" w:sz="6" w:space="0" w:color="000000"/>
            </w:tcBorders>
            <w:shd w:val="clear" w:color="auto" w:fill="FFFFFF"/>
          </w:tcPr>
          <w:p w14:paraId="31FDF19D" w14:textId="77777777" w:rsidR="005B679B" w:rsidRPr="005B679B" w:rsidRDefault="005B679B" w:rsidP="005B679B">
            <w:pPr>
              <w:tabs>
                <w:tab w:val="left" w:pos="1091"/>
              </w:tabs>
              <w:spacing w:after="0"/>
              <w:rPr>
                <w:b/>
                <w:bCs/>
                <w:sz w:val="20"/>
                <w:szCs w:val="20"/>
              </w:rPr>
            </w:pPr>
            <w:r w:rsidRPr="005B679B">
              <w:rPr>
                <w:sz w:val="20"/>
                <w:szCs w:val="20"/>
                <w:lang w:eastAsia="ro-RO"/>
              </w:rPr>
              <w:t>Directiva 72/418/CEE a Consiliului (JO L 287, 26.12.1972, p. 22)</w:t>
            </w:r>
          </w:p>
        </w:tc>
        <w:tc>
          <w:tcPr>
            <w:tcW w:w="855" w:type="pct"/>
            <w:tcBorders>
              <w:top w:val="single" w:sz="6" w:space="0" w:color="000000"/>
              <w:left w:val="single" w:sz="6" w:space="0" w:color="000000"/>
              <w:bottom w:val="single" w:sz="6" w:space="0" w:color="000000"/>
              <w:right w:val="single" w:sz="6" w:space="0" w:color="000000"/>
            </w:tcBorders>
            <w:shd w:val="clear" w:color="auto" w:fill="FFFFFF"/>
          </w:tcPr>
          <w:p w14:paraId="762AEB79" w14:textId="77777777" w:rsidR="005B679B" w:rsidRPr="005B679B" w:rsidRDefault="005B679B" w:rsidP="005B679B">
            <w:pPr>
              <w:tabs>
                <w:tab w:val="left" w:pos="1091"/>
              </w:tabs>
              <w:spacing w:after="0"/>
              <w:rPr>
                <w:sz w:val="20"/>
                <w:szCs w:val="20"/>
              </w:rPr>
            </w:pPr>
            <w:r w:rsidRPr="005B679B">
              <w:rPr>
                <w:color w:val="333333"/>
                <w:sz w:val="20"/>
                <w:szCs w:val="20"/>
                <w:lang w:eastAsia="ro-RO"/>
              </w:rPr>
              <w:t>numai articolul 7</w:t>
            </w:r>
          </w:p>
        </w:tc>
        <w:tc>
          <w:tcPr>
            <w:tcW w:w="1512" w:type="pct"/>
            <w:vMerge/>
            <w:shd w:val="clear" w:color="auto" w:fill="auto"/>
          </w:tcPr>
          <w:p w14:paraId="6798802F" w14:textId="77777777" w:rsidR="005B679B" w:rsidRPr="005B679B" w:rsidRDefault="005B679B" w:rsidP="005B679B">
            <w:pPr>
              <w:tabs>
                <w:tab w:val="left" w:pos="1091"/>
              </w:tabs>
              <w:spacing w:after="0"/>
              <w:rPr>
                <w:sz w:val="20"/>
                <w:szCs w:val="20"/>
              </w:rPr>
            </w:pPr>
          </w:p>
        </w:tc>
        <w:tc>
          <w:tcPr>
            <w:tcW w:w="988" w:type="pct"/>
            <w:vMerge/>
            <w:shd w:val="clear" w:color="auto" w:fill="auto"/>
            <w:vAlign w:val="center"/>
          </w:tcPr>
          <w:p w14:paraId="607A7565" w14:textId="77777777" w:rsidR="005B679B" w:rsidRPr="005B679B" w:rsidRDefault="005B679B" w:rsidP="005B679B">
            <w:pPr>
              <w:tabs>
                <w:tab w:val="left" w:pos="1091"/>
              </w:tabs>
              <w:spacing w:after="0"/>
              <w:jc w:val="center"/>
              <w:rPr>
                <w:b/>
                <w:bCs/>
                <w:sz w:val="20"/>
                <w:szCs w:val="20"/>
              </w:rPr>
            </w:pPr>
          </w:p>
        </w:tc>
        <w:tc>
          <w:tcPr>
            <w:tcW w:w="790" w:type="pct"/>
            <w:vMerge/>
            <w:shd w:val="clear" w:color="auto" w:fill="auto"/>
            <w:vAlign w:val="center"/>
          </w:tcPr>
          <w:p w14:paraId="13878A8D" w14:textId="77777777" w:rsidR="005B679B" w:rsidRPr="005B679B" w:rsidRDefault="005B679B" w:rsidP="005B679B">
            <w:pPr>
              <w:tabs>
                <w:tab w:val="left" w:pos="1091"/>
              </w:tabs>
              <w:spacing w:after="0"/>
              <w:jc w:val="center"/>
              <w:rPr>
                <w:b/>
                <w:bCs/>
                <w:sz w:val="20"/>
                <w:szCs w:val="20"/>
              </w:rPr>
            </w:pPr>
          </w:p>
        </w:tc>
      </w:tr>
      <w:tr w:rsidR="005B679B" w:rsidRPr="005B679B" w14:paraId="15EC48CD" w14:textId="77777777" w:rsidTr="0014248B">
        <w:trPr>
          <w:trHeight w:val="113"/>
        </w:trPr>
        <w:tc>
          <w:tcPr>
            <w:tcW w:w="855" w:type="pct"/>
            <w:gridSpan w:val="2"/>
            <w:tcBorders>
              <w:top w:val="single" w:sz="6" w:space="0" w:color="000000"/>
              <w:left w:val="single" w:sz="6" w:space="0" w:color="000000"/>
              <w:bottom w:val="single" w:sz="6" w:space="0" w:color="000000"/>
              <w:right w:val="single" w:sz="6" w:space="0" w:color="000000"/>
            </w:tcBorders>
            <w:shd w:val="clear" w:color="auto" w:fill="FFFFFF"/>
          </w:tcPr>
          <w:p w14:paraId="49B4B90E" w14:textId="77777777" w:rsidR="005B679B" w:rsidRPr="005B679B" w:rsidRDefault="005B679B" w:rsidP="005B679B">
            <w:pPr>
              <w:tabs>
                <w:tab w:val="left" w:pos="1091"/>
              </w:tabs>
              <w:spacing w:after="0"/>
              <w:rPr>
                <w:b/>
                <w:bCs/>
                <w:sz w:val="20"/>
                <w:szCs w:val="20"/>
              </w:rPr>
            </w:pPr>
            <w:r w:rsidRPr="005B679B">
              <w:rPr>
                <w:sz w:val="20"/>
                <w:szCs w:val="20"/>
                <w:lang w:eastAsia="ro-RO"/>
              </w:rPr>
              <w:t>Directiva 73/438/CEE a Consiliului (JO L 356, 27.12.1973, p. 79)</w:t>
            </w:r>
          </w:p>
        </w:tc>
        <w:tc>
          <w:tcPr>
            <w:tcW w:w="855" w:type="pct"/>
            <w:tcBorders>
              <w:top w:val="single" w:sz="6" w:space="0" w:color="000000"/>
              <w:left w:val="single" w:sz="6" w:space="0" w:color="000000"/>
              <w:bottom w:val="single" w:sz="6" w:space="0" w:color="000000"/>
              <w:right w:val="single" w:sz="6" w:space="0" w:color="000000"/>
            </w:tcBorders>
            <w:shd w:val="clear" w:color="auto" w:fill="FFFFFF"/>
          </w:tcPr>
          <w:p w14:paraId="352C2514" w14:textId="77777777" w:rsidR="005B679B" w:rsidRPr="005B679B" w:rsidRDefault="005B679B" w:rsidP="005B679B">
            <w:pPr>
              <w:tabs>
                <w:tab w:val="left" w:pos="1091"/>
              </w:tabs>
              <w:spacing w:after="0"/>
              <w:rPr>
                <w:sz w:val="20"/>
                <w:szCs w:val="20"/>
              </w:rPr>
            </w:pPr>
            <w:r w:rsidRPr="005B679B">
              <w:rPr>
                <w:color w:val="333333"/>
                <w:sz w:val="20"/>
                <w:szCs w:val="20"/>
                <w:lang w:eastAsia="ro-RO"/>
              </w:rPr>
              <w:t>numai articolul 6</w:t>
            </w:r>
          </w:p>
        </w:tc>
        <w:tc>
          <w:tcPr>
            <w:tcW w:w="1512" w:type="pct"/>
            <w:vMerge/>
            <w:shd w:val="clear" w:color="auto" w:fill="auto"/>
          </w:tcPr>
          <w:p w14:paraId="799745AE" w14:textId="77777777" w:rsidR="005B679B" w:rsidRPr="005B679B" w:rsidRDefault="005B679B" w:rsidP="005B679B">
            <w:pPr>
              <w:tabs>
                <w:tab w:val="left" w:pos="1091"/>
              </w:tabs>
              <w:spacing w:after="0"/>
              <w:rPr>
                <w:sz w:val="20"/>
                <w:szCs w:val="20"/>
              </w:rPr>
            </w:pPr>
          </w:p>
        </w:tc>
        <w:tc>
          <w:tcPr>
            <w:tcW w:w="988" w:type="pct"/>
            <w:vMerge/>
            <w:shd w:val="clear" w:color="auto" w:fill="auto"/>
            <w:vAlign w:val="center"/>
          </w:tcPr>
          <w:p w14:paraId="3B59271C" w14:textId="77777777" w:rsidR="005B679B" w:rsidRPr="005B679B" w:rsidRDefault="005B679B" w:rsidP="005B679B">
            <w:pPr>
              <w:tabs>
                <w:tab w:val="left" w:pos="1091"/>
              </w:tabs>
              <w:spacing w:after="0"/>
              <w:jc w:val="center"/>
              <w:rPr>
                <w:b/>
                <w:bCs/>
                <w:sz w:val="20"/>
                <w:szCs w:val="20"/>
              </w:rPr>
            </w:pPr>
          </w:p>
        </w:tc>
        <w:tc>
          <w:tcPr>
            <w:tcW w:w="790" w:type="pct"/>
            <w:vMerge/>
            <w:shd w:val="clear" w:color="auto" w:fill="auto"/>
            <w:vAlign w:val="center"/>
          </w:tcPr>
          <w:p w14:paraId="7DB42A08" w14:textId="77777777" w:rsidR="005B679B" w:rsidRPr="005B679B" w:rsidRDefault="005B679B" w:rsidP="005B679B">
            <w:pPr>
              <w:tabs>
                <w:tab w:val="left" w:pos="1091"/>
              </w:tabs>
              <w:spacing w:after="0"/>
              <w:jc w:val="center"/>
              <w:rPr>
                <w:b/>
                <w:bCs/>
                <w:sz w:val="20"/>
                <w:szCs w:val="20"/>
              </w:rPr>
            </w:pPr>
          </w:p>
        </w:tc>
      </w:tr>
      <w:tr w:rsidR="005B679B" w:rsidRPr="005B679B" w14:paraId="00446317" w14:textId="77777777" w:rsidTr="0014248B">
        <w:trPr>
          <w:trHeight w:val="113"/>
        </w:trPr>
        <w:tc>
          <w:tcPr>
            <w:tcW w:w="855" w:type="pct"/>
            <w:gridSpan w:val="2"/>
            <w:tcBorders>
              <w:top w:val="single" w:sz="6" w:space="0" w:color="000000"/>
              <w:left w:val="single" w:sz="6" w:space="0" w:color="000000"/>
              <w:bottom w:val="single" w:sz="6" w:space="0" w:color="000000"/>
              <w:right w:val="single" w:sz="6" w:space="0" w:color="000000"/>
            </w:tcBorders>
            <w:shd w:val="clear" w:color="auto" w:fill="FFFFFF"/>
          </w:tcPr>
          <w:p w14:paraId="24B1A303" w14:textId="77777777" w:rsidR="005B679B" w:rsidRPr="005B679B" w:rsidRDefault="005B679B" w:rsidP="005B679B">
            <w:pPr>
              <w:tabs>
                <w:tab w:val="left" w:pos="1091"/>
              </w:tabs>
              <w:spacing w:after="0"/>
              <w:rPr>
                <w:b/>
                <w:bCs/>
                <w:sz w:val="20"/>
                <w:szCs w:val="20"/>
              </w:rPr>
            </w:pPr>
            <w:r w:rsidRPr="005B679B">
              <w:rPr>
                <w:sz w:val="20"/>
                <w:szCs w:val="20"/>
                <w:lang w:eastAsia="ro-RO"/>
              </w:rPr>
              <w:t>Directiva 78/55/CEE a Consiliului (</w:t>
            </w:r>
            <w:hyperlink r:id="rId5" w:history="1">
              <w:r w:rsidRPr="005B679B">
                <w:rPr>
                  <w:sz w:val="20"/>
                  <w:szCs w:val="20"/>
                  <w:lang w:eastAsia="ro-RO"/>
                </w:rPr>
                <w:t>JO L 16, 20.1.1978, p. 23</w:t>
              </w:r>
            </w:hyperlink>
            <w:r w:rsidRPr="005B679B">
              <w:rPr>
                <w:sz w:val="20"/>
                <w:szCs w:val="20"/>
                <w:lang w:eastAsia="ro-RO"/>
              </w:rPr>
              <w:t>)</w:t>
            </w:r>
          </w:p>
        </w:tc>
        <w:tc>
          <w:tcPr>
            <w:tcW w:w="855" w:type="pct"/>
            <w:tcBorders>
              <w:top w:val="single" w:sz="6" w:space="0" w:color="000000"/>
              <w:left w:val="single" w:sz="6" w:space="0" w:color="000000"/>
              <w:bottom w:val="single" w:sz="6" w:space="0" w:color="000000"/>
              <w:right w:val="single" w:sz="6" w:space="0" w:color="000000"/>
            </w:tcBorders>
            <w:shd w:val="clear" w:color="auto" w:fill="FFFFFF"/>
          </w:tcPr>
          <w:p w14:paraId="4DC768F4" w14:textId="77777777" w:rsidR="005B679B" w:rsidRPr="005B679B" w:rsidRDefault="005B679B" w:rsidP="005B679B">
            <w:pPr>
              <w:tabs>
                <w:tab w:val="left" w:pos="1091"/>
              </w:tabs>
              <w:spacing w:after="0"/>
              <w:rPr>
                <w:sz w:val="20"/>
                <w:szCs w:val="20"/>
              </w:rPr>
            </w:pPr>
            <w:r w:rsidRPr="005B679B">
              <w:rPr>
                <w:color w:val="333333"/>
                <w:sz w:val="20"/>
                <w:szCs w:val="20"/>
                <w:lang w:eastAsia="ro-RO"/>
              </w:rPr>
              <w:t>numai articolul 3</w:t>
            </w:r>
          </w:p>
        </w:tc>
        <w:tc>
          <w:tcPr>
            <w:tcW w:w="1512" w:type="pct"/>
            <w:vMerge/>
            <w:shd w:val="clear" w:color="auto" w:fill="auto"/>
          </w:tcPr>
          <w:p w14:paraId="761241B0" w14:textId="77777777" w:rsidR="005B679B" w:rsidRPr="005B679B" w:rsidRDefault="005B679B" w:rsidP="005B679B">
            <w:pPr>
              <w:tabs>
                <w:tab w:val="left" w:pos="1091"/>
              </w:tabs>
              <w:spacing w:after="0"/>
              <w:rPr>
                <w:sz w:val="20"/>
                <w:szCs w:val="20"/>
              </w:rPr>
            </w:pPr>
          </w:p>
        </w:tc>
        <w:tc>
          <w:tcPr>
            <w:tcW w:w="988" w:type="pct"/>
            <w:vMerge/>
            <w:shd w:val="clear" w:color="auto" w:fill="auto"/>
            <w:vAlign w:val="center"/>
          </w:tcPr>
          <w:p w14:paraId="356EF01A" w14:textId="77777777" w:rsidR="005B679B" w:rsidRPr="005B679B" w:rsidRDefault="005B679B" w:rsidP="005B679B">
            <w:pPr>
              <w:tabs>
                <w:tab w:val="left" w:pos="1091"/>
              </w:tabs>
              <w:spacing w:after="0"/>
              <w:jc w:val="center"/>
              <w:rPr>
                <w:b/>
                <w:bCs/>
                <w:sz w:val="20"/>
                <w:szCs w:val="20"/>
              </w:rPr>
            </w:pPr>
          </w:p>
        </w:tc>
        <w:tc>
          <w:tcPr>
            <w:tcW w:w="790" w:type="pct"/>
            <w:vMerge/>
            <w:shd w:val="clear" w:color="auto" w:fill="auto"/>
            <w:vAlign w:val="center"/>
          </w:tcPr>
          <w:p w14:paraId="58DFC909" w14:textId="77777777" w:rsidR="005B679B" w:rsidRPr="005B679B" w:rsidRDefault="005B679B" w:rsidP="005B679B">
            <w:pPr>
              <w:tabs>
                <w:tab w:val="left" w:pos="1091"/>
              </w:tabs>
              <w:spacing w:after="0"/>
              <w:jc w:val="center"/>
              <w:rPr>
                <w:b/>
                <w:bCs/>
                <w:sz w:val="20"/>
                <w:szCs w:val="20"/>
              </w:rPr>
            </w:pPr>
          </w:p>
        </w:tc>
      </w:tr>
      <w:tr w:rsidR="005B679B" w:rsidRPr="005B679B" w14:paraId="41CBCDC3" w14:textId="77777777" w:rsidTr="0014248B">
        <w:trPr>
          <w:trHeight w:val="113"/>
        </w:trPr>
        <w:tc>
          <w:tcPr>
            <w:tcW w:w="855" w:type="pct"/>
            <w:gridSpan w:val="2"/>
            <w:tcBorders>
              <w:top w:val="single" w:sz="6" w:space="0" w:color="000000"/>
              <w:left w:val="single" w:sz="6" w:space="0" w:color="000000"/>
              <w:bottom w:val="single" w:sz="6" w:space="0" w:color="000000"/>
              <w:right w:val="single" w:sz="6" w:space="0" w:color="000000"/>
            </w:tcBorders>
            <w:shd w:val="clear" w:color="auto" w:fill="FFFFFF"/>
          </w:tcPr>
          <w:p w14:paraId="5A9A1CFB" w14:textId="77777777" w:rsidR="005B679B" w:rsidRPr="005B679B" w:rsidRDefault="005B679B" w:rsidP="005B679B">
            <w:pPr>
              <w:tabs>
                <w:tab w:val="left" w:pos="1091"/>
              </w:tabs>
              <w:spacing w:after="0"/>
              <w:rPr>
                <w:b/>
                <w:bCs/>
                <w:sz w:val="20"/>
                <w:szCs w:val="20"/>
              </w:rPr>
            </w:pPr>
            <w:r w:rsidRPr="005B679B">
              <w:rPr>
                <w:sz w:val="20"/>
                <w:szCs w:val="20"/>
                <w:lang w:eastAsia="ro-RO"/>
              </w:rPr>
              <w:t>Directiva 79/692/CEE a Consiliului (JO L 205, 13.8.1979, p. 1)</w:t>
            </w:r>
          </w:p>
        </w:tc>
        <w:tc>
          <w:tcPr>
            <w:tcW w:w="855" w:type="pct"/>
            <w:tcBorders>
              <w:top w:val="single" w:sz="6" w:space="0" w:color="000000"/>
              <w:left w:val="single" w:sz="6" w:space="0" w:color="000000"/>
              <w:bottom w:val="single" w:sz="6" w:space="0" w:color="000000"/>
              <w:right w:val="single" w:sz="6" w:space="0" w:color="000000"/>
            </w:tcBorders>
            <w:shd w:val="clear" w:color="auto" w:fill="FFFFFF"/>
          </w:tcPr>
          <w:p w14:paraId="6556A8CB" w14:textId="77777777" w:rsidR="005B679B" w:rsidRPr="005B679B" w:rsidRDefault="005B679B" w:rsidP="005B679B">
            <w:pPr>
              <w:tabs>
                <w:tab w:val="left" w:pos="1091"/>
              </w:tabs>
              <w:spacing w:after="0"/>
              <w:rPr>
                <w:sz w:val="20"/>
                <w:szCs w:val="20"/>
              </w:rPr>
            </w:pPr>
            <w:r w:rsidRPr="005B679B">
              <w:rPr>
                <w:color w:val="333333"/>
                <w:sz w:val="20"/>
                <w:szCs w:val="20"/>
                <w:lang w:eastAsia="ro-RO"/>
              </w:rPr>
              <w:t>numai articolul 2</w:t>
            </w:r>
          </w:p>
        </w:tc>
        <w:tc>
          <w:tcPr>
            <w:tcW w:w="1512" w:type="pct"/>
            <w:vMerge/>
            <w:shd w:val="clear" w:color="auto" w:fill="auto"/>
          </w:tcPr>
          <w:p w14:paraId="48965348" w14:textId="77777777" w:rsidR="005B679B" w:rsidRPr="005B679B" w:rsidRDefault="005B679B" w:rsidP="005B679B">
            <w:pPr>
              <w:tabs>
                <w:tab w:val="left" w:pos="1091"/>
              </w:tabs>
              <w:spacing w:after="0"/>
              <w:rPr>
                <w:sz w:val="20"/>
                <w:szCs w:val="20"/>
              </w:rPr>
            </w:pPr>
          </w:p>
        </w:tc>
        <w:tc>
          <w:tcPr>
            <w:tcW w:w="988" w:type="pct"/>
            <w:vMerge/>
            <w:shd w:val="clear" w:color="auto" w:fill="auto"/>
            <w:vAlign w:val="center"/>
          </w:tcPr>
          <w:p w14:paraId="4A05BB56" w14:textId="77777777" w:rsidR="005B679B" w:rsidRPr="005B679B" w:rsidRDefault="005B679B" w:rsidP="005B679B">
            <w:pPr>
              <w:tabs>
                <w:tab w:val="left" w:pos="1091"/>
              </w:tabs>
              <w:spacing w:after="0"/>
              <w:jc w:val="center"/>
              <w:rPr>
                <w:b/>
                <w:bCs/>
                <w:sz w:val="20"/>
                <w:szCs w:val="20"/>
              </w:rPr>
            </w:pPr>
          </w:p>
        </w:tc>
        <w:tc>
          <w:tcPr>
            <w:tcW w:w="790" w:type="pct"/>
            <w:vMerge/>
            <w:shd w:val="clear" w:color="auto" w:fill="auto"/>
            <w:vAlign w:val="center"/>
          </w:tcPr>
          <w:p w14:paraId="2303BEF1" w14:textId="77777777" w:rsidR="005B679B" w:rsidRPr="005B679B" w:rsidRDefault="005B679B" w:rsidP="005B679B">
            <w:pPr>
              <w:tabs>
                <w:tab w:val="left" w:pos="1091"/>
              </w:tabs>
              <w:spacing w:after="0"/>
              <w:jc w:val="center"/>
              <w:rPr>
                <w:b/>
                <w:bCs/>
                <w:sz w:val="20"/>
                <w:szCs w:val="20"/>
              </w:rPr>
            </w:pPr>
          </w:p>
        </w:tc>
      </w:tr>
      <w:tr w:rsidR="005B679B" w:rsidRPr="005B679B" w14:paraId="794344B8" w14:textId="77777777" w:rsidTr="0014248B">
        <w:trPr>
          <w:trHeight w:val="113"/>
        </w:trPr>
        <w:tc>
          <w:tcPr>
            <w:tcW w:w="855" w:type="pct"/>
            <w:gridSpan w:val="2"/>
            <w:tcBorders>
              <w:top w:val="single" w:sz="6" w:space="0" w:color="000000"/>
              <w:left w:val="single" w:sz="6" w:space="0" w:color="000000"/>
              <w:bottom w:val="single" w:sz="6" w:space="0" w:color="000000"/>
              <w:right w:val="single" w:sz="6" w:space="0" w:color="000000"/>
            </w:tcBorders>
            <w:shd w:val="clear" w:color="auto" w:fill="FFFFFF"/>
          </w:tcPr>
          <w:p w14:paraId="42A187A2" w14:textId="77777777" w:rsidR="005B679B" w:rsidRPr="005B679B" w:rsidRDefault="005B679B" w:rsidP="005B679B">
            <w:pPr>
              <w:tabs>
                <w:tab w:val="left" w:pos="1091"/>
              </w:tabs>
              <w:spacing w:after="0"/>
              <w:rPr>
                <w:b/>
                <w:bCs/>
                <w:sz w:val="20"/>
                <w:szCs w:val="20"/>
              </w:rPr>
            </w:pPr>
            <w:r w:rsidRPr="005B679B">
              <w:rPr>
                <w:sz w:val="20"/>
                <w:szCs w:val="20"/>
                <w:lang w:eastAsia="ro-RO"/>
              </w:rPr>
              <w:t>Directiva 79/967/CEE a Consiliului (JO L 293, 20.11.1979, p. 16)</w:t>
            </w:r>
          </w:p>
        </w:tc>
        <w:tc>
          <w:tcPr>
            <w:tcW w:w="855" w:type="pct"/>
            <w:tcBorders>
              <w:top w:val="single" w:sz="6" w:space="0" w:color="000000"/>
              <w:left w:val="single" w:sz="6" w:space="0" w:color="000000"/>
              <w:bottom w:val="single" w:sz="6" w:space="0" w:color="000000"/>
              <w:right w:val="single" w:sz="6" w:space="0" w:color="000000"/>
            </w:tcBorders>
            <w:shd w:val="clear" w:color="auto" w:fill="FFFFFF"/>
          </w:tcPr>
          <w:p w14:paraId="49DD2ADE" w14:textId="77777777" w:rsidR="005B679B" w:rsidRPr="005B679B" w:rsidRDefault="005B679B" w:rsidP="005B679B">
            <w:pPr>
              <w:tabs>
                <w:tab w:val="left" w:pos="1091"/>
              </w:tabs>
              <w:spacing w:after="0"/>
              <w:rPr>
                <w:sz w:val="20"/>
                <w:szCs w:val="20"/>
              </w:rPr>
            </w:pPr>
            <w:r w:rsidRPr="005B679B">
              <w:rPr>
                <w:color w:val="333333"/>
                <w:sz w:val="20"/>
                <w:szCs w:val="20"/>
                <w:lang w:eastAsia="ro-RO"/>
              </w:rPr>
              <w:t>numai articolul 1</w:t>
            </w:r>
          </w:p>
        </w:tc>
        <w:tc>
          <w:tcPr>
            <w:tcW w:w="1512" w:type="pct"/>
            <w:vMerge/>
            <w:shd w:val="clear" w:color="auto" w:fill="auto"/>
          </w:tcPr>
          <w:p w14:paraId="44C25865" w14:textId="77777777" w:rsidR="005B679B" w:rsidRPr="005B679B" w:rsidRDefault="005B679B" w:rsidP="005B679B">
            <w:pPr>
              <w:tabs>
                <w:tab w:val="left" w:pos="1091"/>
              </w:tabs>
              <w:spacing w:after="0"/>
              <w:rPr>
                <w:sz w:val="20"/>
                <w:szCs w:val="20"/>
              </w:rPr>
            </w:pPr>
          </w:p>
        </w:tc>
        <w:tc>
          <w:tcPr>
            <w:tcW w:w="988" w:type="pct"/>
            <w:vMerge/>
            <w:shd w:val="clear" w:color="auto" w:fill="auto"/>
            <w:vAlign w:val="center"/>
          </w:tcPr>
          <w:p w14:paraId="6EC5FB0C" w14:textId="77777777" w:rsidR="005B679B" w:rsidRPr="005B679B" w:rsidRDefault="005B679B" w:rsidP="005B679B">
            <w:pPr>
              <w:tabs>
                <w:tab w:val="left" w:pos="1091"/>
              </w:tabs>
              <w:spacing w:after="0"/>
              <w:jc w:val="center"/>
              <w:rPr>
                <w:b/>
                <w:bCs/>
                <w:sz w:val="20"/>
                <w:szCs w:val="20"/>
              </w:rPr>
            </w:pPr>
          </w:p>
        </w:tc>
        <w:tc>
          <w:tcPr>
            <w:tcW w:w="790" w:type="pct"/>
            <w:vMerge/>
            <w:shd w:val="clear" w:color="auto" w:fill="auto"/>
            <w:vAlign w:val="center"/>
          </w:tcPr>
          <w:p w14:paraId="082FF039" w14:textId="77777777" w:rsidR="005B679B" w:rsidRPr="005B679B" w:rsidRDefault="005B679B" w:rsidP="005B679B">
            <w:pPr>
              <w:tabs>
                <w:tab w:val="left" w:pos="1091"/>
              </w:tabs>
              <w:spacing w:after="0"/>
              <w:jc w:val="center"/>
              <w:rPr>
                <w:b/>
                <w:bCs/>
                <w:sz w:val="20"/>
                <w:szCs w:val="20"/>
              </w:rPr>
            </w:pPr>
          </w:p>
        </w:tc>
      </w:tr>
      <w:tr w:rsidR="005B679B" w:rsidRPr="005B679B" w14:paraId="24FC63B9" w14:textId="77777777" w:rsidTr="0014248B">
        <w:trPr>
          <w:trHeight w:val="113"/>
        </w:trPr>
        <w:tc>
          <w:tcPr>
            <w:tcW w:w="855" w:type="pct"/>
            <w:gridSpan w:val="2"/>
            <w:tcBorders>
              <w:top w:val="single" w:sz="6" w:space="0" w:color="000000"/>
              <w:left w:val="single" w:sz="6" w:space="0" w:color="000000"/>
              <w:bottom w:val="single" w:sz="6" w:space="0" w:color="000000"/>
              <w:right w:val="single" w:sz="6" w:space="0" w:color="000000"/>
            </w:tcBorders>
            <w:shd w:val="clear" w:color="auto" w:fill="FFFFFF"/>
          </w:tcPr>
          <w:p w14:paraId="24B043FA" w14:textId="77777777" w:rsidR="005B679B" w:rsidRPr="005B679B" w:rsidRDefault="005B679B" w:rsidP="005B679B">
            <w:pPr>
              <w:tabs>
                <w:tab w:val="left" w:pos="1091"/>
              </w:tabs>
              <w:spacing w:after="0"/>
              <w:rPr>
                <w:b/>
                <w:bCs/>
                <w:sz w:val="20"/>
                <w:szCs w:val="20"/>
              </w:rPr>
            </w:pPr>
            <w:r w:rsidRPr="005B679B">
              <w:rPr>
                <w:sz w:val="20"/>
                <w:szCs w:val="20"/>
                <w:lang w:eastAsia="ro-RO"/>
              </w:rPr>
              <w:t>Directiva 80/1141/CEE a Consiliului (JO L 341, 16.12.1980, p. 27)</w:t>
            </w:r>
          </w:p>
        </w:tc>
        <w:tc>
          <w:tcPr>
            <w:tcW w:w="855" w:type="pct"/>
            <w:tcBorders>
              <w:top w:val="single" w:sz="6" w:space="0" w:color="000000"/>
              <w:left w:val="single" w:sz="6" w:space="0" w:color="000000"/>
              <w:bottom w:val="single" w:sz="6" w:space="0" w:color="000000"/>
              <w:right w:val="single" w:sz="6" w:space="0" w:color="000000"/>
            </w:tcBorders>
            <w:shd w:val="clear" w:color="auto" w:fill="FFFFFF"/>
          </w:tcPr>
          <w:p w14:paraId="192C8E7C" w14:textId="77777777" w:rsidR="005B679B" w:rsidRPr="005B679B" w:rsidRDefault="005B679B" w:rsidP="005B679B">
            <w:pPr>
              <w:tabs>
                <w:tab w:val="left" w:pos="1091"/>
              </w:tabs>
              <w:spacing w:after="0"/>
              <w:rPr>
                <w:sz w:val="20"/>
                <w:szCs w:val="20"/>
              </w:rPr>
            </w:pPr>
            <w:r w:rsidRPr="005B679B">
              <w:rPr>
                <w:color w:val="333333"/>
                <w:sz w:val="20"/>
                <w:szCs w:val="20"/>
                <w:lang w:eastAsia="ro-RO"/>
              </w:rPr>
              <w:t>numai articolul 5</w:t>
            </w:r>
          </w:p>
        </w:tc>
        <w:tc>
          <w:tcPr>
            <w:tcW w:w="1512" w:type="pct"/>
            <w:vMerge/>
            <w:shd w:val="clear" w:color="auto" w:fill="auto"/>
          </w:tcPr>
          <w:p w14:paraId="5D62FB85" w14:textId="77777777" w:rsidR="005B679B" w:rsidRPr="005B679B" w:rsidRDefault="005B679B" w:rsidP="005B679B">
            <w:pPr>
              <w:tabs>
                <w:tab w:val="left" w:pos="1091"/>
              </w:tabs>
              <w:spacing w:after="0"/>
              <w:rPr>
                <w:sz w:val="20"/>
                <w:szCs w:val="20"/>
              </w:rPr>
            </w:pPr>
          </w:p>
        </w:tc>
        <w:tc>
          <w:tcPr>
            <w:tcW w:w="988" w:type="pct"/>
            <w:vMerge/>
            <w:shd w:val="clear" w:color="auto" w:fill="auto"/>
            <w:vAlign w:val="center"/>
          </w:tcPr>
          <w:p w14:paraId="3957FA4E" w14:textId="77777777" w:rsidR="005B679B" w:rsidRPr="005B679B" w:rsidRDefault="005B679B" w:rsidP="005B679B">
            <w:pPr>
              <w:tabs>
                <w:tab w:val="left" w:pos="1091"/>
              </w:tabs>
              <w:spacing w:after="0"/>
              <w:jc w:val="center"/>
              <w:rPr>
                <w:b/>
                <w:bCs/>
                <w:sz w:val="20"/>
                <w:szCs w:val="20"/>
              </w:rPr>
            </w:pPr>
          </w:p>
        </w:tc>
        <w:tc>
          <w:tcPr>
            <w:tcW w:w="790" w:type="pct"/>
            <w:vMerge/>
            <w:shd w:val="clear" w:color="auto" w:fill="auto"/>
            <w:vAlign w:val="center"/>
          </w:tcPr>
          <w:p w14:paraId="13C382B1" w14:textId="77777777" w:rsidR="005B679B" w:rsidRPr="005B679B" w:rsidRDefault="005B679B" w:rsidP="005B679B">
            <w:pPr>
              <w:tabs>
                <w:tab w:val="left" w:pos="1091"/>
              </w:tabs>
              <w:spacing w:after="0"/>
              <w:jc w:val="center"/>
              <w:rPr>
                <w:b/>
                <w:bCs/>
                <w:sz w:val="20"/>
                <w:szCs w:val="20"/>
              </w:rPr>
            </w:pPr>
          </w:p>
        </w:tc>
      </w:tr>
      <w:tr w:rsidR="005B679B" w:rsidRPr="005B679B" w14:paraId="082C76ED" w14:textId="77777777" w:rsidTr="0014248B">
        <w:trPr>
          <w:trHeight w:val="113"/>
        </w:trPr>
        <w:tc>
          <w:tcPr>
            <w:tcW w:w="855" w:type="pct"/>
            <w:gridSpan w:val="2"/>
            <w:tcBorders>
              <w:top w:val="single" w:sz="6" w:space="0" w:color="000000"/>
              <w:left w:val="single" w:sz="6" w:space="0" w:color="000000"/>
              <w:bottom w:val="single" w:sz="6" w:space="0" w:color="000000"/>
              <w:right w:val="single" w:sz="6" w:space="0" w:color="000000"/>
            </w:tcBorders>
            <w:shd w:val="clear" w:color="auto" w:fill="FFFFFF"/>
          </w:tcPr>
          <w:p w14:paraId="018A8900" w14:textId="77777777" w:rsidR="005B679B" w:rsidRPr="005B679B" w:rsidRDefault="005B679B" w:rsidP="005B679B">
            <w:pPr>
              <w:tabs>
                <w:tab w:val="left" w:pos="1091"/>
              </w:tabs>
              <w:spacing w:after="0"/>
              <w:rPr>
                <w:b/>
                <w:bCs/>
                <w:sz w:val="20"/>
                <w:szCs w:val="20"/>
              </w:rPr>
            </w:pPr>
            <w:r w:rsidRPr="005B679B">
              <w:rPr>
                <w:sz w:val="20"/>
                <w:szCs w:val="20"/>
                <w:lang w:eastAsia="ro-RO"/>
              </w:rPr>
              <w:t>Directiva 86/155/CEE a Consiliului (JO L 118, 7.5.1986, p. 23)</w:t>
            </w:r>
          </w:p>
        </w:tc>
        <w:tc>
          <w:tcPr>
            <w:tcW w:w="855" w:type="pct"/>
            <w:tcBorders>
              <w:top w:val="single" w:sz="6" w:space="0" w:color="000000"/>
              <w:left w:val="single" w:sz="6" w:space="0" w:color="000000"/>
              <w:bottom w:val="single" w:sz="6" w:space="0" w:color="000000"/>
              <w:right w:val="single" w:sz="6" w:space="0" w:color="000000"/>
            </w:tcBorders>
            <w:shd w:val="clear" w:color="auto" w:fill="FFFFFF"/>
          </w:tcPr>
          <w:p w14:paraId="3AB681D8" w14:textId="77777777" w:rsidR="005B679B" w:rsidRPr="005B679B" w:rsidRDefault="005B679B" w:rsidP="005B679B">
            <w:pPr>
              <w:tabs>
                <w:tab w:val="left" w:pos="1091"/>
              </w:tabs>
              <w:spacing w:after="0"/>
              <w:rPr>
                <w:sz w:val="20"/>
                <w:szCs w:val="20"/>
              </w:rPr>
            </w:pPr>
            <w:r w:rsidRPr="005B679B">
              <w:rPr>
                <w:color w:val="333333"/>
                <w:sz w:val="20"/>
                <w:szCs w:val="20"/>
                <w:lang w:eastAsia="ro-RO"/>
              </w:rPr>
              <w:t>numai articolul 6</w:t>
            </w:r>
          </w:p>
        </w:tc>
        <w:tc>
          <w:tcPr>
            <w:tcW w:w="1512" w:type="pct"/>
            <w:vMerge/>
            <w:shd w:val="clear" w:color="auto" w:fill="auto"/>
          </w:tcPr>
          <w:p w14:paraId="06A001D5" w14:textId="77777777" w:rsidR="005B679B" w:rsidRPr="005B679B" w:rsidRDefault="005B679B" w:rsidP="005B679B">
            <w:pPr>
              <w:tabs>
                <w:tab w:val="left" w:pos="1091"/>
              </w:tabs>
              <w:spacing w:after="0"/>
              <w:rPr>
                <w:sz w:val="20"/>
                <w:szCs w:val="20"/>
              </w:rPr>
            </w:pPr>
          </w:p>
        </w:tc>
        <w:tc>
          <w:tcPr>
            <w:tcW w:w="988" w:type="pct"/>
            <w:vMerge/>
            <w:shd w:val="clear" w:color="auto" w:fill="auto"/>
            <w:vAlign w:val="center"/>
          </w:tcPr>
          <w:p w14:paraId="4372F676" w14:textId="77777777" w:rsidR="005B679B" w:rsidRPr="005B679B" w:rsidRDefault="005B679B" w:rsidP="005B679B">
            <w:pPr>
              <w:tabs>
                <w:tab w:val="left" w:pos="1091"/>
              </w:tabs>
              <w:spacing w:after="0"/>
              <w:jc w:val="center"/>
              <w:rPr>
                <w:b/>
                <w:bCs/>
                <w:sz w:val="20"/>
                <w:szCs w:val="20"/>
              </w:rPr>
            </w:pPr>
          </w:p>
        </w:tc>
        <w:tc>
          <w:tcPr>
            <w:tcW w:w="790" w:type="pct"/>
            <w:vMerge/>
            <w:shd w:val="clear" w:color="auto" w:fill="auto"/>
            <w:vAlign w:val="center"/>
          </w:tcPr>
          <w:p w14:paraId="5AA432B2" w14:textId="77777777" w:rsidR="005B679B" w:rsidRPr="005B679B" w:rsidRDefault="005B679B" w:rsidP="005B679B">
            <w:pPr>
              <w:tabs>
                <w:tab w:val="left" w:pos="1091"/>
              </w:tabs>
              <w:spacing w:after="0"/>
              <w:jc w:val="center"/>
              <w:rPr>
                <w:b/>
                <w:bCs/>
                <w:sz w:val="20"/>
                <w:szCs w:val="20"/>
              </w:rPr>
            </w:pPr>
          </w:p>
        </w:tc>
      </w:tr>
      <w:tr w:rsidR="005B679B" w:rsidRPr="005B679B" w14:paraId="16CDB63E" w14:textId="77777777" w:rsidTr="0014248B">
        <w:trPr>
          <w:trHeight w:val="113"/>
        </w:trPr>
        <w:tc>
          <w:tcPr>
            <w:tcW w:w="855" w:type="pct"/>
            <w:gridSpan w:val="2"/>
            <w:tcBorders>
              <w:top w:val="single" w:sz="6" w:space="0" w:color="000000"/>
              <w:left w:val="single" w:sz="6" w:space="0" w:color="000000"/>
              <w:bottom w:val="single" w:sz="6" w:space="0" w:color="000000"/>
              <w:right w:val="single" w:sz="6" w:space="0" w:color="000000"/>
            </w:tcBorders>
            <w:shd w:val="clear" w:color="auto" w:fill="FFFFFF"/>
          </w:tcPr>
          <w:p w14:paraId="2CDB217D" w14:textId="77777777" w:rsidR="005B679B" w:rsidRPr="005B679B" w:rsidRDefault="005B679B" w:rsidP="005B679B">
            <w:pPr>
              <w:tabs>
                <w:tab w:val="left" w:pos="1091"/>
              </w:tabs>
              <w:spacing w:after="0"/>
              <w:rPr>
                <w:b/>
                <w:bCs/>
                <w:sz w:val="20"/>
                <w:szCs w:val="20"/>
              </w:rPr>
            </w:pPr>
            <w:r w:rsidRPr="005B679B">
              <w:rPr>
                <w:sz w:val="20"/>
                <w:szCs w:val="20"/>
                <w:lang w:eastAsia="ro-RO"/>
              </w:rPr>
              <w:t>Directiva 88/380/CEE a Consiliului (JO L 187, 16.7.1988, p. 31)</w:t>
            </w:r>
          </w:p>
        </w:tc>
        <w:tc>
          <w:tcPr>
            <w:tcW w:w="855" w:type="pct"/>
            <w:tcBorders>
              <w:top w:val="single" w:sz="6" w:space="0" w:color="000000"/>
              <w:left w:val="single" w:sz="6" w:space="0" w:color="000000"/>
              <w:bottom w:val="single" w:sz="6" w:space="0" w:color="000000"/>
              <w:right w:val="single" w:sz="6" w:space="0" w:color="000000"/>
            </w:tcBorders>
            <w:shd w:val="clear" w:color="auto" w:fill="FFFFFF"/>
          </w:tcPr>
          <w:p w14:paraId="6DA08582" w14:textId="77777777" w:rsidR="005B679B" w:rsidRPr="005B679B" w:rsidRDefault="005B679B" w:rsidP="005B679B">
            <w:pPr>
              <w:tabs>
                <w:tab w:val="left" w:pos="1091"/>
              </w:tabs>
              <w:spacing w:after="0"/>
              <w:rPr>
                <w:sz w:val="20"/>
                <w:szCs w:val="20"/>
              </w:rPr>
            </w:pPr>
            <w:r w:rsidRPr="005B679B">
              <w:rPr>
                <w:color w:val="333333"/>
                <w:sz w:val="20"/>
                <w:szCs w:val="20"/>
                <w:lang w:eastAsia="ro-RO"/>
              </w:rPr>
              <w:t>numai în ceea ce privește trimiterile la dispozițiile Directivei 70/457/CEE de la articolul 2 și anexa II.I.6</w:t>
            </w:r>
          </w:p>
        </w:tc>
        <w:tc>
          <w:tcPr>
            <w:tcW w:w="1512" w:type="pct"/>
            <w:vMerge/>
            <w:shd w:val="clear" w:color="auto" w:fill="auto"/>
          </w:tcPr>
          <w:p w14:paraId="422EC8E8" w14:textId="77777777" w:rsidR="005B679B" w:rsidRPr="005B679B" w:rsidRDefault="005B679B" w:rsidP="005B679B">
            <w:pPr>
              <w:tabs>
                <w:tab w:val="left" w:pos="1091"/>
              </w:tabs>
              <w:spacing w:after="0"/>
              <w:rPr>
                <w:sz w:val="20"/>
                <w:szCs w:val="20"/>
              </w:rPr>
            </w:pPr>
          </w:p>
        </w:tc>
        <w:tc>
          <w:tcPr>
            <w:tcW w:w="988" w:type="pct"/>
            <w:vMerge/>
            <w:shd w:val="clear" w:color="auto" w:fill="auto"/>
            <w:vAlign w:val="center"/>
          </w:tcPr>
          <w:p w14:paraId="17DE4FB7" w14:textId="77777777" w:rsidR="005B679B" w:rsidRPr="005B679B" w:rsidRDefault="005B679B" w:rsidP="005B679B">
            <w:pPr>
              <w:tabs>
                <w:tab w:val="left" w:pos="1091"/>
              </w:tabs>
              <w:spacing w:after="0"/>
              <w:jc w:val="center"/>
              <w:rPr>
                <w:b/>
                <w:bCs/>
                <w:sz w:val="20"/>
                <w:szCs w:val="20"/>
              </w:rPr>
            </w:pPr>
          </w:p>
        </w:tc>
        <w:tc>
          <w:tcPr>
            <w:tcW w:w="790" w:type="pct"/>
            <w:vMerge/>
            <w:shd w:val="clear" w:color="auto" w:fill="auto"/>
            <w:vAlign w:val="center"/>
          </w:tcPr>
          <w:p w14:paraId="3C747038" w14:textId="77777777" w:rsidR="005B679B" w:rsidRPr="005B679B" w:rsidRDefault="005B679B" w:rsidP="005B679B">
            <w:pPr>
              <w:tabs>
                <w:tab w:val="left" w:pos="1091"/>
              </w:tabs>
              <w:spacing w:after="0"/>
              <w:jc w:val="center"/>
              <w:rPr>
                <w:b/>
                <w:bCs/>
                <w:sz w:val="20"/>
                <w:szCs w:val="20"/>
              </w:rPr>
            </w:pPr>
          </w:p>
        </w:tc>
      </w:tr>
      <w:tr w:rsidR="005B679B" w:rsidRPr="005B679B" w14:paraId="1CF83BB3" w14:textId="77777777" w:rsidTr="0014248B">
        <w:trPr>
          <w:trHeight w:val="113"/>
        </w:trPr>
        <w:tc>
          <w:tcPr>
            <w:tcW w:w="855" w:type="pct"/>
            <w:gridSpan w:val="2"/>
            <w:tcBorders>
              <w:top w:val="single" w:sz="6" w:space="0" w:color="000000"/>
              <w:left w:val="single" w:sz="6" w:space="0" w:color="000000"/>
              <w:bottom w:val="single" w:sz="6" w:space="0" w:color="000000"/>
              <w:right w:val="single" w:sz="6" w:space="0" w:color="000000"/>
            </w:tcBorders>
            <w:shd w:val="clear" w:color="auto" w:fill="FFFFFF"/>
          </w:tcPr>
          <w:p w14:paraId="6CD517BA" w14:textId="77777777" w:rsidR="005B679B" w:rsidRPr="005B679B" w:rsidRDefault="005B679B" w:rsidP="005B679B">
            <w:pPr>
              <w:tabs>
                <w:tab w:val="left" w:pos="1091"/>
              </w:tabs>
              <w:spacing w:after="0"/>
              <w:rPr>
                <w:b/>
                <w:bCs/>
                <w:sz w:val="20"/>
                <w:szCs w:val="20"/>
              </w:rPr>
            </w:pPr>
            <w:r w:rsidRPr="005B679B">
              <w:rPr>
                <w:sz w:val="20"/>
                <w:szCs w:val="20"/>
                <w:lang w:eastAsia="ro-RO"/>
              </w:rPr>
              <w:t>Directiva 90/654/CEE a Consiliului (JO L 353, 17.12.1990, p. 48)</w:t>
            </w:r>
          </w:p>
        </w:tc>
        <w:tc>
          <w:tcPr>
            <w:tcW w:w="855" w:type="pct"/>
            <w:tcBorders>
              <w:top w:val="single" w:sz="6" w:space="0" w:color="000000"/>
              <w:left w:val="single" w:sz="6" w:space="0" w:color="000000"/>
              <w:bottom w:val="single" w:sz="6" w:space="0" w:color="000000"/>
              <w:right w:val="single" w:sz="6" w:space="0" w:color="000000"/>
            </w:tcBorders>
            <w:shd w:val="clear" w:color="auto" w:fill="FFFFFF"/>
          </w:tcPr>
          <w:p w14:paraId="45FC250B" w14:textId="77777777" w:rsidR="005B679B" w:rsidRPr="005B679B" w:rsidRDefault="005B679B" w:rsidP="005B679B">
            <w:pPr>
              <w:tabs>
                <w:tab w:val="left" w:pos="1091"/>
              </w:tabs>
              <w:spacing w:after="0"/>
              <w:rPr>
                <w:sz w:val="20"/>
                <w:szCs w:val="20"/>
              </w:rPr>
            </w:pPr>
            <w:r w:rsidRPr="005B679B">
              <w:rPr>
                <w:color w:val="333333"/>
                <w:sz w:val="20"/>
                <w:szCs w:val="20"/>
                <w:lang w:eastAsia="ro-RO"/>
              </w:rPr>
              <w:t>numai articolul 6</w:t>
            </w:r>
          </w:p>
        </w:tc>
        <w:tc>
          <w:tcPr>
            <w:tcW w:w="1512" w:type="pct"/>
            <w:vMerge/>
            <w:shd w:val="clear" w:color="auto" w:fill="auto"/>
          </w:tcPr>
          <w:p w14:paraId="7525F52E" w14:textId="77777777" w:rsidR="005B679B" w:rsidRPr="005B679B" w:rsidRDefault="005B679B" w:rsidP="005B679B">
            <w:pPr>
              <w:tabs>
                <w:tab w:val="left" w:pos="1091"/>
              </w:tabs>
              <w:spacing w:after="0"/>
              <w:rPr>
                <w:sz w:val="20"/>
                <w:szCs w:val="20"/>
              </w:rPr>
            </w:pPr>
          </w:p>
        </w:tc>
        <w:tc>
          <w:tcPr>
            <w:tcW w:w="988" w:type="pct"/>
            <w:vMerge/>
            <w:shd w:val="clear" w:color="auto" w:fill="auto"/>
            <w:vAlign w:val="center"/>
          </w:tcPr>
          <w:p w14:paraId="4C3BCBEA" w14:textId="77777777" w:rsidR="005B679B" w:rsidRPr="005B679B" w:rsidRDefault="005B679B" w:rsidP="005B679B">
            <w:pPr>
              <w:tabs>
                <w:tab w:val="left" w:pos="1091"/>
              </w:tabs>
              <w:spacing w:after="0"/>
              <w:jc w:val="center"/>
              <w:rPr>
                <w:b/>
                <w:bCs/>
                <w:sz w:val="20"/>
                <w:szCs w:val="20"/>
              </w:rPr>
            </w:pPr>
          </w:p>
        </w:tc>
        <w:tc>
          <w:tcPr>
            <w:tcW w:w="790" w:type="pct"/>
            <w:vMerge/>
            <w:shd w:val="clear" w:color="auto" w:fill="auto"/>
            <w:vAlign w:val="center"/>
          </w:tcPr>
          <w:p w14:paraId="0BBE4B8B" w14:textId="77777777" w:rsidR="005B679B" w:rsidRPr="005B679B" w:rsidRDefault="005B679B" w:rsidP="005B679B">
            <w:pPr>
              <w:tabs>
                <w:tab w:val="left" w:pos="1091"/>
              </w:tabs>
              <w:spacing w:after="0"/>
              <w:jc w:val="center"/>
              <w:rPr>
                <w:b/>
                <w:bCs/>
                <w:sz w:val="20"/>
                <w:szCs w:val="20"/>
              </w:rPr>
            </w:pPr>
          </w:p>
        </w:tc>
      </w:tr>
      <w:tr w:rsidR="005B679B" w:rsidRPr="005B679B" w14:paraId="465F0D2F" w14:textId="77777777" w:rsidTr="0014248B">
        <w:trPr>
          <w:trHeight w:val="113"/>
        </w:trPr>
        <w:tc>
          <w:tcPr>
            <w:tcW w:w="855" w:type="pct"/>
            <w:gridSpan w:val="2"/>
            <w:tcBorders>
              <w:top w:val="single" w:sz="6" w:space="0" w:color="000000"/>
              <w:left w:val="single" w:sz="6" w:space="0" w:color="000000"/>
              <w:bottom w:val="single" w:sz="6" w:space="0" w:color="000000"/>
              <w:right w:val="single" w:sz="6" w:space="0" w:color="000000"/>
            </w:tcBorders>
            <w:shd w:val="clear" w:color="auto" w:fill="FFFFFF"/>
          </w:tcPr>
          <w:p w14:paraId="7A16F619" w14:textId="77777777" w:rsidR="005B679B" w:rsidRPr="005B679B" w:rsidRDefault="005B679B" w:rsidP="005B679B">
            <w:pPr>
              <w:tabs>
                <w:tab w:val="left" w:pos="1091"/>
              </w:tabs>
              <w:spacing w:after="0"/>
              <w:rPr>
                <w:sz w:val="20"/>
                <w:szCs w:val="20"/>
                <w:lang w:eastAsia="ro-RO"/>
              </w:rPr>
            </w:pPr>
            <w:r w:rsidRPr="005B679B">
              <w:rPr>
                <w:sz w:val="20"/>
                <w:szCs w:val="20"/>
                <w:lang w:eastAsia="ro-RO"/>
              </w:rPr>
              <w:lastRenderedPageBreak/>
              <w:t>Directiva 98/95/CE a Consiliului (JO L 25, 1.2.1999, p. 1)</w:t>
            </w:r>
          </w:p>
        </w:tc>
        <w:tc>
          <w:tcPr>
            <w:tcW w:w="855" w:type="pct"/>
            <w:tcBorders>
              <w:top w:val="single" w:sz="6" w:space="0" w:color="000000"/>
              <w:left w:val="single" w:sz="6" w:space="0" w:color="000000"/>
              <w:bottom w:val="single" w:sz="6" w:space="0" w:color="000000"/>
              <w:right w:val="single" w:sz="6" w:space="0" w:color="000000"/>
            </w:tcBorders>
            <w:shd w:val="clear" w:color="auto" w:fill="FFFFFF"/>
          </w:tcPr>
          <w:p w14:paraId="5DEC2680" w14:textId="77777777" w:rsidR="005B679B" w:rsidRPr="005B679B" w:rsidRDefault="005B679B" w:rsidP="005B679B">
            <w:pPr>
              <w:tabs>
                <w:tab w:val="left" w:pos="1091"/>
              </w:tabs>
              <w:spacing w:after="0"/>
              <w:rPr>
                <w:sz w:val="20"/>
                <w:szCs w:val="20"/>
              </w:rPr>
            </w:pPr>
            <w:r w:rsidRPr="005B679B">
              <w:rPr>
                <w:color w:val="333333"/>
                <w:sz w:val="20"/>
                <w:szCs w:val="20"/>
                <w:lang w:eastAsia="ro-RO"/>
              </w:rPr>
              <w:t>numai articolul 6</w:t>
            </w:r>
          </w:p>
        </w:tc>
        <w:tc>
          <w:tcPr>
            <w:tcW w:w="1512" w:type="pct"/>
            <w:vMerge/>
            <w:shd w:val="clear" w:color="auto" w:fill="auto"/>
          </w:tcPr>
          <w:p w14:paraId="478DDB6F" w14:textId="77777777" w:rsidR="005B679B" w:rsidRPr="005B679B" w:rsidRDefault="005B679B" w:rsidP="005B679B">
            <w:pPr>
              <w:tabs>
                <w:tab w:val="left" w:pos="1091"/>
              </w:tabs>
              <w:spacing w:after="0"/>
              <w:rPr>
                <w:sz w:val="20"/>
                <w:szCs w:val="20"/>
              </w:rPr>
            </w:pPr>
          </w:p>
        </w:tc>
        <w:tc>
          <w:tcPr>
            <w:tcW w:w="988" w:type="pct"/>
            <w:vMerge/>
            <w:shd w:val="clear" w:color="auto" w:fill="auto"/>
            <w:vAlign w:val="center"/>
          </w:tcPr>
          <w:p w14:paraId="2828107C" w14:textId="77777777" w:rsidR="005B679B" w:rsidRPr="005B679B" w:rsidRDefault="005B679B" w:rsidP="005B679B">
            <w:pPr>
              <w:tabs>
                <w:tab w:val="left" w:pos="1091"/>
              </w:tabs>
              <w:spacing w:after="0"/>
              <w:jc w:val="center"/>
              <w:rPr>
                <w:b/>
                <w:bCs/>
                <w:sz w:val="20"/>
                <w:szCs w:val="20"/>
              </w:rPr>
            </w:pPr>
          </w:p>
        </w:tc>
        <w:tc>
          <w:tcPr>
            <w:tcW w:w="790" w:type="pct"/>
            <w:vMerge/>
            <w:shd w:val="clear" w:color="auto" w:fill="auto"/>
            <w:vAlign w:val="center"/>
          </w:tcPr>
          <w:p w14:paraId="2960B117" w14:textId="77777777" w:rsidR="005B679B" w:rsidRPr="005B679B" w:rsidRDefault="005B679B" w:rsidP="005B679B">
            <w:pPr>
              <w:tabs>
                <w:tab w:val="left" w:pos="1091"/>
              </w:tabs>
              <w:spacing w:after="0"/>
              <w:jc w:val="center"/>
              <w:rPr>
                <w:b/>
                <w:bCs/>
                <w:sz w:val="20"/>
                <w:szCs w:val="20"/>
              </w:rPr>
            </w:pPr>
          </w:p>
        </w:tc>
      </w:tr>
      <w:tr w:rsidR="005B679B" w:rsidRPr="005B679B" w14:paraId="5AE0F7AE" w14:textId="77777777" w:rsidTr="0014248B">
        <w:trPr>
          <w:trHeight w:val="113"/>
        </w:trPr>
        <w:tc>
          <w:tcPr>
            <w:tcW w:w="855" w:type="pct"/>
            <w:gridSpan w:val="2"/>
            <w:tcBorders>
              <w:top w:val="single" w:sz="6" w:space="0" w:color="000000"/>
              <w:left w:val="single" w:sz="6" w:space="0" w:color="000000"/>
              <w:bottom w:val="single" w:sz="6" w:space="0" w:color="000000"/>
              <w:right w:val="single" w:sz="6" w:space="0" w:color="000000"/>
            </w:tcBorders>
            <w:shd w:val="clear" w:color="auto" w:fill="FFFFFF"/>
          </w:tcPr>
          <w:p w14:paraId="4789B165" w14:textId="77777777" w:rsidR="005B679B" w:rsidRPr="005B679B" w:rsidRDefault="005B679B" w:rsidP="005B679B">
            <w:pPr>
              <w:tabs>
                <w:tab w:val="left" w:pos="1091"/>
              </w:tabs>
              <w:spacing w:after="0"/>
              <w:rPr>
                <w:sz w:val="20"/>
                <w:szCs w:val="20"/>
                <w:lang w:eastAsia="ro-RO"/>
              </w:rPr>
            </w:pPr>
            <w:r w:rsidRPr="005B679B">
              <w:rPr>
                <w:sz w:val="20"/>
                <w:szCs w:val="20"/>
                <w:lang w:eastAsia="ro-RO"/>
              </w:rPr>
              <w:t>Directiva 98/96/CE a Consiliului (JO L 25, 1.2.1999, p. 27)</w:t>
            </w:r>
          </w:p>
        </w:tc>
        <w:tc>
          <w:tcPr>
            <w:tcW w:w="855" w:type="pct"/>
            <w:shd w:val="clear" w:color="auto" w:fill="auto"/>
          </w:tcPr>
          <w:p w14:paraId="08674A0F" w14:textId="77777777" w:rsidR="005B679B" w:rsidRPr="005B679B" w:rsidRDefault="005B679B" w:rsidP="005B679B">
            <w:pPr>
              <w:tabs>
                <w:tab w:val="left" w:pos="1091"/>
              </w:tabs>
              <w:spacing w:after="0"/>
              <w:rPr>
                <w:sz w:val="20"/>
                <w:szCs w:val="20"/>
              </w:rPr>
            </w:pPr>
            <w:r w:rsidRPr="005B679B">
              <w:rPr>
                <w:color w:val="333333"/>
                <w:sz w:val="20"/>
                <w:szCs w:val="20"/>
                <w:lang w:eastAsia="ro-RO"/>
              </w:rPr>
              <w:t>numai articolul 6</w:t>
            </w:r>
          </w:p>
        </w:tc>
        <w:tc>
          <w:tcPr>
            <w:tcW w:w="1512" w:type="pct"/>
            <w:vMerge/>
            <w:shd w:val="clear" w:color="auto" w:fill="auto"/>
          </w:tcPr>
          <w:p w14:paraId="7D90D72B" w14:textId="77777777" w:rsidR="005B679B" w:rsidRPr="005B679B" w:rsidRDefault="005B679B" w:rsidP="005B679B">
            <w:pPr>
              <w:tabs>
                <w:tab w:val="left" w:pos="1091"/>
              </w:tabs>
              <w:spacing w:after="0"/>
              <w:rPr>
                <w:sz w:val="20"/>
                <w:szCs w:val="20"/>
              </w:rPr>
            </w:pPr>
          </w:p>
        </w:tc>
        <w:tc>
          <w:tcPr>
            <w:tcW w:w="988" w:type="pct"/>
            <w:vMerge/>
            <w:shd w:val="clear" w:color="auto" w:fill="auto"/>
            <w:vAlign w:val="center"/>
          </w:tcPr>
          <w:p w14:paraId="389B95E4" w14:textId="77777777" w:rsidR="005B679B" w:rsidRPr="005B679B" w:rsidRDefault="005B679B" w:rsidP="005B679B">
            <w:pPr>
              <w:tabs>
                <w:tab w:val="left" w:pos="1091"/>
              </w:tabs>
              <w:spacing w:after="0"/>
              <w:jc w:val="center"/>
              <w:rPr>
                <w:b/>
                <w:bCs/>
                <w:sz w:val="20"/>
                <w:szCs w:val="20"/>
              </w:rPr>
            </w:pPr>
          </w:p>
        </w:tc>
        <w:tc>
          <w:tcPr>
            <w:tcW w:w="790" w:type="pct"/>
            <w:vMerge/>
            <w:shd w:val="clear" w:color="auto" w:fill="auto"/>
            <w:vAlign w:val="center"/>
          </w:tcPr>
          <w:p w14:paraId="6EA2F24F" w14:textId="77777777" w:rsidR="005B679B" w:rsidRPr="005B679B" w:rsidRDefault="005B679B" w:rsidP="005B679B">
            <w:pPr>
              <w:tabs>
                <w:tab w:val="left" w:pos="1091"/>
              </w:tabs>
              <w:spacing w:after="0"/>
              <w:jc w:val="center"/>
              <w:rPr>
                <w:b/>
                <w:bCs/>
                <w:sz w:val="20"/>
                <w:szCs w:val="20"/>
              </w:rPr>
            </w:pPr>
          </w:p>
        </w:tc>
      </w:tr>
      <w:tr w:rsidR="005B679B" w:rsidRPr="005B679B" w14:paraId="788B1561" w14:textId="77777777" w:rsidTr="0014248B">
        <w:trPr>
          <w:trHeight w:val="113"/>
        </w:trPr>
        <w:tc>
          <w:tcPr>
            <w:tcW w:w="1710" w:type="pct"/>
            <w:gridSpan w:val="3"/>
            <w:tcBorders>
              <w:top w:val="single" w:sz="6" w:space="0" w:color="000000"/>
              <w:left w:val="single" w:sz="6" w:space="0" w:color="000000"/>
              <w:bottom w:val="single" w:sz="6" w:space="0" w:color="000000"/>
            </w:tcBorders>
            <w:shd w:val="clear" w:color="auto" w:fill="FFFFFF"/>
          </w:tcPr>
          <w:p w14:paraId="038AC7F9" w14:textId="77777777" w:rsidR="005B679B" w:rsidRPr="005B679B" w:rsidRDefault="005B679B" w:rsidP="005B679B">
            <w:pPr>
              <w:tabs>
                <w:tab w:val="left" w:pos="1091"/>
              </w:tabs>
              <w:spacing w:after="0"/>
              <w:jc w:val="center"/>
              <w:rPr>
                <w:b/>
                <w:sz w:val="20"/>
                <w:szCs w:val="20"/>
                <w:lang w:eastAsia="ro-RO"/>
              </w:rPr>
            </w:pPr>
            <w:r w:rsidRPr="005B679B">
              <w:rPr>
                <w:b/>
                <w:sz w:val="20"/>
                <w:szCs w:val="20"/>
                <w:lang w:eastAsia="ro-RO"/>
              </w:rPr>
              <w:t>PARTEA B</w:t>
            </w:r>
          </w:p>
          <w:p w14:paraId="7E26554C" w14:textId="77777777" w:rsidR="005B679B" w:rsidRPr="005B679B" w:rsidRDefault="005B679B" w:rsidP="005B679B">
            <w:pPr>
              <w:tabs>
                <w:tab w:val="left" w:pos="1091"/>
              </w:tabs>
              <w:spacing w:after="0"/>
              <w:jc w:val="center"/>
              <w:rPr>
                <w:b/>
                <w:sz w:val="20"/>
                <w:szCs w:val="20"/>
                <w:lang w:eastAsia="ro-RO"/>
              </w:rPr>
            </w:pPr>
            <w:r w:rsidRPr="005B679B">
              <w:rPr>
                <w:b/>
                <w:sz w:val="20"/>
                <w:szCs w:val="20"/>
                <w:lang w:eastAsia="ro-RO"/>
              </w:rPr>
              <w:t>LISTA TERMENELOR DE TRANSPUNERE ÎN DREPTUL NAȚIONAL</w:t>
            </w:r>
          </w:p>
          <w:p w14:paraId="1FA34D81" w14:textId="77777777" w:rsidR="005B679B" w:rsidRPr="005B679B" w:rsidRDefault="005B679B" w:rsidP="005B679B">
            <w:pPr>
              <w:tabs>
                <w:tab w:val="left" w:pos="1091"/>
              </w:tabs>
              <w:spacing w:after="0"/>
              <w:jc w:val="center"/>
              <w:rPr>
                <w:bCs/>
                <w:sz w:val="20"/>
                <w:szCs w:val="20"/>
                <w:lang w:eastAsia="ro-RO"/>
              </w:rPr>
            </w:pPr>
            <w:r w:rsidRPr="005B679B">
              <w:rPr>
                <w:b/>
                <w:sz w:val="20"/>
                <w:szCs w:val="20"/>
                <w:lang w:eastAsia="ro-RO"/>
              </w:rPr>
              <w:t>(menționate la articolul 26)</w:t>
            </w:r>
          </w:p>
        </w:tc>
        <w:tc>
          <w:tcPr>
            <w:tcW w:w="1512" w:type="pct"/>
            <w:vMerge w:val="restart"/>
            <w:shd w:val="clear" w:color="auto" w:fill="auto"/>
          </w:tcPr>
          <w:p w14:paraId="56E1224E" w14:textId="77777777" w:rsidR="005B679B" w:rsidRPr="005B679B" w:rsidRDefault="005B679B" w:rsidP="005B679B">
            <w:pPr>
              <w:tabs>
                <w:tab w:val="left" w:pos="1091"/>
              </w:tabs>
              <w:spacing w:after="0"/>
              <w:rPr>
                <w:sz w:val="20"/>
                <w:szCs w:val="20"/>
              </w:rPr>
            </w:pPr>
          </w:p>
        </w:tc>
        <w:tc>
          <w:tcPr>
            <w:tcW w:w="988" w:type="pct"/>
            <w:vMerge w:val="restart"/>
            <w:shd w:val="clear" w:color="auto" w:fill="auto"/>
            <w:vAlign w:val="center"/>
          </w:tcPr>
          <w:p w14:paraId="15EDFF60" w14:textId="77777777" w:rsidR="005B679B" w:rsidRPr="005B679B" w:rsidRDefault="005B679B" w:rsidP="005B679B">
            <w:pPr>
              <w:tabs>
                <w:tab w:val="left" w:pos="1091"/>
              </w:tabs>
              <w:spacing w:after="0"/>
              <w:jc w:val="center"/>
              <w:rPr>
                <w:b/>
                <w:bCs/>
                <w:sz w:val="20"/>
                <w:szCs w:val="20"/>
              </w:rPr>
            </w:pPr>
            <w:r w:rsidRPr="005B679B">
              <w:rPr>
                <w:b/>
                <w:bCs/>
                <w:sz w:val="20"/>
                <w:szCs w:val="20"/>
              </w:rPr>
              <w:t>Normă UE neaplicabilă</w:t>
            </w:r>
          </w:p>
        </w:tc>
        <w:tc>
          <w:tcPr>
            <w:tcW w:w="790" w:type="pct"/>
            <w:vMerge w:val="restart"/>
            <w:shd w:val="clear" w:color="auto" w:fill="auto"/>
            <w:vAlign w:val="center"/>
          </w:tcPr>
          <w:p w14:paraId="2B7D1385" w14:textId="77777777" w:rsidR="005B679B" w:rsidRPr="005B679B" w:rsidRDefault="005B679B" w:rsidP="005B679B">
            <w:pPr>
              <w:tabs>
                <w:tab w:val="left" w:pos="1091"/>
              </w:tabs>
              <w:spacing w:after="0"/>
              <w:jc w:val="center"/>
              <w:rPr>
                <w:b/>
                <w:bCs/>
                <w:sz w:val="20"/>
                <w:szCs w:val="20"/>
              </w:rPr>
            </w:pPr>
          </w:p>
        </w:tc>
      </w:tr>
      <w:tr w:rsidR="005B679B" w:rsidRPr="005B679B" w14:paraId="1317D84A" w14:textId="77777777" w:rsidTr="0014248B">
        <w:trPr>
          <w:trHeight w:val="113"/>
        </w:trPr>
        <w:tc>
          <w:tcPr>
            <w:tcW w:w="855"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AC01DDB" w14:textId="77777777" w:rsidR="005B679B" w:rsidRPr="005B679B" w:rsidRDefault="005B679B" w:rsidP="005B679B">
            <w:pPr>
              <w:tabs>
                <w:tab w:val="left" w:pos="1091"/>
              </w:tabs>
              <w:spacing w:after="0"/>
              <w:jc w:val="center"/>
              <w:rPr>
                <w:b/>
                <w:sz w:val="20"/>
                <w:szCs w:val="20"/>
                <w:lang w:eastAsia="ro-RO"/>
              </w:rPr>
            </w:pPr>
            <w:r w:rsidRPr="005B679B">
              <w:rPr>
                <w:b/>
                <w:sz w:val="20"/>
                <w:szCs w:val="20"/>
                <w:lang w:eastAsia="ro-RO"/>
              </w:rPr>
              <w:t>Directiva</w:t>
            </w:r>
          </w:p>
        </w:tc>
        <w:tc>
          <w:tcPr>
            <w:tcW w:w="85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7461887" w14:textId="77777777" w:rsidR="005B679B" w:rsidRPr="005B679B" w:rsidRDefault="005B679B" w:rsidP="005B679B">
            <w:pPr>
              <w:tabs>
                <w:tab w:val="left" w:pos="1091"/>
              </w:tabs>
              <w:spacing w:after="0"/>
              <w:jc w:val="center"/>
              <w:rPr>
                <w:b/>
                <w:sz w:val="20"/>
                <w:szCs w:val="20"/>
                <w:lang w:eastAsia="ro-RO"/>
              </w:rPr>
            </w:pPr>
            <w:r w:rsidRPr="005B679B">
              <w:rPr>
                <w:b/>
                <w:sz w:val="20"/>
                <w:szCs w:val="20"/>
                <w:lang w:eastAsia="ro-RO"/>
              </w:rPr>
              <w:t>Data limită de transpunere</w:t>
            </w:r>
          </w:p>
        </w:tc>
        <w:tc>
          <w:tcPr>
            <w:tcW w:w="1512" w:type="pct"/>
            <w:vMerge/>
            <w:shd w:val="clear" w:color="auto" w:fill="auto"/>
          </w:tcPr>
          <w:p w14:paraId="2727AED6" w14:textId="77777777" w:rsidR="005B679B" w:rsidRPr="005B679B" w:rsidRDefault="005B679B" w:rsidP="005B679B">
            <w:pPr>
              <w:tabs>
                <w:tab w:val="left" w:pos="1091"/>
              </w:tabs>
              <w:spacing w:after="0"/>
              <w:rPr>
                <w:sz w:val="20"/>
                <w:szCs w:val="20"/>
              </w:rPr>
            </w:pPr>
          </w:p>
        </w:tc>
        <w:tc>
          <w:tcPr>
            <w:tcW w:w="988" w:type="pct"/>
            <w:vMerge/>
            <w:shd w:val="clear" w:color="auto" w:fill="auto"/>
            <w:vAlign w:val="center"/>
          </w:tcPr>
          <w:p w14:paraId="386B1FA2" w14:textId="77777777" w:rsidR="005B679B" w:rsidRPr="005B679B" w:rsidRDefault="005B679B" w:rsidP="005B679B">
            <w:pPr>
              <w:tabs>
                <w:tab w:val="left" w:pos="1091"/>
              </w:tabs>
              <w:spacing w:after="0"/>
              <w:jc w:val="center"/>
              <w:rPr>
                <w:b/>
                <w:bCs/>
                <w:sz w:val="20"/>
                <w:szCs w:val="20"/>
              </w:rPr>
            </w:pPr>
          </w:p>
        </w:tc>
        <w:tc>
          <w:tcPr>
            <w:tcW w:w="790" w:type="pct"/>
            <w:vMerge/>
            <w:shd w:val="clear" w:color="auto" w:fill="auto"/>
            <w:vAlign w:val="center"/>
          </w:tcPr>
          <w:p w14:paraId="7DC12AB4" w14:textId="77777777" w:rsidR="005B679B" w:rsidRPr="005B679B" w:rsidRDefault="005B679B" w:rsidP="005B679B">
            <w:pPr>
              <w:tabs>
                <w:tab w:val="left" w:pos="1091"/>
              </w:tabs>
              <w:spacing w:after="0"/>
              <w:jc w:val="center"/>
              <w:rPr>
                <w:b/>
                <w:bCs/>
                <w:sz w:val="20"/>
                <w:szCs w:val="20"/>
              </w:rPr>
            </w:pPr>
          </w:p>
        </w:tc>
      </w:tr>
      <w:tr w:rsidR="005B679B" w:rsidRPr="005B679B" w14:paraId="56B4F444" w14:textId="77777777" w:rsidTr="0014248B">
        <w:trPr>
          <w:trHeight w:val="113"/>
        </w:trPr>
        <w:tc>
          <w:tcPr>
            <w:tcW w:w="855" w:type="pct"/>
            <w:gridSpan w:val="2"/>
            <w:tcBorders>
              <w:top w:val="single" w:sz="6" w:space="0" w:color="000000"/>
              <w:left w:val="single" w:sz="6" w:space="0" w:color="000000"/>
              <w:bottom w:val="single" w:sz="6" w:space="0" w:color="000000"/>
              <w:right w:val="single" w:sz="6" w:space="0" w:color="000000"/>
            </w:tcBorders>
            <w:shd w:val="clear" w:color="auto" w:fill="FFFFFF"/>
          </w:tcPr>
          <w:p w14:paraId="14D1588A" w14:textId="77777777" w:rsidR="005B679B" w:rsidRPr="005B679B" w:rsidRDefault="005B679B" w:rsidP="005B679B">
            <w:pPr>
              <w:tabs>
                <w:tab w:val="left" w:pos="1091"/>
              </w:tabs>
              <w:spacing w:after="0"/>
              <w:rPr>
                <w:sz w:val="20"/>
                <w:szCs w:val="20"/>
                <w:lang w:eastAsia="ro-RO"/>
              </w:rPr>
            </w:pPr>
            <w:r w:rsidRPr="005B679B">
              <w:rPr>
                <w:sz w:val="20"/>
                <w:szCs w:val="20"/>
                <w:lang w:eastAsia="ro-RO"/>
              </w:rPr>
              <w:t>70/457/CEE</w:t>
            </w:r>
          </w:p>
        </w:tc>
        <w:tc>
          <w:tcPr>
            <w:tcW w:w="855" w:type="pct"/>
            <w:tcBorders>
              <w:top w:val="single" w:sz="6" w:space="0" w:color="000000"/>
              <w:left w:val="single" w:sz="6" w:space="0" w:color="000000"/>
              <w:bottom w:val="single" w:sz="6" w:space="0" w:color="000000"/>
              <w:right w:val="single" w:sz="6" w:space="0" w:color="000000"/>
            </w:tcBorders>
            <w:shd w:val="clear" w:color="auto" w:fill="FFFFFF"/>
          </w:tcPr>
          <w:p w14:paraId="3E3E6ED0" w14:textId="77777777" w:rsidR="005B679B" w:rsidRPr="005B679B" w:rsidRDefault="005B679B" w:rsidP="005B679B">
            <w:pPr>
              <w:tabs>
                <w:tab w:val="left" w:pos="1091"/>
              </w:tabs>
              <w:spacing w:after="0"/>
              <w:rPr>
                <w:sz w:val="20"/>
                <w:szCs w:val="20"/>
                <w:lang w:eastAsia="ro-RO"/>
              </w:rPr>
            </w:pPr>
            <w:r w:rsidRPr="005B679B">
              <w:rPr>
                <w:sz w:val="20"/>
                <w:szCs w:val="20"/>
                <w:lang w:eastAsia="ro-RO"/>
              </w:rPr>
              <w:t>1 iulie 1972</w:t>
            </w:r>
            <w:hyperlink r:id="rId6" w:anchor="ntr1-L_2002193RO.01000901-E0001" w:history="1">
              <w:r w:rsidRPr="005B679B">
                <w:rPr>
                  <w:sz w:val="20"/>
                  <w:szCs w:val="20"/>
                  <w:u w:val="single"/>
                  <w:lang w:eastAsia="ro-RO"/>
                </w:rPr>
                <w:t> (</w:t>
              </w:r>
              <w:r w:rsidRPr="005B679B">
                <w:rPr>
                  <w:sz w:val="20"/>
                  <w:szCs w:val="20"/>
                  <w:vertAlign w:val="superscript"/>
                  <w:lang w:eastAsia="ro-RO"/>
                </w:rPr>
                <w:t>1</w:t>
              </w:r>
              <w:r w:rsidRPr="005B679B">
                <w:rPr>
                  <w:sz w:val="20"/>
                  <w:szCs w:val="20"/>
                  <w:u w:val="single"/>
                  <w:lang w:eastAsia="ro-RO"/>
                </w:rPr>
                <w:t>)</w:t>
              </w:r>
            </w:hyperlink>
            <w:r w:rsidRPr="005B679B">
              <w:rPr>
                <w:sz w:val="20"/>
                <w:szCs w:val="20"/>
                <w:lang w:eastAsia="ro-RO"/>
              </w:rPr>
              <w:t> </w:t>
            </w:r>
            <w:hyperlink r:id="rId7" w:anchor="ntr2-L_2002193RO.01000901-E0002" w:history="1">
              <w:r w:rsidRPr="005B679B">
                <w:rPr>
                  <w:sz w:val="20"/>
                  <w:szCs w:val="20"/>
                  <w:u w:val="single"/>
                  <w:lang w:eastAsia="ro-RO"/>
                </w:rPr>
                <w:t> (</w:t>
              </w:r>
              <w:r w:rsidRPr="005B679B">
                <w:rPr>
                  <w:sz w:val="20"/>
                  <w:szCs w:val="20"/>
                  <w:vertAlign w:val="superscript"/>
                  <w:lang w:eastAsia="ro-RO"/>
                </w:rPr>
                <w:t>2</w:t>
              </w:r>
              <w:r w:rsidRPr="005B679B">
                <w:rPr>
                  <w:sz w:val="20"/>
                  <w:szCs w:val="20"/>
                  <w:u w:val="single"/>
                  <w:lang w:eastAsia="ro-RO"/>
                </w:rPr>
                <w:t>)</w:t>
              </w:r>
            </w:hyperlink>
          </w:p>
        </w:tc>
        <w:tc>
          <w:tcPr>
            <w:tcW w:w="1512" w:type="pct"/>
            <w:vMerge/>
            <w:shd w:val="clear" w:color="auto" w:fill="auto"/>
          </w:tcPr>
          <w:p w14:paraId="7C2E02BE" w14:textId="77777777" w:rsidR="005B679B" w:rsidRPr="005B679B" w:rsidRDefault="005B679B" w:rsidP="005B679B">
            <w:pPr>
              <w:tabs>
                <w:tab w:val="left" w:pos="1091"/>
              </w:tabs>
              <w:spacing w:after="0"/>
              <w:rPr>
                <w:sz w:val="20"/>
                <w:szCs w:val="20"/>
              </w:rPr>
            </w:pPr>
          </w:p>
        </w:tc>
        <w:tc>
          <w:tcPr>
            <w:tcW w:w="988" w:type="pct"/>
            <w:vMerge/>
            <w:shd w:val="clear" w:color="auto" w:fill="auto"/>
            <w:vAlign w:val="center"/>
          </w:tcPr>
          <w:p w14:paraId="0C2C236B" w14:textId="77777777" w:rsidR="005B679B" w:rsidRPr="005B679B" w:rsidRDefault="005B679B" w:rsidP="005B679B">
            <w:pPr>
              <w:tabs>
                <w:tab w:val="left" w:pos="1091"/>
              </w:tabs>
              <w:spacing w:after="0"/>
              <w:jc w:val="center"/>
              <w:rPr>
                <w:b/>
                <w:bCs/>
                <w:sz w:val="20"/>
                <w:szCs w:val="20"/>
              </w:rPr>
            </w:pPr>
          </w:p>
        </w:tc>
        <w:tc>
          <w:tcPr>
            <w:tcW w:w="790" w:type="pct"/>
            <w:vMerge/>
            <w:shd w:val="clear" w:color="auto" w:fill="auto"/>
            <w:vAlign w:val="center"/>
          </w:tcPr>
          <w:p w14:paraId="7C97507B" w14:textId="77777777" w:rsidR="005B679B" w:rsidRPr="005B679B" w:rsidRDefault="005B679B" w:rsidP="005B679B">
            <w:pPr>
              <w:tabs>
                <w:tab w:val="left" w:pos="1091"/>
              </w:tabs>
              <w:spacing w:after="0"/>
              <w:jc w:val="center"/>
              <w:rPr>
                <w:b/>
                <w:bCs/>
                <w:sz w:val="20"/>
                <w:szCs w:val="20"/>
              </w:rPr>
            </w:pPr>
          </w:p>
        </w:tc>
      </w:tr>
      <w:tr w:rsidR="005B679B" w:rsidRPr="005B679B" w14:paraId="1D5FA9CC" w14:textId="77777777" w:rsidTr="0014248B">
        <w:trPr>
          <w:trHeight w:val="113"/>
        </w:trPr>
        <w:tc>
          <w:tcPr>
            <w:tcW w:w="855" w:type="pct"/>
            <w:gridSpan w:val="2"/>
            <w:vMerge w:val="restart"/>
            <w:tcBorders>
              <w:top w:val="single" w:sz="6" w:space="0" w:color="000000"/>
              <w:left w:val="single" w:sz="6" w:space="0" w:color="000000"/>
              <w:right w:val="single" w:sz="6" w:space="0" w:color="000000"/>
            </w:tcBorders>
            <w:shd w:val="clear" w:color="auto" w:fill="FFFFFF"/>
          </w:tcPr>
          <w:p w14:paraId="770BB44F" w14:textId="77777777" w:rsidR="005B679B" w:rsidRPr="005B679B" w:rsidRDefault="005B679B" w:rsidP="005B679B">
            <w:pPr>
              <w:tabs>
                <w:tab w:val="left" w:pos="1091"/>
              </w:tabs>
              <w:spacing w:after="0"/>
              <w:rPr>
                <w:sz w:val="20"/>
                <w:szCs w:val="20"/>
                <w:lang w:eastAsia="ro-RO"/>
              </w:rPr>
            </w:pPr>
            <w:r w:rsidRPr="005B679B">
              <w:rPr>
                <w:sz w:val="20"/>
                <w:szCs w:val="20"/>
                <w:lang w:eastAsia="ro-RO"/>
              </w:rPr>
              <w:t>72/274/CEE</w:t>
            </w:r>
          </w:p>
        </w:tc>
        <w:tc>
          <w:tcPr>
            <w:tcW w:w="855" w:type="pct"/>
            <w:tcBorders>
              <w:top w:val="single" w:sz="6" w:space="0" w:color="000000"/>
              <w:left w:val="single" w:sz="6" w:space="0" w:color="000000"/>
              <w:bottom w:val="single" w:sz="6" w:space="0" w:color="000000"/>
              <w:right w:val="single" w:sz="6" w:space="0" w:color="000000"/>
            </w:tcBorders>
            <w:shd w:val="clear" w:color="auto" w:fill="FFFFFF"/>
          </w:tcPr>
          <w:p w14:paraId="17113236" w14:textId="77777777" w:rsidR="005B679B" w:rsidRPr="005B679B" w:rsidRDefault="005B679B" w:rsidP="005B679B">
            <w:pPr>
              <w:tabs>
                <w:tab w:val="left" w:pos="1091"/>
              </w:tabs>
              <w:spacing w:after="0"/>
              <w:rPr>
                <w:sz w:val="20"/>
                <w:szCs w:val="20"/>
                <w:lang w:eastAsia="ro-RO"/>
              </w:rPr>
            </w:pPr>
            <w:r w:rsidRPr="005B679B">
              <w:rPr>
                <w:sz w:val="20"/>
                <w:szCs w:val="20"/>
                <w:lang w:eastAsia="ro-RO"/>
              </w:rPr>
              <w:t>1 iulie 1972 (articolul 1)</w:t>
            </w:r>
          </w:p>
        </w:tc>
        <w:tc>
          <w:tcPr>
            <w:tcW w:w="1512" w:type="pct"/>
            <w:vMerge/>
            <w:shd w:val="clear" w:color="auto" w:fill="auto"/>
          </w:tcPr>
          <w:p w14:paraId="09C010AC" w14:textId="77777777" w:rsidR="005B679B" w:rsidRPr="005B679B" w:rsidRDefault="005B679B" w:rsidP="005B679B">
            <w:pPr>
              <w:tabs>
                <w:tab w:val="left" w:pos="1091"/>
              </w:tabs>
              <w:spacing w:after="0"/>
              <w:rPr>
                <w:sz w:val="20"/>
                <w:szCs w:val="20"/>
              </w:rPr>
            </w:pPr>
          </w:p>
        </w:tc>
        <w:tc>
          <w:tcPr>
            <w:tcW w:w="988" w:type="pct"/>
            <w:vMerge/>
            <w:shd w:val="clear" w:color="auto" w:fill="auto"/>
            <w:vAlign w:val="center"/>
          </w:tcPr>
          <w:p w14:paraId="284C3BCD" w14:textId="77777777" w:rsidR="005B679B" w:rsidRPr="005B679B" w:rsidRDefault="005B679B" w:rsidP="005B679B">
            <w:pPr>
              <w:tabs>
                <w:tab w:val="left" w:pos="1091"/>
              </w:tabs>
              <w:spacing w:after="0"/>
              <w:jc w:val="center"/>
              <w:rPr>
                <w:b/>
                <w:bCs/>
                <w:sz w:val="20"/>
                <w:szCs w:val="20"/>
              </w:rPr>
            </w:pPr>
          </w:p>
        </w:tc>
        <w:tc>
          <w:tcPr>
            <w:tcW w:w="790" w:type="pct"/>
            <w:vMerge/>
            <w:shd w:val="clear" w:color="auto" w:fill="auto"/>
            <w:vAlign w:val="center"/>
          </w:tcPr>
          <w:p w14:paraId="5EE30FAF" w14:textId="77777777" w:rsidR="005B679B" w:rsidRPr="005B679B" w:rsidRDefault="005B679B" w:rsidP="005B679B">
            <w:pPr>
              <w:tabs>
                <w:tab w:val="left" w:pos="1091"/>
              </w:tabs>
              <w:spacing w:after="0"/>
              <w:jc w:val="center"/>
              <w:rPr>
                <w:b/>
                <w:bCs/>
                <w:sz w:val="20"/>
                <w:szCs w:val="20"/>
              </w:rPr>
            </w:pPr>
          </w:p>
        </w:tc>
      </w:tr>
      <w:tr w:rsidR="005B679B" w:rsidRPr="005B679B" w14:paraId="0F7E25B7" w14:textId="77777777" w:rsidTr="0014248B">
        <w:trPr>
          <w:trHeight w:val="113"/>
        </w:trPr>
        <w:tc>
          <w:tcPr>
            <w:tcW w:w="855" w:type="pct"/>
            <w:gridSpan w:val="2"/>
            <w:vMerge/>
            <w:tcBorders>
              <w:left w:val="single" w:sz="6" w:space="0" w:color="000000"/>
              <w:bottom w:val="single" w:sz="6" w:space="0" w:color="000000"/>
              <w:right w:val="single" w:sz="6" w:space="0" w:color="000000"/>
            </w:tcBorders>
            <w:shd w:val="clear" w:color="auto" w:fill="FFFFFF"/>
            <w:vAlign w:val="center"/>
          </w:tcPr>
          <w:p w14:paraId="7A01B06D" w14:textId="77777777" w:rsidR="005B679B" w:rsidRPr="005B679B" w:rsidRDefault="005B679B" w:rsidP="005B679B">
            <w:pPr>
              <w:tabs>
                <w:tab w:val="left" w:pos="1091"/>
              </w:tabs>
              <w:spacing w:after="0"/>
              <w:rPr>
                <w:sz w:val="20"/>
                <w:szCs w:val="20"/>
                <w:lang w:eastAsia="ro-RO"/>
              </w:rPr>
            </w:pPr>
          </w:p>
        </w:tc>
        <w:tc>
          <w:tcPr>
            <w:tcW w:w="855" w:type="pct"/>
            <w:tcBorders>
              <w:top w:val="single" w:sz="6" w:space="0" w:color="000000"/>
              <w:left w:val="single" w:sz="6" w:space="0" w:color="000000"/>
              <w:bottom w:val="single" w:sz="6" w:space="0" w:color="000000"/>
              <w:right w:val="single" w:sz="6" w:space="0" w:color="000000"/>
            </w:tcBorders>
            <w:shd w:val="clear" w:color="auto" w:fill="FFFFFF"/>
          </w:tcPr>
          <w:p w14:paraId="2DDA4414" w14:textId="77777777" w:rsidR="005B679B" w:rsidRPr="005B679B" w:rsidRDefault="005B679B" w:rsidP="005B679B">
            <w:pPr>
              <w:tabs>
                <w:tab w:val="left" w:pos="1091"/>
              </w:tabs>
              <w:spacing w:after="0"/>
              <w:rPr>
                <w:sz w:val="20"/>
                <w:szCs w:val="20"/>
                <w:lang w:eastAsia="ro-RO"/>
              </w:rPr>
            </w:pPr>
            <w:r w:rsidRPr="005B679B">
              <w:rPr>
                <w:sz w:val="20"/>
                <w:szCs w:val="20"/>
                <w:lang w:eastAsia="ro-RO"/>
              </w:rPr>
              <w:t>1 ianuarie 1973 (articolul 2)</w:t>
            </w:r>
          </w:p>
        </w:tc>
        <w:tc>
          <w:tcPr>
            <w:tcW w:w="1512" w:type="pct"/>
            <w:vMerge/>
            <w:shd w:val="clear" w:color="auto" w:fill="auto"/>
          </w:tcPr>
          <w:p w14:paraId="29727E1F" w14:textId="77777777" w:rsidR="005B679B" w:rsidRPr="005B679B" w:rsidRDefault="005B679B" w:rsidP="005B679B">
            <w:pPr>
              <w:tabs>
                <w:tab w:val="left" w:pos="1091"/>
              </w:tabs>
              <w:spacing w:after="0"/>
              <w:rPr>
                <w:sz w:val="20"/>
                <w:szCs w:val="20"/>
              </w:rPr>
            </w:pPr>
          </w:p>
        </w:tc>
        <w:tc>
          <w:tcPr>
            <w:tcW w:w="988" w:type="pct"/>
            <w:vMerge/>
            <w:shd w:val="clear" w:color="auto" w:fill="auto"/>
            <w:vAlign w:val="center"/>
          </w:tcPr>
          <w:p w14:paraId="285D3059" w14:textId="77777777" w:rsidR="005B679B" w:rsidRPr="005B679B" w:rsidRDefault="005B679B" w:rsidP="005B679B">
            <w:pPr>
              <w:tabs>
                <w:tab w:val="left" w:pos="1091"/>
              </w:tabs>
              <w:spacing w:after="0"/>
              <w:jc w:val="center"/>
              <w:rPr>
                <w:b/>
                <w:bCs/>
                <w:sz w:val="20"/>
                <w:szCs w:val="20"/>
              </w:rPr>
            </w:pPr>
          </w:p>
        </w:tc>
        <w:tc>
          <w:tcPr>
            <w:tcW w:w="790" w:type="pct"/>
            <w:vMerge/>
            <w:shd w:val="clear" w:color="auto" w:fill="auto"/>
            <w:vAlign w:val="center"/>
          </w:tcPr>
          <w:p w14:paraId="21496C94" w14:textId="77777777" w:rsidR="005B679B" w:rsidRPr="005B679B" w:rsidRDefault="005B679B" w:rsidP="005B679B">
            <w:pPr>
              <w:tabs>
                <w:tab w:val="left" w:pos="1091"/>
              </w:tabs>
              <w:spacing w:after="0"/>
              <w:jc w:val="center"/>
              <w:rPr>
                <w:b/>
                <w:bCs/>
                <w:sz w:val="20"/>
                <w:szCs w:val="20"/>
              </w:rPr>
            </w:pPr>
          </w:p>
        </w:tc>
      </w:tr>
      <w:tr w:rsidR="005B679B" w:rsidRPr="005B679B" w14:paraId="7DD7DA73" w14:textId="77777777" w:rsidTr="0014248B">
        <w:trPr>
          <w:trHeight w:val="113"/>
        </w:trPr>
        <w:tc>
          <w:tcPr>
            <w:tcW w:w="855" w:type="pct"/>
            <w:gridSpan w:val="2"/>
            <w:tcBorders>
              <w:top w:val="single" w:sz="6" w:space="0" w:color="000000"/>
              <w:left w:val="single" w:sz="6" w:space="0" w:color="000000"/>
              <w:bottom w:val="single" w:sz="6" w:space="0" w:color="000000"/>
              <w:right w:val="single" w:sz="6" w:space="0" w:color="000000"/>
            </w:tcBorders>
            <w:shd w:val="clear" w:color="auto" w:fill="FFFFFF"/>
          </w:tcPr>
          <w:p w14:paraId="7579A0FD" w14:textId="77777777" w:rsidR="005B679B" w:rsidRPr="005B679B" w:rsidRDefault="005B679B" w:rsidP="005B679B">
            <w:pPr>
              <w:tabs>
                <w:tab w:val="left" w:pos="1091"/>
              </w:tabs>
              <w:spacing w:after="0"/>
              <w:rPr>
                <w:sz w:val="20"/>
                <w:szCs w:val="20"/>
                <w:lang w:eastAsia="ro-RO"/>
              </w:rPr>
            </w:pPr>
            <w:r w:rsidRPr="005B679B">
              <w:rPr>
                <w:sz w:val="20"/>
                <w:szCs w:val="20"/>
                <w:lang w:eastAsia="ro-RO"/>
              </w:rPr>
              <w:t>72/418/CEE</w:t>
            </w:r>
          </w:p>
        </w:tc>
        <w:tc>
          <w:tcPr>
            <w:tcW w:w="855" w:type="pct"/>
            <w:tcBorders>
              <w:top w:val="single" w:sz="6" w:space="0" w:color="000000"/>
              <w:left w:val="single" w:sz="6" w:space="0" w:color="000000"/>
              <w:bottom w:val="single" w:sz="6" w:space="0" w:color="000000"/>
              <w:right w:val="single" w:sz="6" w:space="0" w:color="000000"/>
            </w:tcBorders>
            <w:shd w:val="clear" w:color="auto" w:fill="FFFFFF"/>
          </w:tcPr>
          <w:p w14:paraId="5621FD00" w14:textId="77777777" w:rsidR="005B679B" w:rsidRPr="005B679B" w:rsidRDefault="005B679B" w:rsidP="005B679B">
            <w:pPr>
              <w:tabs>
                <w:tab w:val="left" w:pos="1091"/>
              </w:tabs>
              <w:spacing w:after="0"/>
              <w:rPr>
                <w:sz w:val="20"/>
                <w:szCs w:val="20"/>
                <w:lang w:eastAsia="ro-RO"/>
              </w:rPr>
            </w:pPr>
            <w:r w:rsidRPr="005B679B">
              <w:rPr>
                <w:sz w:val="20"/>
                <w:szCs w:val="20"/>
                <w:lang w:eastAsia="ro-RO"/>
              </w:rPr>
              <w:t>1 iulie 1972 (articolul 7)</w:t>
            </w:r>
          </w:p>
        </w:tc>
        <w:tc>
          <w:tcPr>
            <w:tcW w:w="1512" w:type="pct"/>
            <w:vMerge/>
            <w:shd w:val="clear" w:color="auto" w:fill="auto"/>
          </w:tcPr>
          <w:p w14:paraId="70F3C2D6" w14:textId="77777777" w:rsidR="005B679B" w:rsidRPr="005B679B" w:rsidRDefault="005B679B" w:rsidP="005B679B">
            <w:pPr>
              <w:tabs>
                <w:tab w:val="left" w:pos="1091"/>
              </w:tabs>
              <w:spacing w:after="0"/>
              <w:rPr>
                <w:sz w:val="20"/>
                <w:szCs w:val="20"/>
              </w:rPr>
            </w:pPr>
          </w:p>
        </w:tc>
        <w:tc>
          <w:tcPr>
            <w:tcW w:w="988" w:type="pct"/>
            <w:vMerge/>
            <w:shd w:val="clear" w:color="auto" w:fill="auto"/>
            <w:vAlign w:val="center"/>
          </w:tcPr>
          <w:p w14:paraId="528683C7" w14:textId="77777777" w:rsidR="005B679B" w:rsidRPr="005B679B" w:rsidRDefault="005B679B" w:rsidP="005B679B">
            <w:pPr>
              <w:tabs>
                <w:tab w:val="left" w:pos="1091"/>
              </w:tabs>
              <w:spacing w:after="0"/>
              <w:jc w:val="center"/>
              <w:rPr>
                <w:b/>
                <w:bCs/>
                <w:sz w:val="20"/>
                <w:szCs w:val="20"/>
              </w:rPr>
            </w:pPr>
          </w:p>
        </w:tc>
        <w:tc>
          <w:tcPr>
            <w:tcW w:w="790" w:type="pct"/>
            <w:vMerge/>
            <w:shd w:val="clear" w:color="auto" w:fill="auto"/>
            <w:vAlign w:val="center"/>
          </w:tcPr>
          <w:p w14:paraId="2662C18B" w14:textId="77777777" w:rsidR="005B679B" w:rsidRPr="005B679B" w:rsidRDefault="005B679B" w:rsidP="005B679B">
            <w:pPr>
              <w:tabs>
                <w:tab w:val="left" w:pos="1091"/>
              </w:tabs>
              <w:spacing w:after="0"/>
              <w:jc w:val="center"/>
              <w:rPr>
                <w:b/>
                <w:bCs/>
                <w:sz w:val="20"/>
                <w:szCs w:val="20"/>
              </w:rPr>
            </w:pPr>
          </w:p>
        </w:tc>
      </w:tr>
      <w:tr w:rsidR="005B679B" w:rsidRPr="005B679B" w14:paraId="22326827" w14:textId="77777777" w:rsidTr="0014248B">
        <w:trPr>
          <w:trHeight w:val="113"/>
        </w:trPr>
        <w:tc>
          <w:tcPr>
            <w:tcW w:w="855" w:type="pct"/>
            <w:gridSpan w:val="2"/>
            <w:tcBorders>
              <w:top w:val="single" w:sz="6" w:space="0" w:color="000000"/>
              <w:left w:val="single" w:sz="6" w:space="0" w:color="000000"/>
              <w:bottom w:val="single" w:sz="6" w:space="0" w:color="000000"/>
              <w:right w:val="single" w:sz="6" w:space="0" w:color="000000"/>
            </w:tcBorders>
            <w:shd w:val="clear" w:color="auto" w:fill="FFFFFF"/>
          </w:tcPr>
          <w:p w14:paraId="5CE46DFA" w14:textId="77777777" w:rsidR="005B679B" w:rsidRPr="005B679B" w:rsidRDefault="005B679B" w:rsidP="005B679B">
            <w:pPr>
              <w:tabs>
                <w:tab w:val="left" w:pos="1091"/>
              </w:tabs>
              <w:spacing w:after="0"/>
              <w:rPr>
                <w:sz w:val="20"/>
                <w:szCs w:val="20"/>
                <w:lang w:eastAsia="ro-RO"/>
              </w:rPr>
            </w:pPr>
            <w:r w:rsidRPr="005B679B">
              <w:rPr>
                <w:sz w:val="20"/>
                <w:szCs w:val="20"/>
                <w:lang w:eastAsia="ro-RO"/>
              </w:rPr>
              <w:t>73/438/CEE</w:t>
            </w:r>
          </w:p>
        </w:tc>
        <w:tc>
          <w:tcPr>
            <w:tcW w:w="855" w:type="pct"/>
            <w:tcBorders>
              <w:top w:val="single" w:sz="6" w:space="0" w:color="000000"/>
              <w:left w:val="single" w:sz="6" w:space="0" w:color="000000"/>
              <w:bottom w:val="single" w:sz="6" w:space="0" w:color="000000"/>
              <w:right w:val="single" w:sz="6" w:space="0" w:color="000000"/>
            </w:tcBorders>
            <w:shd w:val="clear" w:color="auto" w:fill="FFFFFF"/>
          </w:tcPr>
          <w:p w14:paraId="425C07EE" w14:textId="77777777" w:rsidR="005B679B" w:rsidRPr="005B679B" w:rsidRDefault="005B679B" w:rsidP="005B679B">
            <w:pPr>
              <w:tabs>
                <w:tab w:val="left" w:pos="1091"/>
              </w:tabs>
              <w:spacing w:after="0"/>
              <w:rPr>
                <w:sz w:val="20"/>
                <w:szCs w:val="20"/>
                <w:lang w:eastAsia="ro-RO"/>
              </w:rPr>
            </w:pPr>
            <w:r w:rsidRPr="005B679B">
              <w:rPr>
                <w:sz w:val="20"/>
                <w:szCs w:val="20"/>
                <w:lang w:eastAsia="ro-RO"/>
              </w:rPr>
              <w:t>1 iulie 1974 (articolul 7)</w:t>
            </w:r>
          </w:p>
        </w:tc>
        <w:tc>
          <w:tcPr>
            <w:tcW w:w="1512" w:type="pct"/>
            <w:vMerge/>
            <w:shd w:val="clear" w:color="auto" w:fill="auto"/>
          </w:tcPr>
          <w:p w14:paraId="5FA915D1" w14:textId="77777777" w:rsidR="005B679B" w:rsidRPr="005B679B" w:rsidRDefault="005B679B" w:rsidP="005B679B">
            <w:pPr>
              <w:tabs>
                <w:tab w:val="left" w:pos="1091"/>
              </w:tabs>
              <w:spacing w:after="0"/>
              <w:rPr>
                <w:sz w:val="20"/>
                <w:szCs w:val="20"/>
              </w:rPr>
            </w:pPr>
          </w:p>
        </w:tc>
        <w:tc>
          <w:tcPr>
            <w:tcW w:w="988" w:type="pct"/>
            <w:vMerge/>
            <w:shd w:val="clear" w:color="auto" w:fill="auto"/>
            <w:vAlign w:val="center"/>
          </w:tcPr>
          <w:p w14:paraId="74B6E364" w14:textId="77777777" w:rsidR="005B679B" w:rsidRPr="005B679B" w:rsidRDefault="005B679B" w:rsidP="005B679B">
            <w:pPr>
              <w:tabs>
                <w:tab w:val="left" w:pos="1091"/>
              </w:tabs>
              <w:spacing w:after="0"/>
              <w:jc w:val="center"/>
              <w:rPr>
                <w:b/>
                <w:bCs/>
                <w:sz w:val="20"/>
                <w:szCs w:val="20"/>
              </w:rPr>
            </w:pPr>
          </w:p>
        </w:tc>
        <w:tc>
          <w:tcPr>
            <w:tcW w:w="790" w:type="pct"/>
            <w:vMerge/>
            <w:shd w:val="clear" w:color="auto" w:fill="auto"/>
            <w:vAlign w:val="center"/>
          </w:tcPr>
          <w:p w14:paraId="1FD4F1BF" w14:textId="77777777" w:rsidR="005B679B" w:rsidRPr="005B679B" w:rsidRDefault="005B679B" w:rsidP="005B679B">
            <w:pPr>
              <w:tabs>
                <w:tab w:val="left" w:pos="1091"/>
              </w:tabs>
              <w:spacing w:after="0"/>
              <w:jc w:val="center"/>
              <w:rPr>
                <w:b/>
                <w:bCs/>
                <w:sz w:val="20"/>
                <w:szCs w:val="20"/>
              </w:rPr>
            </w:pPr>
          </w:p>
        </w:tc>
      </w:tr>
      <w:tr w:rsidR="005B679B" w:rsidRPr="005B679B" w14:paraId="7BEB834D" w14:textId="77777777" w:rsidTr="0014248B">
        <w:trPr>
          <w:trHeight w:val="113"/>
        </w:trPr>
        <w:tc>
          <w:tcPr>
            <w:tcW w:w="855" w:type="pct"/>
            <w:gridSpan w:val="2"/>
            <w:tcBorders>
              <w:top w:val="single" w:sz="6" w:space="0" w:color="000000"/>
              <w:left w:val="single" w:sz="6" w:space="0" w:color="000000"/>
              <w:bottom w:val="single" w:sz="6" w:space="0" w:color="000000"/>
              <w:right w:val="single" w:sz="6" w:space="0" w:color="000000"/>
            </w:tcBorders>
            <w:shd w:val="clear" w:color="auto" w:fill="FFFFFF"/>
          </w:tcPr>
          <w:p w14:paraId="02D26435" w14:textId="77777777" w:rsidR="005B679B" w:rsidRPr="005B679B" w:rsidRDefault="005B679B" w:rsidP="005B679B">
            <w:pPr>
              <w:tabs>
                <w:tab w:val="left" w:pos="1091"/>
              </w:tabs>
              <w:spacing w:after="0"/>
              <w:rPr>
                <w:sz w:val="20"/>
                <w:szCs w:val="20"/>
                <w:lang w:eastAsia="ro-RO"/>
              </w:rPr>
            </w:pPr>
            <w:r w:rsidRPr="005B679B">
              <w:rPr>
                <w:sz w:val="20"/>
                <w:szCs w:val="20"/>
                <w:lang w:eastAsia="ro-RO"/>
              </w:rPr>
              <w:t>78/55/CEE</w:t>
            </w:r>
          </w:p>
        </w:tc>
        <w:tc>
          <w:tcPr>
            <w:tcW w:w="855" w:type="pct"/>
            <w:tcBorders>
              <w:top w:val="single" w:sz="6" w:space="0" w:color="000000"/>
              <w:left w:val="single" w:sz="6" w:space="0" w:color="000000"/>
              <w:bottom w:val="single" w:sz="6" w:space="0" w:color="000000"/>
              <w:right w:val="single" w:sz="6" w:space="0" w:color="000000"/>
            </w:tcBorders>
            <w:shd w:val="clear" w:color="auto" w:fill="FFFFFF"/>
          </w:tcPr>
          <w:p w14:paraId="5C5AF608" w14:textId="77777777" w:rsidR="005B679B" w:rsidRPr="005B679B" w:rsidRDefault="005B679B" w:rsidP="005B679B">
            <w:pPr>
              <w:tabs>
                <w:tab w:val="left" w:pos="1091"/>
              </w:tabs>
              <w:spacing w:after="0"/>
              <w:rPr>
                <w:sz w:val="20"/>
                <w:szCs w:val="20"/>
                <w:lang w:eastAsia="ro-RO"/>
              </w:rPr>
            </w:pPr>
            <w:r w:rsidRPr="005B679B">
              <w:rPr>
                <w:sz w:val="20"/>
                <w:szCs w:val="20"/>
                <w:lang w:eastAsia="ro-RO"/>
              </w:rPr>
              <w:t>1 iulie 1977 (articolul 6)</w:t>
            </w:r>
          </w:p>
        </w:tc>
        <w:tc>
          <w:tcPr>
            <w:tcW w:w="1512" w:type="pct"/>
            <w:vMerge/>
            <w:shd w:val="clear" w:color="auto" w:fill="auto"/>
          </w:tcPr>
          <w:p w14:paraId="289D7444" w14:textId="77777777" w:rsidR="005B679B" w:rsidRPr="005B679B" w:rsidRDefault="005B679B" w:rsidP="005B679B">
            <w:pPr>
              <w:tabs>
                <w:tab w:val="left" w:pos="1091"/>
              </w:tabs>
              <w:spacing w:after="0"/>
              <w:rPr>
                <w:sz w:val="20"/>
                <w:szCs w:val="20"/>
              </w:rPr>
            </w:pPr>
          </w:p>
        </w:tc>
        <w:tc>
          <w:tcPr>
            <w:tcW w:w="988" w:type="pct"/>
            <w:vMerge/>
            <w:shd w:val="clear" w:color="auto" w:fill="auto"/>
            <w:vAlign w:val="center"/>
          </w:tcPr>
          <w:p w14:paraId="3B8219A3" w14:textId="77777777" w:rsidR="005B679B" w:rsidRPr="005B679B" w:rsidRDefault="005B679B" w:rsidP="005B679B">
            <w:pPr>
              <w:tabs>
                <w:tab w:val="left" w:pos="1091"/>
              </w:tabs>
              <w:spacing w:after="0"/>
              <w:jc w:val="center"/>
              <w:rPr>
                <w:b/>
                <w:bCs/>
                <w:sz w:val="20"/>
                <w:szCs w:val="20"/>
              </w:rPr>
            </w:pPr>
          </w:p>
        </w:tc>
        <w:tc>
          <w:tcPr>
            <w:tcW w:w="790" w:type="pct"/>
            <w:vMerge/>
            <w:shd w:val="clear" w:color="auto" w:fill="auto"/>
            <w:vAlign w:val="center"/>
          </w:tcPr>
          <w:p w14:paraId="6D5F4F83" w14:textId="77777777" w:rsidR="005B679B" w:rsidRPr="005B679B" w:rsidRDefault="005B679B" w:rsidP="005B679B">
            <w:pPr>
              <w:tabs>
                <w:tab w:val="left" w:pos="1091"/>
              </w:tabs>
              <w:spacing w:after="0"/>
              <w:jc w:val="center"/>
              <w:rPr>
                <w:b/>
                <w:bCs/>
                <w:sz w:val="20"/>
                <w:szCs w:val="20"/>
              </w:rPr>
            </w:pPr>
          </w:p>
        </w:tc>
      </w:tr>
      <w:tr w:rsidR="005B679B" w:rsidRPr="005B679B" w14:paraId="70A76804" w14:textId="77777777" w:rsidTr="0014248B">
        <w:trPr>
          <w:trHeight w:val="113"/>
        </w:trPr>
        <w:tc>
          <w:tcPr>
            <w:tcW w:w="855" w:type="pct"/>
            <w:gridSpan w:val="2"/>
            <w:vMerge w:val="restart"/>
            <w:tcBorders>
              <w:top w:val="single" w:sz="6" w:space="0" w:color="000000"/>
              <w:left w:val="single" w:sz="6" w:space="0" w:color="000000"/>
              <w:right w:val="single" w:sz="6" w:space="0" w:color="000000"/>
            </w:tcBorders>
            <w:shd w:val="clear" w:color="auto" w:fill="FFFFFF"/>
          </w:tcPr>
          <w:p w14:paraId="151914BD" w14:textId="77777777" w:rsidR="005B679B" w:rsidRPr="005B679B" w:rsidRDefault="005B679B" w:rsidP="005B679B">
            <w:pPr>
              <w:tabs>
                <w:tab w:val="left" w:pos="1091"/>
              </w:tabs>
              <w:spacing w:after="0"/>
              <w:rPr>
                <w:sz w:val="20"/>
                <w:szCs w:val="20"/>
                <w:lang w:eastAsia="ro-RO"/>
              </w:rPr>
            </w:pPr>
            <w:r w:rsidRPr="005B679B">
              <w:rPr>
                <w:sz w:val="20"/>
                <w:szCs w:val="20"/>
                <w:lang w:eastAsia="ro-RO"/>
              </w:rPr>
              <w:t>79/692/CEE</w:t>
            </w:r>
          </w:p>
        </w:tc>
        <w:tc>
          <w:tcPr>
            <w:tcW w:w="855" w:type="pct"/>
            <w:tcBorders>
              <w:top w:val="single" w:sz="6" w:space="0" w:color="000000"/>
              <w:left w:val="single" w:sz="6" w:space="0" w:color="000000"/>
              <w:bottom w:val="single" w:sz="6" w:space="0" w:color="000000"/>
              <w:right w:val="single" w:sz="6" w:space="0" w:color="000000"/>
            </w:tcBorders>
            <w:shd w:val="clear" w:color="auto" w:fill="FFFFFF"/>
          </w:tcPr>
          <w:p w14:paraId="7E3D628F" w14:textId="77777777" w:rsidR="005B679B" w:rsidRPr="005B679B" w:rsidRDefault="005B679B" w:rsidP="005B679B">
            <w:pPr>
              <w:tabs>
                <w:tab w:val="left" w:pos="1091"/>
              </w:tabs>
              <w:spacing w:after="0"/>
              <w:rPr>
                <w:sz w:val="20"/>
                <w:szCs w:val="20"/>
                <w:lang w:eastAsia="ro-RO"/>
              </w:rPr>
            </w:pPr>
            <w:r w:rsidRPr="005B679B">
              <w:rPr>
                <w:sz w:val="20"/>
                <w:szCs w:val="20"/>
                <w:lang w:eastAsia="ro-RO"/>
              </w:rPr>
              <w:t>1 iulie 1977 (articolul 3 punctul 9)</w:t>
            </w:r>
          </w:p>
        </w:tc>
        <w:tc>
          <w:tcPr>
            <w:tcW w:w="1512" w:type="pct"/>
            <w:vMerge/>
            <w:shd w:val="clear" w:color="auto" w:fill="auto"/>
          </w:tcPr>
          <w:p w14:paraId="13FB083B" w14:textId="77777777" w:rsidR="005B679B" w:rsidRPr="005B679B" w:rsidRDefault="005B679B" w:rsidP="005B679B">
            <w:pPr>
              <w:tabs>
                <w:tab w:val="left" w:pos="1091"/>
              </w:tabs>
              <w:spacing w:after="0"/>
              <w:rPr>
                <w:sz w:val="20"/>
                <w:szCs w:val="20"/>
              </w:rPr>
            </w:pPr>
          </w:p>
        </w:tc>
        <w:tc>
          <w:tcPr>
            <w:tcW w:w="988" w:type="pct"/>
            <w:vMerge/>
            <w:shd w:val="clear" w:color="auto" w:fill="auto"/>
            <w:vAlign w:val="center"/>
          </w:tcPr>
          <w:p w14:paraId="207771B6" w14:textId="77777777" w:rsidR="005B679B" w:rsidRPr="005B679B" w:rsidRDefault="005B679B" w:rsidP="005B679B">
            <w:pPr>
              <w:tabs>
                <w:tab w:val="left" w:pos="1091"/>
              </w:tabs>
              <w:spacing w:after="0"/>
              <w:jc w:val="center"/>
              <w:rPr>
                <w:b/>
                <w:bCs/>
                <w:sz w:val="20"/>
                <w:szCs w:val="20"/>
              </w:rPr>
            </w:pPr>
          </w:p>
        </w:tc>
        <w:tc>
          <w:tcPr>
            <w:tcW w:w="790" w:type="pct"/>
            <w:vMerge/>
            <w:shd w:val="clear" w:color="auto" w:fill="auto"/>
            <w:vAlign w:val="center"/>
          </w:tcPr>
          <w:p w14:paraId="67E42C90" w14:textId="77777777" w:rsidR="005B679B" w:rsidRPr="005B679B" w:rsidRDefault="005B679B" w:rsidP="005B679B">
            <w:pPr>
              <w:tabs>
                <w:tab w:val="left" w:pos="1091"/>
              </w:tabs>
              <w:spacing w:after="0"/>
              <w:jc w:val="center"/>
              <w:rPr>
                <w:b/>
                <w:bCs/>
                <w:sz w:val="20"/>
                <w:szCs w:val="20"/>
              </w:rPr>
            </w:pPr>
          </w:p>
        </w:tc>
      </w:tr>
      <w:tr w:rsidR="005B679B" w:rsidRPr="005B679B" w14:paraId="7FE661FE" w14:textId="77777777" w:rsidTr="0014248B">
        <w:trPr>
          <w:trHeight w:val="113"/>
        </w:trPr>
        <w:tc>
          <w:tcPr>
            <w:tcW w:w="855" w:type="pct"/>
            <w:gridSpan w:val="2"/>
            <w:vMerge/>
            <w:tcBorders>
              <w:left w:val="single" w:sz="6" w:space="0" w:color="000000"/>
              <w:bottom w:val="single" w:sz="6" w:space="0" w:color="000000"/>
              <w:right w:val="single" w:sz="6" w:space="0" w:color="000000"/>
            </w:tcBorders>
            <w:shd w:val="clear" w:color="auto" w:fill="FFFFFF"/>
            <w:vAlign w:val="center"/>
          </w:tcPr>
          <w:p w14:paraId="614E4435" w14:textId="77777777" w:rsidR="005B679B" w:rsidRPr="005B679B" w:rsidRDefault="005B679B" w:rsidP="005B679B">
            <w:pPr>
              <w:tabs>
                <w:tab w:val="left" w:pos="1091"/>
              </w:tabs>
              <w:spacing w:after="0"/>
              <w:rPr>
                <w:sz w:val="20"/>
                <w:szCs w:val="20"/>
                <w:lang w:eastAsia="ro-RO"/>
              </w:rPr>
            </w:pPr>
          </w:p>
        </w:tc>
        <w:tc>
          <w:tcPr>
            <w:tcW w:w="855" w:type="pct"/>
            <w:tcBorders>
              <w:top w:val="single" w:sz="6" w:space="0" w:color="000000"/>
              <w:left w:val="single" w:sz="6" w:space="0" w:color="000000"/>
              <w:bottom w:val="single" w:sz="6" w:space="0" w:color="000000"/>
              <w:right w:val="single" w:sz="6" w:space="0" w:color="000000"/>
            </w:tcBorders>
            <w:shd w:val="clear" w:color="auto" w:fill="FFFFFF"/>
          </w:tcPr>
          <w:p w14:paraId="129B8EAE" w14:textId="77777777" w:rsidR="005B679B" w:rsidRPr="005B679B" w:rsidRDefault="005B679B" w:rsidP="005B679B">
            <w:pPr>
              <w:tabs>
                <w:tab w:val="left" w:pos="1091"/>
              </w:tabs>
              <w:spacing w:after="0"/>
              <w:rPr>
                <w:sz w:val="20"/>
                <w:szCs w:val="20"/>
                <w:lang w:eastAsia="ro-RO"/>
              </w:rPr>
            </w:pPr>
            <w:r w:rsidRPr="005B679B">
              <w:rPr>
                <w:sz w:val="20"/>
                <w:szCs w:val="20"/>
                <w:lang w:eastAsia="ro-RO"/>
              </w:rPr>
              <w:t>1 iulie 1982 (alte dispoziții)</w:t>
            </w:r>
          </w:p>
        </w:tc>
        <w:tc>
          <w:tcPr>
            <w:tcW w:w="1512" w:type="pct"/>
            <w:vMerge/>
            <w:shd w:val="clear" w:color="auto" w:fill="auto"/>
          </w:tcPr>
          <w:p w14:paraId="74BD727D" w14:textId="77777777" w:rsidR="005B679B" w:rsidRPr="005B679B" w:rsidRDefault="005B679B" w:rsidP="005B679B">
            <w:pPr>
              <w:tabs>
                <w:tab w:val="left" w:pos="1091"/>
              </w:tabs>
              <w:spacing w:after="0"/>
              <w:rPr>
                <w:sz w:val="20"/>
                <w:szCs w:val="20"/>
              </w:rPr>
            </w:pPr>
          </w:p>
        </w:tc>
        <w:tc>
          <w:tcPr>
            <w:tcW w:w="988" w:type="pct"/>
            <w:vMerge/>
            <w:shd w:val="clear" w:color="auto" w:fill="auto"/>
            <w:vAlign w:val="center"/>
          </w:tcPr>
          <w:p w14:paraId="22DE17FA" w14:textId="77777777" w:rsidR="005B679B" w:rsidRPr="005B679B" w:rsidRDefault="005B679B" w:rsidP="005B679B">
            <w:pPr>
              <w:tabs>
                <w:tab w:val="left" w:pos="1091"/>
              </w:tabs>
              <w:spacing w:after="0"/>
              <w:jc w:val="center"/>
              <w:rPr>
                <w:b/>
                <w:bCs/>
                <w:sz w:val="20"/>
                <w:szCs w:val="20"/>
              </w:rPr>
            </w:pPr>
          </w:p>
        </w:tc>
        <w:tc>
          <w:tcPr>
            <w:tcW w:w="790" w:type="pct"/>
            <w:vMerge/>
            <w:shd w:val="clear" w:color="auto" w:fill="auto"/>
            <w:vAlign w:val="center"/>
          </w:tcPr>
          <w:p w14:paraId="731B95E9" w14:textId="77777777" w:rsidR="005B679B" w:rsidRPr="005B679B" w:rsidRDefault="005B679B" w:rsidP="005B679B">
            <w:pPr>
              <w:tabs>
                <w:tab w:val="left" w:pos="1091"/>
              </w:tabs>
              <w:spacing w:after="0"/>
              <w:jc w:val="center"/>
              <w:rPr>
                <w:b/>
                <w:bCs/>
                <w:sz w:val="20"/>
                <w:szCs w:val="20"/>
              </w:rPr>
            </w:pPr>
          </w:p>
        </w:tc>
      </w:tr>
      <w:tr w:rsidR="005B679B" w:rsidRPr="005B679B" w14:paraId="79225CD6" w14:textId="77777777" w:rsidTr="0014248B">
        <w:trPr>
          <w:trHeight w:val="113"/>
        </w:trPr>
        <w:tc>
          <w:tcPr>
            <w:tcW w:w="855" w:type="pct"/>
            <w:gridSpan w:val="2"/>
            <w:tcBorders>
              <w:top w:val="single" w:sz="6" w:space="0" w:color="000000"/>
              <w:left w:val="single" w:sz="6" w:space="0" w:color="000000"/>
              <w:bottom w:val="single" w:sz="6" w:space="0" w:color="000000"/>
              <w:right w:val="single" w:sz="6" w:space="0" w:color="000000"/>
            </w:tcBorders>
            <w:shd w:val="clear" w:color="auto" w:fill="FFFFFF"/>
          </w:tcPr>
          <w:p w14:paraId="444A399F" w14:textId="77777777" w:rsidR="005B679B" w:rsidRPr="005B679B" w:rsidRDefault="005B679B" w:rsidP="005B679B">
            <w:pPr>
              <w:tabs>
                <w:tab w:val="left" w:pos="1091"/>
              </w:tabs>
              <w:spacing w:after="0"/>
              <w:rPr>
                <w:sz w:val="20"/>
                <w:szCs w:val="20"/>
                <w:lang w:eastAsia="ro-RO"/>
              </w:rPr>
            </w:pPr>
            <w:r w:rsidRPr="005B679B">
              <w:rPr>
                <w:sz w:val="20"/>
                <w:szCs w:val="20"/>
                <w:lang w:eastAsia="ro-RO"/>
              </w:rPr>
              <w:t>79/967/CEE</w:t>
            </w:r>
          </w:p>
        </w:tc>
        <w:tc>
          <w:tcPr>
            <w:tcW w:w="855" w:type="pct"/>
            <w:tcBorders>
              <w:top w:val="single" w:sz="6" w:space="0" w:color="000000"/>
              <w:left w:val="single" w:sz="6" w:space="0" w:color="000000"/>
              <w:bottom w:val="single" w:sz="6" w:space="0" w:color="000000"/>
              <w:right w:val="single" w:sz="6" w:space="0" w:color="000000"/>
            </w:tcBorders>
            <w:shd w:val="clear" w:color="auto" w:fill="FFFFFF"/>
          </w:tcPr>
          <w:p w14:paraId="6E915569" w14:textId="77777777" w:rsidR="005B679B" w:rsidRPr="005B679B" w:rsidRDefault="005B679B" w:rsidP="005B679B">
            <w:pPr>
              <w:tabs>
                <w:tab w:val="left" w:pos="1091"/>
              </w:tabs>
              <w:spacing w:after="0"/>
              <w:rPr>
                <w:sz w:val="20"/>
                <w:szCs w:val="20"/>
                <w:lang w:eastAsia="ro-RO"/>
              </w:rPr>
            </w:pPr>
            <w:r w:rsidRPr="005B679B">
              <w:rPr>
                <w:sz w:val="20"/>
                <w:szCs w:val="20"/>
                <w:lang w:eastAsia="ro-RO"/>
              </w:rPr>
              <w:t>1 iulie 1982 (articolul 2)</w:t>
            </w:r>
          </w:p>
        </w:tc>
        <w:tc>
          <w:tcPr>
            <w:tcW w:w="1512" w:type="pct"/>
            <w:vMerge/>
            <w:shd w:val="clear" w:color="auto" w:fill="auto"/>
          </w:tcPr>
          <w:p w14:paraId="58869661" w14:textId="77777777" w:rsidR="005B679B" w:rsidRPr="005B679B" w:rsidRDefault="005B679B" w:rsidP="005B679B">
            <w:pPr>
              <w:tabs>
                <w:tab w:val="left" w:pos="1091"/>
              </w:tabs>
              <w:spacing w:after="0"/>
              <w:rPr>
                <w:sz w:val="20"/>
                <w:szCs w:val="20"/>
              </w:rPr>
            </w:pPr>
          </w:p>
        </w:tc>
        <w:tc>
          <w:tcPr>
            <w:tcW w:w="988" w:type="pct"/>
            <w:vMerge/>
            <w:shd w:val="clear" w:color="auto" w:fill="auto"/>
            <w:vAlign w:val="center"/>
          </w:tcPr>
          <w:p w14:paraId="3E43DD2E" w14:textId="77777777" w:rsidR="005B679B" w:rsidRPr="005B679B" w:rsidRDefault="005B679B" w:rsidP="005B679B">
            <w:pPr>
              <w:tabs>
                <w:tab w:val="left" w:pos="1091"/>
              </w:tabs>
              <w:spacing w:after="0"/>
              <w:jc w:val="center"/>
              <w:rPr>
                <w:b/>
                <w:bCs/>
                <w:sz w:val="20"/>
                <w:szCs w:val="20"/>
              </w:rPr>
            </w:pPr>
          </w:p>
        </w:tc>
        <w:tc>
          <w:tcPr>
            <w:tcW w:w="790" w:type="pct"/>
            <w:vMerge/>
            <w:shd w:val="clear" w:color="auto" w:fill="auto"/>
            <w:vAlign w:val="center"/>
          </w:tcPr>
          <w:p w14:paraId="41EA8743" w14:textId="77777777" w:rsidR="005B679B" w:rsidRPr="005B679B" w:rsidRDefault="005B679B" w:rsidP="005B679B">
            <w:pPr>
              <w:tabs>
                <w:tab w:val="left" w:pos="1091"/>
              </w:tabs>
              <w:spacing w:after="0"/>
              <w:jc w:val="center"/>
              <w:rPr>
                <w:b/>
                <w:bCs/>
                <w:sz w:val="20"/>
                <w:szCs w:val="20"/>
              </w:rPr>
            </w:pPr>
          </w:p>
        </w:tc>
      </w:tr>
      <w:tr w:rsidR="005B679B" w:rsidRPr="005B679B" w14:paraId="0A096890" w14:textId="77777777" w:rsidTr="0014248B">
        <w:trPr>
          <w:trHeight w:val="113"/>
        </w:trPr>
        <w:tc>
          <w:tcPr>
            <w:tcW w:w="855" w:type="pct"/>
            <w:gridSpan w:val="2"/>
            <w:tcBorders>
              <w:top w:val="single" w:sz="6" w:space="0" w:color="000000"/>
              <w:left w:val="single" w:sz="6" w:space="0" w:color="000000"/>
              <w:bottom w:val="single" w:sz="6" w:space="0" w:color="000000"/>
              <w:right w:val="single" w:sz="6" w:space="0" w:color="000000"/>
            </w:tcBorders>
            <w:shd w:val="clear" w:color="auto" w:fill="FFFFFF"/>
          </w:tcPr>
          <w:p w14:paraId="36506D63" w14:textId="77777777" w:rsidR="005B679B" w:rsidRPr="005B679B" w:rsidRDefault="005B679B" w:rsidP="005B679B">
            <w:pPr>
              <w:tabs>
                <w:tab w:val="left" w:pos="1091"/>
              </w:tabs>
              <w:spacing w:after="0"/>
              <w:rPr>
                <w:sz w:val="20"/>
                <w:szCs w:val="20"/>
                <w:lang w:eastAsia="ro-RO"/>
              </w:rPr>
            </w:pPr>
            <w:r w:rsidRPr="005B679B">
              <w:rPr>
                <w:sz w:val="20"/>
                <w:szCs w:val="20"/>
                <w:lang w:eastAsia="ro-RO"/>
              </w:rPr>
              <w:t>80/1141/CEE</w:t>
            </w:r>
          </w:p>
        </w:tc>
        <w:tc>
          <w:tcPr>
            <w:tcW w:w="855" w:type="pct"/>
            <w:tcBorders>
              <w:top w:val="single" w:sz="6" w:space="0" w:color="000000"/>
              <w:left w:val="single" w:sz="6" w:space="0" w:color="000000"/>
              <w:bottom w:val="single" w:sz="6" w:space="0" w:color="000000"/>
              <w:right w:val="single" w:sz="6" w:space="0" w:color="000000"/>
            </w:tcBorders>
            <w:shd w:val="clear" w:color="auto" w:fill="FFFFFF"/>
          </w:tcPr>
          <w:p w14:paraId="46813B51" w14:textId="77777777" w:rsidR="005B679B" w:rsidRPr="005B679B" w:rsidRDefault="005B679B" w:rsidP="005B679B">
            <w:pPr>
              <w:tabs>
                <w:tab w:val="left" w:pos="1091"/>
              </w:tabs>
              <w:spacing w:after="0"/>
              <w:rPr>
                <w:sz w:val="20"/>
                <w:szCs w:val="20"/>
                <w:lang w:eastAsia="ro-RO"/>
              </w:rPr>
            </w:pPr>
            <w:r w:rsidRPr="005B679B">
              <w:rPr>
                <w:sz w:val="20"/>
                <w:szCs w:val="20"/>
                <w:lang w:eastAsia="ro-RO"/>
              </w:rPr>
              <w:t>1 iulie 1980 (articolul 1)</w:t>
            </w:r>
          </w:p>
        </w:tc>
        <w:tc>
          <w:tcPr>
            <w:tcW w:w="1512" w:type="pct"/>
            <w:vMerge/>
            <w:shd w:val="clear" w:color="auto" w:fill="auto"/>
          </w:tcPr>
          <w:p w14:paraId="66CD6FC9" w14:textId="77777777" w:rsidR="005B679B" w:rsidRPr="005B679B" w:rsidRDefault="005B679B" w:rsidP="005B679B">
            <w:pPr>
              <w:tabs>
                <w:tab w:val="left" w:pos="1091"/>
              </w:tabs>
              <w:spacing w:after="0"/>
              <w:rPr>
                <w:sz w:val="20"/>
                <w:szCs w:val="20"/>
              </w:rPr>
            </w:pPr>
          </w:p>
        </w:tc>
        <w:tc>
          <w:tcPr>
            <w:tcW w:w="988" w:type="pct"/>
            <w:vMerge/>
            <w:shd w:val="clear" w:color="auto" w:fill="auto"/>
            <w:vAlign w:val="center"/>
          </w:tcPr>
          <w:p w14:paraId="7246584B" w14:textId="77777777" w:rsidR="005B679B" w:rsidRPr="005B679B" w:rsidRDefault="005B679B" w:rsidP="005B679B">
            <w:pPr>
              <w:tabs>
                <w:tab w:val="left" w:pos="1091"/>
              </w:tabs>
              <w:spacing w:after="0"/>
              <w:jc w:val="center"/>
              <w:rPr>
                <w:b/>
                <w:bCs/>
                <w:sz w:val="20"/>
                <w:szCs w:val="20"/>
              </w:rPr>
            </w:pPr>
          </w:p>
        </w:tc>
        <w:tc>
          <w:tcPr>
            <w:tcW w:w="790" w:type="pct"/>
            <w:vMerge/>
            <w:shd w:val="clear" w:color="auto" w:fill="auto"/>
            <w:vAlign w:val="center"/>
          </w:tcPr>
          <w:p w14:paraId="5BD43275" w14:textId="77777777" w:rsidR="005B679B" w:rsidRPr="005B679B" w:rsidRDefault="005B679B" w:rsidP="005B679B">
            <w:pPr>
              <w:tabs>
                <w:tab w:val="left" w:pos="1091"/>
              </w:tabs>
              <w:spacing w:after="0"/>
              <w:jc w:val="center"/>
              <w:rPr>
                <w:b/>
                <w:bCs/>
                <w:sz w:val="20"/>
                <w:szCs w:val="20"/>
              </w:rPr>
            </w:pPr>
          </w:p>
        </w:tc>
      </w:tr>
      <w:tr w:rsidR="005B679B" w:rsidRPr="005B679B" w14:paraId="52CFA536" w14:textId="77777777" w:rsidTr="0014248B">
        <w:trPr>
          <w:trHeight w:val="113"/>
        </w:trPr>
        <w:tc>
          <w:tcPr>
            <w:tcW w:w="855" w:type="pct"/>
            <w:gridSpan w:val="2"/>
            <w:tcBorders>
              <w:top w:val="single" w:sz="6" w:space="0" w:color="000000"/>
              <w:left w:val="single" w:sz="6" w:space="0" w:color="000000"/>
              <w:bottom w:val="single" w:sz="6" w:space="0" w:color="000000"/>
              <w:right w:val="single" w:sz="6" w:space="0" w:color="000000"/>
            </w:tcBorders>
            <w:shd w:val="clear" w:color="auto" w:fill="FFFFFF"/>
          </w:tcPr>
          <w:p w14:paraId="25FD2239" w14:textId="77777777" w:rsidR="005B679B" w:rsidRPr="005B679B" w:rsidRDefault="005B679B" w:rsidP="005B679B">
            <w:pPr>
              <w:tabs>
                <w:tab w:val="left" w:pos="1091"/>
              </w:tabs>
              <w:spacing w:after="0"/>
              <w:rPr>
                <w:sz w:val="20"/>
                <w:szCs w:val="20"/>
                <w:lang w:eastAsia="ro-RO"/>
              </w:rPr>
            </w:pPr>
            <w:r w:rsidRPr="005B679B">
              <w:rPr>
                <w:sz w:val="20"/>
                <w:szCs w:val="20"/>
                <w:lang w:eastAsia="ro-RO"/>
              </w:rPr>
              <w:t>86/155/CEE</w:t>
            </w:r>
          </w:p>
        </w:tc>
        <w:tc>
          <w:tcPr>
            <w:tcW w:w="855" w:type="pct"/>
            <w:tcBorders>
              <w:top w:val="single" w:sz="6" w:space="0" w:color="000000"/>
              <w:left w:val="single" w:sz="6" w:space="0" w:color="000000"/>
              <w:bottom w:val="single" w:sz="6" w:space="0" w:color="000000"/>
              <w:right w:val="single" w:sz="6" w:space="0" w:color="000000"/>
            </w:tcBorders>
            <w:shd w:val="clear" w:color="auto" w:fill="FFFFFF"/>
          </w:tcPr>
          <w:p w14:paraId="7B16AA3D" w14:textId="77777777" w:rsidR="005B679B" w:rsidRPr="005B679B" w:rsidRDefault="005B679B" w:rsidP="005B679B">
            <w:pPr>
              <w:tabs>
                <w:tab w:val="left" w:pos="1091"/>
              </w:tabs>
              <w:spacing w:after="0"/>
              <w:rPr>
                <w:sz w:val="20"/>
                <w:szCs w:val="20"/>
                <w:lang w:eastAsia="ro-RO"/>
              </w:rPr>
            </w:pPr>
            <w:r w:rsidRPr="005B679B">
              <w:rPr>
                <w:sz w:val="20"/>
                <w:szCs w:val="20"/>
                <w:lang w:eastAsia="ro-RO"/>
              </w:rPr>
              <w:t>1 martie 1986 (articolul 5)</w:t>
            </w:r>
          </w:p>
        </w:tc>
        <w:tc>
          <w:tcPr>
            <w:tcW w:w="1512" w:type="pct"/>
            <w:vMerge/>
            <w:shd w:val="clear" w:color="auto" w:fill="auto"/>
          </w:tcPr>
          <w:p w14:paraId="2F8DD594" w14:textId="77777777" w:rsidR="005B679B" w:rsidRPr="005B679B" w:rsidRDefault="005B679B" w:rsidP="005B679B">
            <w:pPr>
              <w:tabs>
                <w:tab w:val="left" w:pos="1091"/>
              </w:tabs>
              <w:spacing w:after="0"/>
              <w:rPr>
                <w:sz w:val="20"/>
                <w:szCs w:val="20"/>
              </w:rPr>
            </w:pPr>
          </w:p>
        </w:tc>
        <w:tc>
          <w:tcPr>
            <w:tcW w:w="988" w:type="pct"/>
            <w:vMerge/>
            <w:shd w:val="clear" w:color="auto" w:fill="auto"/>
            <w:vAlign w:val="center"/>
          </w:tcPr>
          <w:p w14:paraId="6F476C80" w14:textId="77777777" w:rsidR="005B679B" w:rsidRPr="005B679B" w:rsidRDefault="005B679B" w:rsidP="005B679B">
            <w:pPr>
              <w:tabs>
                <w:tab w:val="left" w:pos="1091"/>
              </w:tabs>
              <w:spacing w:after="0"/>
              <w:jc w:val="center"/>
              <w:rPr>
                <w:b/>
                <w:bCs/>
                <w:sz w:val="20"/>
                <w:szCs w:val="20"/>
              </w:rPr>
            </w:pPr>
          </w:p>
        </w:tc>
        <w:tc>
          <w:tcPr>
            <w:tcW w:w="790" w:type="pct"/>
            <w:vMerge/>
            <w:shd w:val="clear" w:color="auto" w:fill="auto"/>
            <w:vAlign w:val="center"/>
          </w:tcPr>
          <w:p w14:paraId="6612A009" w14:textId="77777777" w:rsidR="005B679B" w:rsidRPr="005B679B" w:rsidRDefault="005B679B" w:rsidP="005B679B">
            <w:pPr>
              <w:tabs>
                <w:tab w:val="left" w:pos="1091"/>
              </w:tabs>
              <w:spacing w:after="0"/>
              <w:jc w:val="center"/>
              <w:rPr>
                <w:b/>
                <w:bCs/>
                <w:sz w:val="20"/>
                <w:szCs w:val="20"/>
              </w:rPr>
            </w:pPr>
          </w:p>
        </w:tc>
      </w:tr>
      <w:tr w:rsidR="005B679B" w:rsidRPr="005B679B" w14:paraId="21E8EAE6" w14:textId="77777777" w:rsidTr="0014248B">
        <w:trPr>
          <w:trHeight w:val="113"/>
        </w:trPr>
        <w:tc>
          <w:tcPr>
            <w:tcW w:w="855" w:type="pct"/>
            <w:gridSpan w:val="2"/>
            <w:vMerge w:val="restart"/>
            <w:tcBorders>
              <w:top w:val="single" w:sz="6" w:space="0" w:color="000000"/>
              <w:left w:val="single" w:sz="6" w:space="0" w:color="000000"/>
              <w:right w:val="single" w:sz="6" w:space="0" w:color="000000"/>
            </w:tcBorders>
            <w:shd w:val="clear" w:color="auto" w:fill="FFFFFF"/>
          </w:tcPr>
          <w:p w14:paraId="0301D81F" w14:textId="77777777" w:rsidR="005B679B" w:rsidRPr="005B679B" w:rsidRDefault="005B679B" w:rsidP="005B679B">
            <w:pPr>
              <w:tabs>
                <w:tab w:val="left" w:pos="1091"/>
              </w:tabs>
              <w:spacing w:after="0"/>
              <w:rPr>
                <w:sz w:val="20"/>
                <w:szCs w:val="20"/>
                <w:lang w:eastAsia="ro-RO"/>
              </w:rPr>
            </w:pPr>
            <w:r w:rsidRPr="005B679B">
              <w:rPr>
                <w:sz w:val="20"/>
                <w:szCs w:val="20"/>
                <w:lang w:eastAsia="ro-RO"/>
              </w:rPr>
              <w:t>88/380/CEE</w:t>
            </w:r>
          </w:p>
        </w:tc>
        <w:tc>
          <w:tcPr>
            <w:tcW w:w="855" w:type="pct"/>
            <w:tcBorders>
              <w:top w:val="single" w:sz="6" w:space="0" w:color="000000"/>
              <w:left w:val="single" w:sz="6" w:space="0" w:color="000000"/>
              <w:bottom w:val="single" w:sz="6" w:space="0" w:color="000000"/>
              <w:right w:val="single" w:sz="6" w:space="0" w:color="000000"/>
            </w:tcBorders>
            <w:shd w:val="clear" w:color="auto" w:fill="FFFFFF"/>
          </w:tcPr>
          <w:p w14:paraId="78CCC605" w14:textId="77777777" w:rsidR="005B679B" w:rsidRPr="005B679B" w:rsidRDefault="005B679B" w:rsidP="005B679B">
            <w:pPr>
              <w:tabs>
                <w:tab w:val="left" w:pos="1091"/>
              </w:tabs>
              <w:spacing w:after="0"/>
              <w:rPr>
                <w:sz w:val="20"/>
                <w:szCs w:val="20"/>
                <w:lang w:eastAsia="ro-RO"/>
              </w:rPr>
            </w:pPr>
            <w:r w:rsidRPr="005B679B">
              <w:rPr>
                <w:sz w:val="20"/>
                <w:szCs w:val="20"/>
                <w:lang w:eastAsia="ro-RO"/>
              </w:rPr>
              <w:t>1 ianuarie 1986 (articolul 6, punctele 5 și 6)</w:t>
            </w:r>
          </w:p>
        </w:tc>
        <w:tc>
          <w:tcPr>
            <w:tcW w:w="1512" w:type="pct"/>
            <w:vMerge/>
            <w:shd w:val="clear" w:color="auto" w:fill="auto"/>
          </w:tcPr>
          <w:p w14:paraId="62D5A6D3" w14:textId="77777777" w:rsidR="005B679B" w:rsidRPr="005B679B" w:rsidRDefault="005B679B" w:rsidP="005B679B">
            <w:pPr>
              <w:tabs>
                <w:tab w:val="left" w:pos="1091"/>
              </w:tabs>
              <w:spacing w:after="0"/>
              <w:rPr>
                <w:sz w:val="20"/>
                <w:szCs w:val="20"/>
              </w:rPr>
            </w:pPr>
          </w:p>
        </w:tc>
        <w:tc>
          <w:tcPr>
            <w:tcW w:w="988" w:type="pct"/>
            <w:vMerge/>
            <w:shd w:val="clear" w:color="auto" w:fill="auto"/>
            <w:vAlign w:val="center"/>
          </w:tcPr>
          <w:p w14:paraId="396DEAE8" w14:textId="77777777" w:rsidR="005B679B" w:rsidRPr="005B679B" w:rsidRDefault="005B679B" w:rsidP="005B679B">
            <w:pPr>
              <w:tabs>
                <w:tab w:val="left" w:pos="1091"/>
              </w:tabs>
              <w:spacing w:after="0"/>
              <w:jc w:val="center"/>
              <w:rPr>
                <w:b/>
                <w:bCs/>
                <w:sz w:val="20"/>
                <w:szCs w:val="20"/>
              </w:rPr>
            </w:pPr>
          </w:p>
        </w:tc>
        <w:tc>
          <w:tcPr>
            <w:tcW w:w="790" w:type="pct"/>
            <w:vMerge/>
            <w:shd w:val="clear" w:color="auto" w:fill="auto"/>
            <w:vAlign w:val="center"/>
          </w:tcPr>
          <w:p w14:paraId="603F72AA" w14:textId="77777777" w:rsidR="005B679B" w:rsidRPr="005B679B" w:rsidRDefault="005B679B" w:rsidP="005B679B">
            <w:pPr>
              <w:tabs>
                <w:tab w:val="left" w:pos="1091"/>
              </w:tabs>
              <w:spacing w:after="0"/>
              <w:jc w:val="center"/>
              <w:rPr>
                <w:b/>
                <w:bCs/>
                <w:sz w:val="20"/>
                <w:szCs w:val="20"/>
              </w:rPr>
            </w:pPr>
          </w:p>
        </w:tc>
      </w:tr>
      <w:tr w:rsidR="005B679B" w:rsidRPr="005B679B" w14:paraId="06FCBD3A" w14:textId="77777777" w:rsidTr="0014248B">
        <w:trPr>
          <w:trHeight w:val="113"/>
        </w:trPr>
        <w:tc>
          <w:tcPr>
            <w:tcW w:w="855" w:type="pct"/>
            <w:gridSpan w:val="2"/>
            <w:vMerge/>
            <w:tcBorders>
              <w:left w:val="single" w:sz="6" w:space="0" w:color="000000"/>
              <w:bottom w:val="single" w:sz="6" w:space="0" w:color="000000"/>
              <w:right w:val="single" w:sz="6" w:space="0" w:color="000000"/>
            </w:tcBorders>
            <w:shd w:val="clear" w:color="auto" w:fill="FFFFFF"/>
            <w:vAlign w:val="center"/>
          </w:tcPr>
          <w:p w14:paraId="7F884441" w14:textId="77777777" w:rsidR="005B679B" w:rsidRPr="005B679B" w:rsidRDefault="005B679B" w:rsidP="005B679B">
            <w:pPr>
              <w:tabs>
                <w:tab w:val="left" w:pos="1091"/>
              </w:tabs>
              <w:spacing w:after="0"/>
              <w:rPr>
                <w:sz w:val="20"/>
                <w:szCs w:val="20"/>
                <w:lang w:eastAsia="ro-RO"/>
              </w:rPr>
            </w:pPr>
          </w:p>
        </w:tc>
        <w:tc>
          <w:tcPr>
            <w:tcW w:w="855" w:type="pct"/>
            <w:tcBorders>
              <w:top w:val="single" w:sz="6" w:space="0" w:color="000000"/>
              <w:left w:val="single" w:sz="6" w:space="0" w:color="000000"/>
              <w:bottom w:val="single" w:sz="6" w:space="0" w:color="000000"/>
              <w:right w:val="single" w:sz="6" w:space="0" w:color="000000"/>
            </w:tcBorders>
            <w:shd w:val="clear" w:color="auto" w:fill="FFFFFF"/>
          </w:tcPr>
          <w:p w14:paraId="29AF757D" w14:textId="77777777" w:rsidR="005B679B" w:rsidRPr="005B679B" w:rsidRDefault="005B679B" w:rsidP="005B679B">
            <w:pPr>
              <w:tabs>
                <w:tab w:val="left" w:pos="1091"/>
              </w:tabs>
              <w:spacing w:after="0"/>
              <w:rPr>
                <w:sz w:val="20"/>
                <w:szCs w:val="20"/>
                <w:lang w:eastAsia="ro-RO"/>
              </w:rPr>
            </w:pPr>
            <w:r w:rsidRPr="005B679B">
              <w:rPr>
                <w:sz w:val="20"/>
                <w:szCs w:val="20"/>
                <w:lang w:eastAsia="ro-RO"/>
              </w:rPr>
              <w:t>1 iulie 1990 (alte dispoziții)</w:t>
            </w:r>
          </w:p>
        </w:tc>
        <w:tc>
          <w:tcPr>
            <w:tcW w:w="1512" w:type="pct"/>
            <w:vMerge/>
            <w:shd w:val="clear" w:color="auto" w:fill="auto"/>
          </w:tcPr>
          <w:p w14:paraId="4B3B0A43" w14:textId="77777777" w:rsidR="005B679B" w:rsidRPr="005B679B" w:rsidRDefault="005B679B" w:rsidP="005B679B">
            <w:pPr>
              <w:tabs>
                <w:tab w:val="left" w:pos="1091"/>
              </w:tabs>
              <w:spacing w:after="0"/>
              <w:rPr>
                <w:sz w:val="20"/>
                <w:szCs w:val="20"/>
              </w:rPr>
            </w:pPr>
          </w:p>
        </w:tc>
        <w:tc>
          <w:tcPr>
            <w:tcW w:w="988" w:type="pct"/>
            <w:vMerge/>
            <w:shd w:val="clear" w:color="auto" w:fill="auto"/>
            <w:vAlign w:val="center"/>
          </w:tcPr>
          <w:p w14:paraId="33057B9D" w14:textId="77777777" w:rsidR="005B679B" w:rsidRPr="005B679B" w:rsidRDefault="005B679B" w:rsidP="005B679B">
            <w:pPr>
              <w:tabs>
                <w:tab w:val="left" w:pos="1091"/>
              </w:tabs>
              <w:spacing w:after="0"/>
              <w:jc w:val="center"/>
              <w:rPr>
                <w:b/>
                <w:bCs/>
                <w:sz w:val="20"/>
                <w:szCs w:val="20"/>
              </w:rPr>
            </w:pPr>
          </w:p>
        </w:tc>
        <w:tc>
          <w:tcPr>
            <w:tcW w:w="790" w:type="pct"/>
            <w:vMerge/>
            <w:shd w:val="clear" w:color="auto" w:fill="auto"/>
            <w:vAlign w:val="center"/>
          </w:tcPr>
          <w:p w14:paraId="3EC48A68" w14:textId="77777777" w:rsidR="005B679B" w:rsidRPr="005B679B" w:rsidRDefault="005B679B" w:rsidP="005B679B">
            <w:pPr>
              <w:tabs>
                <w:tab w:val="left" w:pos="1091"/>
              </w:tabs>
              <w:spacing w:after="0"/>
              <w:jc w:val="center"/>
              <w:rPr>
                <w:b/>
                <w:bCs/>
                <w:sz w:val="20"/>
                <w:szCs w:val="20"/>
              </w:rPr>
            </w:pPr>
          </w:p>
        </w:tc>
      </w:tr>
      <w:tr w:rsidR="005B679B" w:rsidRPr="005B679B" w14:paraId="5C0C3F2B" w14:textId="77777777" w:rsidTr="0014248B">
        <w:trPr>
          <w:trHeight w:val="113"/>
        </w:trPr>
        <w:tc>
          <w:tcPr>
            <w:tcW w:w="855" w:type="pct"/>
            <w:gridSpan w:val="2"/>
            <w:tcBorders>
              <w:top w:val="single" w:sz="6" w:space="0" w:color="000000"/>
              <w:left w:val="single" w:sz="6" w:space="0" w:color="000000"/>
              <w:bottom w:val="single" w:sz="6" w:space="0" w:color="000000"/>
              <w:right w:val="single" w:sz="6" w:space="0" w:color="000000"/>
            </w:tcBorders>
            <w:shd w:val="clear" w:color="auto" w:fill="FFFFFF"/>
          </w:tcPr>
          <w:p w14:paraId="28F41BC9" w14:textId="77777777" w:rsidR="005B679B" w:rsidRPr="005B679B" w:rsidRDefault="005B679B" w:rsidP="005B679B">
            <w:pPr>
              <w:tabs>
                <w:tab w:val="left" w:pos="1091"/>
              </w:tabs>
              <w:spacing w:after="0"/>
              <w:rPr>
                <w:sz w:val="20"/>
                <w:szCs w:val="20"/>
                <w:lang w:eastAsia="ro-RO"/>
              </w:rPr>
            </w:pPr>
            <w:r w:rsidRPr="005B679B">
              <w:rPr>
                <w:sz w:val="20"/>
                <w:szCs w:val="20"/>
                <w:lang w:eastAsia="ro-RO"/>
              </w:rPr>
              <w:t>90/654/CEE</w:t>
            </w:r>
          </w:p>
        </w:tc>
        <w:tc>
          <w:tcPr>
            <w:tcW w:w="855" w:type="pct"/>
            <w:tcBorders>
              <w:top w:val="single" w:sz="6" w:space="0" w:color="000000"/>
              <w:left w:val="single" w:sz="6" w:space="0" w:color="000000"/>
              <w:bottom w:val="single" w:sz="6" w:space="0" w:color="000000"/>
              <w:right w:val="single" w:sz="6" w:space="0" w:color="000000"/>
            </w:tcBorders>
            <w:shd w:val="clear" w:color="auto" w:fill="FFFFFF"/>
          </w:tcPr>
          <w:p w14:paraId="37DAACF6" w14:textId="77777777" w:rsidR="005B679B" w:rsidRPr="005B679B" w:rsidRDefault="005B679B" w:rsidP="005B679B">
            <w:pPr>
              <w:tabs>
                <w:tab w:val="left" w:pos="1091"/>
              </w:tabs>
              <w:spacing w:after="0"/>
              <w:rPr>
                <w:sz w:val="20"/>
                <w:szCs w:val="20"/>
                <w:lang w:eastAsia="ro-RO"/>
              </w:rPr>
            </w:pPr>
            <w:r w:rsidRPr="005B679B">
              <w:rPr>
                <w:sz w:val="20"/>
                <w:szCs w:val="20"/>
                <w:lang w:eastAsia="ro-RO"/>
              </w:rPr>
              <w:t> </w:t>
            </w:r>
          </w:p>
        </w:tc>
        <w:tc>
          <w:tcPr>
            <w:tcW w:w="1512" w:type="pct"/>
            <w:vMerge/>
            <w:shd w:val="clear" w:color="auto" w:fill="auto"/>
          </w:tcPr>
          <w:p w14:paraId="5B2A2305" w14:textId="77777777" w:rsidR="005B679B" w:rsidRPr="005B679B" w:rsidRDefault="005B679B" w:rsidP="005B679B">
            <w:pPr>
              <w:tabs>
                <w:tab w:val="left" w:pos="1091"/>
              </w:tabs>
              <w:spacing w:after="0"/>
              <w:rPr>
                <w:sz w:val="20"/>
                <w:szCs w:val="20"/>
              </w:rPr>
            </w:pPr>
          </w:p>
        </w:tc>
        <w:tc>
          <w:tcPr>
            <w:tcW w:w="988" w:type="pct"/>
            <w:vMerge/>
            <w:shd w:val="clear" w:color="auto" w:fill="auto"/>
            <w:vAlign w:val="center"/>
          </w:tcPr>
          <w:p w14:paraId="7A8E65DB" w14:textId="77777777" w:rsidR="005B679B" w:rsidRPr="005B679B" w:rsidRDefault="005B679B" w:rsidP="005B679B">
            <w:pPr>
              <w:tabs>
                <w:tab w:val="left" w:pos="1091"/>
              </w:tabs>
              <w:spacing w:after="0"/>
              <w:jc w:val="center"/>
              <w:rPr>
                <w:b/>
                <w:bCs/>
                <w:sz w:val="20"/>
                <w:szCs w:val="20"/>
              </w:rPr>
            </w:pPr>
          </w:p>
        </w:tc>
        <w:tc>
          <w:tcPr>
            <w:tcW w:w="790" w:type="pct"/>
            <w:vMerge/>
            <w:shd w:val="clear" w:color="auto" w:fill="auto"/>
            <w:vAlign w:val="center"/>
          </w:tcPr>
          <w:p w14:paraId="7E4CF7E9" w14:textId="77777777" w:rsidR="005B679B" w:rsidRPr="005B679B" w:rsidRDefault="005B679B" w:rsidP="005B679B">
            <w:pPr>
              <w:tabs>
                <w:tab w:val="left" w:pos="1091"/>
              </w:tabs>
              <w:spacing w:after="0"/>
              <w:jc w:val="center"/>
              <w:rPr>
                <w:b/>
                <w:bCs/>
                <w:sz w:val="20"/>
                <w:szCs w:val="20"/>
              </w:rPr>
            </w:pPr>
          </w:p>
        </w:tc>
      </w:tr>
      <w:tr w:rsidR="005B679B" w:rsidRPr="005B679B" w14:paraId="54EEFCA2" w14:textId="77777777" w:rsidTr="0014248B">
        <w:trPr>
          <w:trHeight w:val="113"/>
        </w:trPr>
        <w:tc>
          <w:tcPr>
            <w:tcW w:w="855" w:type="pct"/>
            <w:gridSpan w:val="2"/>
            <w:tcBorders>
              <w:top w:val="single" w:sz="6" w:space="0" w:color="000000"/>
              <w:left w:val="single" w:sz="6" w:space="0" w:color="000000"/>
              <w:bottom w:val="single" w:sz="6" w:space="0" w:color="000000"/>
              <w:right w:val="single" w:sz="6" w:space="0" w:color="000000"/>
            </w:tcBorders>
            <w:shd w:val="clear" w:color="auto" w:fill="FFFFFF"/>
          </w:tcPr>
          <w:p w14:paraId="5CE04743" w14:textId="77777777" w:rsidR="005B679B" w:rsidRPr="005B679B" w:rsidRDefault="005B679B" w:rsidP="005B679B">
            <w:pPr>
              <w:tabs>
                <w:tab w:val="left" w:pos="1091"/>
              </w:tabs>
              <w:spacing w:after="0"/>
              <w:rPr>
                <w:sz w:val="20"/>
                <w:szCs w:val="20"/>
                <w:lang w:eastAsia="ro-RO"/>
              </w:rPr>
            </w:pPr>
            <w:r w:rsidRPr="005B679B">
              <w:rPr>
                <w:sz w:val="20"/>
                <w:szCs w:val="20"/>
                <w:lang w:eastAsia="ro-RO"/>
              </w:rPr>
              <w:t>98/95/CE</w:t>
            </w:r>
          </w:p>
        </w:tc>
        <w:tc>
          <w:tcPr>
            <w:tcW w:w="855" w:type="pct"/>
            <w:tcBorders>
              <w:top w:val="single" w:sz="6" w:space="0" w:color="000000"/>
              <w:left w:val="single" w:sz="6" w:space="0" w:color="000000"/>
              <w:bottom w:val="single" w:sz="6" w:space="0" w:color="000000"/>
              <w:right w:val="single" w:sz="6" w:space="0" w:color="000000"/>
            </w:tcBorders>
            <w:shd w:val="clear" w:color="auto" w:fill="FFFFFF"/>
          </w:tcPr>
          <w:p w14:paraId="231AABBC" w14:textId="77777777" w:rsidR="005B679B" w:rsidRPr="005B679B" w:rsidRDefault="005B679B" w:rsidP="005B679B">
            <w:pPr>
              <w:tabs>
                <w:tab w:val="left" w:pos="1091"/>
              </w:tabs>
              <w:spacing w:after="0"/>
              <w:rPr>
                <w:sz w:val="20"/>
                <w:szCs w:val="20"/>
                <w:lang w:eastAsia="ro-RO"/>
              </w:rPr>
            </w:pPr>
            <w:r w:rsidRPr="005B679B">
              <w:rPr>
                <w:sz w:val="20"/>
                <w:szCs w:val="20"/>
                <w:lang w:eastAsia="ro-RO"/>
              </w:rPr>
              <w:t>1 februarie 2000 (Rectificarea </w:t>
            </w:r>
            <w:r w:rsidRPr="005B679B">
              <w:rPr>
                <w:sz w:val="20"/>
                <w:szCs w:val="20"/>
                <w:u w:val="single"/>
                <w:lang w:eastAsia="ro-RO"/>
              </w:rPr>
              <w:t>JO L 126, 20.5.1999, p. 23</w:t>
            </w:r>
            <w:r w:rsidRPr="005B679B">
              <w:rPr>
                <w:sz w:val="20"/>
                <w:szCs w:val="20"/>
                <w:lang w:eastAsia="ro-RO"/>
              </w:rPr>
              <w:t>)</w:t>
            </w:r>
          </w:p>
        </w:tc>
        <w:tc>
          <w:tcPr>
            <w:tcW w:w="1512" w:type="pct"/>
            <w:vMerge/>
            <w:shd w:val="clear" w:color="auto" w:fill="auto"/>
          </w:tcPr>
          <w:p w14:paraId="513B0F55" w14:textId="77777777" w:rsidR="005B679B" w:rsidRPr="005B679B" w:rsidRDefault="005B679B" w:rsidP="005B679B">
            <w:pPr>
              <w:tabs>
                <w:tab w:val="left" w:pos="1091"/>
              </w:tabs>
              <w:spacing w:after="0"/>
              <w:rPr>
                <w:sz w:val="20"/>
                <w:szCs w:val="20"/>
              </w:rPr>
            </w:pPr>
          </w:p>
        </w:tc>
        <w:tc>
          <w:tcPr>
            <w:tcW w:w="988" w:type="pct"/>
            <w:vMerge/>
            <w:shd w:val="clear" w:color="auto" w:fill="auto"/>
            <w:vAlign w:val="center"/>
          </w:tcPr>
          <w:p w14:paraId="61C80705" w14:textId="77777777" w:rsidR="005B679B" w:rsidRPr="005B679B" w:rsidRDefault="005B679B" w:rsidP="005B679B">
            <w:pPr>
              <w:tabs>
                <w:tab w:val="left" w:pos="1091"/>
              </w:tabs>
              <w:spacing w:after="0"/>
              <w:jc w:val="center"/>
              <w:rPr>
                <w:b/>
                <w:bCs/>
                <w:sz w:val="20"/>
                <w:szCs w:val="20"/>
              </w:rPr>
            </w:pPr>
          </w:p>
        </w:tc>
        <w:tc>
          <w:tcPr>
            <w:tcW w:w="790" w:type="pct"/>
            <w:vMerge/>
            <w:shd w:val="clear" w:color="auto" w:fill="auto"/>
            <w:vAlign w:val="center"/>
          </w:tcPr>
          <w:p w14:paraId="21722248" w14:textId="77777777" w:rsidR="005B679B" w:rsidRPr="005B679B" w:rsidRDefault="005B679B" w:rsidP="005B679B">
            <w:pPr>
              <w:tabs>
                <w:tab w:val="left" w:pos="1091"/>
              </w:tabs>
              <w:spacing w:after="0"/>
              <w:jc w:val="center"/>
              <w:rPr>
                <w:b/>
                <w:bCs/>
                <w:sz w:val="20"/>
                <w:szCs w:val="20"/>
              </w:rPr>
            </w:pPr>
          </w:p>
        </w:tc>
      </w:tr>
      <w:tr w:rsidR="005B679B" w:rsidRPr="005B679B" w14:paraId="4C5FDBB9" w14:textId="77777777" w:rsidTr="0014248B">
        <w:trPr>
          <w:trHeight w:val="113"/>
        </w:trPr>
        <w:tc>
          <w:tcPr>
            <w:tcW w:w="855" w:type="pct"/>
            <w:gridSpan w:val="2"/>
            <w:tcBorders>
              <w:top w:val="single" w:sz="6" w:space="0" w:color="000000"/>
              <w:left w:val="single" w:sz="6" w:space="0" w:color="000000"/>
              <w:bottom w:val="single" w:sz="6" w:space="0" w:color="000000"/>
              <w:right w:val="single" w:sz="6" w:space="0" w:color="000000"/>
            </w:tcBorders>
            <w:shd w:val="clear" w:color="auto" w:fill="FFFFFF"/>
          </w:tcPr>
          <w:p w14:paraId="6F5EABB7" w14:textId="77777777" w:rsidR="005B679B" w:rsidRPr="005B679B" w:rsidRDefault="005B679B" w:rsidP="005B679B">
            <w:pPr>
              <w:tabs>
                <w:tab w:val="left" w:pos="1091"/>
              </w:tabs>
              <w:spacing w:after="0"/>
              <w:rPr>
                <w:sz w:val="20"/>
                <w:szCs w:val="20"/>
                <w:lang w:eastAsia="ro-RO"/>
              </w:rPr>
            </w:pPr>
            <w:r w:rsidRPr="005B679B">
              <w:rPr>
                <w:sz w:val="20"/>
                <w:szCs w:val="20"/>
                <w:lang w:eastAsia="ro-RO"/>
              </w:rPr>
              <w:t>98/96/CE</w:t>
            </w:r>
          </w:p>
        </w:tc>
        <w:tc>
          <w:tcPr>
            <w:tcW w:w="855" w:type="pct"/>
            <w:tcBorders>
              <w:top w:val="single" w:sz="6" w:space="0" w:color="000000"/>
              <w:left w:val="single" w:sz="6" w:space="0" w:color="000000"/>
              <w:bottom w:val="single" w:sz="6" w:space="0" w:color="000000"/>
              <w:right w:val="single" w:sz="6" w:space="0" w:color="000000"/>
            </w:tcBorders>
            <w:shd w:val="clear" w:color="auto" w:fill="FFFFFF"/>
          </w:tcPr>
          <w:p w14:paraId="1DEE75A8" w14:textId="77777777" w:rsidR="005B679B" w:rsidRPr="005B679B" w:rsidRDefault="005B679B" w:rsidP="005B679B">
            <w:pPr>
              <w:tabs>
                <w:tab w:val="left" w:pos="1091"/>
              </w:tabs>
              <w:spacing w:after="0"/>
              <w:rPr>
                <w:sz w:val="20"/>
                <w:szCs w:val="20"/>
                <w:lang w:eastAsia="ro-RO"/>
              </w:rPr>
            </w:pPr>
            <w:r w:rsidRPr="005B679B">
              <w:rPr>
                <w:sz w:val="20"/>
                <w:szCs w:val="20"/>
                <w:lang w:eastAsia="ro-RO"/>
              </w:rPr>
              <w:t>1 februarie 2000</w:t>
            </w:r>
          </w:p>
        </w:tc>
        <w:tc>
          <w:tcPr>
            <w:tcW w:w="1512" w:type="pct"/>
            <w:vMerge/>
            <w:shd w:val="clear" w:color="auto" w:fill="auto"/>
          </w:tcPr>
          <w:p w14:paraId="60247057" w14:textId="77777777" w:rsidR="005B679B" w:rsidRPr="005B679B" w:rsidRDefault="005B679B" w:rsidP="005B679B">
            <w:pPr>
              <w:tabs>
                <w:tab w:val="left" w:pos="1091"/>
              </w:tabs>
              <w:spacing w:after="0"/>
              <w:rPr>
                <w:sz w:val="20"/>
                <w:szCs w:val="20"/>
              </w:rPr>
            </w:pPr>
          </w:p>
        </w:tc>
        <w:tc>
          <w:tcPr>
            <w:tcW w:w="988" w:type="pct"/>
            <w:vMerge/>
            <w:shd w:val="clear" w:color="auto" w:fill="auto"/>
            <w:vAlign w:val="center"/>
          </w:tcPr>
          <w:p w14:paraId="70F6B04A" w14:textId="77777777" w:rsidR="005B679B" w:rsidRPr="005B679B" w:rsidRDefault="005B679B" w:rsidP="005B679B">
            <w:pPr>
              <w:tabs>
                <w:tab w:val="left" w:pos="1091"/>
              </w:tabs>
              <w:spacing w:after="0"/>
              <w:jc w:val="center"/>
              <w:rPr>
                <w:b/>
                <w:bCs/>
                <w:sz w:val="20"/>
                <w:szCs w:val="20"/>
              </w:rPr>
            </w:pPr>
          </w:p>
        </w:tc>
        <w:tc>
          <w:tcPr>
            <w:tcW w:w="790" w:type="pct"/>
            <w:vMerge/>
            <w:shd w:val="clear" w:color="auto" w:fill="auto"/>
            <w:vAlign w:val="center"/>
          </w:tcPr>
          <w:p w14:paraId="263CBB5D" w14:textId="77777777" w:rsidR="005B679B" w:rsidRPr="005B679B" w:rsidRDefault="005B679B" w:rsidP="005B679B">
            <w:pPr>
              <w:tabs>
                <w:tab w:val="left" w:pos="1091"/>
              </w:tabs>
              <w:spacing w:after="0"/>
              <w:jc w:val="center"/>
              <w:rPr>
                <w:b/>
                <w:bCs/>
                <w:sz w:val="20"/>
                <w:szCs w:val="20"/>
              </w:rPr>
            </w:pPr>
          </w:p>
        </w:tc>
      </w:tr>
      <w:tr w:rsidR="005B679B" w:rsidRPr="005B679B" w14:paraId="4E859029" w14:textId="77777777" w:rsidTr="0014248B">
        <w:trPr>
          <w:trHeight w:val="113"/>
        </w:trPr>
        <w:tc>
          <w:tcPr>
            <w:tcW w:w="855"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147D1CBB" w14:textId="77777777" w:rsidR="005B679B" w:rsidRPr="005B679B" w:rsidRDefault="005B679B" w:rsidP="005B679B">
            <w:pPr>
              <w:tabs>
                <w:tab w:val="left" w:pos="1091"/>
              </w:tabs>
              <w:spacing w:after="0"/>
              <w:rPr>
                <w:sz w:val="20"/>
                <w:szCs w:val="20"/>
                <w:lang w:eastAsia="ro-RO"/>
              </w:rPr>
            </w:pPr>
          </w:p>
        </w:tc>
        <w:tc>
          <w:tcPr>
            <w:tcW w:w="855" w:type="pct"/>
            <w:tcBorders>
              <w:top w:val="single" w:sz="6" w:space="0" w:color="000000"/>
              <w:left w:val="single" w:sz="6" w:space="0" w:color="000000"/>
              <w:bottom w:val="single" w:sz="6" w:space="0" w:color="000000"/>
              <w:right w:val="single" w:sz="6" w:space="0" w:color="000000"/>
            </w:tcBorders>
            <w:shd w:val="clear" w:color="auto" w:fill="FFFFFF"/>
          </w:tcPr>
          <w:p w14:paraId="1EC3F838" w14:textId="77777777" w:rsidR="005B679B" w:rsidRPr="005B679B" w:rsidRDefault="005B679B" w:rsidP="005B679B">
            <w:pPr>
              <w:tabs>
                <w:tab w:val="left" w:pos="1091"/>
              </w:tabs>
              <w:spacing w:after="0"/>
              <w:rPr>
                <w:color w:val="333333"/>
                <w:sz w:val="20"/>
                <w:szCs w:val="20"/>
                <w:lang w:eastAsia="ro-RO"/>
              </w:rPr>
            </w:pPr>
          </w:p>
        </w:tc>
        <w:tc>
          <w:tcPr>
            <w:tcW w:w="1512" w:type="pct"/>
            <w:vMerge/>
            <w:shd w:val="clear" w:color="auto" w:fill="auto"/>
          </w:tcPr>
          <w:p w14:paraId="5F163E5B" w14:textId="77777777" w:rsidR="005B679B" w:rsidRPr="005B679B" w:rsidRDefault="005B679B" w:rsidP="005B679B">
            <w:pPr>
              <w:tabs>
                <w:tab w:val="left" w:pos="1091"/>
              </w:tabs>
              <w:spacing w:after="0"/>
              <w:rPr>
                <w:sz w:val="20"/>
                <w:szCs w:val="20"/>
              </w:rPr>
            </w:pPr>
          </w:p>
        </w:tc>
        <w:tc>
          <w:tcPr>
            <w:tcW w:w="988" w:type="pct"/>
            <w:vMerge/>
            <w:shd w:val="clear" w:color="auto" w:fill="auto"/>
            <w:vAlign w:val="center"/>
          </w:tcPr>
          <w:p w14:paraId="736303DE" w14:textId="77777777" w:rsidR="005B679B" w:rsidRPr="005B679B" w:rsidRDefault="005B679B" w:rsidP="005B679B">
            <w:pPr>
              <w:tabs>
                <w:tab w:val="left" w:pos="1091"/>
              </w:tabs>
              <w:spacing w:after="0"/>
              <w:jc w:val="center"/>
              <w:rPr>
                <w:b/>
                <w:bCs/>
                <w:sz w:val="20"/>
                <w:szCs w:val="20"/>
              </w:rPr>
            </w:pPr>
          </w:p>
        </w:tc>
        <w:tc>
          <w:tcPr>
            <w:tcW w:w="790" w:type="pct"/>
            <w:vMerge/>
            <w:shd w:val="clear" w:color="auto" w:fill="auto"/>
            <w:vAlign w:val="center"/>
          </w:tcPr>
          <w:p w14:paraId="48E3021D" w14:textId="77777777" w:rsidR="005B679B" w:rsidRPr="005B679B" w:rsidRDefault="005B679B" w:rsidP="005B679B">
            <w:pPr>
              <w:tabs>
                <w:tab w:val="left" w:pos="1091"/>
              </w:tabs>
              <w:spacing w:after="0"/>
              <w:jc w:val="center"/>
              <w:rPr>
                <w:b/>
                <w:bCs/>
                <w:sz w:val="20"/>
                <w:szCs w:val="20"/>
              </w:rPr>
            </w:pPr>
          </w:p>
        </w:tc>
      </w:tr>
    </w:tbl>
    <w:p w14:paraId="07DCCFF8" w14:textId="77777777" w:rsidR="00D97D99" w:rsidRPr="00D97D99" w:rsidRDefault="00D97D99" w:rsidP="00B55E64">
      <w:pPr>
        <w:spacing w:after="0"/>
        <w:jc w:val="both"/>
        <w:rPr>
          <w:b/>
          <w:sz w:val="24"/>
          <w:szCs w:val="24"/>
        </w:rPr>
      </w:pPr>
    </w:p>
    <w:sectPr w:rsidR="00D97D99" w:rsidRPr="00D97D99" w:rsidSect="00B478A9">
      <w:pgSz w:w="16838" w:h="11906" w:orient="landscape" w:code="9"/>
      <w:pgMar w:top="1701" w:right="1134" w:bottom="851"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E8188A"/>
    <w:multiLevelType w:val="multilevel"/>
    <w:tmpl w:val="01D6CA0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sz w:val="20"/>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nsid w:val="4A1719DF"/>
    <w:multiLevelType w:val="hybridMultilevel"/>
    <w:tmpl w:val="11009038"/>
    <w:lvl w:ilvl="0" w:tplc="997826F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522945F7"/>
    <w:multiLevelType w:val="multilevel"/>
    <w:tmpl w:val="73AE4E24"/>
    <w:lvl w:ilvl="0">
      <w:start w:val="1"/>
      <w:numFmt w:val="decimal"/>
      <w:lvlText w:val="%1."/>
      <w:lvlJc w:val="left"/>
      <w:pPr>
        <w:ind w:left="1069" w:hanging="360"/>
      </w:pPr>
      <w:rPr>
        <w:rFonts w:hint="default"/>
      </w:rPr>
    </w:lvl>
    <w:lvl w:ilvl="1">
      <w:start w:val="1"/>
      <w:numFmt w:val="decimal"/>
      <w:isLgl/>
      <w:lvlText w:val="%1.%2."/>
      <w:lvlJc w:val="left"/>
      <w:pPr>
        <w:ind w:left="1004" w:hanging="720"/>
      </w:pPr>
      <w:rPr>
        <w:rFonts w:hint="default"/>
        <w:sz w:val="20"/>
        <w:lang w:val="en-US"/>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nsid w:val="54271AB5"/>
    <w:multiLevelType w:val="hybridMultilevel"/>
    <w:tmpl w:val="BEF08670"/>
    <w:lvl w:ilvl="0" w:tplc="42EA58B0">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4">
    <w:nsid w:val="55CE02C7"/>
    <w:multiLevelType w:val="multilevel"/>
    <w:tmpl w:val="01D6CA0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sz w:val="20"/>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790"/>
    <w:rsid w:val="000018DB"/>
    <w:rsid w:val="00001A7C"/>
    <w:rsid w:val="00014F17"/>
    <w:rsid w:val="00020828"/>
    <w:rsid w:val="000779EA"/>
    <w:rsid w:val="00081DEA"/>
    <w:rsid w:val="00084574"/>
    <w:rsid w:val="000B2AD2"/>
    <w:rsid w:val="000C5CF7"/>
    <w:rsid w:val="000D3D1E"/>
    <w:rsid w:val="0014248B"/>
    <w:rsid w:val="00152086"/>
    <w:rsid w:val="00152AAE"/>
    <w:rsid w:val="00171A4E"/>
    <w:rsid w:val="001831D6"/>
    <w:rsid w:val="00201125"/>
    <w:rsid w:val="00224C47"/>
    <w:rsid w:val="0026097F"/>
    <w:rsid w:val="0029404B"/>
    <w:rsid w:val="00297391"/>
    <w:rsid w:val="002A41B3"/>
    <w:rsid w:val="002F2AFC"/>
    <w:rsid w:val="00336739"/>
    <w:rsid w:val="00341121"/>
    <w:rsid w:val="003A65FA"/>
    <w:rsid w:val="003D4A53"/>
    <w:rsid w:val="00457C48"/>
    <w:rsid w:val="004B1F66"/>
    <w:rsid w:val="004B6507"/>
    <w:rsid w:val="004E3042"/>
    <w:rsid w:val="004E3D94"/>
    <w:rsid w:val="004E6BE5"/>
    <w:rsid w:val="00520395"/>
    <w:rsid w:val="00526287"/>
    <w:rsid w:val="0053706B"/>
    <w:rsid w:val="00560040"/>
    <w:rsid w:val="00563DD7"/>
    <w:rsid w:val="00572C10"/>
    <w:rsid w:val="00574078"/>
    <w:rsid w:val="005816CB"/>
    <w:rsid w:val="005A36C3"/>
    <w:rsid w:val="005B679B"/>
    <w:rsid w:val="005C4536"/>
    <w:rsid w:val="005D7B49"/>
    <w:rsid w:val="005E1FB4"/>
    <w:rsid w:val="005E332B"/>
    <w:rsid w:val="005F37C0"/>
    <w:rsid w:val="00626C03"/>
    <w:rsid w:val="00645BB4"/>
    <w:rsid w:val="00690887"/>
    <w:rsid w:val="006B26A1"/>
    <w:rsid w:val="006C0B77"/>
    <w:rsid w:val="006E64B1"/>
    <w:rsid w:val="006F3790"/>
    <w:rsid w:val="007143FA"/>
    <w:rsid w:val="00761608"/>
    <w:rsid w:val="00775E46"/>
    <w:rsid w:val="007968BC"/>
    <w:rsid w:val="008242FF"/>
    <w:rsid w:val="00836899"/>
    <w:rsid w:val="00850AC4"/>
    <w:rsid w:val="00870751"/>
    <w:rsid w:val="00881D8E"/>
    <w:rsid w:val="008F2A5D"/>
    <w:rsid w:val="00922C48"/>
    <w:rsid w:val="00933E44"/>
    <w:rsid w:val="00964195"/>
    <w:rsid w:val="00976604"/>
    <w:rsid w:val="00981A64"/>
    <w:rsid w:val="00991637"/>
    <w:rsid w:val="009B2D2A"/>
    <w:rsid w:val="009D3795"/>
    <w:rsid w:val="009E5B38"/>
    <w:rsid w:val="00A3544D"/>
    <w:rsid w:val="00A42D18"/>
    <w:rsid w:val="00A84A2B"/>
    <w:rsid w:val="00A966A7"/>
    <w:rsid w:val="00AA7A9F"/>
    <w:rsid w:val="00B05072"/>
    <w:rsid w:val="00B17860"/>
    <w:rsid w:val="00B478A9"/>
    <w:rsid w:val="00B55E64"/>
    <w:rsid w:val="00B77AA0"/>
    <w:rsid w:val="00B818F0"/>
    <w:rsid w:val="00B915B7"/>
    <w:rsid w:val="00BB454B"/>
    <w:rsid w:val="00C5224C"/>
    <w:rsid w:val="00C62918"/>
    <w:rsid w:val="00C64D00"/>
    <w:rsid w:val="00C85706"/>
    <w:rsid w:val="00CC48E0"/>
    <w:rsid w:val="00CC5DB0"/>
    <w:rsid w:val="00CE220B"/>
    <w:rsid w:val="00D15E62"/>
    <w:rsid w:val="00D16012"/>
    <w:rsid w:val="00D21754"/>
    <w:rsid w:val="00D46FD3"/>
    <w:rsid w:val="00D767F3"/>
    <w:rsid w:val="00D83098"/>
    <w:rsid w:val="00D93839"/>
    <w:rsid w:val="00D97D99"/>
    <w:rsid w:val="00DC11C1"/>
    <w:rsid w:val="00DC1B95"/>
    <w:rsid w:val="00DF3443"/>
    <w:rsid w:val="00E0106D"/>
    <w:rsid w:val="00E45CA5"/>
    <w:rsid w:val="00E82825"/>
    <w:rsid w:val="00EA59DF"/>
    <w:rsid w:val="00ED243B"/>
    <w:rsid w:val="00ED2DA6"/>
    <w:rsid w:val="00EE4070"/>
    <w:rsid w:val="00EF0695"/>
    <w:rsid w:val="00F12697"/>
    <w:rsid w:val="00F12C76"/>
    <w:rsid w:val="00F14854"/>
    <w:rsid w:val="00F17668"/>
    <w:rsid w:val="00F4153B"/>
    <w:rsid w:val="00F45C65"/>
    <w:rsid w:val="00F470E5"/>
    <w:rsid w:val="00F86EAB"/>
    <w:rsid w:val="00F92BC0"/>
    <w:rsid w:val="00FA3F6E"/>
    <w:rsid w:val="00FB7AB6"/>
    <w:rsid w:val="00FC4E2B"/>
    <w:rsid w:val="00FF39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6A8E8"/>
  <w15:chartTrackingRefBased/>
  <w15:docId w15:val="{18923DFC-257A-44DD-9142-FA74ED7C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A5D"/>
    <w:pPr>
      <w:spacing w:line="240" w:lineRule="auto"/>
    </w:pPr>
    <w:rPr>
      <w:rFonts w:ascii="Times New Roman" w:eastAsia="Times New Roman" w:hAnsi="Times New Roman" w:cs="Times New Roman"/>
      <w:kern w:val="0"/>
      <w:sz w:val="28"/>
      <w:lang w:val="ro-RO"/>
      <w14:ligatures w14:val="none"/>
    </w:rPr>
  </w:style>
  <w:style w:type="paragraph" w:styleId="Titlu1">
    <w:name w:val="heading 1"/>
    <w:basedOn w:val="Normal"/>
    <w:next w:val="Normal"/>
    <w:link w:val="Titlu1Caracter"/>
    <w:uiPriority w:val="9"/>
    <w:qFormat/>
    <w:rsid w:val="006F3790"/>
    <w:pPr>
      <w:keepNext/>
      <w:keepLines/>
      <w:spacing w:before="360" w:after="80"/>
      <w:outlineLvl w:val="0"/>
    </w:pPr>
    <w:rPr>
      <w:rFonts w:asciiTheme="majorHAnsi" w:eastAsiaTheme="majorEastAsia" w:hAnsiTheme="majorHAnsi" w:cstheme="majorBidi"/>
      <w:color w:val="0F4761" w:themeColor="accent1" w:themeShade="BF"/>
      <w:kern w:val="2"/>
      <w:sz w:val="40"/>
      <w:szCs w:val="40"/>
      <w:lang w:val="ru-RU"/>
      <w14:ligatures w14:val="standardContextual"/>
    </w:rPr>
  </w:style>
  <w:style w:type="paragraph" w:styleId="Titlu2">
    <w:name w:val="heading 2"/>
    <w:basedOn w:val="Normal"/>
    <w:next w:val="Normal"/>
    <w:link w:val="Titlu2Caracter"/>
    <w:uiPriority w:val="9"/>
    <w:semiHidden/>
    <w:unhideWhenUsed/>
    <w:qFormat/>
    <w:rsid w:val="006F3790"/>
    <w:pPr>
      <w:keepNext/>
      <w:keepLines/>
      <w:spacing w:before="160" w:after="80"/>
      <w:outlineLvl w:val="1"/>
    </w:pPr>
    <w:rPr>
      <w:rFonts w:asciiTheme="majorHAnsi" w:eastAsiaTheme="majorEastAsia" w:hAnsiTheme="majorHAnsi" w:cstheme="majorBidi"/>
      <w:color w:val="0F4761" w:themeColor="accent1" w:themeShade="BF"/>
      <w:kern w:val="2"/>
      <w:sz w:val="32"/>
      <w:szCs w:val="32"/>
      <w:lang w:val="ru-RU"/>
      <w14:ligatures w14:val="standardContextual"/>
    </w:rPr>
  </w:style>
  <w:style w:type="paragraph" w:styleId="Titlu3">
    <w:name w:val="heading 3"/>
    <w:basedOn w:val="Normal"/>
    <w:next w:val="Normal"/>
    <w:link w:val="Titlu3Caracter"/>
    <w:uiPriority w:val="9"/>
    <w:semiHidden/>
    <w:unhideWhenUsed/>
    <w:qFormat/>
    <w:rsid w:val="006F3790"/>
    <w:pPr>
      <w:keepNext/>
      <w:keepLines/>
      <w:spacing w:before="160" w:after="80"/>
      <w:outlineLvl w:val="2"/>
    </w:pPr>
    <w:rPr>
      <w:rFonts w:asciiTheme="minorHAnsi" w:eastAsiaTheme="majorEastAsia" w:hAnsiTheme="minorHAnsi" w:cstheme="majorBidi"/>
      <w:color w:val="0F4761" w:themeColor="accent1" w:themeShade="BF"/>
      <w:kern w:val="2"/>
      <w:szCs w:val="28"/>
      <w:lang w:val="ru-RU"/>
      <w14:ligatures w14:val="standardContextual"/>
    </w:rPr>
  </w:style>
  <w:style w:type="paragraph" w:styleId="Titlu4">
    <w:name w:val="heading 4"/>
    <w:basedOn w:val="Normal"/>
    <w:next w:val="Normal"/>
    <w:link w:val="Titlu4Caracter"/>
    <w:uiPriority w:val="9"/>
    <w:semiHidden/>
    <w:unhideWhenUsed/>
    <w:qFormat/>
    <w:rsid w:val="006F3790"/>
    <w:pPr>
      <w:keepNext/>
      <w:keepLines/>
      <w:spacing w:before="80" w:after="40"/>
      <w:outlineLvl w:val="3"/>
    </w:pPr>
    <w:rPr>
      <w:rFonts w:asciiTheme="minorHAnsi" w:eastAsiaTheme="majorEastAsia" w:hAnsiTheme="minorHAnsi" w:cstheme="majorBidi"/>
      <w:i/>
      <w:iCs/>
      <w:color w:val="0F4761" w:themeColor="accent1" w:themeShade="BF"/>
      <w:kern w:val="2"/>
      <w:lang w:val="ru-RU"/>
      <w14:ligatures w14:val="standardContextual"/>
    </w:rPr>
  </w:style>
  <w:style w:type="paragraph" w:styleId="Titlu5">
    <w:name w:val="heading 5"/>
    <w:basedOn w:val="Normal"/>
    <w:next w:val="Normal"/>
    <w:link w:val="Titlu5Caracter"/>
    <w:uiPriority w:val="9"/>
    <w:semiHidden/>
    <w:unhideWhenUsed/>
    <w:qFormat/>
    <w:rsid w:val="006F3790"/>
    <w:pPr>
      <w:keepNext/>
      <w:keepLines/>
      <w:spacing w:before="80" w:after="40"/>
      <w:outlineLvl w:val="4"/>
    </w:pPr>
    <w:rPr>
      <w:rFonts w:asciiTheme="minorHAnsi" w:eastAsiaTheme="majorEastAsia" w:hAnsiTheme="minorHAnsi" w:cstheme="majorBidi"/>
      <w:color w:val="0F4761" w:themeColor="accent1" w:themeShade="BF"/>
      <w:kern w:val="2"/>
      <w:lang w:val="ru-RU"/>
      <w14:ligatures w14:val="standardContextual"/>
    </w:rPr>
  </w:style>
  <w:style w:type="paragraph" w:styleId="Titlu6">
    <w:name w:val="heading 6"/>
    <w:basedOn w:val="Normal"/>
    <w:next w:val="Normal"/>
    <w:link w:val="Titlu6Caracter"/>
    <w:uiPriority w:val="9"/>
    <w:semiHidden/>
    <w:unhideWhenUsed/>
    <w:qFormat/>
    <w:rsid w:val="006F3790"/>
    <w:pPr>
      <w:keepNext/>
      <w:keepLines/>
      <w:spacing w:before="40" w:after="0"/>
      <w:outlineLvl w:val="5"/>
    </w:pPr>
    <w:rPr>
      <w:rFonts w:asciiTheme="minorHAnsi" w:eastAsiaTheme="majorEastAsia" w:hAnsiTheme="minorHAnsi" w:cstheme="majorBidi"/>
      <w:i/>
      <w:iCs/>
      <w:color w:val="595959" w:themeColor="text1" w:themeTint="A6"/>
      <w:kern w:val="2"/>
      <w:lang w:val="ru-RU"/>
      <w14:ligatures w14:val="standardContextual"/>
    </w:rPr>
  </w:style>
  <w:style w:type="paragraph" w:styleId="Titlu7">
    <w:name w:val="heading 7"/>
    <w:basedOn w:val="Normal"/>
    <w:next w:val="Normal"/>
    <w:link w:val="Titlu7Caracter"/>
    <w:uiPriority w:val="9"/>
    <w:semiHidden/>
    <w:unhideWhenUsed/>
    <w:qFormat/>
    <w:rsid w:val="006F3790"/>
    <w:pPr>
      <w:keepNext/>
      <w:keepLines/>
      <w:spacing w:before="40" w:after="0"/>
      <w:outlineLvl w:val="6"/>
    </w:pPr>
    <w:rPr>
      <w:rFonts w:asciiTheme="minorHAnsi" w:eastAsiaTheme="majorEastAsia" w:hAnsiTheme="minorHAnsi" w:cstheme="majorBidi"/>
      <w:color w:val="595959" w:themeColor="text1" w:themeTint="A6"/>
      <w:kern w:val="2"/>
      <w:lang w:val="ru-RU"/>
      <w14:ligatures w14:val="standardContextual"/>
    </w:rPr>
  </w:style>
  <w:style w:type="paragraph" w:styleId="Titlu8">
    <w:name w:val="heading 8"/>
    <w:basedOn w:val="Normal"/>
    <w:next w:val="Normal"/>
    <w:link w:val="Titlu8Caracter"/>
    <w:uiPriority w:val="9"/>
    <w:semiHidden/>
    <w:unhideWhenUsed/>
    <w:qFormat/>
    <w:rsid w:val="006F3790"/>
    <w:pPr>
      <w:keepNext/>
      <w:keepLines/>
      <w:spacing w:after="0"/>
      <w:outlineLvl w:val="7"/>
    </w:pPr>
    <w:rPr>
      <w:rFonts w:asciiTheme="minorHAnsi" w:eastAsiaTheme="majorEastAsia" w:hAnsiTheme="minorHAnsi" w:cstheme="majorBidi"/>
      <w:i/>
      <w:iCs/>
      <w:color w:val="272727" w:themeColor="text1" w:themeTint="D8"/>
      <w:kern w:val="2"/>
      <w:lang w:val="ru-RU"/>
      <w14:ligatures w14:val="standardContextual"/>
    </w:rPr>
  </w:style>
  <w:style w:type="paragraph" w:styleId="Titlu9">
    <w:name w:val="heading 9"/>
    <w:basedOn w:val="Normal"/>
    <w:next w:val="Normal"/>
    <w:link w:val="Titlu9Caracter"/>
    <w:uiPriority w:val="9"/>
    <w:semiHidden/>
    <w:unhideWhenUsed/>
    <w:qFormat/>
    <w:rsid w:val="006F3790"/>
    <w:pPr>
      <w:keepNext/>
      <w:keepLines/>
      <w:spacing w:after="0"/>
      <w:outlineLvl w:val="8"/>
    </w:pPr>
    <w:rPr>
      <w:rFonts w:asciiTheme="minorHAnsi" w:eastAsiaTheme="majorEastAsia" w:hAnsiTheme="minorHAnsi" w:cstheme="majorBidi"/>
      <w:color w:val="272727" w:themeColor="text1" w:themeTint="D8"/>
      <w:kern w:val="2"/>
      <w:lang w:val="ru-RU"/>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6F3790"/>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6F3790"/>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6F3790"/>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6F3790"/>
    <w:rPr>
      <w:rFonts w:eastAsiaTheme="majorEastAsia" w:cstheme="majorBidi"/>
      <w:i/>
      <w:iCs/>
      <w:color w:val="0F4761" w:themeColor="accent1" w:themeShade="BF"/>
      <w:sz w:val="28"/>
    </w:rPr>
  </w:style>
  <w:style w:type="character" w:customStyle="1" w:styleId="Titlu5Caracter">
    <w:name w:val="Titlu 5 Caracter"/>
    <w:basedOn w:val="Fontdeparagrafimplicit"/>
    <w:link w:val="Titlu5"/>
    <w:uiPriority w:val="9"/>
    <w:semiHidden/>
    <w:rsid w:val="006F3790"/>
    <w:rPr>
      <w:rFonts w:eastAsiaTheme="majorEastAsia" w:cstheme="majorBidi"/>
      <w:color w:val="0F4761" w:themeColor="accent1" w:themeShade="BF"/>
      <w:sz w:val="28"/>
    </w:rPr>
  </w:style>
  <w:style w:type="character" w:customStyle="1" w:styleId="Titlu6Caracter">
    <w:name w:val="Titlu 6 Caracter"/>
    <w:basedOn w:val="Fontdeparagrafimplicit"/>
    <w:link w:val="Titlu6"/>
    <w:uiPriority w:val="9"/>
    <w:semiHidden/>
    <w:rsid w:val="006F3790"/>
    <w:rPr>
      <w:rFonts w:eastAsiaTheme="majorEastAsia" w:cstheme="majorBidi"/>
      <w:i/>
      <w:iCs/>
      <w:color w:val="595959" w:themeColor="text1" w:themeTint="A6"/>
      <w:sz w:val="28"/>
    </w:rPr>
  </w:style>
  <w:style w:type="character" w:customStyle="1" w:styleId="Titlu7Caracter">
    <w:name w:val="Titlu 7 Caracter"/>
    <w:basedOn w:val="Fontdeparagrafimplicit"/>
    <w:link w:val="Titlu7"/>
    <w:uiPriority w:val="9"/>
    <w:semiHidden/>
    <w:rsid w:val="006F3790"/>
    <w:rPr>
      <w:rFonts w:eastAsiaTheme="majorEastAsia" w:cstheme="majorBidi"/>
      <w:color w:val="595959" w:themeColor="text1" w:themeTint="A6"/>
      <w:sz w:val="28"/>
    </w:rPr>
  </w:style>
  <w:style w:type="character" w:customStyle="1" w:styleId="Titlu8Caracter">
    <w:name w:val="Titlu 8 Caracter"/>
    <w:basedOn w:val="Fontdeparagrafimplicit"/>
    <w:link w:val="Titlu8"/>
    <w:uiPriority w:val="9"/>
    <w:semiHidden/>
    <w:rsid w:val="006F3790"/>
    <w:rPr>
      <w:rFonts w:eastAsiaTheme="majorEastAsia" w:cstheme="majorBidi"/>
      <w:i/>
      <w:iCs/>
      <w:color w:val="272727" w:themeColor="text1" w:themeTint="D8"/>
      <w:sz w:val="28"/>
    </w:rPr>
  </w:style>
  <w:style w:type="character" w:customStyle="1" w:styleId="Titlu9Caracter">
    <w:name w:val="Titlu 9 Caracter"/>
    <w:basedOn w:val="Fontdeparagrafimplicit"/>
    <w:link w:val="Titlu9"/>
    <w:uiPriority w:val="9"/>
    <w:semiHidden/>
    <w:rsid w:val="006F3790"/>
    <w:rPr>
      <w:rFonts w:eastAsiaTheme="majorEastAsia" w:cstheme="majorBidi"/>
      <w:color w:val="272727" w:themeColor="text1" w:themeTint="D8"/>
      <w:sz w:val="28"/>
    </w:rPr>
  </w:style>
  <w:style w:type="paragraph" w:styleId="Titlu">
    <w:name w:val="Title"/>
    <w:basedOn w:val="Normal"/>
    <w:next w:val="Normal"/>
    <w:link w:val="TitluCaracter"/>
    <w:uiPriority w:val="10"/>
    <w:qFormat/>
    <w:rsid w:val="006F3790"/>
    <w:pPr>
      <w:spacing w:after="80"/>
      <w:contextualSpacing/>
    </w:pPr>
    <w:rPr>
      <w:rFonts w:asciiTheme="majorHAnsi" w:eastAsiaTheme="majorEastAsia" w:hAnsiTheme="majorHAnsi" w:cstheme="majorBidi"/>
      <w:spacing w:val="-10"/>
      <w:kern w:val="28"/>
      <w:sz w:val="56"/>
      <w:szCs w:val="56"/>
      <w:lang w:val="ru-RU"/>
      <w14:ligatures w14:val="standardContextual"/>
    </w:rPr>
  </w:style>
  <w:style w:type="character" w:customStyle="1" w:styleId="TitluCaracter">
    <w:name w:val="Titlu Caracter"/>
    <w:basedOn w:val="Fontdeparagrafimplicit"/>
    <w:link w:val="Titlu"/>
    <w:uiPriority w:val="10"/>
    <w:rsid w:val="006F3790"/>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6F3790"/>
    <w:pPr>
      <w:numPr>
        <w:ilvl w:val="1"/>
      </w:numPr>
    </w:pPr>
    <w:rPr>
      <w:rFonts w:asciiTheme="minorHAnsi" w:eastAsiaTheme="majorEastAsia" w:hAnsiTheme="minorHAnsi" w:cstheme="majorBidi"/>
      <w:color w:val="595959" w:themeColor="text1" w:themeTint="A6"/>
      <w:spacing w:val="15"/>
      <w:kern w:val="2"/>
      <w:szCs w:val="28"/>
      <w:lang w:val="ru-RU"/>
      <w14:ligatures w14:val="standardContextual"/>
    </w:rPr>
  </w:style>
  <w:style w:type="character" w:customStyle="1" w:styleId="SubtitluCaracter">
    <w:name w:val="Subtitlu Caracter"/>
    <w:basedOn w:val="Fontdeparagrafimplicit"/>
    <w:link w:val="Subtitlu"/>
    <w:uiPriority w:val="11"/>
    <w:rsid w:val="006F3790"/>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6F3790"/>
    <w:pPr>
      <w:spacing w:before="160"/>
      <w:jc w:val="center"/>
    </w:pPr>
    <w:rPr>
      <w:rFonts w:eastAsiaTheme="minorHAnsi" w:cstheme="minorBidi"/>
      <w:i/>
      <w:iCs/>
      <w:color w:val="404040" w:themeColor="text1" w:themeTint="BF"/>
      <w:kern w:val="2"/>
      <w:lang w:val="ru-RU"/>
      <w14:ligatures w14:val="standardContextual"/>
    </w:rPr>
  </w:style>
  <w:style w:type="character" w:customStyle="1" w:styleId="CitatCaracter">
    <w:name w:val="Citat Caracter"/>
    <w:basedOn w:val="Fontdeparagrafimplicit"/>
    <w:link w:val="Citat"/>
    <w:uiPriority w:val="29"/>
    <w:rsid w:val="006F3790"/>
    <w:rPr>
      <w:rFonts w:ascii="Times New Roman" w:hAnsi="Times New Roman"/>
      <w:i/>
      <w:iCs/>
      <w:color w:val="404040" w:themeColor="text1" w:themeTint="BF"/>
      <w:sz w:val="28"/>
    </w:rPr>
  </w:style>
  <w:style w:type="paragraph" w:styleId="Listparagraf">
    <w:name w:val="List Paragraph"/>
    <w:basedOn w:val="Normal"/>
    <w:uiPriority w:val="34"/>
    <w:qFormat/>
    <w:rsid w:val="006F3790"/>
    <w:pPr>
      <w:ind w:left="720"/>
      <w:contextualSpacing/>
    </w:pPr>
    <w:rPr>
      <w:rFonts w:eastAsiaTheme="minorHAnsi" w:cstheme="minorBidi"/>
      <w:kern w:val="2"/>
      <w:lang w:val="ru-RU"/>
      <w14:ligatures w14:val="standardContextual"/>
    </w:rPr>
  </w:style>
  <w:style w:type="character" w:styleId="Accentuareintens">
    <w:name w:val="Intense Emphasis"/>
    <w:basedOn w:val="Fontdeparagrafimplicit"/>
    <w:uiPriority w:val="21"/>
    <w:qFormat/>
    <w:rsid w:val="006F3790"/>
    <w:rPr>
      <w:i/>
      <w:iCs/>
      <w:color w:val="0F4761" w:themeColor="accent1" w:themeShade="BF"/>
    </w:rPr>
  </w:style>
  <w:style w:type="paragraph" w:styleId="Citatintens">
    <w:name w:val="Intense Quote"/>
    <w:basedOn w:val="Normal"/>
    <w:next w:val="Normal"/>
    <w:link w:val="CitatintensCaracter"/>
    <w:uiPriority w:val="30"/>
    <w:qFormat/>
    <w:rsid w:val="006F3790"/>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cstheme="minorBidi"/>
      <w:i/>
      <w:iCs/>
      <w:color w:val="0F4761" w:themeColor="accent1" w:themeShade="BF"/>
      <w:kern w:val="2"/>
      <w:lang w:val="ru-RU"/>
      <w14:ligatures w14:val="standardContextual"/>
    </w:rPr>
  </w:style>
  <w:style w:type="character" w:customStyle="1" w:styleId="CitatintensCaracter">
    <w:name w:val="Citat intens Caracter"/>
    <w:basedOn w:val="Fontdeparagrafimplicit"/>
    <w:link w:val="Citatintens"/>
    <w:uiPriority w:val="30"/>
    <w:rsid w:val="006F3790"/>
    <w:rPr>
      <w:rFonts w:ascii="Times New Roman" w:hAnsi="Times New Roman"/>
      <w:i/>
      <w:iCs/>
      <w:color w:val="0F4761" w:themeColor="accent1" w:themeShade="BF"/>
      <w:sz w:val="28"/>
    </w:rPr>
  </w:style>
  <w:style w:type="character" w:styleId="Referireintens">
    <w:name w:val="Intense Reference"/>
    <w:basedOn w:val="Fontdeparagrafimplicit"/>
    <w:uiPriority w:val="32"/>
    <w:qFormat/>
    <w:rsid w:val="006F3790"/>
    <w:rPr>
      <w:b/>
      <w:bCs/>
      <w:smallCaps/>
      <w:color w:val="0F4761" w:themeColor="accent1" w:themeShade="BF"/>
      <w:spacing w:val="5"/>
    </w:rPr>
  </w:style>
  <w:style w:type="paragraph" w:styleId="TextnBalon">
    <w:name w:val="Balloon Text"/>
    <w:basedOn w:val="Normal"/>
    <w:link w:val="TextnBalonCaracter"/>
    <w:uiPriority w:val="99"/>
    <w:semiHidden/>
    <w:unhideWhenUsed/>
    <w:rsid w:val="00CC5DB0"/>
    <w:pPr>
      <w:spacing w:after="0"/>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CC5DB0"/>
    <w:rPr>
      <w:rFonts w:ascii="Segoe UI" w:eastAsia="Times New Roman" w:hAnsi="Segoe UI" w:cs="Segoe UI"/>
      <w:kern w:val="0"/>
      <w:sz w:val="18"/>
      <w:szCs w:val="18"/>
      <w:lang w:val="ro-RO"/>
      <w14:ligatures w14:val="none"/>
    </w:rPr>
  </w:style>
  <w:style w:type="character" w:styleId="Hyperlink">
    <w:name w:val="Hyperlink"/>
    <w:basedOn w:val="Fontdeparagrafimplicit"/>
    <w:uiPriority w:val="99"/>
    <w:unhideWhenUsed/>
    <w:rsid w:val="00B478A9"/>
    <w:rPr>
      <w:color w:val="467886" w:themeColor="hyperlink"/>
      <w:u w:val="single"/>
    </w:rPr>
  </w:style>
  <w:style w:type="character" w:styleId="Referincomentariu">
    <w:name w:val="annotation reference"/>
    <w:basedOn w:val="Fontdeparagrafimplicit"/>
    <w:uiPriority w:val="99"/>
    <w:semiHidden/>
    <w:unhideWhenUsed/>
    <w:rsid w:val="004B6507"/>
    <w:rPr>
      <w:sz w:val="16"/>
      <w:szCs w:val="16"/>
    </w:rPr>
  </w:style>
  <w:style w:type="paragraph" w:styleId="Textcomentariu">
    <w:name w:val="annotation text"/>
    <w:basedOn w:val="Normal"/>
    <w:link w:val="TextcomentariuCaracter"/>
    <w:uiPriority w:val="99"/>
    <w:semiHidden/>
    <w:unhideWhenUsed/>
    <w:rsid w:val="004B6507"/>
    <w:rPr>
      <w:sz w:val="20"/>
      <w:szCs w:val="20"/>
    </w:rPr>
  </w:style>
  <w:style w:type="character" w:customStyle="1" w:styleId="TextcomentariuCaracter">
    <w:name w:val="Text comentariu Caracter"/>
    <w:basedOn w:val="Fontdeparagrafimplicit"/>
    <w:link w:val="Textcomentariu"/>
    <w:uiPriority w:val="99"/>
    <w:semiHidden/>
    <w:rsid w:val="004B6507"/>
    <w:rPr>
      <w:rFonts w:ascii="Times New Roman" w:eastAsia="Times New Roman" w:hAnsi="Times New Roman" w:cs="Times New Roman"/>
      <w:kern w:val="0"/>
      <w:sz w:val="20"/>
      <w:szCs w:val="20"/>
      <w:lang w:val="ro-RO"/>
      <w14:ligatures w14:val="none"/>
    </w:rPr>
  </w:style>
  <w:style w:type="paragraph" w:styleId="SubiectComentariu">
    <w:name w:val="annotation subject"/>
    <w:basedOn w:val="Textcomentariu"/>
    <w:next w:val="Textcomentariu"/>
    <w:link w:val="SubiectComentariuCaracter"/>
    <w:uiPriority w:val="99"/>
    <w:semiHidden/>
    <w:unhideWhenUsed/>
    <w:rsid w:val="004B6507"/>
    <w:rPr>
      <w:b/>
      <w:bCs/>
    </w:rPr>
  </w:style>
  <w:style w:type="character" w:customStyle="1" w:styleId="SubiectComentariuCaracter">
    <w:name w:val="Subiect Comentariu Caracter"/>
    <w:basedOn w:val="TextcomentariuCaracter"/>
    <w:link w:val="SubiectComentariu"/>
    <w:uiPriority w:val="99"/>
    <w:semiHidden/>
    <w:rsid w:val="004B6507"/>
    <w:rPr>
      <w:rFonts w:ascii="Times New Roman" w:eastAsia="Times New Roman" w:hAnsi="Times New Roman" w:cs="Times New Roman"/>
      <w:b/>
      <w:bCs/>
      <w:kern w:val="0"/>
      <w:sz w:val="20"/>
      <w:szCs w:val="20"/>
      <w:lang w:val="ro-RO"/>
      <w14:ligatures w14:val="none"/>
    </w:rPr>
  </w:style>
  <w:style w:type="paragraph" w:customStyle="1" w:styleId="title-article-norm">
    <w:name w:val="title-article-norm"/>
    <w:basedOn w:val="Normal"/>
    <w:rsid w:val="00084574"/>
    <w:pPr>
      <w:spacing w:before="100" w:beforeAutospacing="1" w:after="100" w:afterAutospacing="1"/>
    </w:pPr>
    <w:rPr>
      <w:sz w:val="24"/>
      <w:szCs w:val="24"/>
      <w:lang w:eastAsia="ro-RO"/>
    </w:rPr>
  </w:style>
  <w:style w:type="paragraph" w:customStyle="1" w:styleId="norm">
    <w:name w:val="norm"/>
    <w:basedOn w:val="Normal"/>
    <w:rsid w:val="00084574"/>
    <w:pPr>
      <w:spacing w:before="100" w:beforeAutospacing="1" w:after="100" w:afterAutospacing="1"/>
    </w:pPr>
    <w:rPr>
      <w:sz w:val="24"/>
      <w:szCs w:val="24"/>
      <w:lang w:eastAsia="ro-RO"/>
    </w:rPr>
  </w:style>
  <w:style w:type="character" w:customStyle="1" w:styleId="no-parag">
    <w:name w:val="no-parag"/>
    <w:basedOn w:val="Fontdeparagrafimplicit"/>
    <w:rsid w:val="00A84A2B"/>
  </w:style>
  <w:style w:type="character" w:customStyle="1" w:styleId="italics">
    <w:name w:val="italics"/>
    <w:basedOn w:val="Fontdeparagrafimplicit"/>
    <w:rsid w:val="00A84A2B"/>
  </w:style>
  <w:style w:type="paragraph" w:customStyle="1" w:styleId="title-annex-1">
    <w:name w:val="title-annex-1"/>
    <w:basedOn w:val="Normal"/>
    <w:rsid w:val="00A84A2B"/>
    <w:pPr>
      <w:spacing w:before="100" w:beforeAutospacing="1" w:after="100" w:afterAutospacing="1"/>
    </w:pPr>
    <w:rPr>
      <w:sz w:val="24"/>
      <w:szCs w:val="24"/>
      <w:lang w:eastAsia="ro-RO"/>
    </w:rPr>
  </w:style>
  <w:style w:type="paragraph" w:styleId="NormalWeb">
    <w:name w:val="Normal (Web)"/>
    <w:basedOn w:val="Normal"/>
    <w:uiPriority w:val="99"/>
    <w:semiHidden/>
    <w:unhideWhenUsed/>
    <w:rsid w:val="00A84A2B"/>
    <w:pPr>
      <w:spacing w:before="100" w:beforeAutospacing="1" w:after="100" w:afterAutospacing="1"/>
    </w:pPr>
    <w:rPr>
      <w:sz w:val="24"/>
      <w:szCs w:val="24"/>
      <w:lang w:eastAsia="ro-RO"/>
    </w:rPr>
  </w:style>
  <w:style w:type="paragraph" w:customStyle="1" w:styleId="title-table">
    <w:name w:val="title-table"/>
    <w:basedOn w:val="Normal"/>
    <w:rsid w:val="00A84A2B"/>
    <w:pPr>
      <w:spacing w:before="100" w:beforeAutospacing="1" w:after="100" w:afterAutospacing="1"/>
    </w:pPr>
    <w:rPr>
      <w:sz w:val="24"/>
      <w:szCs w:val="24"/>
      <w:lang w:eastAsia="ro-RO"/>
    </w:rPr>
  </w:style>
  <w:style w:type="character" w:customStyle="1" w:styleId="boldface">
    <w:name w:val="boldface"/>
    <w:basedOn w:val="Fontdeparagrafimplicit"/>
    <w:rsid w:val="00A84A2B"/>
  </w:style>
  <w:style w:type="character" w:customStyle="1" w:styleId="superscript">
    <w:name w:val="superscript"/>
    <w:basedOn w:val="Fontdeparagrafimplicit"/>
    <w:rsid w:val="00A84A2B"/>
  </w:style>
  <w:style w:type="paragraph" w:customStyle="1" w:styleId="hd-column">
    <w:name w:val="hd-column"/>
    <w:basedOn w:val="Normal"/>
    <w:rsid w:val="00A84A2B"/>
    <w:pPr>
      <w:spacing w:before="100" w:beforeAutospacing="1" w:after="100" w:afterAutospacing="1"/>
    </w:pPr>
    <w:rPr>
      <w:sz w:val="24"/>
      <w:szCs w:val="24"/>
      <w:lang w:eastAsia="ro-RO"/>
    </w:rPr>
  </w:style>
  <w:style w:type="paragraph" w:customStyle="1" w:styleId="tbl-norm">
    <w:name w:val="tbl-norm"/>
    <w:basedOn w:val="Normal"/>
    <w:rsid w:val="00A84A2B"/>
    <w:pPr>
      <w:spacing w:before="100" w:beforeAutospacing="1" w:after="100" w:afterAutospacing="1"/>
    </w:pPr>
    <w:rPr>
      <w:sz w:val="24"/>
      <w:szCs w:val="24"/>
      <w:lang w:eastAsia="ro-RO"/>
    </w:rPr>
  </w:style>
  <w:style w:type="paragraph" w:customStyle="1" w:styleId="inline-element">
    <w:name w:val="inline-element"/>
    <w:basedOn w:val="Normal"/>
    <w:rsid w:val="00A84A2B"/>
    <w:pPr>
      <w:spacing w:before="100" w:beforeAutospacing="1" w:after="100" w:afterAutospacing="1"/>
    </w:pPr>
    <w:rPr>
      <w:sz w:val="24"/>
      <w:szCs w:val="24"/>
      <w:lang w:eastAsia="ro-RO"/>
    </w:rPr>
  </w:style>
  <w:style w:type="paragraph" w:customStyle="1" w:styleId="modref">
    <w:name w:val="modref"/>
    <w:basedOn w:val="Normal"/>
    <w:rsid w:val="00A84A2B"/>
    <w:pPr>
      <w:spacing w:before="100" w:beforeAutospacing="1" w:after="100" w:afterAutospacing="1"/>
    </w:pPr>
    <w:rPr>
      <w:sz w:val="24"/>
      <w:szCs w:val="24"/>
      <w:lang w:eastAsia="ro-RO"/>
    </w:rPr>
  </w:style>
  <w:style w:type="paragraph" w:customStyle="1" w:styleId="title-annex-2">
    <w:name w:val="title-annex-2"/>
    <w:basedOn w:val="Normal"/>
    <w:rsid w:val="00A84A2B"/>
    <w:pPr>
      <w:spacing w:before="100" w:beforeAutospacing="1" w:after="100" w:afterAutospacing="1"/>
    </w:pPr>
    <w:rPr>
      <w:sz w:val="24"/>
      <w:szCs w:val="24"/>
      <w:lang w:eastAsia="ro-RO"/>
    </w:rPr>
  </w:style>
  <w:style w:type="paragraph" w:customStyle="1" w:styleId="title-gr-seq-level-1">
    <w:name w:val="title-gr-seq-level-1"/>
    <w:basedOn w:val="Normal"/>
    <w:rsid w:val="00A84A2B"/>
    <w:pPr>
      <w:spacing w:before="100" w:beforeAutospacing="1" w:after="100" w:afterAutospacing="1"/>
    </w:pPr>
    <w:rPr>
      <w:sz w:val="24"/>
      <w:szCs w:val="24"/>
      <w:lang w:eastAsia="ro-RO"/>
    </w:rPr>
  </w:style>
  <w:style w:type="paragraph" w:customStyle="1" w:styleId="title-gr-seq-level-2">
    <w:name w:val="title-gr-seq-level-2"/>
    <w:basedOn w:val="Normal"/>
    <w:rsid w:val="00A84A2B"/>
    <w:pPr>
      <w:spacing w:before="100" w:beforeAutospacing="1" w:after="100" w:afterAutospacing="1"/>
    </w:pPr>
    <w:rPr>
      <w:sz w:val="24"/>
      <w:szCs w:val="24"/>
      <w:lang w:eastAsia="ro-RO"/>
    </w:rPr>
  </w:style>
  <w:style w:type="paragraph" w:customStyle="1" w:styleId="title-gr-seq-level-3">
    <w:name w:val="title-gr-seq-level-3"/>
    <w:basedOn w:val="Normal"/>
    <w:rsid w:val="00A84A2B"/>
    <w:pPr>
      <w:spacing w:before="100" w:beforeAutospacing="1" w:after="100" w:afterAutospacing="1"/>
    </w:pPr>
    <w:rPr>
      <w:sz w:val="24"/>
      <w:szCs w:val="24"/>
      <w:lang w:eastAsia="ro-RO"/>
    </w:rPr>
  </w:style>
  <w:style w:type="paragraph" w:customStyle="1" w:styleId="List1">
    <w:name w:val="Listă1"/>
    <w:basedOn w:val="Normal"/>
    <w:rsid w:val="00A84A2B"/>
    <w:pPr>
      <w:spacing w:before="100" w:beforeAutospacing="1" w:after="100" w:afterAutospacing="1"/>
    </w:pPr>
    <w:rPr>
      <w:sz w:val="24"/>
      <w:szCs w:val="24"/>
      <w:lang w:eastAsia="ro-RO"/>
    </w:rPr>
  </w:style>
  <w:style w:type="character" w:customStyle="1" w:styleId="AntetCaracter">
    <w:name w:val="Antet Caracter"/>
    <w:basedOn w:val="Fontdeparagrafimplicit"/>
    <w:link w:val="Antet"/>
    <w:uiPriority w:val="99"/>
    <w:rsid w:val="005B679B"/>
    <w:rPr>
      <w:rFonts w:ascii="Times New Roman" w:eastAsia="Times New Roman" w:hAnsi="Times New Roman" w:cs="Times New Roman"/>
      <w:kern w:val="0"/>
      <w:sz w:val="20"/>
      <w:szCs w:val="20"/>
      <w:lang w:val="en-US"/>
      <w14:ligatures w14:val="none"/>
    </w:rPr>
  </w:style>
  <w:style w:type="paragraph" w:styleId="Antet">
    <w:name w:val="header"/>
    <w:basedOn w:val="Normal"/>
    <w:link w:val="AntetCaracter"/>
    <w:uiPriority w:val="99"/>
    <w:unhideWhenUsed/>
    <w:rsid w:val="005B679B"/>
    <w:pPr>
      <w:tabs>
        <w:tab w:val="center" w:pos="4844"/>
        <w:tab w:val="right" w:pos="9689"/>
      </w:tabs>
      <w:spacing w:after="0"/>
      <w:ind w:firstLine="720"/>
      <w:jc w:val="both"/>
    </w:pPr>
    <w:rPr>
      <w:sz w:val="20"/>
      <w:szCs w:val="20"/>
      <w:lang w:val="en-US"/>
    </w:rPr>
  </w:style>
  <w:style w:type="character" w:customStyle="1" w:styleId="SubsolCaracter">
    <w:name w:val="Subsol Caracter"/>
    <w:basedOn w:val="Fontdeparagrafimplicit"/>
    <w:link w:val="Subsol"/>
    <w:uiPriority w:val="99"/>
    <w:rsid w:val="005B679B"/>
    <w:rPr>
      <w:rFonts w:ascii="Times New Roman" w:eastAsia="Times New Roman" w:hAnsi="Times New Roman" w:cs="Times New Roman"/>
      <w:kern w:val="0"/>
      <w:sz w:val="20"/>
      <w:szCs w:val="20"/>
      <w:lang w:val="en-US"/>
      <w14:ligatures w14:val="none"/>
    </w:rPr>
  </w:style>
  <w:style w:type="paragraph" w:styleId="Subsol">
    <w:name w:val="footer"/>
    <w:basedOn w:val="Normal"/>
    <w:link w:val="SubsolCaracter"/>
    <w:uiPriority w:val="99"/>
    <w:unhideWhenUsed/>
    <w:rsid w:val="005B679B"/>
    <w:pPr>
      <w:tabs>
        <w:tab w:val="center" w:pos="4844"/>
        <w:tab w:val="right" w:pos="9689"/>
      </w:tabs>
      <w:spacing w:after="0"/>
      <w:ind w:firstLine="720"/>
      <w:jc w:val="both"/>
    </w:pPr>
    <w:rPr>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67719">
      <w:bodyDiv w:val="1"/>
      <w:marLeft w:val="0"/>
      <w:marRight w:val="0"/>
      <w:marTop w:val="0"/>
      <w:marBottom w:val="0"/>
      <w:divBdr>
        <w:top w:val="none" w:sz="0" w:space="0" w:color="auto"/>
        <w:left w:val="none" w:sz="0" w:space="0" w:color="auto"/>
        <w:bottom w:val="none" w:sz="0" w:space="0" w:color="auto"/>
        <w:right w:val="none" w:sz="0" w:space="0" w:color="auto"/>
      </w:divBdr>
      <w:divsChild>
        <w:div w:id="666859065">
          <w:marLeft w:val="0"/>
          <w:marRight w:val="0"/>
          <w:marTop w:val="0"/>
          <w:marBottom w:val="0"/>
          <w:divBdr>
            <w:top w:val="none" w:sz="0" w:space="0" w:color="auto"/>
            <w:left w:val="none" w:sz="0" w:space="0" w:color="auto"/>
            <w:bottom w:val="none" w:sz="0" w:space="0" w:color="auto"/>
            <w:right w:val="none" w:sz="0" w:space="0" w:color="auto"/>
          </w:divBdr>
          <w:divsChild>
            <w:div w:id="2124960841">
              <w:marLeft w:val="0"/>
              <w:marRight w:val="0"/>
              <w:marTop w:val="0"/>
              <w:marBottom w:val="0"/>
              <w:divBdr>
                <w:top w:val="none" w:sz="0" w:space="0" w:color="auto"/>
                <w:left w:val="none" w:sz="0" w:space="0" w:color="auto"/>
                <w:bottom w:val="none" w:sz="0" w:space="0" w:color="auto"/>
                <w:right w:val="none" w:sz="0" w:space="0" w:color="auto"/>
              </w:divBdr>
            </w:div>
          </w:divsChild>
        </w:div>
        <w:div w:id="1833989428">
          <w:marLeft w:val="0"/>
          <w:marRight w:val="0"/>
          <w:marTop w:val="0"/>
          <w:marBottom w:val="0"/>
          <w:divBdr>
            <w:top w:val="none" w:sz="0" w:space="0" w:color="auto"/>
            <w:left w:val="none" w:sz="0" w:space="0" w:color="auto"/>
            <w:bottom w:val="none" w:sz="0" w:space="0" w:color="auto"/>
            <w:right w:val="none" w:sz="0" w:space="0" w:color="auto"/>
          </w:divBdr>
          <w:divsChild>
            <w:div w:id="49592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25651">
      <w:bodyDiv w:val="1"/>
      <w:marLeft w:val="0"/>
      <w:marRight w:val="0"/>
      <w:marTop w:val="0"/>
      <w:marBottom w:val="0"/>
      <w:divBdr>
        <w:top w:val="none" w:sz="0" w:space="0" w:color="auto"/>
        <w:left w:val="none" w:sz="0" w:space="0" w:color="auto"/>
        <w:bottom w:val="none" w:sz="0" w:space="0" w:color="auto"/>
        <w:right w:val="none" w:sz="0" w:space="0" w:color="auto"/>
      </w:divBdr>
    </w:div>
    <w:div w:id="212809955">
      <w:bodyDiv w:val="1"/>
      <w:marLeft w:val="0"/>
      <w:marRight w:val="0"/>
      <w:marTop w:val="0"/>
      <w:marBottom w:val="0"/>
      <w:divBdr>
        <w:top w:val="none" w:sz="0" w:space="0" w:color="auto"/>
        <w:left w:val="none" w:sz="0" w:space="0" w:color="auto"/>
        <w:bottom w:val="none" w:sz="0" w:space="0" w:color="auto"/>
        <w:right w:val="none" w:sz="0" w:space="0" w:color="auto"/>
      </w:divBdr>
      <w:divsChild>
        <w:div w:id="167409578">
          <w:marLeft w:val="0"/>
          <w:marRight w:val="0"/>
          <w:marTop w:val="0"/>
          <w:marBottom w:val="0"/>
          <w:divBdr>
            <w:top w:val="none" w:sz="0" w:space="0" w:color="auto"/>
            <w:left w:val="none" w:sz="0" w:space="0" w:color="auto"/>
            <w:bottom w:val="none" w:sz="0" w:space="0" w:color="auto"/>
            <w:right w:val="none" w:sz="0" w:space="0" w:color="auto"/>
          </w:divBdr>
        </w:div>
        <w:div w:id="1786459209">
          <w:marLeft w:val="0"/>
          <w:marRight w:val="0"/>
          <w:marTop w:val="0"/>
          <w:marBottom w:val="0"/>
          <w:divBdr>
            <w:top w:val="none" w:sz="0" w:space="0" w:color="auto"/>
            <w:left w:val="none" w:sz="0" w:space="0" w:color="auto"/>
            <w:bottom w:val="none" w:sz="0" w:space="0" w:color="auto"/>
            <w:right w:val="none" w:sz="0" w:space="0" w:color="auto"/>
          </w:divBdr>
        </w:div>
      </w:divsChild>
    </w:div>
    <w:div w:id="328678921">
      <w:bodyDiv w:val="1"/>
      <w:marLeft w:val="0"/>
      <w:marRight w:val="0"/>
      <w:marTop w:val="0"/>
      <w:marBottom w:val="0"/>
      <w:divBdr>
        <w:top w:val="none" w:sz="0" w:space="0" w:color="auto"/>
        <w:left w:val="none" w:sz="0" w:space="0" w:color="auto"/>
        <w:bottom w:val="none" w:sz="0" w:space="0" w:color="auto"/>
        <w:right w:val="none" w:sz="0" w:space="0" w:color="auto"/>
      </w:divBdr>
      <w:divsChild>
        <w:div w:id="1719744932">
          <w:marLeft w:val="480"/>
          <w:marRight w:val="0"/>
          <w:marTop w:val="0"/>
          <w:marBottom w:val="0"/>
          <w:divBdr>
            <w:top w:val="none" w:sz="0" w:space="0" w:color="auto"/>
            <w:left w:val="none" w:sz="0" w:space="0" w:color="auto"/>
            <w:bottom w:val="none" w:sz="0" w:space="0" w:color="auto"/>
            <w:right w:val="none" w:sz="0" w:space="0" w:color="auto"/>
          </w:divBdr>
        </w:div>
        <w:div w:id="1697659360">
          <w:marLeft w:val="480"/>
          <w:marRight w:val="0"/>
          <w:marTop w:val="0"/>
          <w:marBottom w:val="0"/>
          <w:divBdr>
            <w:top w:val="none" w:sz="0" w:space="0" w:color="auto"/>
            <w:left w:val="none" w:sz="0" w:space="0" w:color="auto"/>
            <w:bottom w:val="none" w:sz="0" w:space="0" w:color="auto"/>
            <w:right w:val="none" w:sz="0" w:space="0" w:color="auto"/>
          </w:divBdr>
        </w:div>
        <w:div w:id="1859000846">
          <w:marLeft w:val="480"/>
          <w:marRight w:val="0"/>
          <w:marTop w:val="0"/>
          <w:marBottom w:val="0"/>
          <w:divBdr>
            <w:top w:val="none" w:sz="0" w:space="0" w:color="auto"/>
            <w:left w:val="none" w:sz="0" w:space="0" w:color="auto"/>
            <w:bottom w:val="none" w:sz="0" w:space="0" w:color="auto"/>
            <w:right w:val="none" w:sz="0" w:space="0" w:color="auto"/>
          </w:divBdr>
        </w:div>
        <w:div w:id="676343628">
          <w:marLeft w:val="480"/>
          <w:marRight w:val="0"/>
          <w:marTop w:val="0"/>
          <w:marBottom w:val="0"/>
          <w:divBdr>
            <w:top w:val="none" w:sz="0" w:space="0" w:color="auto"/>
            <w:left w:val="none" w:sz="0" w:space="0" w:color="auto"/>
            <w:bottom w:val="none" w:sz="0" w:space="0" w:color="auto"/>
            <w:right w:val="none" w:sz="0" w:space="0" w:color="auto"/>
          </w:divBdr>
        </w:div>
      </w:divsChild>
    </w:div>
    <w:div w:id="456067367">
      <w:bodyDiv w:val="1"/>
      <w:marLeft w:val="0"/>
      <w:marRight w:val="0"/>
      <w:marTop w:val="0"/>
      <w:marBottom w:val="0"/>
      <w:divBdr>
        <w:top w:val="none" w:sz="0" w:space="0" w:color="auto"/>
        <w:left w:val="none" w:sz="0" w:space="0" w:color="auto"/>
        <w:bottom w:val="none" w:sz="0" w:space="0" w:color="auto"/>
        <w:right w:val="none" w:sz="0" w:space="0" w:color="auto"/>
      </w:divBdr>
      <w:divsChild>
        <w:div w:id="546381006">
          <w:marLeft w:val="0"/>
          <w:marRight w:val="0"/>
          <w:marTop w:val="0"/>
          <w:marBottom w:val="0"/>
          <w:divBdr>
            <w:top w:val="none" w:sz="0" w:space="0" w:color="auto"/>
            <w:left w:val="none" w:sz="0" w:space="0" w:color="auto"/>
            <w:bottom w:val="none" w:sz="0" w:space="0" w:color="auto"/>
            <w:right w:val="none" w:sz="0" w:space="0" w:color="auto"/>
          </w:divBdr>
        </w:div>
      </w:divsChild>
    </w:div>
    <w:div w:id="469515521">
      <w:bodyDiv w:val="1"/>
      <w:marLeft w:val="0"/>
      <w:marRight w:val="0"/>
      <w:marTop w:val="0"/>
      <w:marBottom w:val="0"/>
      <w:divBdr>
        <w:top w:val="none" w:sz="0" w:space="0" w:color="auto"/>
        <w:left w:val="none" w:sz="0" w:space="0" w:color="auto"/>
        <w:bottom w:val="none" w:sz="0" w:space="0" w:color="auto"/>
        <w:right w:val="none" w:sz="0" w:space="0" w:color="auto"/>
      </w:divBdr>
      <w:divsChild>
        <w:div w:id="883129837">
          <w:marLeft w:val="0"/>
          <w:marRight w:val="0"/>
          <w:marTop w:val="0"/>
          <w:marBottom w:val="0"/>
          <w:divBdr>
            <w:top w:val="none" w:sz="0" w:space="0" w:color="auto"/>
            <w:left w:val="none" w:sz="0" w:space="0" w:color="auto"/>
            <w:bottom w:val="none" w:sz="0" w:space="0" w:color="auto"/>
            <w:right w:val="none" w:sz="0" w:space="0" w:color="auto"/>
          </w:divBdr>
        </w:div>
      </w:divsChild>
    </w:div>
    <w:div w:id="950934670">
      <w:bodyDiv w:val="1"/>
      <w:marLeft w:val="0"/>
      <w:marRight w:val="0"/>
      <w:marTop w:val="0"/>
      <w:marBottom w:val="0"/>
      <w:divBdr>
        <w:top w:val="none" w:sz="0" w:space="0" w:color="auto"/>
        <w:left w:val="none" w:sz="0" w:space="0" w:color="auto"/>
        <w:bottom w:val="none" w:sz="0" w:space="0" w:color="auto"/>
        <w:right w:val="none" w:sz="0" w:space="0" w:color="auto"/>
      </w:divBdr>
      <w:divsChild>
        <w:div w:id="717389607">
          <w:marLeft w:val="0"/>
          <w:marRight w:val="0"/>
          <w:marTop w:val="0"/>
          <w:marBottom w:val="0"/>
          <w:divBdr>
            <w:top w:val="none" w:sz="0" w:space="0" w:color="auto"/>
            <w:left w:val="none" w:sz="0" w:space="0" w:color="auto"/>
            <w:bottom w:val="none" w:sz="0" w:space="0" w:color="auto"/>
            <w:right w:val="none" w:sz="0" w:space="0" w:color="auto"/>
          </w:divBdr>
          <w:divsChild>
            <w:div w:id="175519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899732">
      <w:bodyDiv w:val="1"/>
      <w:marLeft w:val="0"/>
      <w:marRight w:val="0"/>
      <w:marTop w:val="0"/>
      <w:marBottom w:val="0"/>
      <w:divBdr>
        <w:top w:val="none" w:sz="0" w:space="0" w:color="auto"/>
        <w:left w:val="none" w:sz="0" w:space="0" w:color="auto"/>
        <w:bottom w:val="none" w:sz="0" w:space="0" w:color="auto"/>
        <w:right w:val="none" w:sz="0" w:space="0" w:color="auto"/>
      </w:divBdr>
    </w:div>
    <w:div w:id="1234777867">
      <w:bodyDiv w:val="1"/>
      <w:marLeft w:val="0"/>
      <w:marRight w:val="0"/>
      <w:marTop w:val="0"/>
      <w:marBottom w:val="0"/>
      <w:divBdr>
        <w:top w:val="none" w:sz="0" w:space="0" w:color="auto"/>
        <w:left w:val="none" w:sz="0" w:space="0" w:color="auto"/>
        <w:bottom w:val="none" w:sz="0" w:space="0" w:color="auto"/>
        <w:right w:val="none" w:sz="0" w:space="0" w:color="auto"/>
      </w:divBdr>
      <w:divsChild>
        <w:div w:id="1596203942">
          <w:marLeft w:val="0"/>
          <w:marRight w:val="0"/>
          <w:marTop w:val="0"/>
          <w:marBottom w:val="0"/>
          <w:divBdr>
            <w:top w:val="none" w:sz="0" w:space="0" w:color="auto"/>
            <w:left w:val="none" w:sz="0" w:space="0" w:color="auto"/>
            <w:bottom w:val="none" w:sz="0" w:space="0" w:color="auto"/>
            <w:right w:val="none" w:sz="0" w:space="0" w:color="auto"/>
          </w:divBdr>
        </w:div>
        <w:div w:id="840042859">
          <w:marLeft w:val="0"/>
          <w:marRight w:val="0"/>
          <w:marTop w:val="0"/>
          <w:marBottom w:val="0"/>
          <w:divBdr>
            <w:top w:val="none" w:sz="0" w:space="0" w:color="auto"/>
            <w:left w:val="none" w:sz="0" w:space="0" w:color="auto"/>
            <w:bottom w:val="none" w:sz="0" w:space="0" w:color="auto"/>
            <w:right w:val="none" w:sz="0" w:space="0" w:color="auto"/>
          </w:divBdr>
        </w:div>
      </w:divsChild>
    </w:div>
    <w:div w:id="1298412224">
      <w:bodyDiv w:val="1"/>
      <w:marLeft w:val="0"/>
      <w:marRight w:val="0"/>
      <w:marTop w:val="0"/>
      <w:marBottom w:val="0"/>
      <w:divBdr>
        <w:top w:val="none" w:sz="0" w:space="0" w:color="auto"/>
        <w:left w:val="none" w:sz="0" w:space="0" w:color="auto"/>
        <w:bottom w:val="none" w:sz="0" w:space="0" w:color="auto"/>
        <w:right w:val="none" w:sz="0" w:space="0" w:color="auto"/>
      </w:divBdr>
    </w:div>
    <w:div w:id="1699160512">
      <w:bodyDiv w:val="1"/>
      <w:marLeft w:val="0"/>
      <w:marRight w:val="0"/>
      <w:marTop w:val="0"/>
      <w:marBottom w:val="0"/>
      <w:divBdr>
        <w:top w:val="none" w:sz="0" w:space="0" w:color="auto"/>
        <w:left w:val="none" w:sz="0" w:space="0" w:color="auto"/>
        <w:bottom w:val="none" w:sz="0" w:space="0" w:color="auto"/>
        <w:right w:val="none" w:sz="0" w:space="0" w:color="auto"/>
      </w:divBdr>
      <w:divsChild>
        <w:div w:id="1138033493">
          <w:marLeft w:val="720"/>
          <w:marRight w:val="0"/>
          <w:marTop w:val="0"/>
          <w:marBottom w:val="0"/>
          <w:divBdr>
            <w:top w:val="none" w:sz="0" w:space="0" w:color="auto"/>
            <w:left w:val="none" w:sz="0" w:space="0" w:color="auto"/>
            <w:bottom w:val="none" w:sz="0" w:space="0" w:color="auto"/>
            <w:right w:val="none" w:sz="0" w:space="0" w:color="auto"/>
          </w:divBdr>
        </w:div>
        <w:div w:id="1450275718">
          <w:marLeft w:val="720"/>
          <w:marRight w:val="0"/>
          <w:marTop w:val="0"/>
          <w:marBottom w:val="0"/>
          <w:divBdr>
            <w:top w:val="none" w:sz="0" w:space="0" w:color="auto"/>
            <w:left w:val="none" w:sz="0" w:space="0" w:color="auto"/>
            <w:bottom w:val="none" w:sz="0" w:space="0" w:color="auto"/>
            <w:right w:val="none" w:sz="0" w:space="0" w:color="auto"/>
          </w:divBdr>
        </w:div>
        <w:div w:id="943532948">
          <w:marLeft w:val="0"/>
          <w:marRight w:val="0"/>
          <w:marTop w:val="0"/>
          <w:marBottom w:val="0"/>
          <w:divBdr>
            <w:top w:val="none" w:sz="0" w:space="0" w:color="auto"/>
            <w:left w:val="none" w:sz="0" w:space="0" w:color="auto"/>
            <w:bottom w:val="none" w:sz="0" w:space="0" w:color="auto"/>
            <w:right w:val="none" w:sz="0" w:space="0" w:color="auto"/>
          </w:divBdr>
          <w:divsChild>
            <w:div w:id="36857670">
              <w:marLeft w:val="0"/>
              <w:marRight w:val="0"/>
              <w:marTop w:val="120"/>
              <w:marBottom w:val="0"/>
              <w:divBdr>
                <w:top w:val="none" w:sz="0" w:space="0" w:color="auto"/>
                <w:left w:val="none" w:sz="0" w:space="0" w:color="auto"/>
                <w:bottom w:val="none" w:sz="0" w:space="0" w:color="auto"/>
                <w:right w:val="none" w:sz="0" w:space="0" w:color="auto"/>
              </w:divBdr>
            </w:div>
            <w:div w:id="485975756">
              <w:marLeft w:val="0"/>
              <w:marRight w:val="0"/>
              <w:marTop w:val="0"/>
              <w:marBottom w:val="0"/>
              <w:divBdr>
                <w:top w:val="none" w:sz="0" w:space="0" w:color="auto"/>
                <w:left w:val="none" w:sz="0" w:space="0" w:color="auto"/>
                <w:bottom w:val="none" w:sz="0" w:space="0" w:color="auto"/>
                <w:right w:val="none" w:sz="0" w:space="0" w:color="auto"/>
              </w:divBdr>
            </w:div>
          </w:divsChild>
        </w:div>
        <w:div w:id="940377630">
          <w:marLeft w:val="0"/>
          <w:marRight w:val="0"/>
          <w:marTop w:val="0"/>
          <w:marBottom w:val="0"/>
          <w:divBdr>
            <w:top w:val="none" w:sz="0" w:space="0" w:color="auto"/>
            <w:left w:val="none" w:sz="0" w:space="0" w:color="auto"/>
            <w:bottom w:val="none" w:sz="0" w:space="0" w:color="auto"/>
            <w:right w:val="none" w:sz="0" w:space="0" w:color="auto"/>
          </w:divBdr>
          <w:divsChild>
            <w:div w:id="1414164607">
              <w:marLeft w:val="0"/>
              <w:marRight w:val="0"/>
              <w:marTop w:val="120"/>
              <w:marBottom w:val="0"/>
              <w:divBdr>
                <w:top w:val="none" w:sz="0" w:space="0" w:color="auto"/>
                <w:left w:val="none" w:sz="0" w:space="0" w:color="auto"/>
                <w:bottom w:val="none" w:sz="0" w:space="0" w:color="auto"/>
                <w:right w:val="none" w:sz="0" w:space="0" w:color="auto"/>
              </w:divBdr>
            </w:div>
            <w:div w:id="186451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74992">
      <w:bodyDiv w:val="1"/>
      <w:marLeft w:val="0"/>
      <w:marRight w:val="0"/>
      <w:marTop w:val="0"/>
      <w:marBottom w:val="0"/>
      <w:divBdr>
        <w:top w:val="none" w:sz="0" w:space="0" w:color="auto"/>
        <w:left w:val="none" w:sz="0" w:space="0" w:color="auto"/>
        <w:bottom w:val="none" w:sz="0" w:space="0" w:color="auto"/>
        <w:right w:val="none" w:sz="0" w:space="0" w:color="auto"/>
      </w:divBdr>
      <w:divsChild>
        <w:div w:id="1514682629">
          <w:marLeft w:val="0"/>
          <w:marRight w:val="0"/>
          <w:marTop w:val="0"/>
          <w:marBottom w:val="0"/>
          <w:divBdr>
            <w:top w:val="none" w:sz="0" w:space="0" w:color="auto"/>
            <w:left w:val="none" w:sz="0" w:space="0" w:color="auto"/>
            <w:bottom w:val="none" w:sz="0" w:space="0" w:color="auto"/>
            <w:right w:val="none" w:sz="0" w:space="0" w:color="auto"/>
          </w:divBdr>
          <w:divsChild>
            <w:div w:id="2139446728">
              <w:marLeft w:val="0"/>
              <w:marRight w:val="0"/>
              <w:marTop w:val="0"/>
              <w:marBottom w:val="0"/>
              <w:divBdr>
                <w:top w:val="none" w:sz="0" w:space="0" w:color="auto"/>
                <w:left w:val="none" w:sz="0" w:space="0" w:color="auto"/>
                <w:bottom w:val="none" w:sz="0" w:space="0" w:color="auto"/>
                <w:right w:val="none" w:sz="0" w:space="0" w:color="auto"/>
              </w:divBdr>
              <w:divsChild>
                <w:div w:id="1403060621">
                  <w:marLeft w:val="0"/>
                  <w:marRight w:val="0"/>
                  <w:marTop w:val="0"/>
                  <w:marBottom w:val="0"/>
                  <w:divBdr>
                    <w:top w:val="none" w:sz="0" w:space="0" w:color="auto"/>
                    <w:left w:val="none" w:sz="0" w:space="0" w:color="auto"/>
                    <w:bottom w:val="none" w:sz="0" w:space="0" w:color="auto"/>
                    <w:right w:val="none" w:sz="0" w:space="0" w:color="auto"/>
                  </w:divBdr>
                  <w:divsChild>
                    <w:div w:id="645088510">
                      <w:marLeft w:val="0"/>
                      <w:marRight w:val="0"/>
                      <w:marTop w:val="120"/>
                      <w:marBottom w:val="0"/>
                      <w:divBdr>
                        <w:top w:val="none" w:sz="0" w:space="0" w:color="auto"/>
                        <w:left w:val="none" w:sz="0" w:space="0" w:color="auto"/>
                        <w:bottom w:val="none" w:sz="0" w:space="0" w:color="auto"/>
                        <w:right w:val="none" w:sz="0" w:space="0" w:color="auto"/>
                      </w:divBdr>
                    </w:div>
                    <w:div w:id="1829318621">
                      <w:marLeft w:val="0"/>
                      <w:marRight w:val="0"/>
                      <w:marTop w:val="0"/>
                      <w:marBottom w:val="0"/>
                      <w:divBdr>
                        <w:top w:val="none" w:sz="0" w:space="0" w:color="auto"/>
                        <w:left w:val="none" w:sz="0" w:space="0" w:color="auto"/>
                        <w:bottom w:val="none" w:sz="0" w:space="0" w:color="auto"/>
                        <w:right w:val="none" w:sz="0" w:space="0" w:color="auto"/>
                      </w:divBdr>
                    </w:div>
                  </w:divsChild>
                </w:div>
                <w:div w:id="274868770">
                  <w:marLeft w:val="0"/>
                  <w:marRight w:val="0"/>
                  <w:marTop w:val="0"/>
                  <w:marBottom w:val="0"/>
                  <w:divBdr>
                    <w:top w:val="none" w:sz="0" w:space="0" w:color="auto"/>
                    <w:left w:val="none" w:sz="0" w:space="0" w:color="auto"/>
                    <w:bottom w:val="none" w:sz="0" w:space="0" w:color="auto"/>
                    <w:right w:val="none" w:sz="0" w:space="0" w:color="auto"/>
                  </w:divBdr>
                  <w:divsChild>
                    <w:div w:id="285240281">
                      <w:marLeft w:val="0"/>
                      <w:marRight w:val="0"/>
                      <w:marTop w:val="120"/>
                      <w:marBottom w:val="0"/>
                      <w:divBdr>
                        <w:top w:val="none" w:sz="0" w:space="0" w:color="auto"/>
                        <w:left w:val="none" w:sz="0" w:space="0" w:color="auto"/>
                        <w:bottom w:val="none" w:sz="0" w:space="0" w:color="auto"/>
                        <w:right w:val="none" w:sz="0" w:space="0" w:color="auto"/>
                      </w:divBdr>
                    </w:div>
                    <w:div w:id="24538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830349">
          <w:marLeft w:val="0"/>
          <w:marRight w:val="0"/>
          <w:marTop w:val="0"/>
          <w:marBottom w:val="0"/>
          <w:divBdr>
            <w:top w:val="none" w:sz="0" w:space="0" w:color="auto"/>
            <w:left w:val="none" w:sz="0" w:space="0" w:color="auto"/>
            <w:bottom w:val="none" w:sz="0" w:space="0" w:color="auto"/>
            <w:right w:val="none" w:sz="0" w:space="0" w:color="auto"/>
          </w:divBdr>
          <w:divsChild>
            <w:div w:id="722675724">
              <w:marLeft w:val="0"/>
              <w:marRight w:val="0"/>
              <w:marTop w:val="0"/>
              <w:marBottom w:val="0"/>
              <w:divBdr>
                <w:top w:val="none" w:sz="0" w:space="0" w:color="auto"/>
                <w:left w:val="none" w:sz="0" w:space="0" w:color="auto"/>
                <w:bottom w:val="none" w:sz="0" w:space="0" w:color="auto"/>
                <w:right w:val="none" w:sz="0" w:space="0" w:color="auto"/>
              </w:divBdr>
              <w:divsChild>
                <w:div w:id="1495143648">
                  <w:marLeft w:val="0"/>
                  <w:marRight w:val="0"/>
                  <w:marTop w:val="0"/>
                  <w:marBottom w:val="0"/>
                  <w:divBdr>
                    <w:top w:val="none" w:sz="0" w:space="0" w:color="auto"/>
                    <w:left w:val="none" w:sz="0" w:space="0" w:color="auto"/>
                    <w:bottom w:val="none" w:sz="0" w:space="0" w:color="auto"/>
                    <w:right w:val="none" w:sz="0" w:space="0" w:color="auto"/>
                  </w:divBdr>
                  <w:divsChild>
                    <w:div w:id="545916623">
                      <w:marLeft w:val="0"/>
                      <w:marRight w:val="0"/>
                      <w:marTop w:val="120"/>
                      <w:marBottom w:val="0"/>
                      <w:divBdr>
                        <w:top w:val="none" w:sz="0" w:space="0" w:color="auto"/>
                        <w:left w:val="none" w:sz="0" w:space="0" w:color="auto"/>
                        <w:bottom w:val="none" w:sz="0" w:space="0" w:color="auto"/>
                        <w:right w:val="none" w:sz="0" w:space="0" w:color="auto"/>
                      </w:divBdr>
                    </w:div>
                    <w:div w:id="1301157858">
                      <w:marLeft w:val="0"/>
                      <w:marRight w:val="0"/>
                      <w:marTop w:val="0"/>
                      <w:marBottom w:val="0"/>
                      <w:divBdr>
                        <w:top w:val="none" w:sz="0" w:space="0" w:color="auto"/>
                        <w:left w:val="none" w:sz="0" w:space="0" w:color="auto"/>
                        <w:bottom w:val="none" w:sz="0" w:space="0" w:color="auto"/>
                        <w:right w:val="none" w:sz="0" w:space="0" w:color="auto"/>
                      </w:divBdr>
                    </w:div>
                  </w:divsChild>
                </w:div>
                <w:div w:id="688914653">
                  <w:marLeft w:val="0"/>
                  <w:marRight w:val="0"/>
                  <w:marTop w:val="0"/>
                  <w:marBottom w:val="0"/>
                  <w:divBdr>
                    <w:top w:val="none" w:sz="0" w:space="0" w:color="auto"/>
                    <w:left w:val="none" w:sz="0" w:space="0" w:color="auto"/>
                    <w:bottom w:val="none" w:sz="0" w:space="0" w:color="auto"/>
                    <w:right w:val="none" w:sz="0" w:space="0" w:color="auto"/>
                  </w:divBdr>
                  <w:divsChild>
                    <w:div w:id="1832406981">
                      <w:marLeft w:val="0"/>
                      <w:marRight w:val="0"/>
                      <w:marTop w:val="120"/>
                      <w:marBottom w:val="0"/>
                      <w:divBdr>
                        <w:top w:val="none" w:sz="0" w:space="0" w:color="auto"/>
                        <w:left w:val="none" w:sz="0" w:space="0" w:color="auto"/>
                        <w:bottom w:val="none" w:sz="0" w:space="0" w:color="auto"/>
                        <w:right w:val="none" w:sz="0" w:space="0" w:color="auto"/>
                      </w:divBdr>
                    </w:div>
                    <w:div w:id="118640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500185">
      <w:bodyDiv w:val="1"/>
      <w:marLeft w:val="0"/>
      <w:marRight w:val="0"/>
      <w:marTop w:val="0"/>
      <w:marBottom w:val="0"/>
      <w:divBdr>
        <w:top w:val="none" w:sz="0" w:space="0" w:color="auto"/>
        <w:left w:val="none" w:sz="0" w:space="0" w:color="auto"/>
        <w:bottom w:val="none" w:sz="0" w:space="0" w:color="auto"/>
        <w:right w:val="none" w:sz="0" w:space="0" w:color="auto"/>
      </w:divBdr>
    </w:div>
    <w:div w:id="1873692499">
      <w:bodyDiv w:val="1"/>
      <w:marLeft w:val="0"/>
      <w:marRight w:val="0"/>
      <w:marTop w:val="0"/>
      <w:marBottom w:val="0"/>
      <w:divBdr>
        <w:top w:val="none" w:sz="0" w:space="0" w:color="auto"/>
        <w:left w:val="none" w:sz="0" w:space="0" w:color="auto"/>
        <w:bottom w:val="none" w:sz="0" w:space="0" w:color="auto"/>
        <w:right w:val="none" w:sz="0" w:space="0" w:color="auto"/>
      </w:divBdr>
    </w:div>
    <w:div w:id="2020572027">
      <w:bodyDiv w:val="1"/>
      <w:marLeft w:val="0"/>
      <w:marRight w:val="0"/>
      <w:marTop w:val="0"/>
      <w:marBottom w:val="0"/>
      <w:divBdr>
        <w:top w:val="none" w:sz="0" w:space="0" w:color="auto"/>
        <w:left w:val="none" w:sz="0" w:space="0" w:color="auto"/>
        <w:bottom w:val="none" w:sz="0" w:space="0" w:color="auto"/>
        <w:right w:val="none" w:sz="0" w:space="0" w:color="auto"/>
      </w:divBdr>
      <w:divsChild>
        <w:div w:id="2022924714">
          <w:marLeft w:val="480"/>
          <w:marRight w:val="0"/>
          <w:marTop w:val="0"/>
          <w:marBottom w:val="0"/>
          <w:divBdr>
            <w:top w:val="none" w:sz="0" w:space="0" w:color="auto"/>
            <w:left w:val="none" w:sz="0" w:space="0" w:color="auto"/>
            <w:bottom w:val="none" w:sz="0" w:space="0" w:color="auto"/>
            <w:right w:val="none" w:sz="0" w:space="0" w:color="auto"/>
          </w:divBdr>
        </w:div>
        <w:div w:id="1556966826">
          <w:marLeft w:val="480"/>
          <w:marRight w:val="0"/>
          <w:marTop w:val="0"/>
          <w:marBottom w:val="0"/>
          <w:divBdr>
            <w:top w:val="none" w:sz="0" w:space="0" w:color="auto"/>
            <w:left w:val="none" w:sz="0" w:space="0" w:color="auto"/>
            <w:bottom w:val="none" w:sz="0" w:space="0" w:color="auto"/>
            <w:right w:val="none" w:sz="0" w:space="0" w:color="auto"/>
          </w:divBdr>
        </w:div>
        <w:div w:id="823936427">
          <w:marLeft w:val="480"/>
          <w:marRight w:val="0"/>
          <w:marTop w:val="0"/>
          <w:marBottom w:val="0"/>
          <w:divBdr>
            <w:top w:val="none" w:sz="0" w:space="0" w:color="auto"/>
            <w:left w:val="none" w:sz="0" w:space="0" w:color="auto"/>
            <w:bottom w:val="none" w:sz="0" w:space="0" w:color="auto"/>
            <w:right w:val="none" w:sz="0" w:space="0" w:color="auto"/>
          </w:divBdr>
        </w:div>
        <w:div w:id="972444886">
          <w:marLeft w:val="0"/>
          <w:marRight w:val="0"/>
          <w:marTop w:val="0"/>
          <w:marBottom w:val="0"/>
          <w:divBdr>
            <w:top w:val="none" w:sz="0" w:space="0" w:color="auto"/>
            <w:left w:val="none" w:sz="0" w:space="0" w:color="auto"/>
            <w:bottom w:val="none" w:sz="0" w:space="0" w:color="auto"/>
            <w:right w:val="none" w:sz="0" w:space="0" w:color="auto"/>
          </w:divBdr>
          <w:divsChild>
            <w:div w:id="1562669705">
              <w:marLeft w:val="0"/>
              <w:marRight w:val="0"/>
              <w:marTop w:val="120"/>
              <w:marBottom w:val="0"/>
              <w:divBdr>
                <w:top w:val="none" w:sz="0" w:space="0" w:color="auto"/>
                <w:left w:val="none" w:sz="0" w:space="0" w:color="auto"/>
                <w:bottom w:val="none" w:sz="0" w:space="0" w:color="auto"/>
                <w:right w:val="none" w:sz="0" w:space="0" w:color="auto"/>
              </w:divBdr>
            </w:div>
            <w:div w:id="473301003">
              <w:marLeft w:val="0"/>
              <w:marRight w:val="0"/>
              <w:marTop w:val="0"/>
              <w:marBottom w:val="0"/>
              <w:divBdr>
                <w:top w:val="none" w:sz="0" w:space="0" w:color="auto"/>
                <w:left w:val="none" w:sz="0" w:space="0" w:color="auto"/>
                <w:bottom w:val="none" w:sz="0" w:space="0" w:color="auto"/>
                <w:right w:val="none" w:sz="0" w:space="0" w:color="auto"/>
              </w:divBdr>
            </w:div>
          </w:divsChild>
        </w:div>
        <w:div w:id="1418868218">
          <w:marLeft w:val="0"/>
          <w:marRight w:val="0"/>
          <w:marTop w:val="0"/>
          <w:marBottom w:val="0"/>
          <w:divBdr>
            <w:top w:val="none" w:sz="0" w:space="0" w:color="auto"/>
            <w:left w:val="none" w:sz="0" w:space="0" w:color="auto"/>
            <w:bottom w:val="none" w:sz="0" w:space="0" w:color="auto"/>
            <w:right w:val="none" w:sz="0" w:space="0" w:color="auto"/>
          </w:divBdr>
          <w:divsChild>
            <w:div w:id="1088842857">
              <w:marLeft w:val="0"/>
              <w:marRight w:val="0"/>
              <w:marTop w:val="120"/>
              <w:marBottom w:val="0"/>
              <w:divBdr>
                <w:top w:val="none" w:sz="0" w:space="0" w:color="auto"/>
                <w:left w:val="none" w:sz="0" w:space="0" w:color="auto"/>
                <w:bottom w:val="none" w:sz="0" w:space="0" w:color="auto"/>
                <w:right w:val="none" w:sz="0" w:space="0" w:color="auto"/>
              </w:divBdr>
            </w:div>
            <w:div w:id="835655150">
              <w:marLeft w:val="0"/>
              <w:marRight w:val="0"/>
              <w:marTop w:val="0"/>
              <w:marBottom w:val="0"/>
              <w:divBdr>
                <w:top w:val="none" w:sz="0" w:space="0" w:color="auto"/>
                <w:left w:val="none" w:sz="0" w:space="0" w:color="auto"/>
                <w:bottom w:val="none" w:sz="0" w:space="0" w:color="auto"/>
                <w:right w:val="none" w:sz="0" w:space="0" w:color="auto"/>
              </w:divBdr>
            </w:div>
          </w:divsChild>
        </w:div>
        <w:div w:id="1683317552">
          <w:marLeft w:val="0"/>
          <w:marRight w:val="0"/>
          <w:marTop w:val="0"/>
          <w:marBottom w:val="0"/>
          <w:divBdr>
            <w:top w:val="none" w:sz="0" w:space="0" w:color="auto"/>
            <w:left w:val="none" w:sz="0" w:space="0" w:color="auto"/>
            <w:bottom w:val="none" w:sz="0" w:space="0" w:color="auto"/>
            <w:right w:val="none" w:sz="0" w:space="0" w:color="auto"/>
          </w:divBdr>
          <w:divsChild>
            <w:div w:id="1268003189">
              <w:marLeft w:val="0"/>
              <w:marRight w:val="0"/>
              <w:marTop w:val="120"/>
              <w:marBottom w:val="0"/>
              <w:divBdr>
                <w:top w:val="none" w:sz="0" w:space="0" w:color="auto"/>
                <w:left w:val="none" w:sz="0" w:space="0" w:color="auto"/>
                <w:bottom w:val="none" w:sz="0" w:space="0" w:color="auto"/>
                <w:right w:val="none" w:sz="0" w:space="0" w:color="auto"/>
              </w:divBdr>
            </w:div>
            <w:div w:id="1918977225">
              <w:marLeft w:val="0"/>
              <w:marRight w:val="0"/>
              <w:marTop w:val="0"/>
              <w:marBottom w:val="0"/>
              <w:divBdr>
                <w:top w:val="none" w:sz="0" w:space="0" w:color="auto"/>
                <w:left w:val="none" w:sz="0" w:space="0" w:color="auto"/>
                <w:bottom w:val="none" w:sz="0" w:space="0" w:color="auto"/>
                <w:right w:val="none" w:sz="0" w:space="0" w:color="auto"/>
              </w:divBdr>
            </w:div>
          </w:divsChild>
        </w:div>
        <w:div w:id="1314408973">
          <w:marLeft w:val="480"/>
          <w:marRight w:val="0"/>
          <w:marTop w:val="0"/>
          <w:marBottom w:val="0"/>
          <w:divBdr>
            <w:top w:val="none" w:sz="0" w:space="0" w:color="auto"/>
            <w:left w:val="none" w:sz="0" w:space="0" w:color="auto"/>
            <w:bottom w:val="none" w:sz="0" w:space="0" w:color="auto"/>
            <w:right w:val="none" w:sz="0" w:space="0" w:color="auto"/>
          </w:divBdr>
        </w:div>
      </w:divsChild>
    </w:div>
    <w:div w:id="2054034750">
      <w:bodyDiv w:val="1"/>
      <w:marLeft w:val="0"/>
      <w:marRight w:val="0"/>
      <w:marTop w:val="0"/>
      <w:marBottom w:val="0"/>
      <w:divBdr>
        <w:top w:val="none" w:sz="0" w:space="0" w:color="auto"/>
        <w:left w:val="none" w:sz="0" w:space="0" w:color="auto"/>
        <w:bottom w:val="none" w:sz="0" w:space="0" w:color="auto"/>
        <w:right w:val="none" w:sz="0" w:space="0" w:color="auto"/>
      </w:divBdr>
      <w:divsChild>
        <w:div w:id="1797410776">
          <w:marLeft w:val="0"/>
          <w:marRight w:val="0"/>
          <w:marTop w:val="0"/>
          <w:marBottom w:val="0"/>
          <w:divBdr>
            <w:top w:val="none" w:sz="0" w:space="0" w:color="auto"/>
            <w:left w:val="none" w:sz="0" w:space="0" w:color="auto"/>
            <w:bottom w:val="none" w:sz="0" w:space="0" w:color="auto"/>
            <w:right w:val="none" w:sz="0" w:space="0" w:color="auto"/>
          </w:divBdr>
          <w:divsChild>
            <w:div w:id="587619404">
              <w:marLeft w:val="0"/>
              <w:marRight w:val="0"/>
              <w:marTop w:val="0"/>
              <w:marBottom w:val="0"/>
              <w:divBdr>
                <w:top w:val="none" w:sz="0" w:space="0" w:color="auto"/>
                <w:left w:val="none" w:sz="0" w:space="0" w:color="auto"/>
                <w:bottom w:val="none" w:sz="0" w:space="0" w:color="auto"/>
                <w:right w:val="none" w:sz="0" w:space="0" w:color="auto"/>
              </w:divBdr>
            </w:div>
          </w:divsChild>
        </w:div>
        <w:div w:id="538014605">
          <w:marLeft w:val="0"/>
          <w:marRight w:val="0"/>
          <w:marTop w:val="0"/>
          <w:marBottom w:val="0"/>
          <w:divBdr>
            <w:top w:val="none" w:sz="0" w:space="0" w:color="auto"/>
            <w:left w:val="none" w:sz="0" w:space="0" w:color="auto"/>
            <w:bottom w:val="none" w:sz="0" w:space="0" w:color="auto"/>
            <w:right w:val="none" w:sz="0" w:space="0" w:color="auto"/>
          </w:divBdr>
          <w:divsChild>
            <w:div w:id="346756438">
              <w:marLeft w:val="0"/>
              <w:marRight w:val="0"/>
              <w:marTop w:val="0"/>
              <w:marBottom w:val="0"/>
              <w:divBdr>
                <w:top w:val="none" w:sz="0" w:space="0" w:color="auto"/>
                <w:left w:val="none" w:sz="0" w:space="0" w:color="auto"/>
                <w:bottom w:val="none" w:sz="0" w:space="0" w:color="auto"/>
                <w:right w:val="none" w:sz="0" w:space="0" w:color="auto"/>
              </w:divBdr>
              <w:divsChild>
                <w:div w:id="1552157120">
                  <w:marLeft w:val="0"/>
                  <w:marRight w:val="0"/>
                  <w:marTop w:val="0"/>
                  <w:marBottom w:val="0"/>
                  <w:divBdr>
                    <w:top w:val="none" w:sz="0" w:space="0" w:color="auto"/>
                    <w:left w:val="none" w:sz="0" w:space="0" w:color="auto"/>
                    <w:bottom w:val="none" w:sz="0" w:space="0" w:color="auto"/>
                    <w:right w:val="none" w:sz="0" w:space="0" w:color="auto"/>
                  </w:divBdr>
                  <w:divsChild>
                    <w:div w:id="909773702">
                      <w:marLeft w:val="0"/>
                      <w:marRight w:val="0"/>
                      <w:marTop w:val="120"/>
                      <w:marBottom w:val="0"/>
                      <w:divBdr>
                        <w:top w:val="none" w:sz="0" w:space="0" w:color="auto"/>
                        <w:left w:val="none" w:sz="0" w:space="0" w:color="auto"/>
                        <w:bottom w:val="none" w:sz="0" w:space="0" w:color="auto"/>
                        <w:right w:val="none" w:sz="0" w:space="0" w:color="auto"/>
                      </w:divBdr>
                    </w:div>
                    <w:div w:id="791485351">
                      <w:marLeft w:val="0"/>
                      <w:marRight w:val="0"/>
                      <w:marTop w:val="0"/>
                      <w:marBottom w:val="0"/>
                      <w:divBdr>
                        <w:top w:val="none" w:sz="0" w:space="0" w:color="auto"/>
                        <w:left w:val="none" w:sz="0" w:space="0" w:color="auto"/>
                        <w:bottom w:val="none" w:sz="0" w:space="0" w:color="auto"/>
                        <w:right w:val="none" w:sz="0" w:space="0" w:color="auto"/>
                      </w:divBdr>
                    </w:div>
                  </w:divsChild>
                </w:div>
                <w:div w:id="966202240">
                  <w:marLeft w:val="0"/>
                  <w:marRight w:val="0"/>
                  <w:marTop w:val="0"/>
                  <w:marBottom w:val="0"/>
                  <w:divBdr>
                    <w:top w:val="none" w:sz="0" w:space="0" w:color="auto"/>
                    <w:left w:val="none" w:sz="0" w:space="0" w:color="auto"/>
                    <w:bottom w:val="none" w:sz="0" w:space="0" w:color="auto"/>
                    <w:right w:val="none" w:sz="0" w:space="0" w:color="auto"/>
                  </w:divBdr>
                  <w:divsChild>
                    <w:div w:id="195046900">
                      <w:marLeft w:val="0"/>
                      <w:marRight w:val="0"/>
                      <w:marTop w:val="120"/>
                      <w:marBottom w:val="0"/>
                      <w:divBdr>
                        <w:top w:val="none" w:sz="0" w:space="0" w:color="auto"/>
                        <w:left w:val="none" w:sz="0" w:space="0" w:color="auto"/>
                        <w:bottom w:val="none" w:sz="0" w:space="0" w:color="auto"/>
                        <w:right w:val="none" w:sz="0" w:space="0" w:color="auto"/>
                      </w:divBdr>
                    </w:div>
                    <w:div w:id="196727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833561">
          <w:marLeft w:val="0"/>
          <w:marRight w:val="0"/>
          <w:marTop w:val="0"/>
          <w:marBottom w:val="0"/>
          <w:divBdr>
            <w:top w:val="none" w:sz="0" w:space="0" w:color="auto"/>
            <w:left w:val="none" w:sz="0" w:space="0" w:color="auto"/>
            <w:bottom w:val="none" w:sz="0" w:space="0" w:color="auto"/>
            <w:right w:val="none" w:sz="0" w:space="0" w:color="auto"/>
          </w:divBdr>
          <w:divsChild>
            <w:div w:id="61579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ur-lex.europa.eu/legal-content/RO/ALL/?uri=CELEX%3A32002L005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lex.europa.eu/legal-content/RO/ALL/?uri=CELEX%3A32002L0053" TargetMode="External"/><Relationship Id="rId5" Type="http://schemas.openxmlformats.org/officeDocument/2006/relationships/hyperlink" Target="https://eur-lex.europa.eu/legal-content/RO/AUTO/?uri=OJ:L:1978:016:TOC"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5211</Words>
  <Characters>30226</Characters>
  <Application>Microsoft Office Word</Application>
  <DocSecurity>0</DocSecurity>
  <Lines>251</Lines>
  <Paragraphs>70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35367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Violina Lungu</dc:creator>
  <cp:keywords/>
  <dc:description/>
  <cp:lastModifiedBy>Sanda MELENCIUC</cp:lastModifiedBy>
  <cp:revision>2</cp:revision>
  <cp:lastPrinted>2025-07-23T05:32:00Z</cp:lastPrinted>
  <dcterms:created xsi:type="dcterms:W3CDTF">2026-01-19T14:23:00Z</dcterms:created>
  <dcterms:modified xsi:type="dcterms:W3CDTF">2026-01-19T14:23:00Z</dcterms:modified>
</cp:coreProperties>
</file>