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C4DAB" w14:textId="1AE8C998" w:rsidR="003B3F39" w:rsidRPr="00C606BE" w:rsidRDefault="003B3F39" w:rsidP="004E1411">
      <w:pPr>
        <w:jc w:val="center"/>
        <w:rPr>
          <w:rFonts w:ascii="Times New Roman" w:hAnsi="Times New Roman" w:cs="Times New Roman"/>
          <w:b/>
          <w:color w:val="000000" w:themeColor="text1"/>
          <w:sz w:val="24"/>
          <w:szCs w:val="24"/>
          <w:lang w:val="ro-MD"/>
        </w:rPr>
      </w:pPr>
      <w:r w:rsidRPr="00C606BE">
        <w:rPr>
          <w:rFonts w:ascii="Times New Roman" w:hAnsi="Times New Roman" w:cs="Times New Roman"/>
          <w:b/>
          <w:color w:val="000000" w:themeColor="text1"/>
          <w:sz w:val="24"/>
          <w:szCs w:val="24"/>
          <w:lang w:val="ro-MD"/>
        </w:rPr>
        <w:t>TABEL DE CONCORDANȚĂ</w:t>
      </w:r>
    </w:p>
    <w:p w14:paraId="6F8A8D8E" w14:textId="77777777" w:rsidR="004E1411" w:rsidRPr="00C606BE" w:rsidRDefault="004E1411" w:rsidP="004E1411">
      <w:pPr>
        <w:jc w:val="center"/>
        <w:rPr>
          <w:rFonts w:ascii="Times New Roman" w:hAnsi="Times New Roman" w:cs="Times New Roman"/>
          <w:b/>
          <w:color w:val="000000" w:themeColor="text1"/>
          <w:sz w:val="24"/>
          <w:szCs w:val="24"/>
          <w:lang w:val="ro-MD"/>
        </w:rPr>
      </w:pPr>
    </w:p>
    <w:tbl>
      <w:tblPr>
        <w:tblStyle w:val="TableGrid"/>
        <w:tblW w:w="14029" w:type="dxa"/>
        <w:tblLook w:val="04A0" w:firstRow="1" w:lastRow="0" w:firstColumn="1" w:lastColumn="0" w:noHBand="0" w:noVBand="1"/>
      </w:tblPr>
      <w:tblGrid>
        <w:gridCol w:w="1366"/>
        <w:gridCol w:w="4015"/>
        <w:gridCol w:w="4137"/>
        <w:gridCol w:w="1941"/>
        <w:gridCol w:w="2570"/>
      </w:tblGrid>
      <w:tr w:rsidR="00C606BE" w:rsidRPr="00C606BE" w14:paraId="2C65A14D" w14:textId="77777777" w:rsidTr="00AD035D">
        <w:tc>
          <w:tcPr>
            <w:tcW w:w="1366" w:type="dxa"/>
          </w:tcPr>
          <w:p w14:paraId="7A8C6FA9" w14:textId="77777777" w:rsidR="003B3F39" w:rsidRPr="00C606BE" w:rsidRDefault="003B3F39"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1</w:t>
            </w:r>
          </w:p>
        </w:tc>
        <w:tc>
          <w:tcPr>
            <w:tcW w:w="12663" w:type="dxa"/>
            <w:gridSpan w:val="4"/>
          </w:tcPr>
          <w:p w14:paraId="78A49EBA" w14:textId="27E56DC6" w:rsidR="003B3F39" w:rsidRPr="00C606BE" w:rsidRDefault="003B3F39" w:rsidP="004E1411">
            <w:pPr>
              <w:rPr>
                <w:rFonts w:ascii="Times New Roman" w:hAnsi="Times New Roman" w:cs="Times New Roman"/>
                <w:color w:val="000000" w:themeColor="text1"/>
                <w:sz w:val="20"/>
                <w:szCs w:val="20"/>
                <w:lang w:val="ro-MD"/>
              </w:rPr>
            </w:pPr>
            <w:r w:rsidRPr="00C606BE">
              <w:rPr>
                <w:rFonts w:ascii="Times New Roman" w:eastAsia="Times New Roman" w:hAnsi="Times New Roman" w:cs="Times New Roman"/>
                <w:b/>
                <w:bCs/>
                <w:color w:val="000000" w:themeColor="text1"/>
                <w:sz w:val="20"/>
                <w:szCs w:val="20"/>
                <w:lang w:val="ro-MD"/>
              </w:rPr>
              <w:t>Titlul actului UE, inclusiv cea mai recentă modificare, nr.CELEX</w:t>
            </w:r>
            <w:r w:rsidRPr="00C606BE">
              <w:rPr>
                <w:rFonts w:ascii="Times New Roman" w:eastAsia="Times New Roman" w:hAnsi="Times New Roman" w:cs="Times New Roman"/>
                <w:b/>
                <w:color w:val="000000" w:themeColor="text1"/>
                <w:sz w:val="20"/>
                <w:szCs w:val="20"/>
                <w:lang w:val="ro-MD"/>
              </w:rPr>
              <w:br/>
            </w:r>
            <w:r w:rsidR="00CB5858" w:rsidRPr="00C606BE">
              <w:rPr>
                <w:rFonts w:ascii="Times New Roman" w:hAnsi="Times New Roman" w:cs="Times New Roman"/>
                <w:color w:val="000000" w:themeColor="text1"/>
                <w:sz w:val="20"/>
                <w:szCs w:val="20"/>
                <w:lang w:val="ro-MD"/>
              </w:rPr>
              <w:t xml:space="preserve">Directiva 2003/49/CE a Consiliului din 3 iunie 2003 privind sistemul comun de impozitare, aplicabil plăților de </w:t>
            </w:r>
            <w:r w:rsidR="0067509B" w:rsidRPr="00C606BE">
              <w:rPr>
                <w:rFonts w:ascii="Times New Roman" w:hAnsi="Times New Roman" w:cs="Times New Roman"/>
                <w:color w:val="000000" w:themeColor="text1"/>
                <w:sz w:val="20"/>
                <w:szCs w:val="20"/>
                <w:lang w:val="ro-MD"/>
              </w:rPr>
              <w:t>dobânzi</w:t>
            </w:r>
            <w:r w:rsidR="00CB5858" w:rsidRPr="00C606BE">
              <w:rPr>
                <w:rFonts w:ascii="Times New Roman" w:hAnsi="Times New Roman" w:cs="Times New Roman"/>
                <w:color w:val="000000" w:themeColor="text1"/>
                <w:sz w:val="20"/>
                <w:szCs w:val="20"/>
                <w:lang w:val="ro-MD"/>
              </w:rPr>
              <w:t xml:space="preserve"> și de redevențe efectuate între societăți asociate din state membre diferite. (OJ L 157 26.6.2003, p. 49)</w:t>
            </w:r>
          </w:p>
          <w:p w14:paraId="5E6A3AFB" w14:textId="77777777" w:rsidR="005A039A" w:rsidRPr="00C606BE" w:rsidRDefault="00B05102" w:rsidP="004E1411">
            <w:pP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xml:space="preserve">CELEX: </w:t>
            </w:r>
            <w:r w:rsidR="00CB5858" w:rsidRPr="00C606BE">
              <w:rPr>
                <w:rFonts w:ascii="Times New Roman" w:hAnsi="Times New Roman" w:cs="Times New Roman"/>
                <w:color w:val="000000" w:themeColor="text1"/>
                <w:sz w:val="20"/>
                <w:szCs w:val="20"/>
                <w:lang w:val="ro-MD"/>
              </w:rPr>
              <w:t>02003L0049</w:t>
            </w:r>
          </w:p>
        </w:tc>
      </w:tr>
      <w:tr w:rsidR="00C606BE" w:rsidRPr="00C606BE" w14:paraId="50AB2A26" w14:textId="77777777" w:rsidTr="00AD035D">
        <w:tc>
          <w:tcPr>
            <w:tcW w:w="1366" w:type="dxa"/>
          </w:tcPr>
          <w:p w14:paraId="51E9D2F3" w14:textId="77777777" w:rsidR="003B3F39" w:rsidRPr="00C606BE" w:rsidRDefault="003B3F39"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2</w:t>
            </w:r>
          </w:p>
        </w:tc>
        <w:tc>
          <w:tcPr>
            <w:tcW w:w="12663" w:type="dxa"/>
            <w:gridSpan w:val="4"/>
          </w:tcPr>
          <w:p w14:paraId="124E952A" w14:textId="77777777" w:rsidR="003B3F39" w:rsidRPr="00C606BE" w:rsidRDefault="002D76B2"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Titlul proiectului de act normativ național</w:t>
            </w:r>
          </w:p>
          <w:p w14:paraId="6BBD1A69" w14:textId="280A6A8C" w:rsidR="006568C1" w:rsidRPr="00C606BE" w:rsidRDefault="005A039A" w:rsidP="004E1411">
            <w:pP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Proiectul de lege pentru modificarea Codului fiscal nr.1163/1997 (</w:t>
            </w:r>
            <w:r w:rsidR="00EA1F4E" w:rsidRPr="00C606BE">
              <w:rPr>
                <w:rFonts w:ascii="Times New Roman" w:hAnsi="Times New Roman" w:cs="Times New Roman"/>
                <w:color w:val="000000" w:themeColor="text1"/>
                <w:sz w:val="20"/>
                <w:szCs w:val="20"/>
                <w:lang w:val="ro-MD"/>
              </w:rPr>
              <w:t>privind impozitele directe</w:t>
            </w:r>
            <w:r w:rsidRPr="00C606BE">
              <w:rPr>
                <w:rFonts w:ascii="Times New Roman" w:hAnsi="Times New Roman" w:cs="Times New Roman"/>
                <w:color w:val="000000" w:themeColor="text1"/>
                <w:sz w:val="20"/>
                <w:szCs w:val="20"/>
                <w:lang w:val="ro-MD"/>
              </w:rPr>
              <w:t>)</w:t>
            </w:r>
          </w:p>
        </w:tc>
      </w:tr>
      <w:tr w:rsidR="00C606BE" w:rsidRPr="00C606BE" w14:paraId="3B7827E6" w14:textId="77777777" w:rsidTr="00AD035D">
        <w:tc>
          <w:tcPr>
            <w:tcW w:w="1366" w:type="dxa"/>
          </w:tcPr>
          <w:p w14:paraId="517CE552" w14:textId="77777777" w:rsidR="003B3F39" w:rsidRPr="00C606BE" w:rsidRDefault="003B3F39"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3</w:t>
            </w:r>
          </w:p>
        </w:tc>
        <w:tc>
          <w:tcPr>
            <w:tcW w:w="12663" w:type="dxa"/>
            <w:gridSpan w:val="4"/>
          </w:tcPr>
          <w:p w14:paraId="3F765BBF" w14:textId="77777777" w:rsidR="003B3F39" w:rsidRPr="00C606BE" w:rsidRDefault="002D76B2"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Gradul general de compatibilitate</w:t>
            </w:r>
          </w:p>
          <w:p w14:paraId="3AAA89E0" w14:textId="462E5311" w:rsidR="006568C1" w:rsidRPr="00C606BE" w:rsidRDefault="00C606BE" w:rsidP="004E1411">
            <w:pP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w:t>
            </w:r>
            <w:r w:rsidR="005A039A" w:rsidRPr="00C606BE">
              <w:rPr>
                <w:rFonts w:ascii="Times New Roman" w:hAnsi="Times New Roman" w:cs="Times New Roman"/>
                <w:color w:val="000000" w:themeColor="text1"/>
                <w:sz w:val="20"/>
                <w:szCs w:val="20"/>
                <w:lang w:val="ro-MD"/>
              </w:rPr>
              <w:t>ompatibil</w:t>
            </w:r>
          </w:p>
        </w:tc>
      </w:tr>
      <w:tr w:rsidR="00C606BE" w:rsidRPr="00C606BE" w14:paraId="0716D92F" w14:textId="77777777" w:rsidTr="00AD035D">
        <w:tc>
          <w:tcPr>
            <w:tcW w:w="1366" w:type="dxa"/>
          </w:tcPr>
          <w:p w14:paraId="0B9F6E03" w14:textId="77777777" w:rsidR="003B3F39" w:rsidRPr="00C606BE" w:rsidRDefault="003B3F39"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4</w:t>
            </w:r>
          </w:p>
        </w:tc>
        <w:tc>
          <w:tcPr>
            <w:tcW w:w="12663" w:type="dxa"/>
            <w:gridSpan w:val="4"/>
          </w:tcPr>
          <w:p w14:paraId="7E4C1931" w14:textId="77777777" w:rsidR="003B3F39" w:rsidRPr="00C606BE" w:rsidRDefault="002D76B2"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Autoritatea/persoana responsabilă</w:t>
            </w:r>
          </w:p>
          <w:p w14:paraId="486F5E2B" w14:textId="77777777" w:rsidR="006568C1" w:rsidRPr="00C606BE" w:rsidRDefault="005A039A" w:rsidP="004E1411">
            <w:pP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Ministerul Finanțelor</w:t>
            </w:r>
          </w:p>
          <w:p w14:paraId="737C6AB7" w14:textId="6FDE563A" w:rsidR="005A039A" w:rsidRPr="00C606BE" w:rsidRDefault="00C606BE" w:rsidP="004E1411">
            <w:pP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Serviciul Fiscal de Stat</w:t>
            </w:r>
          </w:p>
        </w:tc>
      </w:tr>
      <w:tr w:rsidR="00C606BE" w:rsidRPr="00C606BE" w14:paraId="4B2421AB" w14:textId="77777777" w:rsidTr="00AD035D">
        <w:tc>
          <w:tcPr>
            <w:tcW w:w="1366" w:type="dxa"/>
          </w:tcPr>
          <w:p w14:paraId="1296865E" w14:textId="77777777" w:rsidR="003B3F39" w:rsidRPr="00C606BE" w:rsidRDefault="003B3F39"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5</w:t>
            </w:r>
          </w:p>
        </w:tc>
        <w:tc>
          <w:tcPr>
            <w:tcW w:w="12663" w:type="dxa"/>
            <w:gridSpan w:val="4"/>
          </w:tcPr>
          <w:p w14:paraId="33AD70A8" w14:textId="77777777" w:rsidR="003B3F39" w:rsidRPr="00C606BE" w:rsidRDefault="002D76B2"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 xml:space="preserve">Data </w:t>
            </w:r>
            <w:r w:rsidR="006568C1" w:rsidRPr="00C606BE">
              <w:rPr>
                <w:rFonts w:ascii="Times New Roman" w:hAnsi="Times New Roman" w:cs="Times New Roman"/>
                <w:b/>
                <w:color w:val="000000" w:themeColor="text1"/>
                <w:sz w:val="20"/>
                <w:szCs w:val="20"/>
                <w:lang w:val="ro-MD"/>
              </w:rPr>
              <w:t>întocmirii/actualizării</w:t>
            </w:r>
          </w:p>
          <w:p w14:paraId="1FC7B2D4" w14:textId="260AAB9B" w:rsidR="006568C1" w:rsidRPr="00C606BE" w:rsidRDefault="00C606BE"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23.12.2025</w:t>
            </w:r>
          </w:p>
        </w:tc>
      </w:tr>
      <w:tr w:rsidR="00C606BE" w:rsidRPr="00C606BE" w14:paraId="791C75DF" w14:textId="77777777" w:rsidTr="00AD035D">
        <w:tc>
          <w:tcPr>
            <w:tcW w:w="5381" w:type="dxa"/>
            <w:gridSpan w:val="2"/>
          </w:tcPr>
          <w:p w14:paraId="442C6EDE" w14:textId="77777777" w:rsidR="003B3F39" w:rsidRPr="00C606BE" w:rsidRDefault="003B3F39" w:rsidP="004E1411">
            <w:pPr>
              <w:jc w:val="cente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Actul Uniunii Europene</w:t>
            </w:r>
          </w:p>
          <w:p w14:paraId="77A61B01" w14:textId="77777777" w:rsidR="003B3F39" w:rsidRPr="00C606BE" w:rsidRDefault="003B3F39"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6</w:t>
            </w:r>
          </w:p>
        </w:tc>
        <w:tc>
          <w:tcPr>
            <w:tcW w:w="4137" w:type="dxa"/>
          </w:tcPr>
          <w:p w14:paraId="3A66E5D5" w14:textId="77777777" w:rsidR="003B3F39" w:rsidRPr="00C606BE" w:rsidRDefault="003B3F39" w:rsidP="004E1411">
            <w:pPr>
              <w:jc w:val="cente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Proiectul de act normativ național</w:t>
            </w:r>
          </w:p>
          <w:p w14:paraId="188BE895" w14:textId="77777777" w:rsidR="003B3F39" w:rsidRPr="00C606BE" w:rsidRDefault="003B3F39"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7</w:t>
            </w:r>
          </w:p>
        </w:tc>
        <w:tc>
          <w:tcPr>
            <w:tcW w:w="1941" w:type="dxa"/>
          </w:tcPr>
          <w:p w14:paraId="4A666B8D" w14:textId="77777777" w:rsidR="003B3F39" w:rsidRPr="00C606BE" w:rsidRDefault="003B3F39" w:rsidP="004E1411">
            <w:pPr>
              <w:jc w:val="cente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Gradul de compatibilitate</w:t>
            </w:r>
          </w:p>
          <w:p w14:paraId="5638EEBE" w14:textId="77777777" w:rsidR="003B3F39" w:rsidRPr="00C606BE" w:rsidRDefault="003B3F39"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8</w:t>
            </w:r>
          </w:p>
        </w:tc>
        <w:tc>
          <w:tcPr>
            <w:tcW w:w="2570" w:type="dxa"/>
          </w:tcPr>
          <w:p w14:paraId="612BC5CA" w14:textId="77777777" w:rsidR="003B3F39" w:rsidRPr="00C606BE" w:rsidRDefault="003B3F39" w:rsidP="004E1411">
            <w:pPr>
              <w:jc w:val="cente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Observații</w:t>
            </w:r>
          </w:p>
          <w:p w14:paraId="674FBD42" w14:textId="77777777" w:rsidR="003B3F39" w:rsidRPr="00C606BE" w:rsidRDefault="003B3F39" w:rsidP="004E1411">
            <w:pP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9</w:t>
            </w:r>
          </w:p>
        </w:tc>
      </w:tr>
      <w:tr w:rsidR="00C606BE" w:rsidRPr="00C606BE" w14:paraId="3B0B3D88" w14:textId="77777777" w:rsidTr="00AD035D">
        <w:tc>
          <w:tcPr>
            <w:tcW w:w="5381" w:type="dxa"/>
            <w:gridSpan w:val="2"/>
          </w:tcPr>
          <w:p w14:paraId="53E2F79A" w14:textId="77777777" w:rsidR="00CB5858" w:rsidRPr="00C606BE" w:rsidRDefault="00CB5858" w:rsidP="004E1411">
            <w:pPr>
              <w:pStyle w:val="ti-art"/>
              <w:shd w:val="clear" w:color="auto" w:fill="FFFFFF"/>
              <w:spacing w:before="0" w:beforeAutospacing="0" w:after="0" w:afterAutospacing="0"/>
              <w:jc w:val="center"/>
              <w:rPr>
                <w:i/>
                <w:iCs/>
                <w:color w:val="000000" w:themeColor="text1"/>
                <w:sz w:val="20"/>
                <w:szCs w:val="20"/>
                <w:lang w:val="ro-MD"/>
              </w:rPr>
            </w:pPr>
            <w:r w:rsidRPr="00C606BE">
              <w:rPr>
                <w:i/>
                <w:iCs/>
                <w:color w:val="000000" w:themeColor="text1"/>
                <w:sz w:val="20"/>
                <w:szCs w:val="20"/>
                <w:lang w:val="ro-MD"/>
              </w:rPr>
              <w:t>Articolul 1</w:t>
            </w:r>
          </w:p>
          <w:p w14:paraId="4541B812" w14:textId="77777777" w:rsidR="00CB5858" w:rsidRPr="00C606BE" w:rsidRDefault="00CB5858" w:rsidP="004E1411">
            <w:pPr>
              <w:pStyle w:val="sti-art"/>
              <w:shd w:val="clear" w:color="auto" w:fill="FFFFFF"/>
              <w:spacing w:before="0" w:beforeAutospacing="0" w:after="0" w:afterAutospacing="0"/>
              <w:jc w:val="center"/>
              <w:rPr>
                <w:b/>
                <w:bCs/>
                <w:color w:val="000000" w:themeColor="text1"/>
                <w:sz w:val="20"/>
                <w:szCs w:val="20"/>
                <w:lang w:val="ro-MD"/>
              </w:rPr>
            </w:pPr>
            <w:r w:rsidRPr="00C606BE">
              <w:rPr>
                <w:b/>
                <w:bCs/>
                <w:color w:val="000000" w:themeColor="text1"/>
                <w:sz w:val="20"/>
                <w:szCs w:val="20"/>
                <w:lang w:val="ro-MD"/>
              </w:rPr>
              <w:t>Domeniu de aplicare și procedură</w:t>
            </w:r>
          </w:p>
          <w:p w14:paraId="053F5E50" w14:textId="77777777" w:rsidR="00CB5858" w:rsidRPr="00C606BE" w:rsidRDefault="00CB5858" w:rsidP="004E1411">
            <w:pPr>
              <w:pStyle w:val="Normal1"/>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(1)   Plățile de dobânzi și de redevențe generate într-un stat membru sunt scutite de orice impozit prin reținere la sursă sau prin estimarea bazei de impozitare</w:t>
            </w:r>
            <w:bookmarkStart w:id="0" w:name="_GoBack"/>
            <w:bookmarkEnd w:id="0"/>
            <w:r w:rsidRPr="00C606BE">
              <w:rPr>
                <w:color w:val="000000" w:themeColor="text1"/>
                <w:sz w:val="20"/>
                <w:szCs w:val="20"/>
                <w:lang w:val="ro-MD"/>
              </w:rPr>
              <w:t xml:space="preserve"> în statul de origine respectiv, dacă beneficiarul dobânzilor sau al redevențelor este o societate dintr-un alt stat membru sau un sediu permanent, situat în alt stat membru, al unei societăți dintr-un stat membru.</w:t>
            </w:r>
          </w:p>
        </w:tc>
        <w:tc>
          <w:tcPr>
            <w:tcW w:w="4137" w:type="dxa"/>
          </w:tcPr>
          <w:p w14:paraId="6B11D962" w14:textId="3B76C2FE" w:rsidR="00A8217B" w:rsidRPr="00C606BE" w:rsidRDefault="00F417CF" w:rsidP="004E1411">
            <w:pPr>
              <w:pStyle w:val="ListParagraph"/>
              <w:tabs>
                <w:tab w:val="left" w:pos="286"/>
                <w:tab w:val="left" w:pos="450"/>
                <w:tab w:val="left" w:pos="709"/>
                <w:tab w:val="left" w:pos="851"/>
                <w:tab w:val="left" w:pos="993"/>
              </w:tabs>
              <w:ind w:left="0" w:right="7"/>
              <w:jc w:val="both"/>
              <w:rPr>
                <w:rFonts w:ascii="Times New Roman" w:hAnsi="Times New Roman" w:cs="Times New Roman"/>
                <w:color w:val="000000" w:themeColor="text1"/>
                <w:sz w:val="20"/>
                <w:szCs w:val="20"/>
                <w:lang w:val="ro-MD"/>
              </w:rPr>
            </w:pPr>
            <w:r w:rsidRPr="00C606BE">
              <w:rPr>
                <w:rFonts w:ascii="Times New Roman" w:eastAsia="Times New Roman" w:hAnsi="Times New Roman" w:cs="Times New Roman"/>
                <w:b/>
                <w:color w:val="000000" w:themeColor="text1"/>
                <w:sz w:val="20"/>
                <w:szCs w:val="20"/>
                <w:lang w:val="ro-MD" w:eastAsia="ro-RO"/>
              </w:rPr>
              <w:t xml:space="preserve">Art. I – </w:t>
            </w:r>
            <w:r w:rsidRPr="00C606BE">
              <w:rPr>
                <w:rFonts w:ascii="Times New Roman" w:eastAsia="Times New Roman" w:hAnsi="Times New Roman" w:cs="Times New Roman"/>
                <w:color w:val="000000" w:themeColor="text1"/>
                <w:sz w:val="20"/>
                <w:szCs w:val="20"/>
                <w:lang w:val="ro-MD" w:eastAsia="ro-RO"/>
              </w:rPr>
              <w:t>Codul fiscal nr.1163/1997</w:t>
            </w:r>
            <w:r w:rsidRPr="00C606BE">
              <w:rPr>
                <w:rFonts w:ascii="Times New Roman" w:eastAsia="Times New Roman" w:hAnsi="Times New Roman" w:cs="Times New Roman"/>
                <w:b/>
                <w:color w:val="000000" w:themeColor="text1"/>
                <w:sz w:val="20"/>
                <w:szCs w:val="20"/>
                <w:lang w:val="ro-MD" w:eastAsia="ro-RO"/>
              </w:rPr>
              <w:t xml:space="preserve"> </w:t>
            </w:r>
            <w:r w:rsidRPr="00C606BE">
              <w:rPr>
                <w:rFonts w:ascii="Times New Roman" w:hAnsi="Times New Roman" w:cs="Times New Roman"/>
                <w:color w:val="000000" w:themeColor="text1"/>
                <w:sz w:val="20"/>
                <w:szCs w:val="20"/>
                <w:lang w:val="ro-MD"/>
              </w:rPr>
              <w:t>(republicat în Monitorul Oficial al Republicii Moldova, ediție specială din 8 februarie 2007), cu modificările ulterioare, se modifică după cum urmează:</w:t>
            </w:r>
          </w:p>
          <w:p w14:paraId="717F0E9C" w14:textId="7F8E1C3E" w:rsidR="00F417CF" w:rsidRPr="00C606BE" w:rsidRDefault="00BC3AE5" w:rsidP="004E1411">
            <w:pPr>
              <w:tabs>
                <w:tab w:val="left" w:pos="286"/>
                <w:tab w:val="left" w:pos="993"/>
              </w:tabs>
              <w:spacing w:before="120" w:after="120"/>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5</w:t>
            </w:r>
            <w:r w:rsidR="00AE04C2" w:rsidRPr="00C606BE">
              <w:rPr>
                <w:rFonts w:ascii="Times New Roman" w:hAnsi="Times New Roman" w:cs="Times New Roman"/>
                <w:b/>
                <w:color w:val="000000" w:themeColor="text1"/>
                <w:sz w:val="20"/>
                <w:szCs w:val="20"/>
                <w:lang w:val="ro-MD"/>
              </w:rPr>
              <w:t>.</w:t>
            </w:r>
            <w:r w:rsidR="00AE04C2" w:rsidRPr="00C606BE">
              <w:rPr>
                <w:rFonts w:ascii="Times New Roman" w:hAnsi="Times New Roman" w:cs="Times New Roman"/>
                <w:b/>
                <w:color w:val="000000" w:themeColor="text1"/>
                <w:sz w:val="20"/>
                <w:szCs w:val="20"/>
                <w:lang w:val="ro-MD"/>
              </w:rPr>
              <w:tab/>
            </w:r>
            <w:r w:rsidR="00F417CF" w:rsidRPr="00C606BE">
              <w:rPr>
                <w:rFonts w:ascii="Times New Roman" w:hAnsi="Times New Roman" w:cs="Times New Roman"/>
                <w:color w:val="000000" w:themeColor="text1"/>
                <w:sz w:val="20"/>
                <w:szCs w:val="20"/>
                <w:lang w:val="ro-MD"/>
              </w:rPr>
              <w:t>se completează cu Capitolul 11</w:t>
            </w:r>
            <w:r w:rsidR="00F417CF" w:rsidRPr="00C606BE">
              <w:rPr>
                <w:rFonts w:ascii="Times New Roman" w:hAnsi="Times New Roman" w:cs="Times New Roman"/>
                <w:color w:val="000000" w:themeColor="text1"/>
                <w:sz w:val="20"/>
                <w:szCs w:val="20"/>
                <w:vertAlign w:val="superscript"/>
                <w:lang w:val="ro-MD"/>
              </w:rPr>
              <w:t>1</w:t>
            </w:r>
            <w:r w:rsidR="00F417CF" w:rsidRPr="00C606BE">
              <w:rPr>
                <w:rFonts w:ascii="Times New Roman" w:hAnsi="Times New Roman" w:cs="Times New Roman"/>
                <w:color w:val="000000" w:themeColor="text1"/>
                <w:sz w:val="20"/>
                <w:szCs w:val="20"/>
                <w:lang w:val="ro-MD"/>
              </w:rPr>
              <w:t xml:space="preserve"> cu următorul cuprins:</w:t>
            </w:r>
          </w:p>
          <w:p w14:paraId="353E7D99" w14:textId="77777777" w:rsidR="00F417CF" w:rsidRPr="00C606BE" w:rsidRDefault="00F417CF" w:rsidP="004E1411">
            <w:pPr>
              <w:tabs>
                <w:tab w:val="left" w:pos="202"/>
                <w:tab w:val="left" w:pos="286"/>
                <w:tab w:val="left" w:pos="323"/>
              </w:tabs>
              <w:jc w:val="both"/>
              <w:rPr>
                <w:rFonts w:ascii="Times New Roman" w:hAnsi="Times New Roman" w:cs="Times New Roman"/>
                <w:b/>
                <w:color w:val="000000" w:themeColor="text1"/>
                <w:sz w:val="20"/>
                <w:szCs w:val="20"/>
                <w:lang w:val="ro-MD"/>
              </w:rPr>
            </w:pPr>
            <w:r w:rsidRPr="00C606BE">
              <w:rPr>
                <w:rFonts w:ascii="Times New Roman" w:hAnsi="Times New Roman" w:cs="Times New Roman"/>
                <w:color w:val="000000" w:themeColor="text1"/>
                <w:sz w:val="20"/>
                <w:szCs w:val="20"/>
                <w:lang w:val="ro-MD"/>
              </w:rPr>
              <w:t>„</w:t>
            </w:r>
            <w:r w:rsidRPr="00C606BE">
              <w:rPr>
                <w:rFonts w:ascii="Times New Roman" w:hAnsi="Times New Roman" w:cs="Times New Roman"/>
                <w:b/>
                <w:color w:val="000000" w:themeColor="text1"/>
                <w:sz w:val="20"/>
                <w:szCs w:val="20"/>
                <w:lang w:val="ro-MD"/>
              </w:rPr>
              <w:t>Capitolul 11</w:t>
            </w:r>
            <w:r w:rsidRPr="00C606BE">
              <w:rPr>
                <w:rFonts w:ascii="Times New Roman" w:hAnsi="Times New Roman" w:cs="Times New Roman"/>
                <w:b/>
                <w:color w:val="000000" w:themeColor="text1"/>
                <w:sz w:val="20"/>
                <w:szCs w:val="20"/>
                <w:vertAlign w:val="superscript"/>
                <w:lang w:val="ro-MD"/>
              </w:rPr>
              <w:t>1</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Impozitarea dobânzilor și royalty achitate între societăți asociate din state membre Uniunii Europene</w:t>
            </w:r>
            <w:r w:rsidRPr="00C606BE">
              <w:rPr>
                <w:rFonts w:ascii="Times New Roman" w:hAnsi="Times New Roman" w:cs="Times New Roman"/>
                <w:b/>
                <w:color w:val="000000" w:themeColor="text1"/>
                <w:sz w:val="20"/>
                <w:szCs w:val="20"/>
                <w:lang w:val="ro-MD"/>
              </w:rPr>
              <w:t xml:space="preserve"> </w:t>
            </w:r>
          </w:p>
          <w:p w14:paraId="01C925E3" w14:textId="77777777" w:rsidR="00F417CF" w:rsidRPr="00C606BE" w:rsidRDefault="00F417CF" w:rsidP="004E1411">
            <w:pPr>
              <w:tabs>
                <w:tab w:val="left" w:pos="286"/>
                <w:tab w:val="left" w:pos="993"/>
              </w:tabs>
              <w:spacing w:before="240" w:after="120"/>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Articolul 79</w:t>
            </w:r>
            <w:r w:rsidRPr="00C606BE">
              <w:rPr>
                <w:rFonts w:ascii="Times New Roman" w:hAnsi="Times New Roman" w:cs="Times New Roman"/>
                <w:b/>
                <w:color w:val="000000" w:themeColor="text1"/>
                <w:sz w:val="20"/>
                <w:szCs w:val="20"/>
                <w:vertAlign w:val="superscript"/>
                <w:lang w:val="ro-MD"/>
              </w:rPr>
              <w:t>5</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Dispoziții generale privind modul de impozitare a dobânzilor și royalty achitate între societăți asociate din state membre diferite</w:t>
            </w:r>
          </w:p>
          <w:p w14:paraId="3166D935" w14:textId="59CE7543" w:rsidR="004564E6" w:rsidRPr="00C606BE" w:rsidRDefault="004564E6" w:rsidP="004E1411">
            <w:pPr>
              <w:tabs>
                <w:tab w:val="left" w:pos="202"/>
                <w:tab w:val="left" w:pos="286"/>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xml:space="preserve">(1) </w:t>
            </w:r>
            <w:r w:rsidR="00F417CF" w:rsidRPr="00C606BE">
              <w:rPr>
                <w:rFonts w:ascii="Times New Roman" w:hAnsi="Times New Roman" w:cs="Times New Roman"/>
                <w:color w:val="000000" w:themeColor="text1"/>
                <w:sz w:val="20"/>
                <w:szCs w:val="20"/>
                <w:lang w:val="ro-MD"/>
              </w:rPr>
              <w:t xml:space="preserve">Veniturile obținute sub formă de dobândă sau royalty a căror sursa este Republica Moldova sunt scutite de impozitul pe venit reținut la sursă de plată doar în cazul în care beneficiarul </w:t>
            </w:r>
            <w:r w:rsidR="0013521F" w:rsidRPr="00C606BE">
              <w:rPr>
                <w:rFonts w:ascii="Times New Roman" w:hAnsi="Times New Roman" w:cs="Times New Roman"/>
                <w:color w:val="000000" w:themeColor="text1"/>
                <w:sz w:val="20"/>
                <w:szCs w:val="20"/>
                <w:lang w:val="ro-MD"/>
              </w:rPr>
              <w:t xml:space="preserve">efectiv a </w:t>
            </w:r>
            <w:r w:rsidR="00F417CF" w:rsidRPr="00C606BE">
              <w:rPr>
                <w:rFonts w:ascii="Times New Roman" w:hAnsi="Times New Roman" w:cs="Times New Roman"/>
                <w:color w:val="000000" w:themeColor="text1"/>
                <w:sz w:val="20"/>
                <w:szCs w:val="20"/>
                <w:lang w:val="ro-MD"/>
              </w:rPr>
              <w:t>dobânzilor sau royalty este o societate dintr-un stat alt membru sau o reprezentanță permanentă situată în alt stat membru al unei societăți dintr-un stat membru.</w:t>
            </w:r>
          </w:p>
        </w:tc>
        <w:tc>
          <w:tcPr>
            <w:tcW w:w="1941" w:type="dxa"/>
          </w:tcPr>
          <w:p w14:paraId="51A7A197" w14:textId="77777777" w:rsidR="00CB5858" w:rsidRPr="00C606BE" w:rsidRDefault="00E444E8"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Compatibil</w:t>
            </w:r>
          </w:p>
        </w:tc>
        <w:tc>
          <w:tcPr>
            <w:tcW w:w="2570" w:type="dxa"/>
          </w:tcPr>
          <w:p w14:paraId="26EF07CE" w14:textId="77777777" w:rsidR="00CB5858" w:rsidRPr="00C606BE" w:rsidRDefault="00CB5858" w:rsidP="004E1411">
            <w:pPr>
              <w:jc w:val="center"/>
              <w:rPr>
                <w:rFonts w:ascii="Times New Roman" w:hAnsi="Times New Roman" w:cs="Times New Roman"/>
                <w:color w:val="000000" w:themeColor="text1"/>
                <w:sz w:val="20"/>
                <w:szCs w:val="20"/>
                <w:lang w:val="ro-MD"/>
              </w:rPr>
            </w:pPr>
          </w:p>
        </w:tc>
      </w:tr>
      <w:tr w:rsidR="00C606BE" w:rsidRPr="00C606BE" w14:paraId="6594992A" w14:textId="77777777" w:rsidTr="00AD035D">
        <w:tc>
          <w:tcPr>
            <w:tcW w:w="5381" w:type="dxa"/>
            <w:gridSpan w:val="2"/>
          </w:tcPr>
          <w:p w14:paraId="39446020" w14:textId="77777777" w:rsidR="00CB5858" w:rsidRPr="00C606BE" w:rsidRDefault="00CB5858" w:rsidP="004E1411">
            <w:pPr>
              <w:pStyle w:val="title-article-norm"/>
              <w:shd w:val="clear" w:color="auto" w:fill="FFFFFF"/>
              <w:tabs>
                <w:tab w:val="left" w:pos="276"/>
                <w:tab w:val="left" w:pos="369"/>
              </w:tabs>
              <w:spacing w:before="0" w:beforeAutospacing="0" w:after="0" w:afterAutospacing="0"/>
              <w:jc w:val="both"/>
              <w:rPr>
                <w:i/>
                <w:iCs/>
                <w:color w:val="000000" w:themeColor="text1"/>
                <w:sz w:val="20"/>
                <w:szCs w:val="20"/>
                <w:lang w:val="ro-MD"/>
              </w:rPr>
            </w:pPr>
            <w:r w:rsidRPr="00C606BE">
              <w:rPr>
                <w:color w:val="000000" w:themeColor="text1"/>
                <w:sz w:val="20"/>
                <w:szCs w:val="20"/>
                <w:shd w:val="clear" w:color="auto" w:fill="FFFFFF"/>
                <w:lang w:val="ro-MD"/>
              </w:rPr>
              <w:t xml:space="preserve">(2)   O plată efectuată de o societate dintr-un stat membru sau de un sediu permanent situat într-un alt stat membru se consideră </w:t>
            </w:r>
            <w:r w:rsidRPr="00C606BE">
              <w:rPr>
                <w:color w:val="000000" w:themeColor="text1"/>
                <w:sz w:val="20"/>
                <w:szCs w:val="20"/>
                <w:shd w:val="clear" w:color="auto" w:fill="FFFFFF"/>
                <w:lang w:val="ro-MD"/>
              </w:rPr>
              <w:lastRenderedPageBreak/>
              <w:t>generată în acest stat membru, denumit în continuare „stat de origine”.</w:t>
            </w:r>
          </w:p>
        </w:tc>
        <w:tc>
          <w:tcPr>
            <w:tcW w:w="4137" w:type="dxa"/>
          </w:tcPr>
          <w:p w14:paraId="415C2DAE" w14:textId="77777777" w:rsidR="00AE04C2" w:rsidRPr="00C606BE" w:rsidRDefault="00AE04C2" w:rsidP="004E1411">
            <w:pPr>
              <w:tabs>
                <w:tab w:val="left" w:pos="202"/>
                <w:tab w:val="left" w:pos="286"/>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lastRenderedPageBreak/>
              <w:t>Articolul 79</w:t>
            </w:r>
            <w:r w:rsidRPr="00C606BE">
              <w:rPr>
                <w:rFonts w:ascii="Times New Roman" w:hAnsi="Times New Roman" w:cs="Times New Roman"/>
                <w:b/>
                <w:color w:val="000000" w:themeColor="text1"/>
                <w:sz w:val="20"/>
                <w:szCs w:val="20"/>
                <w:vertAlign w:val="superscript"/>
                <w:lang w:val="ro-MD"/>
              </w:rPr>
              <w:t>4</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Noțiuni</w:t>
            </w:r>
          </w:p>
          <w:p w14:paraId="085139D7" w14:textId="77777777" w:rsidR="00AE04C2" w:rsidRPr="00C606BE" w:rsidRDefault="00AE04C2" w:rsidP="004E1411">
            <w:pPr>
              <w:tabs>
                <w:tab w:val="left" w:pos="202"/>
                <w:tab w:val="left" w:pos="286"/>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lastRenderedPageBreak/>
              <w:t>În sensul prezentului capitol, se definesc următoarele noțiuni:</w:t>
            </w:r>
          </w:p>
          <w:p w14:paraId="2F24A77A" w14:textId="02DE959A" w:rsidR="00CB5858" w:rsidRPr="00C606BE" w:rsidRDefault="00AE04C2" w:rsidP="004E1411">
            <w:pPr>
              <w:pStyle w:val="ListParagraph"/>
              <w:numPr>
                <w:ilvl w:val="0"/>
                <w:numId w:val="24"/>
              </w:numPr>
              <w:tabs>
                <w:tab w:val="left" w:pos="323"/>
              </w:tabs>
              <w:ind w:left="4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i/>
                <w:color w:val="000000" w:themeColor="text1"/>
                <w:sz w:val="20"/>
                <w:szCs w:val="20"/>
                <w:lang w:val="ro-MD"/>
              </w:rPr>
              <w:t>societatea plătitoarea</w:t>
            </w:r>
            <w:r w:rsidRPr="00C606BE">
              <w:rPr>
                <w:rFonts w:ascii="Times New Roman" w:hAnsi="Times New Roman" w:cs="Times New Roman"/>
                <w:color w:val="000000" w:themeColor="text1"/>
                <w:sz w:val="20"/>
                <w:szCs w:val="20"/>
                <w:lang w:val="ro-MD"/>
              </w:rPr>
              <w:t xml:space="preserve"> – persoana juridică rezidentă sau persoana juridică nerezidentă care desfășoară activitatea în Republica Moldova printr-o </w:t>
            </w:r>
            <w:r w:rsidR="00F417CF" w:rsidRPr="00C606BE">
              <w:rPr>
                <w:rFonts w:ascii="Times New Roman" w:hAnsi="Times New Roman" w:cs="Times New Roman"/>
                <w:color w:val="000000" w:themeColor="text1"/>
                <w:sz w:val="20"/>
                <w:szCs w:val="20"/>
                <w:lang w:val="ro-MD"/>
              </w:rPr>
              <w:t>reprezentanță</w:t>
            </w:r>
            <w:r w:rsidRPr="00C606BE">
              <w:rPr>
                <w:rFonts w:ascii="Times New Roman" w:hAnsi="Times New Roman" w:cs="Times New Roman"/>
                <w:color w:val="000000" w:themeColor="text1"/>
                <w:sz w:val="20"/>
                <w:szCs w:val="20"/>
                <w:lang w:val="ro-MD"/>
              </w:rPr>
              <w:t xml:space="preserve"> permanentă</w:t>
            </w:r>
            <w:r w:rsidR="00DB493C" w:rsidRPr="00C606BE">
              <w:rPr>
                <w:rFonts w:ascii="Times New Roman" w:hAnsi="Times New Roman" w:cs="Times New Roman"/>
                <w:color w:val="000000" w:themeColor="text1"/>
                <w:sz w:val="20"/>
                <w:szCs w:val="20"/>
                <w:lang w:val="ro-MD"/>
              </w:rPr>
              <w:t>, definită confrom art.5 pct.15).</w:t>
            </w:r>
          </w:p>
        </w:tc>
        <w:tc>
          <w:tcPr>
            <w:tcW w:w="1941" w:type="dxa"/>
          </w:tcPr>
          <w:p w14:paraId="2C39B9E8" w14:textId="4950ED3E" w:rsidR="00CB5858" w:rsidRPr="00C606BE" w:rsidRDefault="00295F41"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lastRenderedPageBreak/>
              <w:t>C</w:t>
            </w:r>
            <w:r w:rsidR="00A8217B" w:rsidRPr="00C606BE">
              <w:rPr>
                <w:rFonts w:ascii="Times New Roman" w:hAnsi="Times New Roman" w:cs="Times New Roman"/>
                <w:color w:val="000000" w:themeColor="text1"/>
                <w:sz w:val="20"/>
                <w:szCs w:val="20"/>
                <w:lang w:val="ro-MD"/>
              </w:rPr>
              <w:t>ompatibil</w:t>
            </w:r>
          </w:p>
        </w:tc>
        <w:tc>
          <w:tcPr>
            <w:tcW w:w="2570" w:type="dxa"/>
          </w:tcPr>
          <w:p w14:paraId="3D9DB0CE" w14:textId="77777777" w:rsidR="00CB5858" w:rsidRPr="00C606BE" w:rsidRDefault="00CB5858" w:rsidP="004E1411">
            <w:pPr>
              <w:jc w:val="both"/>
              <w:rPr>
                <w:rFonts w:ascii="Times New Roman" w:hAnsi="Times New Roman" w:cs="Times New Roman"/>
                <w:color w:val="000000" w:themeColor="text1"/>
                <w:sz w:val="20"/>
                <w:szCs w:val="20"/>
                <w:lang w:val="ro-MD"/>
              </w:rPr>
            </w:pPr>
          </w:p>
        </w:tc>
      </w:tr>
      <w:tr w:rsidR="00C606BE" w:rsidRPr="00C606BE" w14:paraId="1BC10F89" w14:textId="77777777" w:rsidTr="00AD035D">
        <w:tc>
          <w:tcPr>
            <w:tcW w:w="5381" w:type="dxa"/>
            <w:gridSpan w:val="2"/>
          </w:tcPr>
          <w:p w14:paraId="10C4C14B" w14:textId="77777777" w:rsidR="00CB5858" w:rsidRPr="00C606BE" w:rsidRDefault="00CB5858" w:rsidP="004E1411">
            <w:pPr>
              <w:pStyle w:val="norm"/>
              <w:shd w:val="clear" w:color="auto" w:fill="FFFFFF"/>
              <w:tabs>
                <w:tab w:val="left" w:pos="276"/>
                <w:tab w:val="left" w:pos="369"/>
              </w:tabs>
              <w:spacing w:before="0" w:beforeAutospacing="0" w:after="0" w:afterAutospacing="0"/>
              <w:jc w:val="both"/>
              <w:rPr>
                <w:color w:val="000000" w:themeColor="text1"/>
                <w:sz w:val="20"/>
                <w:szCs w:val="20"/>
                <w:highlight w:val="yellow"/>
                <w:lang w:val="ro-MD"/>
              </w:rPr>
            </w:pPr>
            <w:r w:rsidRPr="00C606BE">
              <w:rPr>
                <w:color w:val="000000" w:themeColor="text1"/>
                <w:sz w:val="20"/>
                <w:szCs w:val="20"/>
                <w:shd w:val="clear" w:color="auto" w:fill="FFFFFF"/>
                <w:lang w:val="ro-MD"/>
              </w:rPr>
              <w:lastRenderedPageBreak/>
              <w:t>(3)   Un sediu permanent nu este considerat plătitor de dobânzi sau de redevențe decât dacă plățile în cauză constituie, în statul membru în care este situat, o cheltuială deductibilă pentru sediul permanent respectiv.</w:t>
            </w:r>
          </w:p>
        </w:tc>
        <w:tc>
          <w:tcPr>
            <w:tcW w:w="4137" w:type="dxa"/>
          </w:tcPr>
          <w:p w14:paraId="7B2E750B" w14:textId="77777777" w:rsidR="00DB493C" w:rsidRPr="00C606BE" w:rsidRDefault="00DB493C" w:rsidP="004E1411">
            <w:pPr>
              <w:tabs>
                <w:tab w:val="left" w:pos="202"/>
                <w:tab w:val="left" w:pos="286"/>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Articolul 79</w:t>
            </w:r>
            <w:r w:rsidRPr="00C606BE">
              <w:rPr>
                <w:rFonts w:ascii="Times New Roman" w:hAnsi="Times New Roman" w:cs="Times New Roman"/>
                <w:b/>
                <w:color w:val="000000" w:themeColor="text1"/>
                <w:sz w:val="20"/>
                <w:szCs w:val="20"/>
                <w:vertAlign w:val="superscript"/>
                <w:lang w:val="ro-MD"/>
              </w:rPr>
              <w:t>4</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Noțiuni</w:t>
            </w:r>
          </w:p>
          <w:p w14:paraId="404D234D" w14:textId="77777777" w:rsidR="00DB493C" w:rsidRPr="00C606BE" w:rsidRDefault="00DB493C" w:rsidP="004E1411">
            <w:pPr>
              <w:tabs>
                <w:tab w:val="left" w:pos="202"/>
                <w:tab w:val="left" w:pos="286"/>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În sensul prezentului capitol, se definesc următoarele noțiuni:</w:t>
            </w:r>
          </w:p>
          <w:p w14:paraId="541DF6F1" w14:textId="5BCAE8B3" w:rsidR="00CB5858" w:rsidRPr="00C606BE" w:rsidRDefault="00DB493C" w:rsidP="004E1411">
            <w:pPr>
              <w:pStyle w:val="NormalWeb"/>
              <w:tabs>
                <w:tab w:val="left" w:pos="151"/>
                <w:tab w:val="left" w:pos="993"/>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3) societatea plătitoarea – persoana juridică rezidentă sau persoana juridică nerezidentă care desfășoară activitatea în Republica Moldova printr-o reprezentanță permanentă, definită confrom art.5 pct.15).</w:t>
            </w:r>
          </w:p>
          <w:p w14:paraId="67381656" w14:textId="7E447FF4" w:rsidR="00DB493C" w:rsidRPr="00C606BE" w:rsidRDefault="00DB493C" w:rsidP="004E1411">
            <w:pPr>
              <w:pStyle w:val="NormalWeb"/>
              <w:tabs>
                <w:tab w:val="left" w:pos="151"/>
                <w:tab w:val="left" w:pos="993"/>
              </w:tabs>
              <w:spacing w:before="0" w:beforeAutospacing="0" w:after="0" w:afterAutospacing="0"/>
              <w:jc w:val="both"/>
              <w:rPr>
                <w:i/>
                <w:color w:val="000000" w:themeColor="text1"/>
                <w:sz w:val="20"/>
                <w:szCs w:val="20"/>
                <w:lang w:val="ro-MD"/>
              </w:rPr>
            </w:pPr>
            <w:r w:rsidRPr="00C606BE">
              <w:rPr>
                <w:i/>
                <w:color w:val="000000" w:themeColor="text1"/>
                <w:sz w:val="20"/>
                <w:szCs w:val="20"/>
                <w:lang w:val="ro-MD"/>
              </w:rPr>
              <w:t>O reprezentanță permanentă se consideră societatea plătitoare a dobânzilor sau royalty doar în cazul în care plățile respective reprezintă cheltuieli deductibile în scopuri fiscale a acesteia.</w:t>
            </w:r>
          </w:p>
        </w:tc>
        <w:tc>
          <w:tcPr>
            <w:tcW w:w="1941" w:type="dxa"/>
          </w:tcPr>
          <w:p w14:paraId="6DBDD501" w14:textId="0D6AF1A3" w:rsidR="00CB5858" w:rsidRPr="00C606BE" w:rsidRDefault="00DB493C"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Compatibil</w:t>
            </w:r>
          </w:p>
        </w:tc>
        <w:tc>
          <w:tcPr>
            <w:tcW w:w="2570" w:type="dxa"/>
          </w:tcPr>
          <w:p w14:paraId="26A1798E" w14:textId="3B8197A3" w:rsidR="00CB5858" w:rsidRPr="00C606BE" w:rsidRDefault="00CB5858" w:rsidP="004E1411">
            <w:pPr>
              <w:jc w:val="both"/>
              <w:rPr>
                <w:rFonts w:ascii="Times New Roman" w:hAnsi="Times New Roman" w:cs="Times New Roman"/>
                <w:color w:val="000000" w:themeColor="text1"/>
                <w:sz w:val="20"/>
                <w:szCs w:val="20"/>
                <w:lang w:val="ro-MD"/>
              </w:rPr>
            </w:pPr>
          </w:p>
        </w:tc>
      </w:tr>
      <w:tr w:rsidR="00C606BE" w:rsidRPr="00C606BE" w14:paraId="41EBB886" w14:textId="77777777" w:rsidTr="00AD035D">
        <w:tc>
          <w:tcPr>
            <w:tcW w:w="5381" w:type="dxa"/>
            <w:gridSpan w:val="2"/>
          </w:tcPr>
          <w:p w14:paraId="587DB12B" w14:textId="77777777" w:rsidR="00CB5858" w:rsidRPr="00C606BE" w:rsidRDefault="00CB5858" w:rsidP="004E1411">
            <w:pPr>
              <w:tabs>
                <w:tab w:val="left" w:pos="276"/>
                <w:tab w:val="left" w:pos="369"/>
              </w:tabs>
              <w:jc w:val="both"/>
              <w:rPr>
                <w:rFonts w:ascii="Times New Roman" w:hAnsi="Times New Roman" w:cs="Times New Roman"/>
                <w:color w:val="000000" w:themeColor="text1"/>
                <w:sz w:val="20"/>
                <w:szCs w:val="20"/>
                <w:highlight w:val="yellow"/>
                <w:lang w:val="ro-MD"/>
              </w:rPr>
            </w:pPr>
            <w:r w:rsidRPr="00C606BE">
              <w:rPr>
                <w:rFonts w:ascii="Times New Roman" w:hAnsi="Times New Roman" w:cs="Times New Roman"/>
                <w:color w:val="000000" w:themeColor="text1"/>
                <w:sz w:val="20"/>
                <w:szCs w:val="20"/>
                <w:shd w:val="clear" w:color="auto" w:fill="FFFFFF"/>
                <w:lang w:val="ro-MD"/>
              </w:rPr>
              <w:t>(4)   O societate dintr-un stat membru nu este considerată beneficiară a dobânzilor sau a redevențelor decât dacă le primește în nume propriu și nu ca reprezentant, de exemplu în calitate de administrator fiduciar sau semnatar autorizat, al unei alte persoane.</w:t>
            </w:r>
          </w:p>
        </w:tc>
        <w:tc>
          <w:tcPr>
            <w:tcW w:w="4137" w:type="dxa"/>
          </w:tcPr>
          <w:p w14:paraId="379BD59A" w14:textId="6C7DB861" w:rsidR="0013521F" w:rsidRPr="00C606BE" w:rsidRDefault="0013521F" w:rsidP="004E1411">
            <w:pPr>
              <w:tabs>
                <w:tab w:val="left" w:pos="993"/>
              </w:tabs>
              <w:ind w:firstLine="33"/>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Articolul 79</w:t>
            </w:r>
            <w:r w:rsidRPr="00C606BE">
              <w:rPr>
                <w:rFonts w:ascii="Times New Roman" w:hAnsi="Times New Roman" w:cs="Times New Roman"/>
                <w:b/>
                <w:color w:val="000000" w:themeColor="text1"/>
                <w:sz w:val="20"/>
                <w:szCs w:val="20"/>
                <w:vertAlign w:val="superscript"/>
                <w:lang w:val="ro-MD"/>
              </w:rPr>
              <w:t>5</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Dispoziții generale privind modul de impozitare a dobânzilor și royalty achitate între societăți asociate din state membre diferite</w:t>
            </w:r>
          </w:p>
          <w:p w14:paraId="2E175514" w14:textId="1B6FC020" w:rsidR="0013521F" w:rsidRPr="00C606BE" w:rsidRDefault="0013521F" w:rsidP="004E1411">
            <w:pPr>
              <w:tabs>
                <w:tab w:val="left" w:pos="458"/>
              </w:tabs>
              <w:ind w:firstLine="33"/>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rPr>
              <w:t>(3)</w:t>
            </w:r>
            <w:r w:rsidRPr="00C606BE">
              <w:rPr>
                <w:rFonts w:ascii="Times New Roman" w:hAnsi="Times New Roman" w:cs="Times New Roman"/>
                <w:color w:val="000000" w:themeColor="text1"/>
                <w:sz w:val="20"/>
                <w:szCs w:val="20"/>
              </w:rPr>
              <w:tab/>
            </w:r>
            <w:r w:rsidRPr="00C606BE">
              <w:rPr>
                <w:rFonts w:ascii="Times New Roman" w:hAnsi="Times New Roman" w:cs="Times New Roman"/>
                <w:color w:val="000000" w:themeColor="text1"/>
                <w:sz w:val="20"/>
                <w:szCs w:val="20"/>
                <w:lang w:val="ro-MD"/>
              </w:rPr>
              <w:t>O societatea a unui stat membru va fi tratată ca beneficiar efectiv a dobânzilor sau royalty doar dacă aceasta recepționează plățile respective pentru beneficiul său propriu și nu ca intermediar pentru o altă persoana (un agent, un fiduciar sau un semnatar autorizat).</w:t>
            </w:r>
          </w:p>
          <w:p w14:paraId="69029383" w14:textId="77777777" w:rsidR="00CB5858" w:rsidRPr="00C606BE" w:rsidRDefault="00CB5858" w:rsidP="004E1411">
            <w:pPr>
              <w:jc w:val="center"/>
              <w:rPr>
                <w:rFonts w:ascii="Times New Roman" w:hAnsi="Times New Roman" w:cs="Times New Roman"/>
                <w:color w:val="000000" w:themeColor="text1"/>
                <w:sz w:val="20"/>
                <w:szCs w:val="20"/>
              </w:rPr>
            </w:pPr>
          </w:p>
        </w:tc>
        <w:tc>
          <w:tcPr>
            <w:tcW w:w="1941" w:type="dxa"/>
          </w:tcPr>
          <w:p w14:paraId="22E20114" w14:textId="5CEE34FB" w:rsidR="00CB5858" w:rsidRPr="00C606BE" w:rsidRDefault="0013521F"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Compatibil</w:t>
            </w:r>
          </w:p>
        </w:tc>
        <w:tc>
          <w:tcPr>
            <w:tcW w:w="2570" w:type="dxa"/>
          </w:tcPr>
          <w:p w14:paraId="535012BD" w14:textId="397372DA" w:rsidR="00CB5858" w:rsidRPr="00C606BE" w:rsidRDefault="00CB5858" w:rsidP="004E1411">
            <w:pPr>
              <w:ind w:left="4"/>
              <w:jc w:val="both"/>
              <w:rPr>
                <w:rFonts w:ascii="Times New Roman" w:eastAsia="Times New Roman" w:hAnsi="Times New Roman" w:cs="Times New Roman"/>
                <w:color w:val="000000" w:themeColor="text1"/>
                <w:sz w:val="20"/>
                <w:szCs w:val="20"/>
                <w:lang w:val="ro-MD"/>
              </w:rPr>
            </w:pPr>
          </w:p>
        </w:tc>
      </w:tr>
      <w:tr w:rsidR="00C606BE" w:rsidRPr="00C606BE" w14:paraId="2A3EE2D5" w14:textId="77777777" w:rsidTr="00AD035D">
        <w:trPr>
          <w:trHeight w:val="3762"/>
        </w:trPr>
        <w:tc>
          <w:tcPr>
            <w:tcW w:w="5381" w:type="dxa"/>
            <w:gridSpan w:val="2"/>
          </w:tcPr>
          <w:p w14:paraId="0B12BAAF" w14:textId="77777777" w:rsidR="00CB5858" w:rsidRPr="00C606BE" w:rsidRDefault="00CB5858" w:rsidP="004E1411">
            <w:pPr>
              <w:shd w:val="clear" w:color="auto" w:fill="FFFFFF"/>
              <w:tabs>
                <w:tab w:val="left" w:pos="276"/>
                <w:tab w:val="left" w:pos="369"/>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lastRenderedPageBreak/>
              <w:t>(5)   Un sediu permanent nu este considerat beneficiar al dobânzilor sau redevențelor decât dacă:</w:t>
            </w:r>
          </w:p>
          <w:p w14:paraId="6890826B" w14:textId="77777777" w:rsidR="00CB5858" w:rsidRPr="00C606BE" w:rsidRDefault="00CB5858" w:rsidP="004E1411">
            <w:pPr>
              <w:shd w:val="clear" w:color="auto" w:fill="FFFFFF"/>
              <w:tabs>
                <w:tab w:val="left" w:pos="276"/>
                <w:tab w:val="left" w:pos="369"/>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xml:space="preserve">(a) creanța, dreptul sau utilizarea unor informații generatoare de dobânzi sau de redevențe sunt legate efectiv de acest sediu și </w:t>
            </w:r>
          </w:p>
          <w:p w14:paraId="0AE84194" w14:textId="77777777" w:rsidR="00CB5858" w:rsidRPr="00C606BE" w:rsidRDefault="00CB5858" w:rsidP="004E1411">
            <w:pPr>
              <w:shd w:val="clear" w:color="auto" w:fill="FFFFFF"/>
              <w:tabs>
                <w:tab w:val="left" w:pos="276"/>
                <w:tab w:val="left" w:pos="369"/>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(b) dacă plățile de dobânzi și de redevențe reprezintă încasări la care se aplică, în statul membru unde se află acest sediu permanent, unul din impozitele menționate în articolul 3 litera (a) punctul (iii) sau, în cazul Belgiei, „impozitul nerezidenților/belasting der niet-verblijfhouders” sau, în cazul Spaniei, „Impuesto sobre la Renta de no Residentes”, sau un impozit de natură identică sau analogă care ar urma să fie stabilit după data de intrare în vigoare a prezentei directive și care s-ar adăuga acestor impozite actuale sau le-ar înlocui.</w:t>
            </w:r>
          </w:p>
        </w:tc>
        <w:tc>
          <w:tcPr>
            <w:tcW w:w="4137" w:type="dxa"/>
          </w:tcPr>
          <w:p w14:paraId="0B28842A" w14:textId="77777777" w:rsidR="00CB5858" w:rsidRPr="00C606BE" w:rsidRDefault="00CB5858" w:rsidP="004E1411">
            <w:pPr>
              <w:jc w:val="both"/>
              <w:rPr>
                <w:rFonts w:ascii="Times New Roman" w:hAnsi="Times New Roman" w:cs="Times New Roman"/>
                <w:color w:val="000000" w:themeColor="text1"/>
                <w:sz w:val="20"/>
                <w:szCs w:val="20"/>
                <w:lang w:val="ro-MD"/>
              </w:rPr>
            </w:pPr>
          </w:p>
        </w:tc>
        <w:tc>
          <w:tcPr>
            <w:tcW w:w="1941" w:type="dxa"/>
          </w:tcPr>
          <w:p w14:paraId="2C62F7FB" w14:textId="1727EF49" w:rsidR="00CB5858" w:rsidRPr="00C606BE" w:rsidRDefault="0013521F"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Norma opțională care nu urmează a fi transpusă</w:t>
            </w:r>
          </w:p>
        </w:tc>
        <w:tc>
          <w:tcPr>
            <w:tcW w:w="2570" w:type="dxa"/>
          </w:tcPr>
          <w:p w14:paraId="6BD01EEA" w14:textId="72137C76" w:rsidR="00CB5858" w:rsidRPr="00C606BE" w:rsidRDefault="00CB5858" w:rsidP="004E1411">
            <w:pPr>
              <w:jc w:val="both"/>
              <w:rPr>
                <w:rFonts w:ascii="Times New Roman" w:hAnsi="Times New Roman" w:cs="Times New Roman"/>
                <w:color w:val="000000" w:themeColor="text1"/>
                <w:sz w:val="20"/>
                <w:szCs w:val="20"/>
                <w:lang w:val="ro-MD"/>
              </w:rPr>
            </w:pPr>
          </w:p>
        </w:tc>
      </w:tr>
      <w:tr w:rsidR="00C606BE" w:rsidRPr="00C606BE" w14:paraId="0DE03AD1" w14:textId="77777777" w:rsidTr="00AD035D">
        <w:tc>
          <w:tcPr>
            <w:tcW w:w="5381" w:type="dxa"/>
            <w:gridSpan w:val="2"/>
          </w:tcPr>
          <w:p w14:paraId="4990C78A" w14:textId="77777777" w:rsidR="00CB5858" w:rsidRPr="00C606BE" w:rsidRDefault="00CB5858" w:rsidP="004E1411">
            <w:pPr>
              <w:pStyle w:val="norm"/>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shd w:val="clear" w:color="auto" w:fill="FFFFFF"/>
                <w:lang w:val="ro-MD"/>
              </w:rPr>
              <w:t>(6)   Dacă un sediu permanent al unei societăți dintr-un stat membru este considerat plătitor sau beneficiar al unor dobânzi sau redevențe, nici o altă parte a societății nu este considerată plătitoare sau beneficiară a dobânzilor sau redevențelor în cauză în sensul prezentului articol.</w:t>
            </w:r>
          </w:p>
        </w:tc>
        <w:tc>
          <w:tcPr>
            <w:tcW w:w="4137" w:type="dxa"/>
          </w:tcPr>
          <w:p w14:paraId="5243E1E2" w14:textId="77777777" w:rsidR="00CB5858" w:rsidRPr="00C606BE" w:rsidRDefault="00CB5858" w:rsidP="004E1411">
            <w:pPr>
              <w:jc w:val="both"/>
              <w:rPr>
                <w:rFonts w:ascii="Times New Roman" w:hAnsi="Times New Roman" w:cs="Times New Roman"/>
                <w:color w:val="000000" w:themeColor="text1"/>
                <w:sz w:val="20"/>
                <w:szCs w:val="20"/>
                <w:lang w:val="ro-MD"/>
              </w:rPr>
            </w:pPr>
          </w:p>
        </w:tc>
        <w:tc>
          <w:tcPr>
            <w:tcW w:w="1941" w:type="dxa"/>
          </w:tcPr>
          <w:p w14:paraId="113D7265" w14:textId="309FC1A8" w:rsidR="00CB5858" w:rsidRPr="00C606BE" w:rsidRDefault="0013521F"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Norma opțională care nu urmează a fi transpusă</w:t>
            </w:r>
          </w:p>
        </w:tc>
        <w:tc>
          <w:tcPr>
            <w:tcW w:w="2570" w:type="dxa"/>
          </w:tcPr>
          <w:p w14:paraId="7D5A579E" w14:textId="7BD51136" w:rsidR="00CB5858" w:rsidRPr="00C606BE" w:rsidRDefault="00CB5858" w:rsidP="004E1411">
            <w:pPr>
              <w:jc w:val="both"/>
              <w:rPr>
                <w:rFonts w:ascii="Times New Roman" w:hAnsi="Times New Roman" w:cs="Times New Roman"/>
                <w:color w:val="000000" w:themeColor="text1"/>
                <w:sz w:val="20"/>
                <w:szCs w:val="20"/>
                <w:lang w:val="ro-MD"/>
              </w:rPr>
            </w:pPr>
          </w:p>
        </w:tc>
      </w:tr>
      <w:tr w:rsidR="00C606BE" w:rsidRPr="00C606BE" w14:paraId="2894059E" w14:textId="77777777" w:rsidTr="00AD035D">
        <w:tc>
          <w:tcPr>
            <w:tcW w:w="5381" w:type="dxa"/>
            <w:gridSpan w:val="2"/>
          </w:tcPr>
          <w:p w14:paraId="6E3D257C" w14:textId="77777777" w:rsidR="00CB5858" w:rsidRPr="00C606BE" w:rsidRDefault="00CB5858" w:rsidP="004E1411">
            <w:pPr>
              <w:pStyle w:val="title-article-norm"/>
              <w:shd w:val="clear" w:color="auto" w:fill="FFFFFF"/>
              <w:tabs>
                <w:tab w:val="left" w:pos="276"/>
                <w:tab w:val="left" w:pos="369"/>
              </w:tabs>
              <w:spacing w:before="0" w:beforeAutospacing="0" w:after="0" w:afterAutospacing="0"/>
              <w:jc w:val="both"/>
              <w:rPr>
                <w:i/>
                <w:iCs/>
                <w:color w:val="000000" w:themeColor="text1"/>
                <w:sz w:val="20"/>
                <w:szCs w:val="20"/>
                <w:lang w:val="ro-MD"/>
              </w:rPr>
            </w:pPr>
            <w:r w:rsidRPr="00C606BE">
              <w:rPr>
                <w:color w:val="000000" w:themeColor="text1"/>
                <w:sz w:val="20"/>
                <w:szCs w:val="20"/>
                <w:shd w:val="clear" w:color="auto" w:fill="FFFFFF"/>
                <w:lang w:val="ro-MD"/>
              </w:rPr>
              <w:t>(7)   Prezentul articol nu se aplică decât în cazul în care societatea care a plătit dobânzile sau redevențele sau societatea al cărei sediu permanent se consideră plătitorul dobânzilor și redevențelor este o societate asociată a societății care este beneficiara plăților în cauză sau al cărei sediu permanent este considerat beneficiarul dobânzilor sau redevențelor în cauză.</w:t>
            </w:r>
          </w:p>
        </w:tc>
        <w:tc>
          <w:tcPr>
            <w:tcW w:w="4137" w:type="dxa"/>
          </w:tcPr>
          <w:p w14:paraId="419CCE79" w14:textId="77777777" w:rsidR="00CB5858" w:rsidRPr="00C606BE" w:rsidRDefault="00AE04C2" w:rsidP="004E1411">
            <w:pPr>
              <w:tabs>
                <w:tab w:val="left" w:pos="1134"/>
              </w:tabs>
              <w:spacing w:after="120"/>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Articolul 79</w:t>
            </w:r>
            <w:r w:rsidRPr="00C606BE">
              <w:rPr>
                <w:rFonts w:ascii="Times New Roman" w:hAnsi="Times New Roman" w:cs="Times New Roman"/>
                <w:b/>
                <w:color w:val="000000" w:themeColor="text1"/>
                <w:sz w:val="20"/>
                <w:szCs w:val="20"/>
                <w:vertAlign w:val="superscript"/>
                <w:lang w:val="ro-MD"/>
              </w:rPr>
              <w:t>5</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Dispoziții generale privind modul de impozitare a dobânzilor și royalty achitate între societăți asociate din state membre diferite</w:t>
            </w:r>
          </w:p>
          <w:p w14:paraId="37A9D817" w14:textId="4D9E3D35" w:rsidR="00AE04C2" w:rsidRPr="00C606BE" w:rsidRDefault="0013521F" w:rsidP="004E1411">
            <w:pPr>
              <w:tabs>
                <w:tab w:val="left" w:pos="323"/>
              </w:tabs>
              <w:spacing w:before="12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(3</w:t>
            </w:r>
            <w:r w:rsidR="00AE04C2" w:rsidRPr="00C606BE">
              <w:rPr>
                <w:rFonts w:ascii="Times New Roman" w:hAnsi="Times New Roman" w:cs="Times New Roman"/>
                <w:color w:val="000000" w:themeColor="text1"/>
                <w:sz w:val="20"/>
                <w:szCs w:val="20"/>
                <w:lang w:val="ro-MD"/>
              </w:rPr>
              <w:t>)</w:t>
            </w:r>
            <w:r w:rsidR="00AE04C2" w:rsidRPr="00C606BE">
              <w:rPr>
                <w:rFonts w:ascii="Times New Roman" w:hAnsi="Times New Roman" w:cs="Times New Roman"/>
                <w:color w:val="000000" w:themeColor="text1"/>
                <w:sz w:val="20"/>
                <w:szCs w:val="20"/>
                <w:lang w:val="ro-MD"/>
              </w:rPr>
              <w:tab/>
              <w:t>Prevederile alin.(1) se aplică doar în cazul în care o societate plătitoare și o societate beneficiară sunt societăți asociate.</w:t>
            </w:r>
          </w:p>
        </w:tc>
        <w:tc>
          <w:tcPr>
            <w:tcW w:w="1941" w:type="dxa"/>
          </w:tcPr>
          <w:p w14:paraId="09D3C5EC" w14:textId="77777777" w:rsidR="00CB5858" w:rsidRPr="00C606BE" w:rsidRDefault="004174FF"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Compatibil</w:t>
            </w:r>
          </w:p>
        </w:tc>
        <w:tc>
          <w:tcPr>
            <w:tcW w:w="2570" w:type="dxa"/>
          </w:tcPr>
          <w:p w14:paraId="1C5CA0DD" w14:textId="77777777" w:rsidR="00CB5858" w:rsidRPr="00C606BE" w:rsidRDefault="00CB5858" w:rsidP="004E1411">
            <w:pPr>
              <w:jc w:val="both"/>
              <w:rPr>
                <w:rFonts w:ascii="Times New Roman" w:hAnsi="Times New Roman" w:cs="Times New Roman"/>
                <w:color w:val="000000" w:themeColor="text1"/>
                <w:sz w:val="20"/>
                <w:szCs w:val="20"/>
                <w:lang w:val="ro-MD"/>
              </w:rPr>
            </w:pPr>
          </w:p>
        </w:tc>
      </w:tr>
      <w:tr w:rsidR="00C606BE" w:rsidRPr="00C606BE" w14:paraId="5B433CBD" w14:textId="77777777" w:rsidTr="00AD035D">
        <w:tc>
          <w:tcPr>
            <w:tcW w:w="5381" w:type="dxa"/>
            <w:gridSpan w:val="2"/>
          </w:tcPr>
          <w:p w14:paraId="51A8553D" w14:textId="77777777" w:rsidR="00CB5858" w:rsidRPr="00C606BE" w:rsidRDefault="00CB5858" w:rsidP="004E1411">
            <w:pPr>
              <w:pStyle w:val="norm"/>
              <w:shd w:val="clear" w:color="auto" w:fill="FFFFFF"/>
              <w:tabs>
                <w:tab w:val="left" w:pos="276"/>
                <w:tab w:val="left" w:pos="369"/>
              </w:tabs>
              <w:spacing w:before="0" w:beforeAutospacing="0" w:after="0" w:afterAutospacing="0"/>
              <w:jc w:val="both"/>
              <w:rPr>
                <w:color w:val="000000" w:themeColor="text1"/>
                <w:sz w:val="20"/>
                <w:szCs w:val="20"/>
                <w:highlight w:val="yellow"/>
                <w:lang w:val="ro-MD"/>
              </w:rPr>
            </w:pPr>
            <w:r w:rsidRPr="00C606BE">
              <w:rPr>
                <w:color w:val="000000" w:themeColor="text1"/>
                <w:sz w:val="20"/>
                <w:szCs w:val="20"/>
                <w:shd w:val="clear" w:color="auto" w:fill="FFFFFF"/>
                <w:lang w:val="ro-MD"/>
              </w:rPr>
              <w:t>(8)   Prezentul articol nu se aplică dacă se plătesc dobânzi sau redevențe de către sau unui sediu permanent al unei societăți dintr-un stat membru situat într-o țară terță, și dacă activitatea societății este desfășurată parțial sau integral de acest sediu permanent.</w:t>
            </w:r>
          </w:p>
        </w:tc>
        <w:tc>
          <w:tcPr>
            <w:tcW w:w="4137" w:type="dxa"/>
          </w:tcPr>
          <w:p w14:paraId="41DAF301" w14:textId="77777777" w:rsidR="00CB5858" w:rsidRPr="00C606BE" w:rsidRDefault="00CB5858" w:rsidP="004E1411">
            <w:pPr>
              <w:jc w:val="both"/>
              <w:rPr>
                <w:rFonts w:ascii="Times New Roman" w:hAnsi="Times New Roman" w:cs="Times New Roman"/>
                <w:color w:val="000000" w:themeColor="text1"/>
                <w:sz w:val="20"/>
                <w:szCs w:val="20"/>
                <w:lang w:val="ro-MD"/>
              </w:rPr>
            </w:pPr>
          </w:p>
        </w:tc>
        <w:tc>
          <w:tcPr>
            <w:tcW w:w="1941" w:type="dxa"/>
          </w:tcPr>
          <w:p w14:paraId="07A95225" w14:textId="478D5B43" w:rsidR="00CB5858" w:rsidRPr="00C606BE" w:rsidRDefault="0013521F"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Norma opțională care nu urmează a fi transpusă</w:t>
            </w:r>
          </w:p>
        </w:tc>
        <w:tc>
          <w:tcPr>
            <w:tcW w:w="2570" w:type="dxa"/>
          </w:tcPr>
          <w:p w14:paraId="05C114AF" w14:textId="77777777" w:rsidR="00CB5858" w:rsidRPr="00C606BE" w:rsidRDefault="00CB5858" w:rsidP="004E1411">
            <w:pPr>
              <w:jc w:val="both"/>
              <w:rPr>
                <w:rFonts w:ascii="Times New Roman" w:hAnsi="Times New Roman" w:cs="Times New Roman"/>
                <w:color w:val="000000" w:themeColor="text1"/>
                <w:sz w:val="20"/>
                <w:szCs w:val="20"/>
                <w:lang w:val="ro-MD"/>
              </w:rPr>
            </w:pPr>
          </w:p>
        </w:tc>
      </w:tr>
      <w:tr w:rsidR="00C606BE" w:rsidRPr="00C606BE" w14:paraId="74BCAF71" w14:textId="77777777" w:rsidTr="00AD035D">
        <w:tc>
          <w:tcPr>
            <w:tcW w:w="5381" w:type="dxa"/>
            <w:gridSpan w:val="2"/>
          </w:tcPr>
          <w:p w14:paraId="3D7DFD38" w14:textId="77777777" w:rsidR="00CB5858" w:rsidRPr="00C606BE" w:rsidRDefault="00CB5858" w:rsidP="004E1411">
            <w:pPr>
              <w:pStyle w:val="norm"/>
              <w:shd w:val="clear" w:color="auto" w:fill="FFFFFF"/>
              <w:tabs>
                <w:tab w:val="left" w:pos="276"/>
                <w:tab w:val="left" w:pos="369"/>
              </w:tabs>
              <w:spacing w:before="0" w:beforeAutospacing="0" w:after="0" w:afterAutospacing="0"/>
              <w:jc w:val="both"/>
              <w:rPr>
                <w:color w:val="000000" w:themeColor="text1"/>
                <w:sz w:val="20"/>
                <w:szCs w:val="20"/>
                <w:highlight w:val="yellow"/>
                <w:lang w:val="ro-MD"/>
              </w:rPr>
            </w:pPr>
            <w:r w:rsidRPr="00C606BE">
              <w:rPr>
                <w:color w:val="000000" w:themeColor="text1"/>
                <w:sz w:val="20"/>
                <w:szCs w:val="20"/>
                <w:shd w:val="clear" w:color="auto" w:fill="FFFFFF"/>
                <w:lang w:val="ro-MD"/>
              </w:rPr>
              <w:t>(9)   Prezentul articol nu împiedică un stat membru să țină cont, la aplicarea legislației sale fiscale, de dobânzile și redevențele percepute de societățile sale, de sediile permanente ale societăților sale sau de sediile permanente situate în acest stat membru.</w:t>
            </w:r>
          </w:p>
        </w:tc>
        <w:tc>
          <w:tcPr>
            <w:tcW w:w="4137" w:type="dxa"/>
          </w:tcPr>
          <w:p w14:paraId="25683007" w14:textId="77777777" w:rsidR="00CB5858" w:rsidRPr="00C606BE" w:rsidRDefault="00CB5858" w:rsidP="004E1411">
            <w:pPr>
              <w:jc w:val="both"/>
              <w:rPr>
                <w:rFonts w:ascii="Times New Roman" w:hAnsi="Times New Roman" w:cs="Times New Roman"/>
                <w:color w:val="000000" w:themeColor="text1"/>
                <w:sz w:val="20"/>
                <w:szCs w:val="20"/>
                <w:lang w:val="ro-MD"/>
              </w:rPr>
            </w:pPr>
          </w:p>
        </w:tc>
        <w:tc>
          <w:tcPr>
            <w:tcW w:w="1941" w:type="dxa"/>
          </w:tcPr>
          <w:p w14:paraId="2907387D" w14:textId="49FA3FC4" w:rsidR="00CB5858" w:rsidRPr="00C606BE" w:rsidRDefault="0013521F"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Norma opțională care nu urmează a fi transpusă</w:t>
            </w:r>
          </w:p>
        </w:tc>
        <w:tc>
          <w:tcPr>
            <w:tcW w:w="2570" w:type="dxa"/>
          </w:tcPr>
          <w:p w14:paraId="150ED2E1" w14:textId="77777777" w:rsidR="00CB5858" w:rsidRPr="00C606BE" w:rsidRDefault="00CB5858" w:rsidP="004E1411">
            <w:pPr>
              <w:jc w:val="center"/>
              <w:rPr>
                <w:rFonts w:ascii="Times New Roman" w:hAnsi="Times New Roman" w:cs="Times New Roman"/>
                <w:color w:val="000000" w:themeColor="text1"/>
                <w:sz w:val="20"/>
                <w:szCs w:val="20"/>
                <w:lang w:val="ro-MD"/>
              </w:rPr>
            </w:pPr>
          </w:p>
        </w:tc>
      </w:tr>
      <w:tr w:rsidR="00C606BE" w:rsidRPr="00C606BE" w14:paraId="340C7C38" w14:textId="77777777" w:rsidTr="00AD035D">
        <w:tc>
          <w:tcPr>
            <w:tcW w:w="5381" w:type="dxa"/>
            <w:gridSpan w:val="2"/>
          </w:tcPr>
          <w:p w14:paraId="05A37A9D" w14:textId="77777777" w:rsidR="004174FF" w:rsidRPr="00C606BE" w:rsidRDefault="004174FF" w:rsidP="004E1411">
            <w:pPr>
              <w:pStyle w:val="norm"/>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shd w:val="clear" w:color="auto" w:fill="FFFFFF"/>
                <w:lang w:val="ro-MD"/>
              </w:rPr>
              <w:t>(10)   Un stat membru are posibilitatea de a nu aplica prezenta directivă unei societăți dintr-un alt stat membru sau unui sediu permanent al unei societăți dintr-un alt stat membru, în cazul în care condițiile prevăzute în articolul 3 litera (b) nu au fost îndeplinite pe o perioadă neîntreruptă de cel puțin doi ani.</w:t>
            </w:r>
          </w:p>
        </w:tc>
        <w:tc>
          <w:tcPr>
            <w:tcW w:w="4137" w:type="dxa"/>
          </w:tcPr>
          <w:p w14:paraId="35930414" w14:textId="77777777" w:rsidR="008E070E" w:rsidRPr="00C606BE" w:rsidRDefault="008E070E" w:rsidP="004E1411">
            <w:pPr>
              <w:tabs>
                <w:tab w:val="left" w:pos="1134"/>
              </w:tabs>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Articolul 79</w:t>
            </w:r>
            <w:r w:rsidRPr="00C606BE">
              <w:rPr>
                <w:rFonts w:ascii="Times New Roman" w:hAnsi="Times New Roman" w:cs="Times New Roman"/>
                <w:b/>
                <w:color w:val="000000" w:themeColor="text1"/>
                <w:sz w:val="20"/>
                <w:szCs w:val="20"/>
                <w:vertAlign w:val="superscript"/>
                <w:lang w:val="ro-MD"/>
              </w:rPr>
              <w:t>5</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Dispoziții generale privind modul de impozitare a dobânzilor și royalty achitate între societăți asociate din state membre diferite</w:t>
            </w:r>
          </w:p>
          <w:p w14:paraId="607655F6" w14:textId="509BE4B1" w:rsidR="004174FF" w:rsidRPr="00C606BE" w:rsidRDefault="0013521F" w:rsidP="004E1411">
            <w:pPr>
              <w:tabs>
                <w:tab w:val="left" w:pos="465"/>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(4</w:t>
            </w:r>
            <w:r w:rsidR="00507A36" w:rsidRPr="00C606BE">
              <w:rPr>
                <w:rFonts w:ascii="Times New Roman" w:hAnsi="Times New Roman" w:cs="Times New Roman"/>
                <w:color w:val="000000" w:themeColor="text1"/>
                <w:sz w:val="20"/>
                <w:szCs w:val="20"/>
                <w:lang w:val="ro-MD"/>
              </w:rPr>
              <w:t xml:space="preserve">) Prevederile alin.(1) nu se aplică unei societăți a unui stat membru sau unei reprezentanțe permanente al unei societăți a unui stat membru dacă societățile respective îndeplinesc condițiile </w:t>
            </w:r>
            <w:r w:rsidR="00507A36" w:rsidRPr="00C606BE">
              <w:rPr>
                <w:rFonts w:ascii="Times New Roman" w:hAnsi="Times New Roman" w:cs="Times New Roman"/>
                <w:color w:val="000000" w:themeColor="text1"/>
                <w:sz w:val="20"/>
                <w:szCs w:val="20"/>
                <w:lang w:val="ro-MD"/>
              </w:rPr>
              <w:lastRenderedPageBreak/>
              <w:t>prevăzute la art.79</w:t>
            </w:r>
            <w:r w:rsidR="00507A36" w:rsidRPr="00C606BE">
              <w:rPr>
                <w:rFonts w:ascii="Times New Roman" w:hAnsi="Times New Roman" w:cs="Times New Roman"/>
                <w:color w:val="000000" w:themeColor="text1"/>
                <w:sz w:val="20"/>
                <w:szCs w:val="20"/>
                <w:vertAlign w:val="superscript"/>
                <w:lang w:val="ro-MD"/>
              </w:rPr>
              <w:t>4</w:t>
            </w:r>
            <w:r w:rsidR="00507A36" w:rsidRPr="00C606BE">
              <w:rPr>
                <w:rFonts w:ascii="Times New Roman" w:hAnsi="Times New Roman" w:cs="Times New Roman"/>
                <w:color w:val="000000" w:themeColor="text1"/>
                <w:sz w:val="20"/>
                <w:szCs w:val="20"/>
                <w:lang w:val="ro-MD"/>
              </w:rPr>
              <w:t xml:space="preserve"> pct.1), dar nu dețin minimum din cote de participație, prevăzute la art.79</w:t>
            </w:r>
            <w:r w:rsidR="00507A36" w:rsidRPr="00C606BE">
              <w:rPr>
                <w:rFonts w:ascii="Times New Roman" w:hAnsi="Times New Roman" w:cs="Times New Roman"/>
                <w:color w:val="000000" w:themeColor="text1"/>
                <w:sz w:val="20"/>
                <w:szCs w:val="20"/>
                <w:vertAlign w:val="superscript"/>
                <w:lang w:val="ro-MD"/>
              </w:rPr>
              <w:t>4</w:t>
            </w:r>
            <w:r w:rsidR="00507A36" w:rsidRPr="00C606BE">
              <w:rPr>
                <w:rFonts w:ascii="Times New Roman" w:hAnsi="Times New Roman" w:cs="Times New Roman"/>
                <w:color w:val="000000" w:themeColor="text1"/>
                <w:sz w:val="20"/>
                <w:szCs w:val="20"/>
                <w:lang w:val="ro-MD"/>
              </w:rPr>
              <w:t xml:space="preserve"> pct.2) pe parcursul 24 de luni în capitalul societății plătitoare de dobânzi sau royalty.</w:t>
            </w:r>
          </w:p>
        </w:tc>
        <w:tc>
          <w:tcPr>
            <w:tcW w:w="1941" w:type="dxa"/>
          </w:tcPr>
          <w:p w14:paraId="36CCADA3" w14:textId="77777777" w:rsidR="004174FF" w:rsidRPr="00C606BE" w:rsidRDefault="004174FF"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lastRenderedPageBreak/>
              <w:t>Compatibil</w:t>
            </w:r>
          </w:p>
        </w:tc>
        <w:tc>
          <w:tcPr>
            <w:tcW w:w="2570" w:type="dxa"/>
          </w:tcPr>
          <w:p w14:paraId="652E15F0" w14:textId="77777777" w:rsidR="004174FF" w:rsidRPr="00C606BE" w:rsidRDefault="004174FF" w:rsidP="004E1411">
            <w:pPr>
              <w:jc w:val="center"/>
              <w:rPr>
                <w:rFonts w:ascii="Times New Roman" w:hAnsi="Times New Roman" w:cs="Times New Roman"/>
                <w:color w:val="000000" w:themeColor="text1"/>
                <w:sz w:val="20"/>
                <w:szCs w:val="20"/>
                <w:lang w:val="ro-MD"/>
              </w:rPr>
            </w:pPr>
          </w:p>
        </w:tc>
      </w:tr>
      <w:tr w:rsidR="00C606BE" w:rsidRPr="00C606BE" w14:paraId="5F1574A9" w14:textId="77777777" w:rsidTr="00AD035D">
        <w:tc>
          <w:tcPr>
            <w:tcW w:w="5381" w:type="dxa"/>
            <w:gridSpan w:val="2"/>
          </w:tcPr>
          <w:p w14:paraId="6D2758F9" w14:textId="77777777" w:rsidR="00043DA1" w:rsidRPr="00C606BE" w:rsidRDefault="00043DA1" w:rsidP="004E1411">
            <w:pPr>
              <w:pStyle w:val="norm"/>
              <w:shd w:val="clear" w:color="auto" w:fill="FFFFFF"/>
              <w:tabs>
                <w:tab w:val="left" w:pos="276"/>
                <w:tab w:val="left" w:pos="369"/>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lastRenderedPageBreak/>
              <w:t>(11)   Statul de origine poate solicita ca, în momentul plății dobânzilor sau redevențelor, respectarea condițiilor definite în prezentul articol și în articolul 3 să fie dovedită printr-o atestare. Dacă la momentul plății nu se face dovada respectării condițiilor din prezentul articol, statul membru poate solicita reținerea la sursă.</w:t>
            </w:r>
          </w:p>
          <w:p w14:paraId="36BDFA7F" w14:textId="4ADF21FA" w:rsidR="00F82FD3" w:rsidRPr="00C606BE" w:rsidRDefault="00F82FD3" w:rsidP="004E1411">
            <w:pPr>
              <w:pStyle w:val="norm"/>
              <w:shd w:val="clear" w:color="auto" w:fill="FFFFFF"/>
              <w:tabs>
                <w:tab w:val="left" w:pos="276"/>
                <w:tab w:val="left" w:pos="369"/>
              </w:tabs>
              <w:spacing w:before="0" w:beforeAutospacing="0" w:after="0" w:afterAutospacing="0"/>
              <w:jc w:val="both"/>
              <w:rPr>
                <w:color w:val="000000" w:themeColor="text1"/>
                <w:sz w:val="20"/>
                <w:szCs w:val="20"/>
                <w:shd w:val="clear" w:color="auto" w:fill="FFFFFF"/>
                <w:lang w:val="ro-MD"/>
              </w:rPr>
            </w:pPr>
          </w:p>
        </w:tc>
        <w:tc>
          <w:tcPr>
            <w:tcW w:w="4137" w:type="dxa"/>
          </w:tcPr>
          <w:p w14:paraId="2DCF6D99" w14:textId="3A0D729E" w:rsidR="00043DA1" w:rsidRPr="00C606BE" w:rsidRDefault="00043DA1" w:rsidP="004E1411">
            <w:pPr>
              <w:tabs>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Articolul 79</w:t>
            </w:r>
            <w:r w:rsidRPr="00C606BE">
              <w:rPr>
                <w:rFonts w:ascii="Times New Roman" w:hAnsi="Times New Roman" w:cs="Times New Roman"/>
                <w:b/>
                <w:color w:val="000000" w:themeColor="text1"/>
                <w:sz w:val="20"/>
                <w:szCs w:val="20"/>
                <w:vertAlign w:val="superscript"/>
                <w:lang w:val="ro-MD"/>
              </w:rPr>
              <w:t>5</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Dispoziții generale privind modul de impozitare a dobânzilor și royalty achitate între societăți asociate din state membre diferite</w:t>
            </w:r>
          </w:p>
          <w:p w14:paraId="313F9854" w14:textId="028A06B0" w:rsidR="00043DA1" w:rsidRPr="00C606BE" w:rsidRDefault="0013521F" w:rsidP="004E1411">
            <w:pPr>
              <w:tabs>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(5</w:t>
            </w:r>
            <w:r w:rsidR="00043DA1" w:rsidRPr="00C606BE">
              <w:rPr>
                <w:rFonts w:ascii="Times New Roman" w:hAnsi="Times New Roman" w:cs="Times New Roman"/>
                <w:color w:val="000000" w:themeColor="text1"/>
                <w:sz w:val="20"/>
                <w:szCs w:val="20"/>
                <w:lang w:val="ro-MD"/>
              </w:rPr>
              <w:t>)</w:t>
            </w:r>
            <w:r w:rsidR="00043DA1" w:rsidRPr="00C606BE">
              <w:rPr>
                <w:rFonts w:ascii="Times New Roman" w:hAnsi="Times New Roman" w:cs="Times New Roman"/>
                <w:color w:val="000000" w:themeColor="text1"/>
                <w:sz w:val="20"/>
                <w:szCs w:val="20"/>
                <w:lang w:val="ro-MD"/>
              </w:rPr>
              <w:tab/>
            </w:r>
            <w:r w:rsidRPr="00C606BE">
              <w:rPr>
                <w:rFonts w:ascii="Times New Roman" w:hAnsi="Times New Roman" w:cs="Times New Roman"/>
                <w:color w:val="000000" w:themeColor="text1"/>
                <w:sz w:val="20"/>
                <w:szCs w:val="20"/>
                <w:lang w:val="ro-MD"/>
              </w:rPr>
              <w:t>Prin derogare de la alin.(4</w:t>
            </w:r>
            <w:r w:rsidR="00507A36" w:rsidRPr="00C606BE">
              <w:rPr>
                <w:rFonts w:ascii="Times New Roman" w:hAnsi="Times New Roman" w:cs="Times New Roman"/>
                <w:color w:val="000000" w:themeColor="text1"/>
                <w:sz w:val="20"/>
                <w:szCs w:val="20"/>
                <w:lang w:val="ro-MD"/>
              </w:rPr>
              <w:t>), societate plătitoare are dreptul de a nu reține impozitul pe venit la sursă de plată cu condiție că aceasta prezintă Serviciului Fiscal de Stat o garanție bancară în mărimea egală a impozitului pe venit care ar fi fost reținut dacă nu s-ar aplicat prezentul alineat. Scutirea de la impozitul pe venit devine definitivă, iar garanția expiră la data la care minimum din cote de participațiuni este deținut cel puțin timp de 24 de luni neîntrerupt.</w:t>
            </w:r>
          </w:p>
        </w:tc>
        <w:tc>
          <w:tcPr>
            <w:tcW w:w="1941" w:type="dxa"/>
          </w:tcPr>
          <w:p w14:paraId="6FC39F36" w14:textId="1EF4A654" w:rsidR="00043DA1" w:rsidRPr="00C606BE" w:rsidRDefault="00043DA1"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Compatibil</w:t>
            </w:r>
          </w:p>
        </w:tc>
        <w:tc>
          <w:tcPr>
            <w:tcW w:w="2570" w:type="dxa"/>
          </w:tcPr>
          <w:p w14:paraId="3EBFCC82" w14:textId="77777777" w:rsidR="00043DA1" w:rsidRPr="00C606BE" w:rsidRDefault="00043DA1" w:rsidP="004E1411">
            <w:pPr>
              <w:jc w:val="center"/>
              <w:rPr>
                <w:rFonts w:ascii="Times New Roman" w:hAnsi="Times New Roman" w:cs="Times New Roman"/>
                <w:color w:val="000000" w:themeColor="text1"/>
                <w:sz w:val="20"/>
                <w:szCs w:val="20"/>
                <w:lang w:val="ro-MD"/>
              </w:rPr>
            </w:pPr>
          </w:p>
        </w:tc>
      </w:tr>
      <w:tr w:rsidR="00C606BE" w:rsidRPr="00C606BE" w14:paraId="117D4F3A" w14:textId="77777777" w:rsidTr="00AD035D">
        <w:tc>
          <w:tcPr>
            <w:tcW w:w="5381" w:type="dxa"/>
            <w:gridSpan w:val="2"/>
          </w:tcPr>
          <w:p w14:paraId="337C5057" w14:textId="64FA164B" w:rsidR="00043DA1" w:rsidRPr="00C606BE" w:rsidRDefault="00043DA1" w:rsidP="004E1411">
            <w:pPr>
              <w:pStyle w:val="norm"/>
              <w:shd w:val="clear" w:color="auto" w:fill="FFFFFF"/>
              <w:tabs>
                <w:tab w:val="left" w:pos="276"/>
                <w:tab w:val="left" w:pos="369"/>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(12)   Statul membru de origine poate condiționa scutirea prevăzută în prezenta directivă de emiterea unei decizii care să acorde efectiv scutirea în urma unei atestări care dovedește respectarea condițiilor din prezentul articol și din articolul 3. O decizie de scutire se emite cel târziu în cele trei luni după prezentarea atestării și a informațiilor justificative pe care statul membru poate să le solicite în mod rezonabil și este valabilă timp de cel puțin un an de la emitere.</w:t>
            </w:r>
          </w:p>
        </w:tc>
        <w:tc>
          <w:tcPr>
            <w:tcW w:w="4137" w:type="dxa"/>
          </w:tcPr>
          <w:p w14:paraId="4322E881" w14:textId="5AEE733E" w:rsidR="00043DA1" w:rsidRPr="00C606BE" w:rsidRDefault="00043DA1" w:rsidP="004E1411">
            <w:pPr>
              <w:tabs>
                <w:tab w:val="left" w:pos="202"/>
                <w:tab w:val="left" w:pos="286"/>
                <w:tab w:val="left" w:pos="323"/>
              </w:tabs>
              <w:jc w:val="both"/>
              <w:rPr>
                <w:rFonts w:ascii="Times New Roman" w:hAnsi="Times New Roman" w:cs="Times New Roman"/>
                <w:color w:val="000000" w:themeColor="text1"/>
                <w:sz w:val="20"/>
                <w:szCs w:val="20"/>
                <w:lang w:val="ro-MD"/>
              </w:rPr>
            </w:pPr>
          </w:p>
        </w:tc>
        <w:tc>
          <w:tcPr>
            <w:tcW w:w="1941" w:type="dxa"/>
          </w:tcPr>
          <w:p w14:paraId="2D3E80F8" w14:textId="1C20ECCA" w:rsidR="00043DA1" w:rsidRPr="00C606BE" w:rsidRDefault="00043DA1" w:rsidP="004E1411">
            <w:pPr>
              <w:jc w:val="center"/>
              <w:rPr>
                <w:rFonts w:ascii="Times New Roman" w:hAnsi="Times New Roman" w:cs="Times New Roman"/>
                <w:color w:val="000000" w:themeColor="text1"/>
                <w:sz w:val="20"/>
                <w:szCs w:val="20"/>
                <w:lang w:val="ro-MD"/>
              </w:rPr>
            </w:pPr>
          </w:p>
        </w:tc>
        <w:tc>
          <w:tcPr>
            <w:tcW w:w="2570" w:type="dxa"/>
          </w:tcPr>
          <w:p w14:paraId="51E67758" w14:textId="77777777" w:rsidR="00043DA1" w:rsidRPr="00C606BE" w:rsidRDefault="00043DA1" w:rsidP="004E1411">
            <w:pPr>
              <w:jc w:val="center"/>
              <w:rPr>
                <w:rFonts w:ascii="Times New Roman" w:hAnsi="Times New Roman" w:cs="Times New Roman"/>
                <w:color w:val="000000" w:themeColor="text1"/>
                <w:sz w:val="20"/>
                <w:szCs w:val="20"/>
                <w:lang w:val="ro-MD"/>
              </w:rPr>
            </w:pPr>
          </w:p>
        </w:tc>
      </w:tr>
      <w:tr w:rsidR="00C606BE" w:rsidRPr="00C606BE" w14:paraId="14F7DB83" w14:textId="77777777" w:rsidTr="00AD035D">
        <w:tc>
          <w:tcPr>
            <w:tcW w:w="5381" w:type="dxa"/>
            <w:gridSpan w:val="2"/>
          </w:tcPr>
          <w:p w14:paraId="31BD4344" w14:textId="77777777" w:rsidR="00C1003A" w:rsidRPr="00C606BE" w:rsidRDefault="00C1003A" w:rsidP="004E1411">
            <w:pPr>
              <w:pStyle w:val="title-article-norm"/>
              <w:shd w:val="clear" w:color="auto" w:fill="FFFFFF"/>
              <w:tabs>
                <w:tab w:val="left" w:pos="276"/>
                <w:tab w:val="left" w:pos="369"/>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(13)   În sensul aplicării alineatelor (11) și (12), atestarea solicitată trebuie, pentru fiecare contract de plată, să fie valabilă timp de cel puțin un an, dar să nu depășească trei ani începând de la data la care a fost redactată și trebuie să conțină următoarele informații:</w:t>
            </w:r>
          </w:p>
          <w:p w14:paraId="44CA467E" w14:textId="77777777" w:rsidR="00C1003A" w:rsidRPr="00C606BE" w:rsidRDefault="00C1003A" w:rsidP="004E1411">
            <w:pPr>
              <w:pStyle w:val="title-article-norm"/>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(a) dovada rezidenței fiscale a societății beneficiare și, dacă este necesar, dovada existenței unui sediu permanent, certificată de administrația fiscală a statului membru în care societatea beneficiară își are rezidența fiscală sau în care este situat sediul permanent;</w:t>
            </w:r>
          </w:p>
          <w:p w14:paraId="1EFF31DB" w14:textId="77777777" w:rsidR="00C1003A" w:rsidRPr="00C606BE" w:rsidRDefault="00C1003A" w:rsidP="004E1411">
            <w:pPr>
              <w:pStyle w:val="title-article-norm"/>
              <w:shd w:val="clear" w:color="auto" w:fill="FFFFFF"/>
              <w:tabs>
                <w:tab w:val="left" w:pos="276"/>
                <w:tab w:val="left" w:pos="369"/>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(b) Indicarea calității de beneficiar a societății în cauză în conformitate cu alineatul (4) sau indicarea faptului că condițiile prevăzute în alineatul (5) sunt îndeplinite în cazul în care beneficiarul plății este un sediu permanent;</w:t>
            </w:r>
          </w:p>
          <w:p w14:paraId="3F286F7B" w14:textId="77777777" w:rsidR="00C1003A" w:rsidRPr="00C606BE" w:rsidRDefault="00C1003A" w:rsidP="004E1411">
            <w:pPr>
              <w:pStyle w:val="title-article-norm"/>
              <w:shd w:val="clear" w:color="auto" w:fill="FFFFFF"/>
              <w:tabs>
                <w:tab w:val="left" w:pos="276"/>
                <w:tab w:val="left" w:pos="369"/>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(c) mențiunea că societatea beneficiară îndeplinește condițiile prevăzute în articolul 3 litera (a) punctul (iii);</w:t>
            </w:r>
          </w:p>
          <w:p w14:paraId="0D49A21F" w14:textId="77777777" w:rsidR="00C1003A" w:rsidRPr="00C606BE" w:rsidRDefault="00C1003A" w:rsidP="004E1411">
            <w:pPr>
              <w:pStyle w:val="title-article-norm"/>
              <w:shd w:val="clear" w:color="auto" w:fill="FFFFFF"/>
              <w:tabs>
                <w:tab w:val="left" w:pos="276"/>
                <w:tab w:val="left" w:pos="369"/>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(d) menționarea deținerii unei participații minime sau a unui număr minim de drepturi de vot în conformitate cu articolul 3 litera (b);</w:t>
            </w:r>
          </w:p>
          <w:p w14:paraId="5CDD29F8" w14:textId="77777777" w:rsidR="00C1003A" w:rsidRPr="00C606BE" w:rsidRDefault="00C1003A" w:rsidP="004E1411">
            <w:pPr>
              <w:pStyle w:val="title-article-norm"/>
              <w:shd w:val="clear" w:color="auto" w:fill="FFFFFF"/>
              <w:tabs>
                <w:tab w:val="left" w:pos="276"/>
                <w:tab w:val="left" w:pos="369"/>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lastRenderedPageBreak/>
              <w:t>(e) menționarea datei de la care există participația menționată la litera (d).</w:t>
            </w:r>
          </w:p>
          <w:p w14:paraId="27191DF5" w14:textId="2B9FFD77" w:rsidR="00C1003A" w:rsidRPr="00C606BE" w:rsidRDefault="00C1003A" w:rsidP="004E1411">
            <w:pPr>
              <w:pStyle w:val="norm"/>
              <w:shd w:val="clear" w:color="auto" w:fill="FFFFFF"/>
              <w:tabs>
                <w:tab w:val="left" w:pos="276"/>
                <w:tab w:val="left" w:pos="369"/>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În afară de asta, statele membre pot solicita justificarea legală a plăților efectuate în temeiul contractului (de exemplu, contract de împrumut sau contract de licență).</w:t>
            </w:r>
          </w:p>
        </w:tc>
        <w:tc>
          <w:tcPr>
            <w:tcW w:w="4137" w:type="dxa"/>
          </w:tcPr>
          <w:p w14:paraId="0AB9B7EF" w14:textId="77777777" w:rsidR="0013521F" w:rsidRPr="00C606BE" w:rsidRDefault="00C1003A" w:rsidP="004E1411">
            <w:pPr>
              <w:tabs>
                <w:tab w:val="left" w:pos="202"/>
                <w:tab w:val="left" w:pos="286"/>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lastRenderedPageBreak/>
              <w:t>Articolul 79</w:t>
            </w:r>
            <w:r w:rsidRPr="00C606BE">
              <w:rPr>
                <w:rFonts w:ascii="Times New Roman" w:hAnsi="Times New Roman" w:cs="Times New Roman"/>
                <w:b/>
                <w:color w:val="000000" w:themeColor="text1"/>
                <w:sz w:val="20"/>
                <w:szCs w:val="20"/>
                <w:vertAlign w:val="superscript"/>
                <w:lang w:val="ro-MD"/>
              </w:rPr>
              <w:t>6</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Dreptul la restituire a impozitului reținut la sursă</w:t>
            </w:r>
          </w:p>
          <w:p w14:paraId="60D12A8F" w14:textId="55467314" w:rsidR="00507A36" w:rsidRPr="00C606BE" w:rsidRDefault="00C1003A" w:rsidP="004E1411">
            <w:pPr>
              <w:tabs>
                <w:tab w:val="left" w:pos="202"/>
                <w:tab w:val="left" w:pos="286"/>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xml:space="preserve">(3) </w:t>
            </w:r>
            <w:r w:rsidR="00507A36" w:rsidRPr="00C606BE">
              <w:rPr>
                <w:rFonts w:ascii="Times New Roman" w:hAnsi="Times New Roman" w:cs="Times New Roman"/>
                <w:color w:val="000000" w:themeColor="text1"/>
                <w:sz w:val="20"/>
                <w:szCs w:val="20"/>
                <w:lang w:val="ro-MD"/>
              </w:rPr>
              <w:t>În sensul alin.(2), informația justificativă trebuie să fie valabilă cel puțin un an de la prezentarea acesteia și să conțină următoarele:</w:t>
            </w:r>
          </w:p>
          <w:p w14:paraId="535AAB81" w14:textId="77777777" w:rsidR="00507A36" w:rsidRPr="00C606BE" w:rsidRDefault="00507A36" w:rsidP="004E1411">
            <w:pPr>
              <w:pStyle w:val="ListParagraph"/>
              <w:numPr>
                <w:ilvl w:val="0"/>
                <w:numId w:val="26"/>
              </w:numPr>
              <w:tabs>
                <w:tab w:val="left" w:pos="323"/>
                <w:tab w:val="left" w:pos="1134"/>
              </w:tabs>
              <w:spacing w:before="120" w:after="120"/>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dovada rezidenței fiscale a societății beneficiare și, dacă este caz, dovada existenței unei reprezentanțe permanente certificate de administrația fiscală a statului membru în care societatea beneficiară își are rezidența fiscală sau în care este situată reprezentanța permanentă;</w:t>
            </w:r>
          </w:p>
          <w:p w14:paraId="587261DB" w14:textId="77777777" w:rsidR="00507A36" w:rsidRPr="00C606BE" w:rsidRDefault="00507A36" w:rsidP="004E1411">
            <w:pPr>
              <w:pStyle w:val="ListParagraph"/>
              <w:numPr>
                <w:ilvl w:val="0"/>
                <w:numId w:val="26"/>
              </w:numPr>
              <w:tabs>
                <w:tab w:val="left" w:pos="323"/>
                <w:tab w:val="left" w:pos="1134"/>
              </w:tabs>
              <w:spacing w:before="120" w:after="120"/>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dovada că societatea beneficiară îndeplinește condițiile prevăzute la art.79</w:t>
            </w:r>
            <w:r w:rsidRPr="00C606BE">
              <w:rPr>
                <w:rFonts w:ascii="Times New Roman" w:hAnsi="Times New Roman" w:cs="Times New Roman"/>
                <w:color w:val="000000" w:themeColor="text1"/>
                <w:sz w:val="20"/>
                <w:szCs w:val="20"/>
                <w:vertAlign w:val="superscript"/>
                <w:lang w:val="ro-MD"/>
              </w:rPr>
              <w:t xml:space="preserve">4 </w:t>
            </w:r>
            <w:r w:rsidRPr="00C606BE">
              <w:rPr>
                <w:rFonts w:ascii="Times New Roman" w:hAnsi="Times New Roman" w:cs="Times New Roman"/>
                <w:color w:val="000000" w:themeColor="text1"/>
                <w:sz w:val="20"/>
                <w:szCs w:val="20"/>
                <w:lang w:val="ro-MD"/>
              </w:rPr>
              <w:t>pct.1) subpct.c);</w:t>
            </w:r>
          </w:p>
          <w:p w14:paraId="36DBE631" w14:textId="77777777" w:rsidR="004564E6" w:rsidRPr="00C606BE" w:rsidRDefault="00507A36" w:rsidP="004E1411">
            <w:pPr>
              <w:pStyle w:val="ListParagraph"/>
              <w:numPr>
                <w:ilvl w:val="0"/>
                <w:numId w:val="26"/>
              </w:numPr>
              <w:tabs>
                <w:tab w:val="left" w:pos="323"/>
                <w:tab w:val="left" w:pos="1134"/>
              </w:tabs>
              <w:spacing w:before="120" w:after="120"/>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dovada că societatea beneficiară deține minimum din cote de participație în conformitate cu art.79</w:t>
            </w:r>
            <w:r w:rsidRPr="00C606BE">
              <w:rPr>
                <w:rFonts w:ascii="Times New Roman" w:hAnsi="Times New Roman" w:cs="Times New Roman"/>
                <w:color w:val="000000" w:themeColor="text1"/>
                <w:sz w:val="20"/>
                <w:szCs w:val="20"/>
                <w:vertAlign w:val="superscript"/>
                <w:lang w:val="ro-MD"/>
              </w:rPr>
              <w:t>4</w:t>
            </w:r>
            <w:r w:rsidRPr="00C606BE">
              <w:rPr>
                <w:rFonts w:ascii="Times New Roman" w:hAnsi="Times New Roman" w:cs="Times New Roman"/>
                <w:color w:val="000000" w:themeColor="text1"/>
                <w:sz w:val="20"/>
                <w:szCs w:val="20"/>
                <w:lang w:val="ro-MD"/>
              </w:rPr>
              <w:t xml:space="preserve"> pct.2);</w:t>
            </w:r>
          </w:p>
          <w:p w14:paraId="4EF1F4E9" w14:textId="32D52AE8" w:rsidR="00C1003A" w:rsidRPr="00C606BE" w:rsidRDefault="00507A36" w:rsidP="004E1411">
            <w:pPr>
              <w:pStyle w:val="ListParagraph"/>
              <w:numPr>
                <w:ilvl w:val="0"/>
                <w:numId w:val="26"/>
              </w:numPr>
              <w:tabs>
                <w:tab w:val="left" w:pos="323"/>
                <w:tab w:val="left" w:pos="1134"/>
              </w:tabs>
              <w:spacing w:before="120" w:after="120"/>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informația privind data de la care există cota de participația prevăzută la art.79</w:t>
            </w:r>
            <w:r w:rsidRPr="00C606BE">
              <w:rPr>
                <w:rFonts w:ascii="Times New Roman" w:hAnsi="Times New Roman" w:cs="Times New Roman"/>
                <w:color w:val="000000" w:themeColor="text1"/>
                <w:sz w:val="20"/>
                <w:szCs w:val="20"/>
                <w:vertAlign w:val="superscript"/>
                <w:lang w:val="ro-MD"/>
              </w:rPr>
              <w:t>4</w:t>
            </w:r>
            <w:r w:rsidRPr="00C606BE">
              <w:rPr>
                <w:rFonts w:ascii="Times New Roman" w:hAnsi="Times New Roman" w:cs="Times New Roman"/>
                <w:color w:val="000000" w:themeColor="text1"/>
                <w:sz w:val="20"/>
                <w:szCs w:val="20"/>
                <w:lang w:val="ro-MD"/>
              </w:rPr>
              <w:t xml:space="preserve"> pct.2).</w:t>
            </w:r>
          </w:p>
          <w:p w14:paraId="099EFBCD" w14:textId="714FDEE4" w:rsidR="00214C16" w:rsidRPr="00C606BE" w:rsidRDefault="00214C16" w:rsidP="004E1411">
            <w:pPr>
              <w:tabs>
                <w:tab w:val="left" w:pos="202"/>
                <w:tab w:val="left" w:pos="286"/>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lastRenderedPageBreak/>
              <w:t>(4)</w:t>
            </w:r>
            <w:r w:rsidRPr="00C606BE">
              <w:rPr>
                <w:rFonts w:ascii="Times New Roman" w:hAnsi="Times New Roman" w:cs="Times New Roman"/>
                <w:color w:val="000000" w:themeColor="text1"/>
                <w:sz w:val="20"/>
                <w:szCs w:val="20"/>
                <w:lang w:val="ro-MD"/>
              </w:rPr>
              <w:tab/>
              <w:t xml:space="preserve"> Prin derogare de la prevederile alin.(3), Serviciul Fiscal de Stat poate solicita suplimentar oricare informați</w:t>
            </w:r>
            <w:r w:rsidR="00507A36" w:rsidRPr="00C606BE">
              <w:rPr>
                <w:rFonts w:ascii="Times New Roman" w:hAnsi="Times New Roman" w:cs="Times New Roman"/>
                <w:color w:val="000000" w:themeColor="text1"/>
                <w:sz w:val="20"/>
                <w:szCs w:val="20"/>
                <w:lang w:val="ro-MD"/>
              </w:rPr>
              <w:t>e</w:t>
            </w:r>
            <w:r w:rsidRPr="00C606BE">
              <w:rPr>
                <w:rFonts w:ascii="Times New Roman" w:hAnsi="Times New Roman" w:cs="Times New Roman"/>
                <w:color w:val="000000" w:themeColor="text1"/>
                <w:sz w:val="20"/>
                <w:szCs w:val="20"/>
                <w:lang w:val="ro-MD"/>
              </w:rPr>
              <w:t xml:space="preserve"> care consideră necesară pentru efectuarea restituirii impozitului pe venit reținut la sursă.</w:t>
            </w:r>
          </w:p>
        </w:tc>
        <w:tc>
          <w:tcPr>
            <w:tcW w:w="1941" w:type="dxa"/>
          </w:tcPr>
          <w:p w14:paraId="332E9900" w14:textId="3628D2AE" w:rsidR="00C1003A" w:rsidRPr="00C606BE" w:rsidRDefault="00214C16"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lastRenderedPageBreak/>
              <w:t>Compatibil</w:t>
            </w:r>
          </w:p>
        </w:tc>
        <w:tc>
          <w:tcPr>
            <w:tcW w:w="2570" w:type="dxa"/>
          </w:tcPr>
          <w:p w14:paraId="1DB07150" w14:textId="77777777" w:rsidR="00C1003A" w:rsidRPr="00C606BE" w:rsidRDefault="00C1003A" w:rsidP="004E1411">
            <w:pPr>
              <w:jc w:val="center"/>
              <w:rPr>
                <w:rFonts w:ascii="Times New Roman" w:hAnsi="Times New Roman" w:cs="Times New Roman"/>
                <w:color w:val="000000" w:themeColor="text1"/>
                <w:sz w:val="20"/>
                <w:szCs w:val="20"/>
                <w:lang w:val="ro-MD"/>
              </w:rPr>
            </w:pPr>
          </w:p>
        </w:tc>
      </w:tr>
      <w:tr w:rsidR="00C606BE" w:rsidRPr="00C606BE" w14:paraId="3B46D3A3" w14:textId="77777777" w:rsidTr="00AD035D">
        <w:tc>
          <w:tcPr>
            <w:tcW w:w="5381" w:type="dxa"/>
            <w:gridSpan w:val="2"/>
          </w:tcPr>
          <w:p w14:paraId="2E5BBAA2" w14:textId="29B250AD" w:rsidR="00C1003A" w:rsidRPr="00C606BE" w:rsidRDefault="00C1003A" w:rsidP="004E1411">
            <w:pPr>
              <w:pStyle w:val="title-article-norm"/>
              <w:shd w:val="clear" w:color="auto" w:fill="FFFFFF"/>
              <w:tabs>
                <w:tab w:val="left" w:pos="276"/>
                <w:tab w:val="left" w:pos="369"/>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lastRenderedPageBreak/>
              <w:t>(14)   În cazul în care condițiile necesare pentru scutire nu mai sunt îndeplinite, societatea beneficiară sau sediul permanent informează imediat societatea sau sediul permanent plătitor în legătură cu aceasta și, dacă statul de origine cere acest lucru, informează și autoritatea competentă din statul de origine.</w:t>
            </w:r>
          </w:p>
        </w:tc>
        <w:tc>
          <w:tcPr>
            <w:tcW w:w="4137" w:type="dxa"/>
          </w:tcPr>
          <w:p w14:paraId="01B52BB9" w14:textId="0817DB52" w:rsidR="00C1003A" w:rsidRPr="00C606BE" w:rsidRDefault="00C1003A" w:rsidP="004E1411">
            <w:pPr>
              <w:tabs>
                <w:tab w:val="left" w:pos="166"/>
                <w:tab w:val="left" w:pos="323"/>
                <w:tab w:val="left" w:pos="465"/>
              </w:tabs>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Articolul 79</w:t>
            </w:r>
            <w:r w:rsidRPr="00C606BE">
              <w:rPr>
                <w:rFonts w:ascii="Times New Roman" w:hAnsi="Times New Roman" w:cs="Times New Roman"/>
                <w:b/>
                <w:color w:val="000000" w:themeColor="text1"/>
                <w:sz w:val="20"/>
                <w:szCs w:val="20"/>
                <w:vertAlign w:val="superscript"/>
                <w:lang w:val="ro-MD"/>
              </w:rPr>
              <w:t>5</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Dispoziții generale privind modul de impozitare a dobânzilor și royalty achitate între societăți asociate din state membre diferite</w:t>
            </w:r>
          </w:p>
          <w:p w14:paraId="1013A1E9" w14:textId="7ADF91E9" w:rsidR="00C1003A" w:rsidRPr="00C606BE" w:rsidRDefault="0013521F" w:rsidP="004E1411">
            <w:pPr>
              <w:tabs>
                <w:tab w:val="left" w:pos="166"/>
                <w:tab w:val="left" w:pos="323"/>
                <w:tab w:val="left" w:pos="465"/>
                <w:tab w:val="left" w:pos="1134"/>
              </w:tabs>
              <w:spacing w:before="120" w:after="12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(6</w:t>
            </w:r>
            <w:r w:rsidR="00C1003A" w:rsidRPr="00C606BE">
              <w:rPr>
                <w:rFonts w:ascii="Times New Roman" w:hAnsi="Times New Roman" w:cs="Times New Roman"/>
                <w:color w:val="000000" w:themeColor="text1"/>
                <w:sz w:val="20"/>
                <w:szCs w:val="20"/>
                <w:lang w:val="ro-MD"/>
              </w:rPr>
              <w:t xml:space="preserve">) </w:t>
            </w:r>
            <w:r w:rsidR="00C1003A" w:rsidRPr="00C606BE">
              <w:rPr>
                <w:rFonts w:ascii="Times New Roman" w:hAnsi="Times New Roman" w:cs="Times New Roman"/>
                <w:color w:val="000000" w:themeColor="text1"/>
                <w:sz w:val="20"/>
                <w:szCs w:val="20"/>
                <w:lang w:val="ro-MD"/>
              </w:rPr>
              <w:tab/>
            </w:r>
            <w:r w:rsidR="00C24303" w:rsidRPr="00C606BE">
              <w:rPr>
                <w:rFonts w:ascii="Times New Roman" w:hAnsi="Times New Roman" w:cs="Times New Roman"/>
                <w:color w:val="000000" w:themeColor="text1"/>
                <w:sz w:val="20"/>
                <w:szCs w:val="20"/>
                <w:lang w:val="ro-MD"/>
              </w:rPr>
              <w:t>În cazul în care o garanție bancară a fost acordată Serviciului F</w:t>
            </w:r>
            <w:r w:rsidRPr="00C606BE">
              <w:rPr>
                <w:rFonts w:ascii="Times New Roman" w:hAnsi="Times New Roman" w:cs="Times New Roman"/>
                <w:color w:val="000000" w:themeColor="text1"/>
                <w:sz w:val="20"/>
                <w:szCs w:val="20"/>
                <w:lang w:val="ro-MD"/>
              </w:rPr>
              <w:t>iscal de Stat în temeiul alin.(5</w:t>
            </w:r>
            <w:r w:rsidR="00C24303" w:rsidRPr="00C606BE">
              <w:rPr>
                <w:rFonts w:ascii="Times New Roman" w:hAnsi="Times New Roman" w:cs="Times New Roman"/>
                <w:color w:val="000000" w:themeColor="text1"/>
                <w:sz w:val="20"/>
                <w:szCs w:val="20"/>
                <w:lang w:val="ro-MD"/>
              </w:rPr>
              <w:t xml:space="preserve">), iar condițiile stabilite pentru acordarea scutiri de plată a impozitului pe venit nu se consideră a fi </w:t>
            </w:r>
            <w:r w:rsidR="004564E6" w:rsidRPr="00C606BE">
              <w:rPr>
                <w:rFonts w:ascii="Times New Roman" w:hAnsi="Times New Roman" w:cs="Times New Roman"/>
                <w:color w:val="000000" w:themeColor="text1"/>
                <w:sz w:val="20"/>
                <w:szCs w:val="20"/>
                <w:lang w:val="ro-MD"/>
              </w:rPr>
              <w:t>îndeplinite</w:t>
            </w:r>
            <w:r w:rsidR="00C24303" w:rsidRPr="00C606BE">
              <w:rPr>
                <w:rFonts w:ascii="Times New Roman" w:hAnsi="Times New Roman" w:cs="Times New Roman"/>
                <w:color w:val="000000" w:themeColor="text1"/>
                <w:sz w:val="20"/>
                <w:szCs w:val="20"/>
                <w:lang w:val="ro-MD"/>
              </w:rPr>
              <w:t xml:space="preserve"> în orice moment înainte de expirarea garanției bancare, societate beneficiară a dobânzilor sau royalty informează societatea plătitoare și Serviciul Fiscal de Stat, în termen de 3 zile lucrătoare și Serviciul Fiscal de Stat execută garanția bancară.</w:t>
            </w:r>
          </w:p>
        </w:tc>
        <w:tc>
          <w:tcPr>
            <w:tcW w:w="1941" w:type="dxa"/>
          </w:tcPr>
          <w:p w14:paraId="5C371EF1" w14:textId="7246BE04" w:rsidR="00C1003A" w:rsidRPr="00C606BE" w:rsidRDefault="00C1003A"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Compatibil</w:t>
            </w:r>
          </w:p>
        </w:tc>
        <w:tc>
          <w:tcPr>
            <w:tcW w:w="2570" w:type="dxa"/>
          </w:tcPr>
          <w:p w14:paraId="49AADF56" w14:textId="77777777" w:rsidR="00C1003A" w:rsidRPr="00C606BE" w:rsidRDefault="00C1003A" w:rsidP="004E1411">
            <w:pPr>
              <w:jc w:val="center"/>
              <w:rPr>
                <w:rFonts w:ascii="Times New Roman" w:hAnsi="Times New Roman" w:cs="Times New Roman"/>
                <w:color w:val="000000" w:themeColor="text1"/>
                <w:sz w:val="20"/>
                <w:szCs w:val="20"/>
                <w:lang w:val="ro-MD"/>
              </w:rPr>
            </w:pPr>
          </w:p>
        </w:tc>
      </w:tr>
      <w:tr w:rsidR="00C606BE" w:rsidRPr="00C606BE" w14:paraId="669AA9DD" w14:textId="77777777" w:rsidTr="00AD035D">
        <w:tc>
          <w:tcPr>
            <w:tcW w:w="5381" w:type="dxa"/>
            <w:gridSpan w:val="2"/>
          </w:tcPr>
          <w:p w14:paraId="31E87D11" w14:textId="77777777" w:rsidR="00C1003A" w:rsidRPr="00C606BE" w:rsidRDefault="00C1003A" w:rsidP="004E1411">
            <w:pPr>
              <w:pStyle w:val="norm"/>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shd w:val="clear" w:color="auto" w:fill="FFFFFF"/>
                <w:lang w:val="ro-MD"/>
              </w:rPr>
              <w:t>(15)   Dacă societatea sau sediul permanent plătitor a reținut la sursă un impozit care trebuie să beneficieze de o scutire în temeiul prezentului articol, se poate face o cerere de rambursare pentru reținerea la sursă. Statul membru poate solicita informațiile prevăzute în alineatul (13). Cererea de rambursare trebuie înaintată în termenul stabilit. Acest termen este de cel puțin doi ani de la data la care sunt plătite dobânzile sau redevențele.</w:t>
            </w:r>
          </w:p>
        </w:tc>
        <w:tc>
          <w:tcPr>
            <w:tcW w:w="4137" w:type="dxa"/>
          </w:tcPr>
          <w:p w14:paraId="78275C88" w14:textId="77777777" w:rsidR="00C1003A" w:rsidRPr="00C606BE" w:rsidRDefault="00C1003A" w:rsidP="004E1411">
            <w:pPr>
              <w:tabs>
                <w:tab w:val="left" w:pos="346"/>
                <w:tab w:val="left" w:pos="993"/>
              </w:tabs>
              <w:spacing w:after="120"/>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Articolul 79</w:t>
            </w:r>
            <w:r w:rsidRPr="00C606BE">
              <w:rPr>
                <w:rFonts w:ascii="Times New Roman" w:hAnsi="Times New Roman" w:cs="Times New Roman"/>
                <w:b/>
                <w:color w:val="000000" w:themeColor="text1"/>
                <w:sz w:val="20"/>
                <w:szCs w:val="20"/>
                <w:vertAlign w:val="superscript"/>
                <w:lang w:val="ro-MD"/>
              </w:rPr>
              <w:t>6</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Dreptul la restituire a impozitului reținut la sursă</w:t>
            </w:r>
          </w:p>
          <w:p w14:paraId="1915CFEF" w14:textId="457AEF50" w:rsidR="00C1003A" w:rsidRPr="00C606BE" w:rsidRDefault="00C1003A" w:rsidP="004E1411">
            <w:pPr>
              <w:tabs>
                <w:tab w:val="left" w:pos="346"/>
                <w:tab w:val="left" w:pos="993"/>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(1)</w:t>
            </w:r>
            <w:r w:rsidRPr="00C606BE">
              <w:rPr>
                <w:rFonts w:ascii="Times New Roman" w:hAnsi="Times New Roman" w:cs="Times New Roman"/>
                <w:color w:val="000000" w:themeColor="text1"/>
                <w:sz w:val="20"/>
                <w:szCs w:val="20"/>
                <w:lang w:val="ro-MD"/>
              </w:rPr>
              <w:tab/>
            </w:r>
            <w:r w:rsidR="00C24303" w:rsidRPr="00C606BE">
              <w:rPr>
                <w:rFonts w:ascii="Times New Roman" w:hAnsi="Times New Roman" w:cs="Times New Roman"/>
                <w:color w:val="000000" w:themeColor="text1"/>
                <w:sz w:val="20"/>
                <w:szCs w:val="20"/>
                <w:lang w:val="ro-MD"/>
              </w:rPr>
              <w:t>În cazul în care societatea plătitoare a reținut impozitul pe venit din dobânzile sau royalty care sunt eligibile pentru scutirea de la impozitul pe venit, aceasta are dreptul să solicite restituirea impozitului pe venit reținut, prin depunerea cererii la Serviciul Fiscal de Stat după cel puțin doi ani de la efectuarea plății.</w:t>
            </w:r>
          </w:p>
        </w:tc>
        <w:tc>
          <w:tcPr>
            <w:tcW w:w="1941" w:type="dxa"/>
          </w:tcPr>
          <w:p w14:paraId="74D6C77B" w14:textId="77777777" w:rsidR="00C1003A" w:rsidRPr="00C606BE" w:rsidRDefault="00C1003A"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Compatibil</w:t>
            </w:r>
          </w:p>
        </w:tc>
        <w:tc>
          <w:tcPr>
            <w:tcW w:w="2570" w:type="dxa"/>
          </w:tcPr>
          <w:p w14:paraId="6EAFBAB5" w14:textId="77777777" w:rsidR="00C1003A" w:rsidRPr="00C606BE" w:rsidRDefault="00C1003A" w:rsidP="004E1411">
            <w:pPr>
              <w:jc w:val="center"/>
              <w:rPr>
                <w:rFonts w:ascii="Times New Roman" w:hAnsi="Times New Roman" w:cs="Times New Roman"/>
                <w:color w:val="000000" w:themeColor="text1"/>
                <w:sz w:val="20"/>
                <w:szCs w:val="20"/>
                <w:lang w:val="ro-MD"/>
              </w:rPr>
            </w:pPr>
          </w:p>
        </w:tc>
      </w:tr>
      <w:tr w:rsidR="00C606BE" w:rsidRPr="00C606BE" w14:paraId="08872258" w14:textId="77777777" w:rsidTr="00AD035D">
        <w:tc>
          <w:tcPr>
            <w:tcW w:w="5381" w:type="dxa"/>
            <w:gridSpan w:val="2"/>
          </w:tcPr>
          <w:p w14:paraId="567363B8" w14:textId="77777777" w:rsidR="00C1003A" w:rsidRPr="00C606BE" w:rsidRDefault="00C1003A" w:rsidP="004E1411">
            <w:pPr>
              <w:pStyle w:val="norm"/>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shd w:val="clear" w:color="auto" w:fill="FFFFFF"/>
                <w:lang w:val="ro-MD"/>
              </w:rPr>
              <w:t>(16)   Statul de origine rambursează surplusul de impozit reținut la sursă în termen de un an de la primirea cererii și a informațiilor justificative pe care le poate solicita în mod rezonabil. Dacă impozitul reținut la sursă nu a fost rambursat în acest termen, societatea beneficiară sau sediul permanent au dreptul, la expirarea acestui termen de un an, la dobândă pe impozitul care este rambursat, la o rată corespunzătoare ratei dobânzii naționale aplicabile în cazuri comparabile în temeiul legislației naționale a statului membru de origine.</w:t>
            </w:r>
          </w:p>
        </w:tc>
        <w:tc>
          <w:tcPr>
            <w:tcW w:w="4137" w:type="dxa"/>
          </w:tcPr>
          <w:p w14:paraId="0ACA9F12" w14:textId="77777777" w:rsidR="00C1003A" w:rsidRPr="00C606BE" w:rsidRDefault="00C1003A" w:rsidP="004E1411">
            <w:pPr>
              <w:tabs>
                <w:tab w:val="left" w:pos="323"/>
                <w:tab w:val="left" w:pos="993"/>
              </w:tabs>
              <w:spacing w:after="120"/>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Articolul 79</w:t>
            </w:r>
            <w:r w:rsidRPr="00C606BE">
              <w:rPr>
                <w:rFonts w:ascii="Times New Roman" w:hAnsi="Times New Roman" w:cs="Times New Roman"/>
                <w:b/>
                <w:color w:val="000000" w:themeColor="text1"/>
                <w:sz w:val="20"/>
                <w:szCs w:val="20"/>
                <w:vertAlign w:val="superscript"/>
                <w:lang w:val="ro-MD"/>
              </w:rPr>
              <w:t>6</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Dreptul la restituire a impozitului reținut la sursă</w:t>
            </w:r>
          </w:p>
          <w:p w14:paraId="1A453E4C" w14:textId="163EED60" w:rsidR="00C1003A" w:rsidRPr="00C606BE" w:rsidRDefault="00C1003A" w:rsidP="004E1411">
            <w:pPr>
              <w:tabs>
                <w:tab w:val="left" w:pos="323"/>
                <w:tab w:val="left" w:pos="1134"/>
              </w:tabs>
              <w:spacing w:before="120" w:after="12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(2)</w:t>
            </w:r>
            <w:r w:rsidRPr="00C606BE">
              <w:rPr>
                <w:rFonts w:ascii="Times New Roman" w:hAnsi="Times New Roman" w:cs="Times New Roman"/>
                <w:color w:val="000000" w:themeColor="text1"/>
                <w:sz w:val="20"/>
                <w:szCs w:val="20"/>
                <w:lang w:val="ro-MD"/>
              </w:rPr>
              <w:tab/>
              <w:t xml:space="preserve"> </w:t>
            </w:r>
            <w:r w:rsidR="00C24303" w:rsidRPr="00C606BE">
              <w:rPr>
                <w:rFonts w:ascii="Times New Roman" w:hAnsi="Times New Roman" w:cs="Times New Roman"/>
                <w:color w:val="000000" w:themeColor="text1"/>
                <w:sz w:val="20"/>
                <w:szCs w:val="20"/>
                <w:lang w:val="ro-MD"/>
              </w:rPr>
              <w:t>În cazul în care Serviciul Fiscal de Stat a primit o cerere de restituire și toată informația justificativă pe care a solicitat-o, restituirea impozitului pe venit se efectuează în termen de un an de la primirea cererii.</w:t>
            </w:r>
          </w:p>
        </w:tc>
        <w:tc>
          <w:tcPr>
            <w:tcW w:w="1941" w:type="dxa"/>
          </w:tcPr>
          <w:p w14:paraId="6D73AB65" w14:textId="77777777" w:rsidR="00C1003A" w:rsidRPr="00C606BE" w:rsidRDefault="00C1003A"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xml:space="preserve">Parțial compatibil </w:t>
            </w:r>
          </w:p>
        </w:tc>
        <w:tc>
          <w:tcPr>
            <w:tcW w:w="2570" w:type="dxa"/>
          </w:tcPr>
          <w:p w14:paraId="09832DF7" w14:textId="77777777" w:rsidR="00C1003A" w:rsidRPr="00C606BE" w:rsidRDefault="00C1003A" w:rsidP="004E1411">
            <w:pPr>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Proiectul de lege nu prevede normele cu privire la aplicarea unei dobânzi pentru autorități în cazul nerambursării în termen a sumei impozitului pe venit reținut. Această normă deja se regăsește în art.176 alin.(3) din Codul fiscal.</w:t>
            </w:r>
          </w:p>
        </w:tc>
      </w:tr>
      <w:tr w:rsidR="00C606BE" w:rsidRPr="00C606BE" w14:paraId="3A31899F" w14:textId="77777777" w:rsidTr="00AD035D">
        <w:tc>
          <w:tcPr>
            <w:tcW w:w="5381" w:type="dxa"/>
            <w:gridSpan w:val="2"/>
          </w:tcPr>
          <w:p w14:paraId="433D33A1" w14:textId="77777777" w:rsidR="00C1003A" w:rsidRPr="00C606BE" w:rsidRDefault="00C1003A" w:rsidP="004E1411">
            <w:pPr>
              <w:pStyle w:val="ti-art"/>
              <w:shd w:val="clear" w:color="auto" w:fill="FFFFFF"/>
              <w:tabs>
                <w:tab w:val="left" w:pos="276"/>
                <w:tab w:val="left" w:pos="369"/>
              </w:tabs>
              <w:spacing w:before="0" w:beforeAutospacing="0" w:after="0" w:afterAutospacing="0"/>
              <w:jc w:val="center"/>
              <w:rPr>
                <w:i/>
                <w:iCs/>
                <w:color w:val="000000" w:themeColor="text1"/>
                <w:sz w:val="20"/>
                <w:szCs w:val="20"/>
                <w:lang w:val="ro-MD"/>
              </w:rPr>
            </w:pPr>
            <w:r w:rsidRPr="00C606BE">
              <w:rPr>
                <w:i/>
                <w:iCs/>
                <w:color w:val="000000" w:themeColor="text1"/>
                <w:sz w:val="20"/>
                <w:szCs w:val="20"/>
                <w:lang w:val="ro-MD"/>
              </w:rPr>
              <w:t>Articolul 2</w:t>
            </w:r>
          </w:p>
          <w:p w14:paraId="1DF28108" w14:textId="77777777" w:rsidR="00C1003A" w:rsidRPr="00C606BE" w:rsidRDefault="00C1003A" w:rsidP="004E1411">
            <w:pPr>
              <w:pStyle w:val="sti-art"/>
              <w:shd w:val="clear" w:color="auto" w:fill="FFFFFF"/>
              <w:tabs>
                <w:tab w:val="left" w:pos="276"/>
                <w:tab w:val="left" w:pos="369"/>
              </w:tabs>
              <w:spacing w:before="0" w:beforeAutospacing="0" w:after="0" w:afterAutospacing="0"/>
              <w:jc w:val="center"/>
              <w:rPr>
                <w:b/>
                <w:bCs/>
                <w:color w:val="000000" w:themeColor="text1"/>
                <w:sz w:val="20"/>
                <w:szCs w:val="20"/>
                <w:lang w:val="ro-MD"/>
              </w:rPr>
            </w:pPr>
            <w:r w:rsidRPr="00C606BE">
              <w:rPr>
                <w:b/>
                <w:bCs/>
                <w:color w:val="000000" w:themeColor="text1"/>
                <w:sz w:val="20"/>
                <w:szCs w:val="20"/>
                <w:lang w:val="ro-MD"/>
              </w:rPr>
              <w:t>Definiția dobânzilor și a redevențelor</w:t>
            </w:r>
          </w:p>
          <w:p w14:paraId="7B4CC5B4" w14:textId="77777777" w:rsidR="00C1003A" w:rsidRPr="00C606BE" w:rsidRDefault="00C1003A" w:rsidP="004E1411">
            <w:pPr>
              <w:pStyle w:val="Normal1"/>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În sensul prezentei directive, se înțelege prin:</w:t>
            </w:r>
          </w:p>
          <w:p w14:paraId="4B497444" w14:textId="77777777" w:rsidR="00C1003A" w:rsidRPr="00C606BE" w:rsidRDefault="00C1003A" w:rsidP="004E1411">
            <w:pPr>
              <w:pStyle w:val="norm"/>
              <w:shd w:val="clear" w:color="auto" w:fill="FFFFFF"/>
              <w:tabs>
                <w:tab w:val="left" w:pos="276"/>
                <w:tab w:val="left" w:pos="369"/>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 xml:space="preserve">(a) „dobânzi”: veniturile din creanțe de orice fel, însoțite sau nu de garanții ipotecare sau de o clauză de participare la beneficiile debitorului, în special veniturile din obligațiuni sau împrumuturi, inclusiv primele și loturile atașate acestor obligațiuni sau </w:t>
            </w:r>
            <w:r w:rsidRPr="00C606BE">
              <w:rPr>
                <w:color w:val="000000" w:themeColor="text1"/>
                <w:sz w:val="20"/>
                <w:szCs w:val="20"/>
                <w:shd w:val="clear" w:color="auto" w:fill="FFFFFF"/>
                <w:lang w:val="ro-MD"/>
              </w:rPr>
              <w:lastRenderedPageBreak/>
              <w:t>împrumuturi; penalizările pentru întârzierea plăților nu sunt considerate dobânzi;</w:t>
            </w:r>
          </w:p>
          <w:p w14:paraId="5BFE2181" w14:textId="77777777" w:rsidR="00C1003A" w:rsidRPr="00C606BE" w:rsidRDefault="00C1003A" w:rsidP="004E1411">
            <w:pPr>
              <w:pStyle w:val="norm"/>
              <w:shd w:val="clear" w:color="auto" w:fill="FFFFFF"/>
              <w:tabs>
                <w:tab w:val="left" w:pos="276"/>
                <w:tab w:val="left" w:pos="369"/>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(b) „redevențe”: plățile de orice fel primite ca remunerație pentru utilizarea sau concesionarea utilizării unui drept de autor asupra unei opere literare, artistice sau științifice, inclusiv filmele cinematografice și programele informatice, a unui brevet, a unei mărci comerciale, a unui desen sau a unui model, a unui plan, a unei formule sau a unui procedeu secret, precum și pentru informații legate de o experiență acumulată în domeniul industrial, comercial sau științific; plățile primite pentru utilizarea sau concesionarea utilizării unui drept privind echipamente industriale, comerciale sau științifice sunt considerate redevențe.</w:t>
            </w:r>
          </w:p>
        </w:tc>
        <w:tc>
          <w:tcPr>
            <w:tcW w:w="4137" w:type="dxa"/>
          </w:tcPr>
          <w:p w14:paraId="3F5832AC" w14:textId="333DA490" w:rsidR="00C1003A" w:rsidRPr="00C606BE" w:rsidRDefault="00C1003A" w:rsidP="004E1411">
            <w:pPr>
              <w:pStyle w:val="ListParagraph"/>
              <w:numPr>
                <w:ilvl w:val="0"/>
                <w:numId w:val="34"/>
              </w:numPr>
              <w:tabs>
                <w:tab w:val="left" w:pos="301"/>
                <w:tab w:val="left" w:pos="993"/>
              </w:tabs>
              <w:ind w:left="33" w:hanging="33"/>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lastRenderedPageBreak/>
              <w:t>Articolul 12:</w:t>
            </w:r>
          </w:p>
          <w:p w14:paraId="42AA4019" w14:textId="77777777" w:rsidR="00C24303" w:rsidRPr="00C606BE" w:rsidRDefault="00C24303" w:rsidP="004E1411">
            <w:pPr>
              <w:pStyle w:val="ListParagraph"/>
              <w:tabs>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2.1. la punctul 1) noțiunea de royalty se completează cu textul: „ , inclusiv de utilizare sau concesionare a utilizării unui drept privind echipamente industriale, comerciale sau științifice”.</w:t>
            </w:r>
          </w:p>
          <w:p w14:paraId="59333908" w14:textId="1869DA92" w:rsidR="00C1003A" w:rsidRPr="00C606BE" w:rsidRDefault="00C24303" w:rsidP="004E1411">
            <w:pPr>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lastRenderedPageBreak/>
              <w:t>2.2.  la punctul 7), textul „ , titluri și obligațiuni” se exclude, iar punctul se completează cu un enunț cu următorul cuprins:  „Majorarea de întârziere (penalitatea) nu se consideră dobândă”.</w:t>
            </w:r>
            <w:r w:rsidR="00C1003A" w:rsidRPr="00C606BE">
              <w:rPr>
                <w:rFonts w:ascii="Times New Roman" w:hAnsi="Times New Roman" w:cs="Times New Roman"/>
                <w:color w:val="000000" w:themeColor="text1"/>
                <w:sz w:val="20"/>
                <w:szCs w:val="20"/>
                <w:lang w:val="ro-MD"/>
              </w:rPr>
              <w:t xml:space="preserve">  </w:t>
            </w:r>
          </w:p>
          <w:p w14:paraId="1D1FD8FA" w14:textId="77777777" w:rsidR="00C1003A" w:rsidRPr="00C606BE" w:rsidRDefault="00C1003A" w:rsidP="004E1411">
            <w:pPr>
              <w:jc w:val="both"/>
              <w:rPr>
                <w:rFonts w:ascii="Times New Roman" w:hAnsi="Times New Roman" w:cs="Times New Roman"/>
                <w:color w:val="000000" w:themeColor="text1"/>
                <w:sz w:val="20"/>
                <w:szCs w:val="20"/>
                <w:lang w:val="ro-MD"/>
              </w:rPr>
            </w:pPr>
          </w:p>
          <w:p w14:paraId="69D3A5F7" w14:textId="77777777" w:rsidR="00C1003A" w:rsidRPr="00C606BE" w:rsidRDefault="00C1003A" w:rsidP="004E1411">
            <w:pPr>
              <w:jc w:val="both"/>
              <w:rPr>
                <w:rFonts w:ascii="Times New Roman" w:hAnsi="Times New Roman" w:cs="Times New Roman"/>
                <w:color w:val="000000" w:themeColor="text1"/>
                <w:sz w:val="20"/>
                <w:szCs w:val="20"/>
                <w:lang w:val="ro-MD"/>
              </w:rPr>
            </w:pPr>
          </w:p>
          <w:p w14:paraId="7792E8F1" w14:textId="77777777" w:rsidR="00C1003A" w:rsidRPr="00C606BE" w:rsidRDefault="00C1003A" w:rsidP="004E1411">
            <w:pPr>
              <w:jc w:val="both"/>
              <w:rPr>
                <w:rFonts w:ascii="Times New Roman" w:hAnsi="Times New Roman" w:cs="Times New Roman"/>
                <w:color w:val="000000" w:themeColor="text1"/>
                <w:sz w:val="20"/>
                <w:szCs w:val="20"/>
                <w:lang w:val="ro-MD"/>
              </w:rPr>
            </w:pPr>
          </w:p>
          <w:p w14:paraId="59FF5B30" w14:textId="77777777" w:rsidR="00C1003A" w:rsidRPr="00C606BE" w:rsidRDefault="00C1003A" w:rsidP="004E1411">
            <w:pPr>
              <w:jc w:val="both"/>
              <w:rPr>
                <w:rFonts w:ascii="Times New Roman" w:hAnsi="Times New Roman" w:cs="Times New Roman"/>
                <w:color w:val="000000" w:themeColor="text1"/>
                <w:sz w:val="20"/>
                <w:szCs w:val="20"/>
                <w:lang w:val="ro-MD"/>
              </w:rPr>
            </w:pPr>
          </w:p>
          <w:p w14:paraId="345A212C" w14:textId="77777777" w:rsidR="00C1003A" w:rsidRPr="00C606BE" w:rsidRDefault="00C1003A" w:rsidP="004E1411">
            <w:pPr>
              <w:jc w:val="both"/>
              <w:rPr>
                <w:rFonts w:ascii="Times New Roman" w:hAnsi="Times New Roman" w:cs="Times New Roman"/>
                <w:color w:val="000000" w:themeColor="text1"/>
                <w:sz w:val="20"/>
                <w:szCs w:val="20"/>
                <w:lang w:val="ro-MD"/>
              </w:rPr>
            </w:pPr>
          </w:p>
          <w:p w14:paraId="00B75B92" w14:textId="77777777" w:rsidR="00C1003A" w:rsidRPr="00C606BE" w:rsidRDefault="00C1003A" w:rsidP="004E1411">
            <w:pPr>
              <w:jc w:val="both"/>
              <w:rPr>
                <w:rFonts w:ascii="Times New Roman" w:hAnsi="Times New Roman" w:cs="Times New Roman"/>
                <w:color w:val="000000" w:themeColor="text1"/>
                <w:sz w:val="20"/>
                <w:szCs w:val="20"/>
                <w:lang w:val="ro-MD"/>
              </w:rPr>
            </w:pPr>
          </w:p>
          <w:p w14:paraId="1540A790" w14:textId="77777777" w:rsidR="00C1003A" w:rsidRPr="00C606BE" w:rsidRDefault="00C1003A" w:rsidP="004E1411">
            <w:pPr>
              <w:jc w:val="both"/>
              <w:rPr>
                <w:rFonts w:ascii="Times New Roman" w:hAnsi="Times New Roman" w:cs="Times New Roman"/>
                <w:color w:val="000000" w:themeColor="text1"/>
                <w:sz w:val="20"/>
                <w:szCs w:val="20"/>
                <w:lang w:val="ro-MD"/>
              </w:rPr>
            </w:pPr>
          </w:p>
          <w:p w14:paraId="6C6909A4" w14:textId="77777777" w:rsidR="00C1003A" w:rsidRPr="00C606BE" w:rsidRDefault="00C1003A" w:rsidP="004E1411">
            <w:pPr>
              <w:jc w:val="both"/>
              <w:rPr>
                <w:rFonts w:ascii="Times New Roman" w:hAnsi="Times New Roman" w:cs="Times New Roman"/>
                <w:color w:val="000000" w:themeColor="text1"/>
                <w:sz w:val="20"/>
                <w:szCs w:val="20"/>
                <w:lang w:val="ro-MD"/>
              </w:rPr>
            </w:pPr>
          </w:p>
        </w:tc>
        <w:tc>
          <w:tcPr>
            <w:tcW w:w="1941" w:type="dxa"/>
          </w:tcPr>
          <w:p w14:paraId="14A3C51D" w14:textId="77777777" w:rsidR="00C1003A" w:rsidRPr="00C606BE" w:rsidRDefault="00C1003A"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lastRenderedPageBreak/>
              <w:t>Compatibil</w:t>
            </w:r>
          </w:p>
          <w:p w14:paraId="69CDB463"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138E256A"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4F3E191E"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1C5663ED"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39442E46"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07B00F98"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0852FDBC"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72DCBBA8"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19181C3C"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4CFFFB8B" w14:textId="77777777" w:rsidR="00C1003A" w:rsidRPr="00C606BE" w:rsidRDefault="00C1003A" w:rsidP="004E1411">
            <w:pPr>
              <w:jc w:val="center"/>
              <w:rPr>
                <w:rFonts w:ascii="Times New Roman" w:hAnsi="Times New Roman" w:cs="Times New Roman"/>
                <w:color w:val="000000" w:themeColor="text1"/>
                <w:sz w:val="20"/>
                <w:szCs w:val="20"/>
                <w:lang w:val="ro-MD"/>
              </w:rPr>
            </w:pPr>
          </w:p>
        </w:tc>
        <w:tc>
          <w:tcPr>
            <w:tcW w:w="2570" w:type="dxa"/>
          </w:tcPr>
          <w:p w14:paraId="1361E3DB" w14:textId="2FF2E490" w:rsidR="00C1003A" w:rsidRPr="00C606BE" w:rsidRDefault="00C1003A" w:rsidP="004E1411">
            <w:pPr>
              <w:pStyle w:val="NormalWeb"/>
              <w:tabs>
                <w:tab w:val="left" w:pos="166"/>
                <w:tab w:val="left" w:pos="343"/>
              </w:tabs>
              <w:spacing w:before="0" w:beforeAutospacing="0" w:after="0" w:afterAutospacing="0"/>
              <w:jc w:val="both"/>
              <w:rPr>
                <w:color w:val="000000" w:themeColor="text1"/>
                <w:sz w:val="20"/>
                <w:szCs w:val="20"/>
                <w:lang w:val="ro-MD"/>
              </w:rPr>
            </w:pPr>
            <w:r w:rsidRPr="00C606BE">
              <w:rPr>
                <w:color w:val="000000" w:themeColor="text1"/>
                <w:sz w:val="20"/>
                <w:szCs w:val="20"/>
                <w:lang w:val="ro-MD"/>
              </w:rPr>
              <w:lastRenderedPageBreak/>
              <w:t>Conform art.12 pct.1) și pct.7) din Codul fiscal nr.1163/1997</w:t>
            </w:r>
            <w:r w:rsidR="00C24303" w:rsidRPr="00C606BE">
              <w:rPr>
                <w:color w:val="000000" w:themeColor="text1"/>
                <w:sz w:val="20"/>
                <w:szCs w:val="20"/>
                <w:lang w:val="ro-MD"/>
              </w:rPr>
              <w:t>:</w:t>
            </w:r>
          </w:p>
          <w:p w14:paraId="55750E60" w14:textId="77777777" w:rsidR="0013521F" w:rsidRPr="00C606BE" w:rsidRDefault="00C1003A" w:rsidP="004E1411">
            <w:pPr>
              <w:pStyle w:val="NormalWeb"/>
              <w:tabs>
                <w:tab w:val="left" w:pos="166"/>
                <w:tab w:val="left" w:pos="343"/>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Articolul 12. Noţiuni</w:t>
            </w:r>
          </w:p>
          <w:p w14:paraId="40D2FFEC" w14:textId="5A71A934" w:rsidR="00C1003A" w:rsidRPr="00C606BE" w:rsidRDefault="00C1003A" w:rsidP="004E1411">
            <w:pPr>
              <w:pStyle w:val="NormalWeb"/>
              <w:tabs>
                <w:tab w:val="left" w:pos="166"/>
                <w:tab w:val="left" w:pos="343"/>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În sensul prezentului titlu, se definesc următoarele noţiuni:</w:t>
            </w:r>
          </w:p>
          <w:p w14:paraId="79B0CD02" w14:textId="77777777" w:rsidR="00C1003A" w:rsidRPr="00C606BE" w:rsidRDefault="00C1003A" w:rsidP="004E1411">
            <w:pPr>
              <w:pStyle w:val="NormalWeb"/>
              <w:tabs>
                <w:tab w:val="left" w:pos="166"/>
                <w:tab w:val="left" w:pos="343"/>
              </w:tabs>
              <w:spacing w:before="0" w:beforeAutospacing="0" w:after="0" w:afterAutospacing="0"/>
              <w:jc w:val="both"/>
              <w:rPr>
                <w:color w:val="000000" w:themeColor="text1"/>
                <w:sz w:val="20"/>
                <w:szCs w:val="20"/>
                <w:lang w:val="ro-MD"/>
              </w:rPr>
            </w:pPr>
            <w:r w:rsidRPr="00C606BE">
              <w:rPr>
                <w:color w:val="000000" w:themeColor="text1"/>
                <w:sz w:val="20"/>
                <w:szCs w:val="20"/>
                <w:lang w:val="ro-MD"/>
              </w:rPr>
              <w:lastRenderedPageBreak/>
              <w:t xml:space="preserve">1) </w:t>
            </w:r>
            <w:r w:rsidRPr="00C606BE">
              <w:rPr>
                <w:b/>
                <w:color w:val="000000" w:themeColor="text1"/>
                <w:sz w:val="20"/>
                <w:szCs w:val="20"/>
                <w:lang w:val="ro-MD"/>
              </w:rPr>
              <w:t>Royalty (redevenţă)</w:t>
            </w:r>
            <w:r w:rsidRPr="00C606BE">
              <w:rPr>
                <w:color w:val="000000" w:themeColor="text1"/>
                <w:sz w:val="20"/>
                <w:szCs w:val="20"/>
                <w:lang w:val="ro-MD"/>
              </w:rPr>
              <w:t xml:space="preserve"> – plăţi de orice natură primite în calitate de recompensă pentru utilizarea ori transmiterea dreptului de utilizare a oricărui drept de autor şi/sau a drepturilor conexe, inclusiv asupra unei opere literare, artistice sau ştiinţifice, inclusiv filme de cinema şi filme sau benzi pentru televiziune sau radiodifuziune, a oricărui brevet de invenţie, marcă comercială, design sau model, plan, produs soft, formulă secretă sau proces, pentru utilizarea ori transmiterea dreptului de utilizare a informaţiei referitoare la experienţa în domeniul industrial, comercial sau ştiinţific.</w:t>
            </w:r>
          </w:p>
          <w:p w14:paraId="0EB5C27C" w14:textId="77777777" w:rsidR="00C1003A" w:rsidRPr="00C606BE" w:rsidRDefault="00C1003A" w:rsidP="004E1411">
            <w:pPr>
              <w:pStyle w:val="NormalWeb"/>
              <w:tabs>
                <w:tab w:val="left" w:pos="166"/>
                <w:tab w:val="left" w:pos="343"/>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În sensul prezentei noţiuni, nu se consideră royalty:</w:t>
            </w:r>
          </w:p>
          <w:p w14:paraId="6DF2D327" w14:textId="77777777" w:rsidR="00C1003A" w:rsidRPr="00C606BE" w:rsidRDefault="00C1003A" w:rsidP="004E1411">
            <w:pPr>
              <w:pStyle w:val="NormalWeb"/>
              <w:tabs>
                <w:tab w:val="left" w:pos="166"/>
                <w:tab w:val="left" w:pos="343"/>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b) plăţile pentru achiziţiile de software destinate exclusiv operării respectivului software, inclusiv pentru instalarea, implementarea, stocarea, personalizarea sau actualizarea acestuia;</w:t>
            </w:r>
          </w:p>
          <w:p w14:paraId="179B83A5" w14:textId="77777777" w:rsidR="00C1003A" w:rsidRPr="00C606BE" w:rsidRDefault="00C1003A" w:rsidP="004E1411">
            <w:pPr>
              <w:pStyle w:val="NormalWeb"/>
              <w:tabs>
                <w:tab w:val="left" w:pos="166"/>
                <w:tab w:val="left" w:pos="343"/>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c) plăţile pentru achiziţionarea integrală a unui drept de autor asupra unui software sau a unui drept limitat de a-l copia exclusiv în scopul folosirii acestuia de către utilizator sau în scopul vînzării acestuia în cadrul unui contract de distribuţie;</w:t>
            </w:r>
          </w:p>
          <w:p w14:paraId="441609D0" w14:textId="77777777" w:rsidR="00C1003A" w:rsidRPr="00C606BE" w:rsidRDefault="00C1003A" w:rsidP="004E1411">
            <w:pPr>
              <w:pStyle w:val="NormalWeb"/>
              <w:tabs>
                <w:tab w:val="left" w:pos="166"/>
                <w:tab w:val="left" w:pos="343"/>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d) plăţile pentru obţinerea drepturilor de distribuţie a unui produs sau serviciu, fără a da dreptul la reproducere;</w:t>
            </w:r>
          </w:p>
          <w:p w14:paraId="1C83453C" w14:textId="77777777" w:rsidR="00C1003A" w:rsidRPr="00C606BE" w:rsidRDefault="00C1003A" w:rsidP="004E1411">
            <w:pPr>
              <w:pStyle w:val="NormalWeb"/>
              <w:tabs>
                <w:tab w:val="left" w:pos="166"/>
                <w:tab w:val="left" w:pos="343"/>
              </w:tabs>
              <w:spacing w:before="0" w:beforeAutospacing="0" w:after="0" w:afterAutospacing="0"/>
              <w:jc w:val="both"/>
              <w:rPr>
                <w:color w:val="000000" w:themeColor="text1"/>
                <w:sz w:val="20"/>
                <w:szCs w:val="20"/>
                <w:lang w:val="ro-MD"/>
              </w:rPr>
            </w:pPr>
            <w:r w:rsidRPr="00C606BE">
              <w:rPr>
                <w:color w:val="000000" w:themeColor="text1"/>
                <w:sz w:val="20"/>
                <w:szCs w:val="20"/>
                <w:lang w:val="ro-MD"/>
              </w:rPr>
              <w:lastRenderedPageBreak/>
              <w:t>e) plăţile pentru accesul la sateliţi prin închirierea de transpondere sau pentru utilizarea unor cabluri ori conducte pentru transportul energiei, gazelor sau petrolului, în situaţia în care clientul nu se află în posesia transponderelor, cablurilor, conductelor, fibrelor optice sau a unor tehnologii similare;</w:t>
            </w:r>
          </w:p>
          <w:p w14:paraId="7303CC03" w14:textId="77777777" w:rsidR="00C1003A" w:rsidRPr="00C606BE" w:rsidRDefault="00C1003A" w:rsidP="004E1411">
            <w:pPr>
              <w:pStyle w:val="NormalWeb"/>
              <w:tabs>
                <w:tab w:val="left" w:pos="166"/>
                <w:tab w:val="left" w:pos="343"/>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f) plăţile pentru utilizarea serviciilor de comunicaţii electronice din acordurile de roaming, a frecvenţelor radio, a comunicaţiilor electronice între operatori.</w:t>
            </w:r>
          </w:p>
          <w:p w14:paraId="73B67849" w14:textId="77777777" w:rsidR="00C1003A" w:rsidRPr="00C606BE" w:rsidRDefault="00C1003A" w:rsidP="004E1411">
            <w:pPr>
              <w:pStyle w:val="NormalWeb"/>
              <w:tabs>
                <w:tab w:val="left" w:pos="166"/>
                <w:tab w:val="left" w:pos="343"/>
              </w:tabs>
              <w:spacing w:before="0" w:beforeAutospacing="0" w:after="0" w:afterAutospacing="0"/>
              <w:jc w:val="both"/>
              <w:rPr>
                <w:color w:val="000000" w:themeColor="text1"/>
                <w:sz w:val="20"/>
                <w:szCs w:val="20"/>
                <w:lang w:val="ro-MD"/>
              </w:rPr>
            </w:pPr>
            <w:r w:rsidRPr="00C606BE">
              <w:rPr>
                <w:i/>
                <w:color w:val="000000" w:themeColor="text1"/>
                <w:sz w:val="20"/>
                <w:szCs w:val="20"/>
                <w:lang w:val="ro-MD"/>
              </w:rPr>
              <w:t xml:space="preserve">7) </w:t>
            </w:r>
            <w:r w:rsidRPr="00C606BE">
              <w:rPr>
                <w:b/>
                <w:i/>
                <w:color w:val="000000" w:themeColor="text1"/>
                <w:sz w:val="20"/>
                <w:szCs w:val="20"/>
                <w:lang w:val="ro-MD"/>
              </w:rPr>
              <w:t>Dobândă</w:t>
            </w:r>
            <w:r w:rsidRPr="00C606BE">
              <w:rPr>
                <w:i/>
                <w:color w:val="000000" w:themeColor="text1"/>
                <w:sz w:val="20"/>
                <w:szCs w:val="20"/>
                <w:lang w:val="ro-MD"/>
              </w:rPr>
              <w:t>, venit sub formă de dobândă</w:t>
            </w:r>
            <w:r w:rsidRPr="00C606BE">
              <w:rPr>
                <w:color w:val="000000" w:themeColor="text1"/>
                <w:sz w:val="20"/>
                <w:szCs w:val="20"/>
                <w:lang w:val="ro-MD"/>
              </w:rPr>
              <w:t xml:space="preserve"> – orice venit obţinut din creanţe de orice fel (indiferent de modul întocmirii), inclusiv veniturile de pe depunerile băneşti, veniturile obţinute în baza unui contract de leasing financiar şi, în special, veniturile obţinute din valori mobiliare de stat, titluri de creanţă sau obligaţiuni, inclusiv sconturi, discounturi, primele şi premiile legate de asemenea valori, titluri şi obligaţiuni.</w:t>
            </w:r>
          </w:p>
        </w:tc>
      </w:tr>
      <w:tr w:rsidR="00C606BE" w:rsidRPr="00C606BE" w14:paraId="605378FE" w14:textId="77777777" w:rsidTr="00AD035D">
        <w:tc>
          <w:tcPr>
            <w:tcW w:w="5381" w:type="dxa"/>
            <w:gridSpan w:val="2"/>
          </w:tcPr>
          <w:p w14:paraId="19797168" w14:textId="77777777" w:rsidR="00C1003A" w:rsidRPr="00C606BE" w:rsidRDefault="00C1003A" w:rsidP="004E1411">
            <w:pPr>
              <w:pStyle w:val="ti-art"/>
              <w:shd w:val="clear" w:color="auto" w:fill="FFFFFF"/>
              <w:tabs>
                <w:tab w:val="left" w:pos="0"/>
                <w:tab w:val="left" w:pos="369"/>
                <w:tab w:val="left" w:pos="455"/>
              </w:tabs>
              <w:spacing w:before="0" w:beforeAutospacing="0" w:after="0" w:afterAutospacing="0"/>
              <w:jc w:val="center"/>
              <w:rPr>
                <w:i/>
                <w:iCs/>
                <w:color w:val="000000" w:themeColor="text1"/>
                <w:sz w:val="20"/>
                <w:szCs w:val="20"/>
                <w:lang w:val="ro-MD"/>
              </w:rPr>
            </w:pPr>
            <w:r w:rsidRPr="00C606BE">
              <w:rPr>
                <w:i/>
                <w:iCs/>
                <w:color w:val="000000" w:themeColor="text1"/>
                <w:sz w:val="20"/>
                <w:szCs w:val="20"/>
                <w:lang w:val="ro-MD"/>
              </w:rPr>
              <w:lastRenderedPageBreak/>
              <w:t>Articolul 3</w:t>
            </w:r>
          </w:p>
          <w:p w14:paraId="630051AF" w14:textId="77777777" w:rsidR="00C1003A" w:rsidRPr="00C606BE" w:rsidRDefault="00C1003A" w:rsidP="004E1411">
            <w:pPr>
              <w:pStyle w:val="sti-art"/>
              <w:shd w:val="clear" w:color="auto" w:fill="FFFFFF"/>
              <w:tabs>
                <w:tab w:val="left" w:pos="0"/>
                <w:tab w:val="left" w:pos="369"/>
                <w:tab w:val="left" w:pos="455"/>
              </w:tabs>
              <w:spacing w:before="0" w:beforeAutospacing="0" w:after="0" w:afterAutospacing="0"/>
              <w:jc w:val="both"/>
              <w:rPr>
                <w:b/>
                <w:bCs/>
                <w:color w:val="000000" w:themeColor="text1"/>
                <w:sz w:val="20"/>
                <w:szCs w:val="20"/>
                <w:lang w:val="ro-MD"/>
              </w:rPr>
            </w:pPr>
            <w:r w:rsidRPr="00C606BE">
              <w:rPr>
                <w:b/>
                <w:bCs/>
                <w:color w:val="000000" w:themeColor="text1"/>
                <w:sz w:val="20"/>
                <w:szCs w:val="20"/>
                <w:lang w:val="ro-MD"/>
              </w:rPr>
              <w:t>Definiția unei societăți asociată cu altă societate și a sediului permanent al unei societăți</w:t>
            </w:r>
          </w:p>
          <w:p w14:paraId="1E4A9B8A" w14:textId="77777777" w:rsidR="00C1003A" w:rsidRPr="00C606BE" w:rsidRDefault="00C1003A" w:rsidP="004E1411">
            <w:pPr>
              <w:pStyle w:val="norm"/>
              <w:shd w:val="clear" w:color="auto" w:fill="FFFFFF"/>
              <w:tabs>
                <w:tab w:val="left" w:pos="0"/>
                <w:tab w:val="left" w:pos="244"/>
                <w:tab w:val="left" w:pos="369"/>
                <w:tab w:val="left" w:pos="455"/>
              </w:tabs>
              <w:spacing w:before="0" w:beforeAutospacing="0" w:after="0" w:afterAutospacing="0"/>
              <w:jc w:val="both"/>
              <w:rPr>
                <w:color w:val="000000" w:themeColor="text1"/>
                <w:sz w:val="20"/>
                <w:szCs w:val="20"/>
                <w:shd w:val="clear" w:color="auto" w:fill="FFFFFF"/>
                <w:lang w:val="ro-MD"/>
              </w:rPr>
            </w:pPr>
          </w:p>
          <w:p w14:paraId="2F3DC55D" w14:textId="77777777" w:rsidR="00C1003A" w:rsidRPr="00C606BE" w:rsidRDefault="00C1003A" w:rsidP="004E1411">
            <w:pPr>
              <w:pStyle w:val="norm"/>
              <w:shd w:val="clear" w:color="auto" w:fill="FFFFFF"/>
              <w:tabs>
                <w:tab w:val="left" w:pos="0"/>
                <w:tab w:val="left" w:pos="244"/>
                <w:tab w:val="left" w:pos="369"/>
                <w:tab w:val="left" w:pos="455"/>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În sensul prezentei directive:</w:t>
            </w:r>
          </w:p>
          <w:p w14:paraId="6FC95E85" w14:textId="77777777" w:rsidR="00C1003A" w:rsidRPr="00C606BE" w:rsidRDefault="00C1003A" w:rsidP="004E1411">
            <w:pPr>
              <w:pStyle w:val="norm"/>
              <w:numPr>
                <w:ilvl w:val="0"/>
                <w:numId w:val="9"/>
              </w:numPr>
              <w:shd w:val="clear" w:color="auto" w:fill="FFFFFF"/>
              <w:tabs>
                <w:tab w:val="left" w:pos="0"/>
                <w:tab w:val="left" w:pos="244"/>
                <w:tab w:val="left" w:pos="369"/>
                <w:tab w:val="left" w:pos="455"/>
              </w:tabs>
              <w:spacing w:before="0" w:beforeAutospacing="0" w:after="0" w:afterAutospacing="0"/>
              <w:ind w:left="0" w:firstLine="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se înțelege prin „societate dintr-un stat membru” orice societate:</w:t>
            </w:r>
          </w:p>
          <w:p w14:paraId="1B3BF713" w14:textId="77777777" w:rsidR="00C1003A" w:rsidRPr="00C606BE" w:rsidRDefault="00C1003A" w:rsidP="004E1411">
            <w:pPr>
              <w:pStyle w:val="norm"/>
              <w:numPr>
                <w:ilvl w:val="0"/>
                <w:numId w:val="10"/>
              </w:numPr>
              <w:shd w:val="clear" w:color="auto" w:fill="FFFFFF"/>
              <w:tabs>
                <w:tab w:val="left" w:pos="0"/>
                <w:tab w:val="left" w:pos="244"/>
                <w:tab w:val="left" w:pos="369"/>
                <w:tab w:val="left" w:pos="455"/>
              </w:tabs>
              <w:spacing w:before="0" w:beforeAutospacing="0" w:after="0" w:afterAutospacing="0"/>
              <w:ind w:left="0" w:firstLine="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care prezintă una din formele enumerate în anexă;</w:t>
            </w:r>
          </w:p>
          <w:p w14:paraId="668256F6" w14:textId="77777777" w:rsidR="00C1003A" w:rsidRPr="00C606BE" w:rsidRDefault="00C1003A" w:rsidP="004E1411">
            <w:pPr>
              <w:pStyle w:val="norm"/>
              <w:numPr>
                <w:ilvl w:val="0"/>
                <w:numId w:val="10"/>
              </w:numPr>
              <w:shd w:val="clear" w:color="auto" w:fill="FFFFFF"/>
              <w:tabs>
                <w:tab w:val="left" w:pos="0"/>
                <w:tab w:val="left" w:pos="244"/>
                <w:tab w:val="left" w:pos="369"/>
                <w:tab w:val="left" w:pos="455"/>
              </w:tabs>
              <w:spacing w:before="0" w:beforeAutospacing="0" w:after="0" w:afterAutospacing="0"/>
              <w:ind w:left="0" w:firstLine="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 xml:space="preserve">care este considerată, în temeiul legislației fiscale a unui stat membru, ca având rezidența fiscală în acesta și care, conform unei convenții privind dubla impozitare a veniturilor încheiată cu </w:t>
            </w:r>
            <w:r w:rsidRPr="00C606BE">
              <w:rPr>
                <w:color w:val="000000" w:themeColor="text1"/>
                <w:sz w:val="20"/>
                <w:szCs w:val="20"/>
                <w:shd w:val="clear" w:color="auto" w:fill="FFFFFF"/>
                <w:lang w:val="ro-MD"/>
              </w:rPr>
              <w:lastRenderedPageBreak/>
              <w:t>o țară terță, nu este considerată ca având domiciliul fiscal în afara Comunității și</w:t>
            </w:r>
          </w:p>
          <w:p w14:paraId="314F0B03" w14:textId="77777777" w:rsidR="00C1003A" w:rsidRPr="00C606BE" w:rsidRDefault="00C1003A" w:rsidP="004E1411">
            <w:pPr>
              <w:tabs>
                <w:tab w:val="left" w:pos="0"/>
                <w:tab w:val="left" w:pos="455"/>
                <w:tab w:val="left" w:pos="837"/>
              </w:tabs>
              <w:jc w:val="both"/>
              <w:rPr>
                <w:rFonts w:ascii="Times New Roman" w:hAnsi="Times New Roman" w:cs="Times New Roman"/>
                <w:color w:val="000000" w:themeColor="text1"/>
                <w:sz w:val="20"/>
                <w:szCs w:val="20"/>
                <w:shd w:val="clear" w:color="auto" w:fill="FFFFFF"/>
                <w:lang w:val="ro-MD"/>
              </w:rPr>
            </w:pPr>
            <w:r w:rsidRPr="00C606BE">
              <w:rPr>
                <w:rFonts w:ascii="Times New Roman" w:hAnsi="Times New Roman" w:cs="Times New Roman"/>
                <w:color w:val="000000" w:themeColor="text1"/>
                <w:sz w:val="20"/>
                <w:szCs w:val="20"/>
                <w:shd w:val="clear" w:color="auto" w:fill="FFFFFF"/>
                <w:lang w:val="ro-MD"/>
              </w:rPr>
              <w:t>care plătește unul din impozitele enumerate în continuare fără să beneficieze de vreo scutire sau orice impozit identic ori similar care ar urma să fie instituit după intrarea în vigoare a prezentei directive și care ar înlocui unul din impozitele existente sau s-ar adăuga la acestea:</w:t>
            </w:r>
          </w:p>
          <w:tbl>
            <w:tblPr>
              <w:tblW w:w="5000" w:type="pct"/>
              <w:shd w:val="clear" w:color="auto" w:fill="FFFFFF"/>
              <w:tblCellMar>
                <w:left w:w="0" w:type="dxa"/>
                <w:right w:w="0" w:type="dxa"/>
              </w:tblCellMar>
              <w:tblLook w:val="04A0" w:firstRow="1" w:lastRow="0" w:firstColumn="1" w:lastColumn="0" w:noHBand="0" w:noVBand="1"/>
            </w:tblPr>
            <w:tblGrid>
              <w:gridCol w:w="5165"/>
            </w:tblGrid>
            <w:tr w:rsidR="00C606BE" w:rsidRPr="00C606BE" w14:paraId="2D7092AC" w14:textId="77777777" w:rsidTr="0098502A">
              <w:tc>
                <w:tcPr>
                  <w:tcW w:w="4894" w:type="dxa"/>
                  <w:shd w:val="clear" w:color="auto" w:fill="FFFFFF"/>
                  <w:hideMark/>
                </w:tcPr>
                <w:p w14:paraId="40663E4B"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(iv) „impôt des sociétés/ vennootschapsbelasting” în Belgia;</w:t>
                  </w:r>
                </w:p>
              </w:tc>
            </w:tr>
          </w:tbl>
          <w:p w14:paraId="52B798A4"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307"/>
              <w:gridCol w:w="4858"/>
            </w:tblGrid>
            <w:tr w:rsidR="00C606BE" w:rsidRPr="00C606BE" w14:paraId="2CE3775F" w14:textId="77777777" w:rsidTr="0098502A">
              <w:tc>
                <w:tcPr>
                  <w:tcW w:w="675" w:type="dxa"/>
                  <w:shd w:val="clear" w:color="auto" w:fill="FFFFFF"/>
                  <w:hideMark/>
                </w:tcPr>
                <w:p w14:paraId="6867A258"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9014" w:type="dxa"/>
                  <w:shd w:val="clear" w:color="auto" w:fill="FFFFFF"/>
                  <w:hideMark/>
                </w:tcPr>
                <w:p w14:paraId="6ACBF0D8"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(v) „selskabsskat” în Danemarca;</w:t>
                  </w:r>
                </w:p>
              </w:tc>
            </w:tr>
          </w:tbl>
          <w:p w14:paraId="2D673661"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241"/>
              <w:gridCol w:w="4924"/>
            </w:tblGrid>
            <w:tr w:rsidR="00C606BE" w:rsidRPr="00C606BE" w14:paraId="129D5971" w14:textId="77777777" w:rsidTr="0098502A">
              <w:tc>
                <w:tcPr>
                  <w:tcW w:w="581" w:type="dxa"/>
                  <w:shd w:val="clear" w:color="auto" w:fill="FFFFFF"/>
                  <w:hideMark/>
                </w:tcPr>
                <w:p w14:paraId="6B9DE9EC"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9108" w:type="dxa"/>
                  <w:shd w:val="clear" w:color="auto" w:fill="FFFFFF"/>
                  <w:hideMark/>
                </w:tcPr>
                <w:p w14:paraId="2423F5E7"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(vi) „Körperschaftsteuer” în Germania;</w:t>
                  </w:r>
                </w:p>
              </w:tc>
            </w:tr>
          </w:tbl>
          <w:p w14:paraId="397CF235"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193"/>
              <w:gridCol w:w="4972"/>
            </w:tblGrid>
            <w:tr w:rsidR="00C606BE" w:rsidRPr="00C606BE" w14:paraId="051A4AD8" w14:textId="77777777" w:rsidTr="0098502A">
              <w:tc>
                <w:tcPr>
                  <w:tcW w:w="398" w:type="dxa"/>
                  <w:shd w:val="clear" w:color="auto" w:fill="FFFFFF"/>
                  <w:hideMark/>
                </w:tcPr>
                <w:p w14:paraId="0964B0E7"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9291" w:type="dxa"/>
                  <w:shd w:val="clear" w:color="auto" w:fill="FFFFFF"/>
                  <w:hideMark/>
                </w:tcPr>
                <w:p w14:paraId="76E332A1"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(vii) „Φόρος εισοδήματος υομικώυ προσώπωυ” în Grecia;</w:t>
                  </w:r>
                </w:p>
              </w:tc>
            </w:tr>
          </w:tbl>
          <w:p w14:paraId="5CB5F9CA"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238"/>
              <w:gridCol w:w="4927"/>
            </w:tblGrid>
            <w:tr w:rsidR="00C606BE" w:rsidRPr="00C606BE" w14:paraId="36067F25" w14:textId="77777777" w:rsidTr="0098502A">
              <w:tc>
                <w:tcPr>
                  <w:tcW w:w="508" w:type="dxa"/>
                  <w:shd w:val="clear" w:color="auto" w:fill="FFFFFF"/>
                  <w:hideMark/>
                </w:tcPr>
                <w:p w14:paraId="4C3C9280"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9181" w:type="dxa"/>
                  <w:shd w:val="clear" w:color="auto" w:fill="FFFFFF"/>
                  <w:hideMark/>
                </w:tcPr>
                <w:p w14:paraId="4ACD035A"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(viii) „impuesto sobre sociedades” în Spania;</w:t>
                  </w:r>
                </w:p>
              </w:tc>
            </w:tr>
          </w:tbl>
          <w:p w14:paraId="3248740D"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292"/>
              <w:gridCol w:w="4873"/>
            </w:tblGrid>
            <w:tr w:rsidR="00C606BE" w:rsidRPr="00C606BE" w14:paraId="4BBD63DA" w14:textId="77777777" w:rsidTr="0098502A">
              <w:tc>
                <w:tcPr>
                  <w:tcW w:w="595" w:type="dxa"/>
                  <w:shd w:val="clear" w:color="auto" w:fill="FFFFFF"/>
                  <w:hideMark/>
                </w:tcPr>
                <w:p w14:paraId="2098E6C0"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9094" w:type="dxa"/>
                  <w:shd w:val="clear" w:color="auto" w:fill="FFFFFF"/>
                  <w:hideMark/>
                </w:tcPr>
                <w:p w14:paraId="24D906EE"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(ix) „impôt sur les sociétés” în Franța;</w:t>
                  </w:r>
                </w:p>
                <w:p w14:paraId="34EB8E43"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shd w:val="clear" w:color="auto" w:fill="FFFFFF"/>
                      <w:lang w:val="ro-MD"/>
                    </w:rPr>
                    <w:t>„porez na dobit” în Croația;</w:t>
                  </w:r>
                </w:p>
              </w:tc>
            </w:tr>
          </w:tbl>
          <w:p w14:paraId="3BAC6EEC"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327"/>
              <w:gridCol w:w="4838"/>
            </w:tblGrid>
            <w:tr w:rsidR="00C606BE" w:rsidRPr="00C606BE" w14:paraId="27B2DC4B" w14:textId="77777777" w:rsidTr="0098502A">
              <w:tc>
                <w:tcPr>
                  <w:tcW w:w="703" w:type="dxa"/>
                  <w:shd w:val="clear" w:color="auto" w:fill="FFFFFF"/>
                  <w:hideMark/>
                </w:tcPr>
                <w:p w14:paraId="61282D92"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8986" w:type="dxa"/>
                  <w:shd w:val="clear" w:color="auto" w:fill="FFFFFF"/>
                  <w:hideMark/>
                </w:tcPr>
                <w:p w14:paraId="5D693213"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(x) „corporation tax” în Irlanda;</w:t>
                  </w:r>
                </w:p>
              </w:tc>
            </w:tr>
          </w:tbl>
          <w:p w14:paraId="13B9F779"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189"/>
              <w:gridCol w:w="4976"/>
            </w:tblGrid>
            <w:tr w:rsidR="00C606BE" w:rsidRPr="00C606BE" w14:paraId="1F25EB9A" w14:textId="77777777" w:rsidTr="0098502A">
              <w:tc>
                <w:tcPr>
                  <w:tcW w:w="392" w:type="dxa"/>
                  <w:shd w:val="clear" w:color="auto" w:fill="FFFFFF"/>
                  <w:hideMark/>
                </w:tcPr>
                <w:p w14:paraId="6057A8B5"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9297" w:type="dxa"/>
                  <w:shd w:val="clear" w:color="auto" w:fill="FFFFFF"/>
                  <w:hideMark/>
                </w:tcPr>
                <w:p w14:paraId="1DF01A19"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(xi) „imposta sul reddito delle persone giuridiche” în Italia;</w:t>
                  </w:r>
                </w:p>
              </w:tc>
            </w:tr>
          </w:tbl>
          <w:p w14:paraId="0CCC4778"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191"/>
              <w:gridCol w:w="4974"/>
            </w:tblGrid>
            <w:tr w:rsidR="00C606BE" w:rsidRPr="00C606BE" w14:paraId="7DA88520" w14:textId="77777777" w:rsidTr="0098502A">
              <w:tc>
                <w:tcPr>
                  <w:tcW w:w="396" w:type="dxa"/>
                  <w:shd w:val="clear" w:color="auto" w:fill="FFFFFF"/>
                  <w:hideMark/>
                </w:tcPr>
                <w:p w14:paraId="13DE75E0"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9293" w:type="dxa"/>
                  <w:shd w:val="clear" w:color="auto" w:fill="FFFFFF"/>
                  <w:hideMark/>
                </w:tcPr>
                <w:p w14:paraId="585CDD74"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(xii) „impôt sur le revenu des collectivités” în Luxemburg;</w:t>
                  </w:r>
                </w:p>
              </w:tc>
            </w:tr>
          </w:tbl>
          <w:p w14:paraId="45082299"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179"/>
              <w:gridCol w:w="4986"/>
            </w:tblGrid>
            <w:tr w:rsidR="00C606BE" w:rsidRPr="00C606BE" w14:paraId="368B8B5B" w14:textId="77777777" w:rsidTr="0098502A">
              <w:tc>
                <w:tcPr>
                  <w:tcW w:w="477" w:type="dxa"/>
                  <w:shd w:val="clear" w:color="auto" w:fill="FFFFFF"/>
                  <w:hideMark/>
                </w:tcPr>
                <w:p w14:paraId="642418BA"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9212" w:type="dxa"/>
                  <w:shd w:val="clear" w:color="auto" w:fill="FFFFFF"/>
                  <w:hideMark/>
                </w:tcPr>
                <w:p w14:paraId="57D58CE8"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(xiii) „vennootschapsbelasting” în Țările de Jos;</w:t>
                  </w:r>
                </w:p>
              </w:tc>
            </w:tr>
          </w:tbl>
          <w:p w14:paraId="226DEB31"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24"/>
              <w:gridCol w:w="5141"/>
            </w:tblGrid>
            <w:tr w:rsidR="00C606BE" w:rsidRPr="00C606BE" w14:paraId="7636FA06" w14:textId="77777777" w:rsidTr="00242F42">
              <w:tc>
                <w:tcPr>
                  <w:tcW w:w="20" w:type="dxa"/>
                  <w:shd w:val="clear" w:color="auto" w:fill="FFFFFF"/>
                  <w:hideMark/>
                </w:tcPr>
                <w:p w14:paraId="6DE47510"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4295" w:type="dxa"/>
                  <w:shd w:val="clear" w:color="auto" w:fill="FFFFFF"/>
                  <w:hideMark/>
                </w:tcPr>
                <w:p w14:paraId="706BE4D7"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(xiv) „Körperschaftsteuer” în Austria;</w:t>
                  </w:r>
                </w:p>
              </w:tc>
            </w:tr>
          </w:tbl>
          <w:p w14:paraId="3622A401"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158"/>
              <w:gridCol w:w="5007"/>
            </w:tblGrid>
            <w:tr w:rsidR="00C606BE" w:rsidRPr="00C606BE" w14:paraId="02DE9842" w14:textId="77777777" w:rsidTr="0098502A">
              <w:tc>
                <w:tcPr>
                  <w:tcW w:w="329" w:type="dxa"/>
                  <w:shd w:val="clear" w:color="auto" w:fill="FFFFFF"/>
                  <w:hideMark/>
                </w:tcPr>
                <w:p w14:paraId="69FA7C86"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9360" w:type="dxa"/>
                  <w:shd w:val="clear" w:color="auto" w:fill="FFFFFF"/>
                  <w:hideMark/>
                </w:tcPr>
                <w:p w14:paraId="4988096E"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(xv) „imposto sobre o rendimento da pessoas colectivas” în Portugalia;</w:t>
                  </w:r>
                </w:p>
              </w:tc>
            </w:tr>
          </w:tbl>
          <w:p w14:paraId="3083C08B"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146"/>
              <w:gridCol w:w="5019"/>
            </w:tblGrid>
            <w:tr w:rsidR="00C606BE" w:rsidRPr="00C606BE" w14:paraId="228F08D0" w14:textId="77777777" w:rsidTr="0098502A">
              <w:tc>
                <w:tcPr>
                  <w:tcW w:w="343" w:type="dxa"/>
                  <w:shd w:val="clear" w:color="auto" w:fill="FFFFFF"/>
                  <w:hideMark/>
                </w:tcPr>
                <w:p w14:paraId="497E608D"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9346" w:type="dxa"/>
                  <w:shd w:val="clear" w:color="auto" w:fill="FFFFFF"/>
                  <w:hideMark/>
                </w:tcPr>
                <w:p w14:paraId="104AD9B7"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(xvi) „yhteisöjen tulovero/inkomstskatten för samfund” în Finlanda;</w:t>
                  </w:r>
                </w:p>
              </w:tc>
            </w:tr>
          </w:tbl>
          <w:p w14:paraId="6451EA67"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5000" w:type="pct"/>
              <w:shd w:val="clear" w:color="auto" w:fill="FFFFFF"/>
              <w:tblCellMar>
                <w:left w:w="0" w:type="dxa"/>
                <w:right w:w="0" w:type="dxa"/>
              </w:tblCellMar>
              <w:tblLook w:val="04A0" w:firstRow="1" w:lastRow="0" w:firstColumn="1" w:lastColumn="0" w:noHBand="0" w:noVBand="1"/>
            </w:tblPr>
            <w:tblGrid>
              <w:gridCol w:w="281"/>
              <w:gridCol w:w="4884"/>
            </w:tblGrid>
            <w:tr w:rsidR="00C606BE" w:rsidRPr="00C606BE" w14:paraId="4937CE80" w14:textId="77777777" w:rsidTr="0098502A">
              <w:tc>
                <w:tcPr>
                  <w:tcW w:w="589" w:type="dxa"/>
                  <w:shd w:val="clear" w:color="auto" w:fill="FFFFFF"/>
                  <w:hideMark/>
                </w:tcPr>
                <w:p w14:paraId="359A5F44"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p>
              </w:tc>
              <w:tc>
                <w:tcPr>
                  <w:tcW w:w="9100" w:type="dxa"/>
                  <w:shd w:val="clear" w:color="auto" w:fill="FFFFFF"/>
                  <w:hideMark/>
                </w:tcPr>
                <w:p w14:paraId="7E45721D"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(xvii) „statlig inkomstskatt” în Suedia;</w:t>
                  </w:r>
                </w:p>
              </w:tc>
            </w:tr>
          </w:tbl>
          <w:p w14:paraId="7CF9EA06" w14:textId="77777777" w:rsidR="00C1003A" w:rsidRPr="00C606BE" w:rsidRDefault="00C1003A" w:rsidP="004E1411">
            <w:pPr>
              <w:tabs>
                <w:tab w:val="left" w:pos="0"/>
                <w:tab w:val="left" w:pos="244"/>
                <w:tab w:val="left" w:pos="369"/>
                <w:tab w:val="left" w:pos="455"/>
              </w:tabs>
              <w:jc w:val="both"/>
              <w:rPr>
                <w:rFonts w:ascii="Times New Roman" w:hAnsi="Times New Roman" w:cs="Times New Roman"/>
                <w:vanish/>
                <w:color w:val="000000" w:themeColor="text1"/>
                <w:sz w:val="20"/>
                <w:szCs w:val="20"/>
                <w:lang w:val="ro-MD"/>
              </w:rPr>
            </w:pPr>
          </w:p>
          <w:tbl>
            <w:tblPr>
              <w:tblW w:w="4963" w:type="pct"/>
              <w:shd w:val="clear" w:color="auto" w:fill="FFFFFF"/>
              <w:tblCellMar>
                <w:left w:w="0" w:type="dxa"/>
                <w:right w:w="0" w:type="dxa"/>
              </w:tblCellMar>
              <w:tblLook w:val="04A0" w:firstRow="1" w:lastRow="0" w:firstColumn="1" w:lastColumn="0" w:noHBand="0" w:noVBand="1"/>
            </w:tblPr>
            <w:tblGrid>
              <w:gridCol w:w="5127"/>
            </w:tblGrid>
            <w:tr w:rsidR="00C606BE" w:rsidRPr="00C606BE" w14:paraId="09691F56" w14:textId="77777777" w:rsidTr="00242F42">
              <w:tc>
                <w:tcPr>
                  <w:tcW w:w="4283" w:type="dxa"/>
                  <w:shd w:val="clear" w:color="auto" w:fill="FFFFFF"/>
                  <w:hideMark/>
                </w:tcPr>
                <w:p w14:paraId="1A93ED1B" w14:textId="77777777" w:rsidR="00C1003A" w:rsidRPr="00C606BE" w:rsidRDefault="00C1003A" w:rsidP="004E1411">
                  <w:pPr>
                    <w:tabs>
                      <w:tab w:val="left" w:pos="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(xviii) „corporation tax” în Regatul Unit;</w:t>
                  </w:r>
                </w:p>
                <w:p w14:paraId="37FBE147" w14:textId="77777777" w:rsidR="00C1003A" w:rsidRPr="00C606BE" w:rsidRDefault="00C1003A" w:rsidP="004E1411">
                  <w:pPr>
                    <w:tabs>
                      <w:tab w:val="left" w:pos="-288"/>
                      <w:tab w:val="left" w:pos="244"/>
                      <w:tab w:val="left" w:pos="369"/>
                      <w:tab w:val="left" w:pos="455"/>
                    </w:tabs>
                    <w:spacing w:after="0" w:line="240" w:lineRule="auto"/>
                    <w:ind w:left="-288" w:hanging="19"/>
                    <w:jc w:val="both"/>
                    <w:rPr>
                      <w:rFonts w:ascii="Times New Roman" w:hAnsi="Times New Roman" w:cs="Times New Roman"/>
                      <w:color w:val="000000" w:themeColor="text1"/>
                      <w:sz w:val="20"/>
                      <w:szCs w:val="20"/>
                      <w:shd w:val="clear" w:color="auto" w:fill="FFFFFF"/>
                      <w:lang w:val="ro-MD"/>
                    </w:rPr>
                  </w:pPr>
                  <w:r w:rsidRPr="00C606BE">
                    <w:rPr>
                      <w:rFonts w:ascii="Times New Roman" w:hAnsi="Times New Roman" w:cs="Times New Roman"/>
                      <w:color w:val="000000" w:themeColor="text1"/>
                      <w:sz w:val="20"/>
                      <w:szCs w:val="20"/>
                      <w:shd w:val="clear" w:color="auto" w:fill="FFFFFF"/>
                      <w:lang w:val="ro-MD"/>
                    </w:rPr>
                    <w:t>— (xix) „Daň z příjmů právnických osob” в Чешката република;</w:t>
                  </w:r>
                </w:p>
                <w:p w14:paraId="54FE2AAC" w14:textId="77777777" w:rsidR="00C1003A" w:rsidRPr="00C606BE" w:rsidRDefault="00C1003A" w:rsidP="004E1411">
                  <w:pPr>
                    <w:tabs>
                      <w:tab w:val="left" w:pos="-288"/>
                      <w:tab w:val="left" w:pos="244"/>
                      <w:tab w:val="left" w:pos="369"/>
                      <w:tab w:val="left" w:pos="455"/>
                    </w:tabs>
                    <w:spacing w:after="0" w:line="240" w:lineRule="auto"/>
                    <w:ind w:left="-288" w:hanging="19"/>
                    <w:jc w:val="both"/>
                    <w:rPr>
                      <w:rFonts w:ascii="Times New Roman" w:hAnsi="Times New Roman" w:cs="Times New Roman"/>
                      <w:color w:val="000000" w:themeColor="text1"/>
                      <w:sz w:val="20"/>
                      <w:szCs w:val="20"/>
                      <w:shd w:val="clear" w:color="auto" w:fill="FFFFFF"/>
                      <w:lang w:val="ro-MD"/>
                    </w:rPr>
                  </w:pPr>
                  <w:r w:rsidRPr="00C606BE">
                    <w:rPr>
                      <w:rFonts w:ascii="Times New Roman" w:hAnsi="Times New Roman" w:cs="Times New Roman"/>
                      <w:color w:val="000000" w:themeColor="text1"/>
                      <w:sz w:val="20"/>
                      <w:szCs w:val="20"/>
                      <w:shd w:val="clear" w:color="auto" w:fill="FFFFFF"/>
                      <w:lang w:val="ro-MD"/>
                    </w:rPr>
                    <w:t>— (xx) „Tulumaks” в Естония,</w:t>
                  </w:r>
                </w:p>
                <w:p w14:paraId="35B7E612" w14:textId="77777777" w:rsidR="00C1003A" w:rsidRPr="00C606BE" w:rsidRDefault="00C1003A" w:rsidP="004E1411">
                  <w:pPr>
                    <w:tabs>
                      <w:tab w:val="left" w:pos="-288"/>
                      <w:tab w:val="left" w:pos="244"/>
                      <w:tab w:val="left" w:pos="369"/>
                      <w:tab w:val="left" w:pos="455"/>
                    </w:tabs>
                    <w:spacing w:after="0" w:line="240" w:lineRule="auto"/>
                    <w:ind w:left="-288" w:hanging="19"/>
                    <w:jc w:val="both"/>
                    <w:rPr>
                      <w:rFonts w:ascii="Times New Roman" w:hAnsi="Times New Roman" w:cs="Times New Roman"/>
                      <w:color w:val="000000" w:themeColor="text1"/>
                      <w:sz w:val="20"/>
                      <w:szCs w:val="20"/>
                      <w:shd w:val="clear" w:color="auto" w:fill="FFFFFF"/>
                      <w:lang w:val="ro-MD"/>
                    </w:rPr>
                  </w:pPr>
                  <w:r w:rsidRPr="00C606BE">
                    <w:rPr>
                      <w:rFonts w:ascii="Times New Roman" w:hAnsi="Times New Roman" w:cs="Times New Roman"/>
                      <w:color w:val="000000" w:themeColor="text1"/>
                      <w:sz w:val="20"/>
                      <w:szCs w:val="20"/>
                      <w:shd w:val="clear" w:color="auto" w:fill="FFFFFF"/>
                      <w:lang w:val="ro-MD"/>
                    </w:rPr>
                    <w:t>— (xxi) „φόρος εισοδήματος” в Кипър;</w:t>
                  </w:r>
                </w:p>
                <w:p w14:paraId="6B02155B" w14:textId="77777777" w:rsidR="00C1003A" w:rsidRPr="00C606BE" w:rsidRDefault="00C1003A" w:rsidP="004E1411">
                  <w:pPr>
                    <w:tabs>
                      <w:tab w:val="left" w:pos="-288"/>
                      <w:tab w:val="left" w:pos="244"/>
                      <w:tab w:val="left" w:pos="369"/>
                      <w:tab w:val="left" w:pos="455"/>
                    </w:tabs>
                    <w:spacing w:after="0" w:line="240" w:lineRule="auto"/>
                    <w:ind w:left="-288" w:hanging="19"/>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shd w:val="clear" w:color="auto" w:fill="FFFFFF"/>
                      <w:lang w:val="ro-MD"/>
                    </w:rPr>
                    <w:t>— (xxii) „Uzņēmumu ienākuma nodoklis” в Латвия;</w:t>
                  </w:r>
                  <w:r w:rsidRPr="00C606BE">
                    <w:rPr>
                      <w:rFonts w:ascii="Times New Roman" w:hAnsi="Times New Roman" w:cs="Times New Roman"/>
                      <w:color w:val="000000" w:themeColor="text1"/>
                      <w:sz w:val="20"/>
                      <w:szCs w:val="20"/>
                      <w:lang w:val="ro-MD"/>
                    </w:rPr>
                    <w:br/>
                    <w:t>— (xxiii) „Pelno mokestis” в Литва;</w:t>
                  </w:r>
                </w:p>
                <w:p w14:paraId="49FA3593" w14:textId="77777777" w:rsidR="00C1003A" w:rsidRPr="00C606BE" w:rsidRDefault="00C1003A" w:rsidP="004E1411">
                  <w:pPr>
                    <w:tabs>
                      <w:tab w:val="left" w:pos="-288"/>
                      <w:tab w:val="left" w:pos="244"/>
                      <w:tab w:val="left" w:pos="369"/>
                      <w:tab w:val="left" w:pos="455"/>
                    </w:tabs>
                    <w:spacing w:after="0" w:line="240" w:lineRule="auto"/>
                    <w:ind w:left="-288" w:hanging="19"/>
                    <w:jc w:val="both"/>
                    <w:rPr>
                      <w:rFonts w:ascii="Times New Roman" w:hAnsi="Times New Roman" w:cs="Times New Roman"/>
                      <w:color w:val="000000" w:themeColor="text1"/>
                      <w:sz w:val="20"/>
                      <w:szCs w:val="20"/>
                      <w:shd w:val="clear" w:color="auto" w:fill="FFFFFF"/>
                      <w:lang w:val="ro-MD"/>
                    </w:rPr>
                  </w:pPr>
                  <w:r w:rsidRPr="00C606BE">
                    <w:rPr>
                      <w:rFonts w:ascii="Times New Roman" w:hAnsi="Times New Roman" w:cs="Times New Roman"/>
                      <w:color w:val="000000" w:themeColor="text1"/>
                      <w:sz w:val="20"/>
                      <w:szCs w:val="20"/>
                      <w:shd w:val="clear" w:color="auto" w:fill="FFFFFF"/>
                      <w:lang w:val="ro-MD"/>
                    </w:rPr>
                    <w:t>— (xxiv) „Társasági adó” в Унгария;</w:t>
                  </w:r>
                </w:p>
                <w:p w14:paraId="1EE62970" w14:textId="77777777" w:rsidR="00C1003A" w:rsidRPr="00C606BE" w:rsidRDefault="00C1003A" w:rsidP="004E1411">
                  <w:pPr>
                    <w:tabs>
                      <w:tab w:val="left" w:pos="-288"/>
                      <w:tab w:val="left" w:pos="244"/>
                      <w:tab w:val="left" w:pos="369"/>
                      <w:tab w:val="left" w:pos="455"/>
                    </w:tabs>
                    <w:spacing w:after="0" w:line="240" w:lineRule="auto"/>
                    <w:ind w:left="-288" w:hanging="19"/>
                    <w:jc w:val="both"/>
                    <w:rPr>
                      <w:rFonts w:ascii="Times New Roman" w:hAnsi="Times New Roman" w:cs="Times New Roman"/>
                      <w:color w:val="000000" w:themeColor="text1"/>
                      <w:sz w:val="20"/>
                      <w:szCs w:val="20"/>
                      <w:shd w:val="clear" w:color="auto" w:fill="FFFFFF"/>
                      <w:lang w:val="ro-MD"/>
                    </w:rPr>
                  </w:pPr>
                  <w:r w:rsidRPr="00C606BE">
                    <w:rPr>
                      <w:rFonts w:ascii="Times New Roman" w:hAnsi="Times New Roman" w:cs="Times New Roman"/>
                      <w:color w:val="000000" w:themeColor="text1"/>
                      <w:sz w:val="20"/>
                      <w:szCs w:val="20"/>
                      <w:shd w:val="clear" w:color="auto" w:fill="FFFFFF"/>
                      <w:lang w:val="ro-MD"/>
                    </w:rPr>
                    <w:t>— (xxv) „Taxxa fuq l-income” в Малта;</w:t>
                  </w:r>
                </w:p>
                <w:p w14:paraId="7ED069C7" w14:textId="77777777" w:rsidR="00C1003A" w:rsidRPr="00C606BE" w:rsidRDefault="00C1003A" w:rsidP="004E1411">
                  <w:pPr>
                    <w:tabs>
                      <w:tab w:val="left" w:pos="-288"/>
                      <w:tab w:val="left" w:pos="244"/>
                      <w:tab w:val="left" w:pos="369"/>
                      <w:tab w:val="left" w:pos="455"/>
                    </w:tabs>
                    <w:spacing w:after="0" w:line="240" w:lineRule="auto"/>
                    <w:ind w:left="-288" w:hanging="19"/>
                    <w:jc w:val="both"/>
                    <w:rPr>
                      <w:rFonts w:ascii="Times New Roman" w:hAnsi="Times New Roman" w:cs="Times New Roman"/>
                      <w:color w:val="000000" w:themeColor="text1"/>
                      <w:sz w:val="20"/>
                      <w:szCs w:val="20"/>
                      <w:shd w:val="clear" w:color="auto" w:fill="FFFFFF"/>
                      <w:lang w:val="ro-MD"/>
                    </w:rPr>
                  </w:pPr>
                  <w:r w:rsidRPr="00C606BE">
                    <w:rPr>
                      <w:rFonts w:ascii="Times New Roman" w:hAnsi="Times New Roman" w:cs="Times New Roman"/>
                      <w:color w:val="000000" w:themeColor="text1"/>
                      <w:sz w:val="20"/>
                      <w:szCs w:val="20"/>
                      <w:shd w:val="clear" w:color="auto" w:fill="FFFFFF"/>
                      <w:lang w:val="ro-MD"/>
                    </w:rPr>
                    <w:t>— (xxvi) „Podatek dochodowy od osób prawnych” в Полша;</w:t>
                  </w:r>
                </w:p>
                <w:p w14:paraId="1C76EB0F" w14:textId="77777777" w:rsidR="00C1003A" w:rsidRPr="00C606BE" w:rsidRDefault="00C1003A" w:rsidP="004E1411">
                  <w:pPr>
                    <w:tabs>
                      <w:tab w:val="left" w:pos="-288"/>
                      <w:tab w:val="left" w:pos="244"/>
                      <w:tab w:val="left" w:pos="369"/>
                      <w:tab w:val="left" w:pos="455"/>
                    </w:tabs>
                    <w:spacing w:after="0" w:line="240" w:lineRule="auto"/>
                    <w:ind w:left="-288" w:hanging="19"/>
                    <w:jc w:val="both"/>
                    <w:rPr>
                      <w:rFonts w:ascii="Times New Roman" w:hAnsi="Times New Roman" w:cs="Times New Roman"/>
                      <w:color w:val="000000" w:themeColor="text1"/>
                      <w:sz w:val="20"/>
                      <w:szCs w:val="20"/>
                      <w:shd w:val="clear" w:color="auto" w:fill="FFFFFF"/>
                      <w:lang w:val="ro-MD"/>
                    </w:rPr>
                  </w:pPr>
                  <w:r w:rsidRPr="00C606BE">
                    <w:rPr>
                      <w:rFonts w:ascii="Times New Roman" w:hAnsi="Times New Roman" w:cs="Times New Roman"/>
                      <w:color w:val="000000" w:themeColor="text1"/>
                      <w:sz w:val="20"/>
                      <w:szCs w:val="20"/>
                      <w:shd w:val="clear" w:color="auto" w:fill="FFFFFF"/>
                      <w:lang w:val="ro-MD"/>
                    </w:rPr>
                    <w:t>— (xxvii) „Davek od dobička pravnih oseb” в Словения;</w:t>
                  </w:r>
                </w:p>
                <w:p w14:paraId="19246A5B" w14:textId="77777777" w:rsidR="00C1003A" w:rsidRPr="00C606BE" w:rsidRDefault="00C1003A" w:rsidP="004E1411">
                  <w:pPr>
                    <w:tabs>
                      <w:tab w:val="left" w:pos="-288"/>
                      <w:tab w:val="left" w:pos="244"/>
                      <w:tab w:val="left" w:pos="369"/>
                      <w:tab w:val="left" w:pos="455"/>
                    </w:tabs>
                    <w:spacing w:after="0" w:line="240" w:lineRule="auto"/>
                    <w:ind w:left="-288" w:hanging="19"/>
                    <w:jc w:val="both"/>
                    <w:rPr>
                      <w:rFonts w:ascii="Times New Roman" w:hAnsi="Times New Roman" w:cs="Times New Roman"/>
                      <w:color w:val="000000" w:themeColor="text1"/>
                      <w:sz w:val="20"/>
                      <w:szCs w:val="20"/>
                      <w:shd w:val="clear" w:color="auto" w:fill="FFFFFF"/>
                      <w:lang w:val="ro-MD"/>
                    </w:rPr>
                  </w:pPr>
                  <w:r w:rsidRPr="00C606BE">
                    <w:rPr>
                      <w:rFonts w:ascii="Times New Roman" w:hAnsi="Times New Roman" w:cs="Times New Roman"/>
                      <w:color w:val="000000" w:themeColor="text1"/>
                      <w:sz w:val="20"/>
                      <w:szCs w:val="20"/>
                      <w:shd w:val="clear" w:color="auto" w:fill="FFFFFF"/>
                      <w:lang w:val="ro-MD"/>
                    </w:rPr>
                    <w:t>— (xxviii) „Daň z príjmov právnických osôb” в Словакия;</w:t>
                  </w:r>
                </w:p>
                <w:p w14:paraId="2510D89C" w14:textId="77777777" w:rsidR="00C1003A" w:rsidRPr="00C606BE" w:rsidRDefault="00C1003A" w:rsidP="004E1411">
                  <w:pPr>
                    <w:tabs>
                      <w:tab w:val="left" w:pos="-288"/>
                      <w:tab w:val="left" w:pos="244"/>
                      <w:tab w:val="left" w:pos="369"/>
                      <w:tab w:val="left" w:pos="455"/>
                    </w:tabs>
                    <w:spacing w:after="0" w:line="240" w:lineRule="auto"/>
                    <w:ind w:left="-288" w:hanging="19"/>
                    <w:jc w:val="both"/>
                    <w:rPr>
                      <w:rFonts w:ascii="Times New Roman" w:hAnsi="Times New Roman" w:cs="Times New Roman"/>
                      <w:color w:val="000000" w:themeColor="text1"/>
                      <w:sz w:val="20"/>
                      <w:szCs w:val="20"/>
                      <w:shd w:val="clear" w:color="auto" w:fill="FFFFFF"/>
                      <w:lang w:val="ro-MD"/>
                    </w:rPr>
                  </w:pPr>
                  <w:r w:rsidRPr="00C606BE">
                    <w:rPr>
                      <w:rFonts w:ascii="Times New Roman" w:hAnsi="Times New Roman" w:cs="Times New Roman"/>
                      <w:color w:val="000000" w:themeColor="text1"/>
                      <w:sz w:val="20"/>
                      <w:szCs w:val="20"/>
                      <w:shd w:val="clear" w:color="auto" w:fill="FFFFFF"/>
                      <w:lang w:val="ro-MD"/>
                    </w:rPr>
                    <w:t>— (xxiv) „корпоративен данък” în Bulgaria;</w:t>
                  </w:r>
                </w:p>
                <w:p w14:paraId="1252B151" w14:textId="77777777" w:rsidR="00C1003A" w:rsidRPr="00C606BE" w:rsidRDefault="00C1003A" w:rsidP="004E1411">
                  <w:pPr>
                    <w:tabs>
                      <w:tab w:val="left" w:pos="30"/>
                      <w:tab w:val="left" w:pos="244"/>
                      <w:tab w:val="left" w:pos="369"/>
                      <w:tab w:val="left" w:pos="455"/>
                    </w:tabs>
                    <w:spacing w:after="0" w:line="240" w:lineRule="auto"/>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shd w:val="clear" w:color="auto" w:fill="FFFFFF"/>
                      <w:lang w:val="ro-MD"/>
                    </w:rPr>
                    <w:t>(xxx) „impozit pe profit, impozitul pe veniturile obținute din România de nerezidenți ” în România;</w:t>
                  </w:r>
                </w:p>
              </w:tc>
            </w:tr>
          </w:tbl>
          <w:p w14:paraId="20E3CE7B" w14:textId="77777777" w:rsidR="00C1003A" w:rsidRPr="00C606BE" w:rsidRDefault="00C1003A" w:rsidP="004E1411">
            <w:pPr>
              <w:tabs>
                <w:tab w:val="left" w:pos="0"/>
                <w:tab w:val="left" w:pos="455"/>
                <w:tab w:val="left" w:pos="837"/>
              </w:tabs>
              <w:jc w:val="both"/>
              <w:rPr>
                <w:rFonts w:ascii="Times New Roman" w:hAnsi="Times New Roman" w:cs="Times New Roman"/>
                <w:color w:val="000000" w:themeColor="text1"/>
                <w:sz w:val="20"/>
                <w:szCs w:val="20"/>
                <w:lang w:val="ro-MD"/>
              </w:rPr>
            </w:pPr>
          </w:p>
        </w:tc>
        <w:tc>
          <w:tcPr>
            <w:tcW w:w="4137" w:type="dxa"/>
          </w:tcPr>
          <w:p w14:paraId="17B3E492" w14:textId="005C285A" w:rsidR="00C1003A" w:rsidRPr="00C606BE" w:rsidRDefault="00C1003A" w:rsidP="004E1411">
            <w:pPr>
              <w:pStyle w:val="ListParagraph"/>
              <w:tabs>
                <w:tab w:val="left" w:pos="151"/>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lastRenderedPageBreak/>
              <w:t>Articolul 79</w:t>
            </w:r>
            <w:r w:rsidRPr="00C606BE">
              <w:rPr>
                <w:rFonts w:ascii="Times New Roman" w:hAnsi="Times New Roman" w:cs="Times New Roman"/>
                <w:b/>
                <w:color w:val="000000" w:themeColor="text1"/>
                <w:sz w:val="20"/>
                <w:szCs w:val="20"/>
                <w:vertAlign w:val="superscript"/>
                <w:lang w:val="ro-MD"/>
              </w:rPr>
              <w:t>4</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Noțiuni</w:t>
            </w:r>
          </w:p>
          <w:p w14:paraId="3C7445E4" w14:textId="77777777" w:rsidR="00C24303" w:rsidRPr="00C606BE" w:rsidRDefault="00C24303" w:rsidP="004E1411">
            <w:pPr>
              <w:tabs>
                <w:tab w:val="left" w:pos="323"/>
                <w:tab w:val="left" w:pos="993"/>
              </w:tabs>
              <w:spacing w:before="120" w:after="12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În sensul prezentului capitol, se definesc următoarele noțiuni:</w:t>
            </w:r>
          </w:p>
          <w:p w14:paraId="53A9FE37" w14:textId="4C915B38" w:rsidR="00C24303" w:rsidRPr="00C606BE" w:rsidRDefault="00C24303" w:rsidP="004E1411">
            <w:pPr>
              <w:pStyle w:val="ListParagraph"/>
              <w:numPr>
                <w:ilvl w:val="0"/>
                <w:numId w:val="27"/>
              </w:numPr>
              <w:tabs>
                <w:tab w:val="left" w:pos="323"/>
                <w:tab w:val="left" w:pos="993"/>
              </w:tabs>
              <w:spacing w:before="120" w:after="120"/>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i/>
                <w:color w:val="000000" w:themeColor="text1"/>
                <w:sz w:val="20"/>
                <w:szCs w:val="20"/>
                <w:lang w:val="ro-MD"/>
              </w:rPr>
              <w:t>societate a unui stat membru</w:t>
            </w:r>
            <w:r w:rsidRPr="00C606BE">
              <w:rPr>
                <w:rFonts w:ascii="Times New Roman" w:hAnsi="Times New Roman" w:cs="Times New Roman"/>
                <w:color w:val="000000" w:themeColor="text1"/>
                <w:sz w:val="20"/>
                <w:szCs w:val="20"/>
                <w:lang w:val="ro-MD"/>
              </w:rPr>
              <w:t xml:space="preserve"> – este o societate care:</w:t>
            </w:r>
          </w:p>
          <w:p w14:paraId="3B8A5B46" w14:textId="77777777" w:rsidR="00C24303" w:rsidRPr="00C606BE" w:rsidRDefault="00C24303" w:rsidP="004E1411">
            <w:pPr>
              <w:pStyle w:val="ListParagraph"/>
              <w:numPr>
                <w:ilvl w:val="0"/>
                <w:numId w:val="28"/>
              </w:numPr>
              <w:tabs>
                <w:tab w:val="left" w:pos="323"/>
                <w:tab w:val="left" w:pos="993"/>
              </w:tabs>
              <w:spacing w:before="120" w:after="120"/>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corespunde la orice forma organizatorico-juridică prevăzută la Anexa nr.2 la prezentul titlu, și</w:t>
            </w:r>
          </w:p>
          <w:p w14:paraId="45DC575C" w14:textId="77777777" w:rsidR="00C24303" w:rsidRPr="00C606BE" w:rsidRDefault="00C24303" w:rsidP="004E1411">
            <w:pPr>
              <w:pStyle w:val="ListParagraph"/>
              <w:numPr>
                <w:ilvl w:val="0"/>
                <w:numId w:val="28"/>
              </w:numPr>
              <w:tabs>
                <w:tab w:val="left" w:pos="323"/>
                <w:tab w:val="left" w:pos="993"/>
              </w:tabs>
              <w:spacing w:before="120" w:after="120"/>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xml:space="preserve">conform legislației fiscale a unui stat membru, este considerată ca fiind rezidentă în </w:t>
            </w:r>
            <w:r w:rsidRPr="00C606BE">
              <w:rPr>
                <w:rFonts w:ascii="Times New Roman" w:hAnsi="Times New Roman" w:cs="Times New Roman"/>
                <w:color w:val="000000" w:themeColor="text1"/>
                <w:sz w:val="20"/>
                <w:szCs w:val="20"/>
                <w:lang w:val="ro-MD"/>
              </w:rPr>
              <w:lastRenderedPageBreak/>
              <w:t>acel stat membru și nu este considerată, în sensul acordului/convenției privind evitare dublei impunerii cu privire la impozit pe venit încheiată cu un stat terț, ca fiind rezident în scopul impozitării în afara Uniunii Europene, și</w:t>
            </w:r>
          </w:p>
          <w:p w14:paraId="3110307A" w14:textId="77777777" w:rsidR="00C24303" w:rsidRPr="00C606BE" w:rsidRDefault="00C24303" w:rsidP="004E1411">
            <w:pPr>
              <w:pStyle w:val="ListParagraph"/>
              <w:numPr>
                <w:ilvl w:val="0"/>
                <w:numId w:val="28"/>
              </w:numPr>
              <w:tabs>
                <w:tab w:val="left" w:pos="323"/>
                <w:tab w:val="left" w:pos="993"/>
              </w:tabs>
              <w:spacing w:before="120" w:after="120"/>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este supusă unuia dintre următoarele impozite, fără a fi scutită de impozit, sau unui impozit care este identic ori, în esență, similar și care este stabilit după data întrării în vigoare a prezentului articol, în plus sau în locul acelor impozite existente:</w:t>
            </w:r>
          </w:p>
          <w:p w14:paraId="4439B19C" w14:textId="77777777" w:rsidR="004564E6" w:rsidRPr="00C606BE" w:rsidRDefault="00C24303" w:rsidP="004E1411">
            <w:pPr>
              <w:pStyle w:val="ListParagraph"/>
              <w:tabs>
                <w:tab w:val="left" w:pos="323"/>
                <w:tab w:val="left" w:pos="993"/>
              </w:tabs>
              <w:spacing w:before="120" w:after="120"/>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impozitul societăților/</w:t>
            </w:r>
          </w:p>
          <w:p w14:paraId="552079CF" w14:textId="22AF9025" w:rsidR="00C24303" w:rsidRPr="00C606BE" w:rsidRDefault="00C24303" w:rsidP="004E1411">
            <w:pPr>
              <w:pStyle w:val="ListParagraph"/>
              <w:tabs>
                <w:tab w:val="left" w:pos="323"/>
                <w:tab w:val="left" w:pos="993"/>
              </w:tabs>
              <w:spacing w:before="120" w:after="120"/>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vennootschapsbelasting, în Belgia;</w:t>
            </w:r>
          </w:p>
          <w:p w14:paraId="59EDCA99"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selskabsskat, în Danemarca;</w:t>
            </w:r>
          </w:p>
          <w:p w14:paraId="1282259A"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Korperschaftsteuer, în Germania;</w:t>
            </w:r>
          </w:p>
          <w:p w14:paraId="25E94C81"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phdros eisodematos uomikou prosopon, în Grecia;</w:t>
            </w:r>
          </w:p>
          <w:p w14:paraId="0228B640"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impuesto sobre sociedades, în Spania;</w:t>
            </w:r>
          </w:p>
          <w:p w14:paraId="6EE4705E"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impôt sur les sociétés, în Franța;</w:t>
            </w:r>
          </w:p>
          <w:p w14:paraId="4CB7AC0E"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corporation tax, în Irlanda;</w:t>
            </w:r>
          </w:p>
          <w:p w14:paraId="3D5060D7"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imposta sul reddito delle persone giuridiche, în Italia;</w:t>
            </w:r>
          </w:p>
          <w:p w14:paraId="4F9FE415"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impôt sur le revenu des collectivités, în Luxemburg;</w:t>
            </w:r>
          </w:p>
          <w:p w14:paraId="43FDDA83"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vennootschapsbelasting, în Țările de Jos;</w:t>
            </w:r>
          </w:p>
          <w:p w14:paraId="7CB4A81B"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Korperschaftsteuer, în Austria;</w:t>
            </w:r>
          </w:p>
          <w:p w14:paraId="39A20FD1"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imposto sobre o rendimento da pessoas colectivas, în Portugalia;</w:t>
            </w:r>
          </w:p>
          <w:p w14:paraId="19459015"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vhteisoien tulovero/în komstskatten, în Finlanda;</w:t>
            </w:r>
          </w:p>
          <w:p w14:paraId="1CB5303A"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statlîn g în komstskatt, în Suedia;</w:t>
            </w:r>
          </w:p>
          <w:p w14:paraId="6E07D631"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corporation tax, în Regatul Unit al Marii Britanii;</w:t>
            </w:r>
          </w:p>
          <w:p w14:paraId="3DB10DB0"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dan z prijmu pravnickych osob, în Republica Cehă;</w:t>
            </w:r>
          </w:p>
          <w:p w14:paraId="4C66E464"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tulumaks, în Estonia;</w:t>
            </w:r>
          </w:p>
          <w:p w14:paraId="2254A6CC"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phdros eisodematos, în Cipru;</w:t>
            </w:r>
          </w:p>
          <w:p w14:paraId="248FAB1D"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uznemumu ienakuma nodoklis, în Letonia;</w:t>
            </w:r>
          </w:p>
          <w:p w14:paraId="36A44A8E"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pelno mokestis, în Lituania;</w:t>
            </w:r>
          </w:p>
          <w:p w14:paraId="57CD0D50"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tarsasagi ado, în Ungaria;</w:t>
            </w:r>
          </w:p>
          <w:p w14:paraId="7084AD32"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taxxa fuq l-income, în Malta;</w:t>
            </w:r>
          </w:p>
          <w:p w14:paraId="2CF55006"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todatek dochodowy od osob prawnych, în Polonia;</w:t>
            </w:r>
          </w:p>
          <w:p w14:paraId="5A0BCF91"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davek od dobicka praznih oseb, în Slovenia;</w:t>
            </w:r>
          </w:p>
          <w:p w14:paraId="1226E244"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dan z prijmov pravnickych osob, în Slovacia;</w:t>
            </w:r>
          </w:p>
          <w:p w14:paraId="78C31674"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lastRenderedPageBreak/>
              <w:t>- impozitul pe profit, în România;</w:t>
            </w:r>
          </w:p>
          <w:p w14:paraId="6F41527B" w14:textId="77777777" w:rsidR="00C24303" w:rsidRPr="00C606BE" w:rsidRDefault="00C24303" w:rsidP="004E1411">
            <w:pPr>
              <w:pStyle w:val="ListParagraph"/>
              <w:tabs>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korporativen danăk, în Bulgaria;</w:t>
            </w:r>
          </w:p>
          <w:p w14:paraId="54F2E2A0" w14:textId="641AC592" w:rsidR="00C1003A" w:rsidRPr="00C606BE" w:rsidRDefault="00C24303" w:rsidP="004E1411">
            <w:pPr>
              <w:pStyle w:val="ListParagraph"/>
              <w:tabs>
                <w:tab w:val="left" w:pos="151"/>
                <w:tab w:val="left" w:pos="323"/>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porez na dobit, în Croația</w:t>
            </w:r>
            <w:r w:rsidR="00C1003A" w:rsidRPr="00C606BE">
              <w:rPr>
                <w:rFonts w:ascii="Times New Roman" w:hAnsi="Times New Roman" w:cs="Times New Roman"/>
                <w:color w:val="000000" w:themeColor="text1"/>
                <w:sz w:val="20"/>
                <w:szCs w:val="20"/>
                <w:lang w:val="ro-MD"/>
              </w:rPr>
              <w:t>.</w:t>
            </w:r>
          </w:p>
        </w:tc>
        <w:tc>
          <w:tcPr>
            <w:tcW w:w="1941" w:type="dxa"/>
          </w:tcPr>
          <w:p w14:paraId="04ECEC78" w14:textId="77777777" w:rsidR="00C1003A" w:rsidRPr="00C606BE" w:rsidRDefault="00C1003A"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lastRenderedPageBreak/>
              <w:t>Compatibil</w:t>
            </w:r>
          </w:p>
        </w:tc>
        <w:tc>
          <w:tcPr>
            <w:tcW w:w="2570" w:type="dxa"/>
          </w:tcPr>
          <w:p w14:paraId="103870FE" w14:textId="77777777" w:rsidR="00C1003A" w:rsidRPr="00C606BE" w:rsidRDefault="00C1003A" w:rsidP="004E1411">
            <w:pPr>
              <w:jc w:val="center"/>
              <w:rPr>
                <w:rFonts w:ascii="Times New Roman" w:hAnsi="Times New Roman" w:cs="Times New Roman"/>
                <w:color w:val="000000" w:themeColor="text1"/>
                <w:sz w:val="20"/>
                <w:szCs w:val="20"/>
                <w:lang w:val="ro-MD"/>
              </w:rPr>
            </w:pPr>
          </w:p>
        </w:tc>
      </w:tr>
      <w:tr w:rsidR="00C606BE" w:rsidRPr="00C606BE" w14:paraId="54F054A6" w14:textId="77777777" w:rsidTr="00AD035D">
        <w:tc>
          <w:tcPr>
            <w:tcW w:w="5381" w:type="dxa"/>
            <w:gridSpan w:val="2"/>
          </w:tcPr>
          <w:p w14:paraId="7D55955E" w14:textId="77777777" w:rsidR="00C1003A" w:rsidRPr="00C606BE" w:rsidRDefault="00C1003A" w:rsidP="004E1411">
            <w:pPr>
              <w:pStyle w:val="norm"/>
              <w:numPr>
                <w:ilvl w:val="0"/>
                <w:numId w:val="9"/>
              </w:numPr>
              <w:shd w:val="clear" w:color="auto" w:fill="FFFFFF"/>
              <w:tabs>
                <w:tab w:val="left" w:pos="276"/>
                <w:tab w:val="left" w:pos="369"/>
                <w:tab w:val="left" w:pos="418"/>
              </w:tabs>
              <w:spacing w:before="0" w:beforeAutospacing="0" w:after="0" w:afterAutospacing="0"/>
              <w:ind w:left="0" w:firstLine="0"/>
              <w:jc w:val="both"/>
              <w:rPr>
                <w:color w:val="000000" w:themeColor="text1"/>
                <w:sz w:val="20"/>
                <w:szCs w:val="20"/>
                <w:lang w:val="ro-MD"/>
              </w:rPr>
            </w:pPr>
            <w:r w:rsidRPr="00C606BE">
              <w:rPr>
                <w:color w:val="000000" w:themeColor="text1"/>
                <w:sz w:val="20"/>
                <w:szCs w:val="20"/>
                <w:lang w:val="ro-MD"/>
              </w:rPr>
              <w:lastRenderedPageBreak/>
              <w:t xml:space="preserve">calitatea de „societate asociată” cu altă societate îi este </w:t>
            </w:r>
            <w:r w:rsidRPr="00C606BE">
              <w:rPr>
                <w:color w:val="000000" w:themeColor="text1"/>
                <w:sz w:val="20"/>
                <w:szCs w:val="20"/>
                <w:shd w:val="clear" w:color="auto" w:fill="FFFFFF"/>
                <w:lang w:val="ro-MD"/>
              </w:rPr>
              <w:t>recunoscută, cel puțin, oricărei societăți</w:t>
            </w:r>
            <w:r w:rsidRPr="00C606BE">
              <w:rPr>
                <w:color w:val="000000" w:themeColor="text1"/>
                <w:sz w:val="20"/>
                <w:szCs w:val="20"/>
                <w:lang w:val="ro-MD"/>
              </w:rPr>
              <w:tab/>
            </w:r>
          </w:p>
          <w:p w14:paraId="575022F8" w14:textId="77777777" w:rsidR="00C1003A" w:rsidRPr="00C606BE" w:rsidRDefault="00C1003A" w:rsidP="004E1411">
            <w:pPr>
              <w:pStyle w:val="norm"/>
              <w:numPr>
                <w:ilvl w:val="0"/>
                <w:numId w:val="11"/>
              </w:numPr>
              <w:shd w:val="clear" w:color="auto" w:fill="FFFFFF"/>
              <w:tabs>
                <w:tab w:val="left" w:pos="276"/>
                <w:tab w:val="left" w:pos="369"/>
                <w:tab w:val="left" w:pos="418"/>
              </w:tabs>
              <w:spacing w:before="0" w:beforeAutospacing="0" w:after="0" w:afterAutospacing="0"/>
              <w:ind w:left="0" w:firstLine="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când aceasta deține o participare directă de cel puțin 25 % la capitalul celeilalte societăți, sau</w:t>
            </w:r>
          </w:p>
          <w:p w14:paraId="385A6C9F" w14:textId="77777777" w:rsidR="00C1003A" w:rsidRPr="00C606BE" w:rsidRDefault="00C1003A" w:rsidP="004E1411">
            <w:pPr>
              <w:pStyle w:val="norm"/>
              <w:numPr>
                <w:ilvl w:val="0"/>
                <w:numId w:val="11"/>
              </w:numPr>
              <w:shd w:val="clear" w:color="auto" w:fill="FFFFFF"/>
              <w:tabs>
                <w:tab w:val="left" w:pos="276"/>
                <w:tab w:val="left" w:pos="369"/>
                <w:tab w:val="left" w:pos="418"/>
              </w:tabs>
              <w:spacing w:before="0" w:beforeAutospacing="0" w:after="0" w:afterAutospacing="0"/>
              <w:ind w:left="0" w:firstLine="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când cealaltă societate deține o participare directă de cel puțin 25 % la capitalul său, sau</w:t>
            </w:r>
          </w:p>
          <w:p w14:paraId="0005D227" w14:textId="77777777" w:rsidR="00C1003A" w:rsidRPr="00C606BE" w:rsidRDefault="00C1003A" w:rsidP="004E1411">
            <w:pPr>
              <w:pStyle w:val="norm"/>
              <w:numPr>
                <w:ilvl w:val="0"/>
                <w:numId w:val="11"/>
              </w:numPr>
              <w:shd w:val="clear" w:color="auto" w:fill="FFFFFF"/>
              <w:tabs>
                <w:tab w:val="left" w:pos="276"/>
                <w:tab w:val="left" w:pos="369"/>
                <w:tab w:val="left" w:pos="418"/>
              </w:tabs>
              <w:spacing w:before="0" w:beforeAutospacing="0" w:after="0" w:afterAutospacing="0"/>
              <w:ind w:left="0" w:firstLine="0"/>
              <w:jc w:val="both"/>
              <w:rPr>
                <w:color w:val="000000" w:themeColor="text1"/>
                <w:sz w:val="20"/>
                <w:szCs w:val="20"/>
                <w:lang w:val="ro-MD"/>
              </w:rPr>
            </w:pPr>
            <w:r w:rsidRPr="00C606BE">
              <w:rPr>
                <w:color w:val="000000" w:themeColor="text1"/>
                <w:sz w:val="20"/>
                <w:szCs w:val="20"/>
                <w:shd w:val="clear" w:color="auto" w:fill="FFFFFF"/>
                <w:lang w:val="ro-MD"/>
              </w:rPr>
              <w:t>când o a treia societate deține o participare directă de cel puțin 25 % la capitalul său și din capitalul celeilalte societăți.</w:t>
            </w:r>
          </w:p>
          <w:p w14:paraId="78494DA7" w14:textId="4FFC4F90" w:rsidR="00C1003A" w:rsidRPr="00C606BE" w:rsidRDefault="00C1003A"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Participările nu pot să fie legate decât de societăți cu sediul în Comunitate.</w:t>
            </w:r>
          </w:p>
          <w:p w14:paraId="1D85207B" w14:textId="173BC802" w:rsidR="00040B31" w:rsidRPr="00C606BE" w:rsidRDefault="00040B31"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p>
          <w:p w14:paraId="6B74A67A" w14:textId="75238789" w:rsidR="00040B31" w:rsidRPr="00C606BE" w:rsidRDefault="00040B31"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p>
          <w:p w14:paraId="6F137E4A" w14:textId="59E0CFE6" w:rsidR="00040B31" w:rsidRPr="00C606BE" w:rsidRDefault="00040B31"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p>
          <w:p w14:paraId="20947D81" w14:textId="7B9F7442" w:rsidR="00040B31" w:rsidRPr="00C606BE" w:rsidRDefault="00040B31"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p>
          <w:p w14:paraId="2F3C033C" w14:textId="2C54E6FF" w:rsidR="00040B31" w:rsidRPr="00C606BE" w:rsidRDefault="00040B31"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p>
          <w:p w14:paraId="502E8214" w14:textId="23411102" w:rsidR="00040B31" w:rsidRPr="00C606BE" w:rsidRDefault="00040B31"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p>
          <w:p w14:paraId="1236481B" w14:textId="4778E722" w:rsidR="00040B31" w:rsidRPr="00C606BE" w:rsidRDefault="00040B31"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p>
          <w:p w14:paraId="0447ED74" w14:textId="2802110C" w:rsidR="00040B31" w:rsidRPr="00C606BE" w:rsidRDefault="00040B31"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p>
          <w:p w14:paraId="7254B081" w14:textId="36043914" w:rsidR="00040B31" w:rsidRPr="00C606BE" w:rsidRDefault="00040B31"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p>
          <w:p w14:paraId="5B0E839D" w14:textId="56DC0596" w:rsidR="00040B31" w:rsidRPr="00C606BE" w:rsidRDefault="00040B31"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p>
          <w:p w14:paraId="51CF2661" w14:textId="13003DBE" w:rsidR="00040B31" w:rsidRPr="00C606BE" w:rsidRDefault="00040B31"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p>
          <w:p w14:paraId="0B4D6816" w14:textId="77777777" w:rsidR="00040B31" w:rsidRPr="00C606BE" w:rsidRDefault="00040B31" w:rsidP="004E1411">
            <w:pPr>
              <w:pStyle w:val="norm"/>
              <w:shd w:val="clear" w:color="auto" w:fill="FFFFFF"/>
              <w:tabs>
                <w:tab w:val="left" w:pos="276"/>
                <w:tab w:val="left" w:pos="369"/>
                <w:tab w:val="left" w:pos="418"/>
              </w:tabs>
              <w:spacing w:before="0" w:beforeAutospacing="0" w:after="0" w:afterAutospacing="0"/>
              <w:jc w:val="both"/>
              <w:rPr>
                <w:color w:val="000000" w:themeColor="text1"/>
                <w:sz w:val="20"/>
                <w:szCs w:val="20"/>
                <w:shd w:val="clear" w:color="auto" w:fill="FFFFFF"/>
                <w:lang w:val="ro-MD"/>
              </w:rPr>
            </w:pPr>
          </w:p>
          <w:p w14:paraId="2F34EABE" w14:textId="77777777" w:rsidR="00C1003A" w:rsidRPr="00C606BE" w:rsidRDefault="00C1003A" w:rsidP="004E1411">
            <w:pPr>
              <w:pStyle w:val="title-article-norm"/>
              <w:shd w:val="clear" w:color="auto" w:fill="FFFFFF"/>
              <w:spacing w:before="0" w:beforeAutospacing="0" w:after="0" w:afterAutospacing="0"/>
              <w:jc w:val="both"/>
              <w:rPr>
                <w:i/>
                <w:iCs/>
                <w:color w:val="000000" w:themeColor="text1"/>
                <w:sz w:val="20"/>
                <w:szCs w:val="20"/>
                <w:lang w:val="ro-MD"/>
              </w:rPr>
            </w:pPr>
            <w:r w:rsidRPr="00C606BE">
              <w:rPr>
                <w:color w:val="000000" w:themeColor="text1"/>
                <w:sz w:val="20"/>
                <w:szCs w:val="20"/>
                <w:shd w:val="clear" w:color="auto" w:fill="FFFFFF"/>
                <w:lang w:val="ro-MD"/>
              </w:rPr>
              <w:t>Cu toate acestea, statele membre au opțiunea de a înlocui criteriul legat de participarea minimă la capital printr-un criteriu privind deținerea unui număr minim de drepturi de vot;</w:t>
            </w:r>
          </w:p>
        </w:tc>
        <w:tc>
          <w:tcPr>
            <w:tcW w:w="4137" w:type="dxa"/>
          </w:tcPr>
          <w:p w14:paraId="070AFEE8" w14:textId="71C71228" w:rsidR="00C1003A" w:rsidRPr="00C606BE" w:rsidRDefault="00C1003A" w:rsidP="004E1411">
            <w:pPr>
              <w:tabs>
                <w:tab w:val="left" w:pos="151"/>
                <w:tab w:val="left" w:pos="331"/>
                <w:tab w:val="left" w:pos="993"/>
              </w:tabs>
              <w:contextualSpacing/>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Articolul 79</w:t>
            </w:r>
            <w:r w:rsidRPr="00C606BE">
              <w:rPr>
                <w:rFonts w:ascii="Times New Roman" w:hAnsi="Times New Roman" w:cs="Times New Roman"/>
                <w:b/>
                <w:color w:val="000000" w:themeColor="text1"/>
                <w:sz w:val="20"/>
                <w:szCs w:val="20"/>
                <w:vertAlign w:val="superscript"/>
                <w:lang w:val="ro-MD"/>
              </w:rPr>
              <w:t>4</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Noțiuni</w:t>
            </w:r>
          </w:p>
          <w:p w14:paraId="4BE1BE35" w14:textId="77777777" w:rsidR="00C1003A" w:rsidRPr="00C606BE" w:rsidRDefault="00C1003A" w:rsidP="004E1411">
            <w:pPr>
              <w:tabs>
                <w:tab w:val="left" w:pos="151"/>
                <w:tab w:val="left" w:pos="331"/>
                <w:tab w:val="left" w:pos="993"/>
              </w:tabs>
              <w:contextualSpacing/>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În sensul prezentului capitol, se definesc următoarele noțiuni:</w:t>
            </w:r>
          </w:p>
          <w:p w14:paraId="055F984D" w14:textId="77777777" w:rsidR="00C24303" w:rsidRPr="00C606BE" w:rsidRDefault="00C24303" w:rsidP="004E1411">
            <w:pPr>
              <w:pStyle w:val="ListParagraph"/>
              <w:tabs>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2)</w:t>
            </w:r>
            <w:r w:rsidRPr="00C606BE">
              <w:rPr>
                <w:rFonts w:ascii="Times New Roman" w:hAnsi="Times New Roman" w:cs="Times New Roman"/>
                <w:i/>
                <w:color w:val="000000" w:themeColor="text1"/>
                <w:sz w:val="20"/>
                <w:szCs w:val="20"/>
                <w:lang w:val="ro-MD"/>
              </w:rPr>
              <w:t xml:space="preserve"> societate asociată </w:t>
            </w:r>
            <w:r w:rsidRPr="00C606BE">
              <w:rPr>
                <w:rFonts w:ascii="Times New Roman" w:hAnsi="Times New Roman" w:cs="Times New Roman"/>
                <w:color w:val="000000" w:themeColor="text1"/>
                <w:sz w:val="20"/>
                <w:szCs w:val="20"/>
                <w:lang w:val="ro-MD"/>
              </w:rPr>
              <w:t>– o societate este considerată asociată a unei alte societăți dacă, cel puțin:</w:t>
            </w:r>
          </w:p>
          <w:p w14:paraId="3F628569" w14:textId="77777777" w:rsidR="00C24303" w:rsidRPr="00C606BE" w:rsidRDefault="00C24303" w:rsidP="004E1411">
            <w:pPr>
              <w:pStyle w:val="ListParagraph"/>
              <w:tabs>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a) deține, în mod direct, minimum  25% din participațiuni cu drept de vot în capitalul celei de-a doua societăți; sau</w:t>
            </w:r>
          </w:p>
          <w:p w14:paraId="41A4D2E7" w14:textId="77777777" w:rsidR="00C24303" w:rsidRPr="00C606BE" w:rsidRDefault="00C24303" w:rsidP="004E1411">
            <w:pPr>
              <w:pStyle w:val="ListParagraph"/>
              <w:tabs>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b) cea de a doua societate are, în mod direct, minimum 25% din participațiuni cu drept de vot în capitalul primei societăți; sau</w:t>
            </w:r>
          </w:p>
          <w:p w14:paraId="6B3BC5E0" w14:textId="77777777" w:rsidR="00C24303" w:rsidRPr="00C606BE" w:rsidRDefault="00C24303" w:rsidP="004E1411">
            <w:pPr>
              <w:pStyle w:val="ListParagraph"/>
              <w:tabs>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 o societate terță are, în mod direct, minimum 25% din participațiuni cu drept de vot atât în capitalul primei societăți, cât și în capitalul celei de-a doua societate.</w:t>
            </w:r>
          </w:p>
          <w:p w14:paraId="52F4AB0B" w14:textId="5B2A1B23" w:rsidR="00C1003A" w:rsidRPr="00C606BE" w:rsidRDefault="00C24303" w:rsidP="004E1411">
            <w:pPr>
              <w:pStyle w:val="ListParagraph"/>
              <w:tabs>
                <w:tab w:val="left" w:pos="993"/>
              </w:tabs>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Cota de participație sau pachetul minim de participațiuni este deținută pentru o perioadă neîntreruptă de cel puțin 24 de luni;</w:t>
            </w:r>
          </w:p>
        </w:tc>
        <w:tc>
          <w:tcPr>
            <w:tcW w:w="1941" w:type="dxa"/>
          </w:tcPr>
          <w:p w14:paraId="0F52B11F" w14:textId="77777777" w:rsidR="00C1003A" w:rsidRPr="00C606BE" w:rsidRDefault="00C1003A"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Compatibil</w:t>
            </w:r>
          </w:p>
          <w:p w14:paraId="7261A9DB"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27BE2E39"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45FFF754"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07C03B51"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74B0582E"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2C33E109"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5D4CE7B7"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6A624253"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56976B1A"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09F4B571"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0BE1603C"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60358967"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00E529AF"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727CDC50"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3B1CDCAE" w14:textId="566D3668" w:rsidR="00C1003A" w:rsidRPr="00C606BE" w:rsidRDefault="00C1003A" w:rsidP="004E1411">
            <w:pPr>
              <w:jc w:val="center"/>
              <w:rPr>
                <w:rFonts w:ascii="Times New Roman" w:hAnsi="Times New Roman" w:cs="Times New Roman"/>
                <w:color w:val="000000" w:themeColor="text1"/>
                <w:sz w:val="20"/>
                <w:szCs w:val="20"/>
                <w:lang w:val="ro-MD"/>
              </w:rPr>
            </w:pPr>
          </w:p>
          <w:p w14:paraId="36CD279F" w14:textId="7775D18E" w:rsidR="00040B31" w:rsidRPr="00C606BE" w:rsidRDefault="00040B31" w:rsidP="004E1411">
            <w:pPr>
              <w:jc w:val="center"/>
              <w:rPr>
                <w:rFonts w:ascii="Times New Roman" w:hAnsi="Times New Roman" w:cs="Times New Roman"/>
                <w:color w:val="000000" w:themeColor="text1"/>
                <w:sz w:val="20"/>
                <w:szCs w:val="20"/>
                <w:lang w:val="ro-MD"/>
              </w:rPr>
            </w:pPr>
          </w:p>
          <w:p w14:paraId="7DF529C5" w14:textId="41506E11" w:rsidR="00040B31" w:rsidRPr="00C606BE" w:rsidRDefault="00040B31" w:rsidP="004E1411">
            <w:pPr>
              <w:jc w:val="center"/>
              <w:rPr>
                <w:rFonts w:ascii="Times New Roman" w:hAnsi="Times New Roman" w:cs="Times New Roman"/>
                <w:color w:val="000000" w:themeColor="text1"/>
                <w:sz w:val="20"/>
                <w:szCs w:val="20"/>
                <w:lang w:val="ro-MD"/>
              </w:rPr>
            </w:pPr>
          </w:p>
          <w:p w14:paraId="459B539F" w14:textId="72E3E59B" w:rsidR="00040B31" w:rsidRPr="00C606BE" w:rsidRDefault="00040B31" w:rsidP="004E1411">
            <w:pPr>
              <w:jc w:val="center"/>
              <w:rPr>
                <w:rFonts w:ascii="Times New Roman" w:hAnsi="Times New Roman" w:cs="Times New Roman"/>
                <w:color w:val="000000" w:themeColor="text1"/>
                <w:sz w:val="20"/>
                <w:szCs w:val="20"/>
                <w:lang w:val="ro-MD"/>
              </w:rPr>
            </w:pPr>
          </w:p>
          <w:p w14:paraId="2BEC6C43" w14:textId="339EC11A" w:rsidR="00040B31" w:rsidRPr="00C606BE" w:rsidRDefault="00040B31" w:rsidP="004E1411">
            <w:pPr>
              <w:jc w:val="center"/>
              <w:rPr>
                <w:rFonts w:ascii="Times New Roman" w:hAnsi="Times New Roman" w:cs="Times New Roman"/>
                <w:color w:val="000000" w:themeColor="text1"/>
                <w:sz w:val="20"/>
                <w:szCs w:val="20"/>
                <w:lang w:val="ro-MD"/>
              </w:rPr>
            </w:pPr>
          </w:p>
          <w:p w14:paraId="6C62C342" w14:textId="23E99963" w:rsidR="00040B31" w:rsidRPr="00C606BE" w:rsidRDefault="00040B31" w:rsidP="004E1411">
            <w:pPr>
              <w:jc w:val="center"/>
              <w:rPr>
                <w:rFonts w:ascii="Times New Roman" w:hAnsi="Times New Roman" w:cs="Times New Roman"/>
                <w:color w:val="000000" w:themeColor="text1"/>
                <w:sz w:val="20"/>
                <w:szCs w:val="20"/>
                <w:lang w:val="ro-MD"/>
              </w:rPr>
            </w:pPr>
          </w:p>
          <w:p w14:paraId="53AE3FB5" w14:textId="5ECEED4D" w:rsidR="00040B31" w:rsidRPr="00C606BE" w:rsidRDefault="00040B31" w:rsidP="004E1411">
            <w:pPr>
              <w:jc w:val="center"/>
              <w:rPr>
                <w:rFonts w:ascii="Times New Roman" w:hAnsi="Times New Roman" w:cs="Times New Roman"/>
                <w:color w:val="000000" w:themeColor="text1"/>
                <w:sz w:val="20"/>
                <w:szCs w:val="20"/>
                <w:lang w:val="ro-MD"/>
              </w:rPr>
            </w:pPr>
          </w:p>
          <w:p w14:paraId="4372880D" w14:textId="77777777" w:rsidR="00040B31" w:rsidRPr="00C606BE" w:rsidRDefault="00040B31" w:rsidP="004E1411">
            <w:pPr>
              <w:jc w:val="center"/>
              <w:rPr>
                <w:rFonts w:ascii="Times New Roman" w:hAnsi="Times New Roman" w:cs="Times New Roman"/>
                <w:color w:val="000000" w:themeColor="text1"/>
                <w:sz w:val="20"/>
                <w:szCs w:val="20"/>
                <w:lang w:val="ro-MD"/>
              </w:rPr>
            </w:pPr>
          </w:p>
          <w:p w14:paraId="1902F597" w14:textId="51CA3E1D" w:rsidR="00C1003A" w:rsidRPr="00C606BE" w:rsidRDefault="00AC339F"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Norma opțională care nu urmează a fi transpusă</w:t>
            </w:r>
          </w:p>
        </w:tc>
        <w:tc>
          <w:tcPr>
            <w:tcW w:w="2570" w:type="dxa"/>
          </w:tcPr>
          <w:p w14:paraId="219464EB" w14:textId="77777777" w:rsidR="00C1003A" w:rsidRPr="00C606BE" w:rsidRDefault="00C1003A" w:rsidP="004E1411">
            <w:pPr>
              <w:jc w:val="center"/>
              <w:rPr>
                <w:rFonts w:ascii="Times New Roman" w:hAnsi="Times New Roman" w:cs="Times New Roman"/>
                <w:color w:val="000000" w:themeColor="text1"/>
                <w:sz w:val="20"/>
                <w:szCs w:val="20"/>
                <w:lang w:val="ro-MD"/>
              </w:rPr>
            </w:pPr>
          </w:p>
        </w:tc>
      </w:tr>
      <w:tr w:rsidR="00C606BE" w:rsidRPr="00C606BE" w14:paraId="25ACE863" w14:textId="77777777" w:rsidTr="00AD035D">
        <w:trPr>
          <w:trHeight w:val="227"/>
        </w:trPr>
        <w:tc>
          <w:tcPr>
            <w:tcW w:w="5381" w:type="dxa"/>
            <w:gridSpan w:val="2"/>
          </w:tcPr>
          <w:p w14:paraId="22EC56DF" w14:textId="77777777" w:rsidR="00C1003A" w:rsidRPr="00C606BE" w:rsidRDefault="00C1003A" w:rsidP="004E1411">
            <w:pPr>
              <w:pStyle w:val="title-article-norm"/>
              <w:shd w:val="clear" w:color="auto" w:fill="FFFFFF"/>
              <w:spacing w:before="0" w:beforeAutospacing="0" w:after="0" w:afterAutospacing="0"/>
              <w:jc w:val="both"/>
              <w:rPr>
                <w:i/>
                <w:iCs/>
                <w:color w:val="000000" w:themeColor="text1"/>
                <w:sz w:val="20"/>
                <w:szCs w:val="20"/>
                <w:lang w:val="ro-MD"/>
              </w:rPr>
            </w:pPr>
            <w:r w:rsidRPr="00C606BE">
              <w:rPr>
                <w:color w:val="000000" w:themeColor="text1"/>
                <w:sz w:val="20"/>
                <w:szCs w:val="20"/>
                <w:shd w:val="clear" w:color="auto" w:fill="FFFFFF"/>
                <w:lang w:val="ro-MD"/>
              </w:rPr>
              <w:t>(a) se înțelege prin „sediu permanent” orice unitate fixă de desfășurare a afacerilor situată într-un stat membru, unde se exercită parțial sau în totalitate activitatea unei societăți din alt stat membru.</w:t>
            </w:r>
          </w:p>
        </w:tc>
        <w:tc>
          <w:tcPr>
            <w:tcW w:w="4137" w:type="dxa"/>
          </w:tcPr>
          <w:p w14:paraId="5FCD786F" w14:textId="77777777" w:rsidR="00C1003A" w:rsidRPr="00C606BE" w:rsidRDefault="00C1003A" w:rsidP="004E1411">
            <w:pPr>
              <w:tabs>
                <w:tab w:val="left" w:pos="993"/>
              </w:tabs>
              <w:spacing w:before="120" w:after="120"/>
              <w:jc w:val="both"/>
              <w:rPr>
                <w:rFonts w:ascii="Times New Roman" w:hAnsi="Times New Roman" w:cs="Times New Roman"/>
                <w:b/>
                <w:color w:val="000000" w:themeColor="text1"/>
                <w:sz w:val="20"/>
                <w:szCs w:val="20"/>
                <w:lang w:val="ro-MD"/>
              </w:rPr>
            </w:pPr>
          </w:p>
        </w:tc>
        <w:tc>
          <w:tcPr>
            <w:tcW w:w="1941" w:type="dxa"/>
          </w:tcPr>
          <w:p w14:paraId="689228D7" w14:textId="52E35414" w:rsidR="00C1003A" w:rsidRPr="00C606BE" w:rsidRDefault="00AC339F"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Compatibil</w:t>
            </w:r>
          </w:p>
        </w:tc>
        <w:tc>
          <w:tcPr>
            <w:tcW w:w="2570" w:type="dxa"/>
          </w:tcPr>
          <w:p w14:paraId="4A35BD3C" w14:textId="79073183" w:rsidR="00C1003A" w:rsidRPr="00C606BE" w:rsidRDefault="00C1003A" w:rsidP="004E1411">
            <w:pPr>
              <w:ind w:left="4"/>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 xml:space="preserve">Noțiunea de </w:t>
            </w:r>
            <w:r w:rsidRPr="00C606BE">
              <w:rPr>
                <w:rFonts w:ascii="Times New Roman" w:hAnsi="Times New Roman" w:cs="Times New Roman"/>
                <w:i/>
                <w:color w:val="000000" w:themeColor="text1"/>
                <w:sz w:val="20"/>
                <w:szCs w:val="20"/>
                <w:lang w:val="ro-MD"/>
              </w:rPr>
              <w:t>„sediu permanent</w:t>
            </w:r>
            <w:r w:rsidRPr="00C606BE">
              <w:rPr>
                <w:rFonts w:ascii="Times New Roman" w:hAnsi="Times New Roman" w:cs="Times New Roman"/>
                <w:color w:val="000000" w:themeColor="text1"/>
                <w:sz w:val="20"/>
                <w:szCs w:val="20"/>
                <w:lang w:val="ro-MD"/>
              </w:rPr>
              <w:t>” este reglementată deja în art.1 pct.</w:t>
            </w:r>
            <w:r w:rsidR="00C24303" w:rsidRPr="00C606BE">
              <w:rPr>
                <w:rFonts w:ascii="Times New Roman" w:hAnsi="Times New Roman" w:cs="Times New Roman"/>
                <w:color w:val="000000" w:themeColor="text1"/>
                <w:sz w:val="20"/>
                <w:szCs w:val="20"/>
                <w:lang w:val="ro-MD"/>
              </w:rPr>
              <w:t>15</w:t>
            </w:r>
            <w:r w:rsidRPr="00C606BE">
              <w:rPr>
                <w:rFonts w:ascii="Times New Roman" w:hAnsi="Times New Roman" w:cs="Times New Roman"/>
                <w:color w:val="000000" w:themeColor="text1"/>
                <w:sz w:val="20"/>
                <w:szCs w:val="20"/>
                <w:lang w:val="ro-MD"/>
              </w:rPr>
              <w:t>) din Codul fiscal, după cum urmează:</w:t>
            </w:r>
          </w:p>
          <w:p w14:paraId="5970EE60" w14:textId="77777777" w:rsidR="004978A2" w:rsidRPr="00C606BE" w:rsidRDefault="004978A2" w:rsidP="004E1411">
            <w:pPr>
              <w:pStyle w:val="NormalWeb"/>
              <w:spacing w:before="0" w:beforeAutospacing="0" w:after="0" w:afterAutospacing="0"/>
              <w:ind w:left="4"/>
              <w:jc w:val="both"/>
              <w:rPr>
                <w:color w:val="000000" w:themeColor="text1"/>
                <w:sz w:val="20"/>
                <w:szCs w:val="20"/>
                <w:lang w:val="ro-MD"/>
              </w:rPr>
            </w:pPr>
            <w:r w:rsidRPr="00C606BE">
              <w:rPr>
                <w:color w:val="000000" w:themeColor="text1"/>
                <w:sz w:val="20"/>
                <w:szCs w:val="20"/>
                <w:lang w:val="ro-MD"/>
              </w:rPr>
              <w:t xml:space="preserve">15) </w:t>
            </w:r>
            <w:r w:rsidRPr="00C606BE">
              <w:rPr>
                <w:i/>
                <w:iCs/>
                <w:color w:val="000000" w:themeColor="text1"/>
                <w:sz w:val="20"/>
                <w:szCs w:val="20"/>
                <w:lang w:val="ro-MD"/>
              </w:rPr>
              <w:t>Reprezentanţă permanentă</w:t>
            </w:r>
            <w:r w:rsidRPr="00C606BE">
              <w:rPr>
                <w:color w:val="000000" w:themeColor="text1"/>
                <w:sz w:val="20"/>
                <w:szCs w:val="20"/>
                <w:lang w:val="ro-MD"/>
              </w:rPr>
              <w:t xml:space="preserve"> – loc fix de afaceri prin care nerezidentul desfăşoară, integral sau parţial, activitate de întreprinzător în Republica Moldova, fie direct, fie printr-un agent cu statut dependent, inclusiv:</w:t>
            </w:r>
          </w:p>
          <w:p w14:paraId="5C75BACE" w14:textId="77777777" w:rsidR="004978A2" w:rsidRPr="00C606BE" w:rsidRDefault="004978A2" w:rsidP="004E1411">
            <w:pPr>
              <w:pStyle w:val="NormalWeb"/>
              <w:spacing w:before="0" w:beforeAutospacing="0" w:after="0" w:afterAutospacing="0"/>
              <w:ind w:left="4"/>
              <w:jc w:val="both"/>
              <w:rPr>
                <w:color w:val="000000" w:themeColor="text1"/>
                <w:sz w:val="20"/>
                <w:szCs w:val="20"/>
                <w:lang w:val="ro-MD"/>
              </w:rPr>
            </w:pPr>
            <w:r w:rsidRPr="00C606BE">
              <w:rPr>
                <w:color w:val="000000" w:themeColor="text1"/>
                <w:sz w:val="20"/>
                <w:szCs w:val="20"/>
                <w:lang w:val="ro-MD"/>
              </w:rPr>
              <w:t xml:space="preserve">a) un loc de conducere, o subdiviziune, un oficiu, o </w:t>
            </w:r>
            <w:r w:rsidRPr="00C606BE">
              <w:rPr>
                <w:color w:val="000000" w:themeColor="text1"/>
                <w:sz w:val="20"/>
                <w:szCs w:val="20"/>
                <w:lang w:val="ro-MD"/>
              </w:rPr>
              <w:lastRenderedPageBreak/>
              <w:t>fabrică, o uzină, un atelier, precum şi o mină, o sondă petrolieră sau de gaze, o carieră sau orice alt loc de extracţie a resurselor naturale sau de cultivare a culturilor agricole;</w:t>
            </w:r>
          </w:p>
          <w:p w14:paraId="2B8C5A30" w14:textId="77777777" w:rsidR="004978A2" w:rsidRPr="00C606BE" w:rsidRDefault="004978A2" w:rsidP="004E1411">
            <w:pPr>
              <w:pStyle w:val="NormalWeb"/>
              <w:spacing w:before="0" w:beforeAutospacing="0" w:after="0" w:afterAutospacing="0"/>
              <w:ind w:left="4"/>
              <w:jc w:val="both"/>
              <w:rPr>
                <w:color w:val="000000" w:themeColor="text1"/>
                <w:sz w:val="20"/>
                <w:szCs w:val="20"/>
                <w:lang w:val="ro-MD"/>
              </w:rPr>
            </w:pPr>
            <w:r w:rsidRPr="00C606BE">
              <w:rPr>
                <w:color w:val="000000" w:themeColor="text1"/>
                <w:sz w:val="20"/>
                <w:szCs w:val="20"/>
                <w:lang w:val="ro-MD"/>
              </w:rPr>
              <w:t>b) un şantier de construcţie, un proiect de construcţie, asamblare sau montaj ori activităţi de supraveghere tehnică, deservire şi exploatare a utilajului legate de acestea, numai dacă asemenea şantier, proiect sau activităţi continuă pentru o perioadă mai mare de 6 luni;</w:t>
            </w:r>
          </w:p>
          <w:p w14:paraId="426CA5C0" w14:textId="77777777" w:rsidR="004978A2" w:rsidRPr="00C606BE" w:rsidRDefault="004978A2" w:rsidP="004E1411">
            <w:pPr>
              <w:pStyle w:val="NormalWeb"/>
              <w:spacing w:before="0" w:beforeAutospacing="0" w:after="0" w:afterAutospacing="0"/>
              <w:ind w:left="4"/>
              <w:jc w:val="both"/>
              <w:rPr>
                <w:color w:val="000000" w:themeColor="text1"/>
                <w:sz w:val="20"/>
                <w:szCs w:val="20"/>
                <w:lang w:val="ro-MD"/>
              </w:rPr>
            </w:pPr>
            <w:r w:rsidRPr="00C606BE">
              <w:rPr>
                <w:color w:val="000000" w:themeColor="text1"/>
                <w:sz w:val="20"/>
                <w:szCs w:val="20"/>
                <w:lang w:val="ro-MD"/>
              </w:rPr>
              <w:t>c) comercializarea mărfurilor din depozite amplasate pe teritoriul Republicii Moldova şi care aparţin nerezidentului sau sînt arendate de acesta;</w:t>
            </w:r>
          </w:p>
          <w:p w14:paraId="5D1F8712" w14:textId="77777777" w:rsidR="004978A2" w:rsidRPr="00C606BE" w:rsidRDefault="004978A2" w:rsidP="004E1411">
            <w:pPr>
              <w:pStyle w:val="NormalWeb"/>
              <w:spacing w:before="0" w:beforeAutospacing="0" w:after="0" w:afterAutospacing="0"/>
              <w:ind w:left="4"/>
              <w:jc w:val="both"/>
              <w:rPr>
                <w:color w:val="000000" w:themeColor="text1"/>
                <w:sz w:val="20"/>
                <w:szCs w:val="20"/>
                <w:lang w:val="ro-MD"/>
              </w:rPr>
            </w:pPr>
            <w:r w:rsidRPr="00C606BE">
              <w:rPr>
                <w:color w:val="000000" w:themeColor="text1"/>
                <w:sz w:val="20"/>
                <w:szCs w:val="20"/>
                <w:lang w:val="ro-MD"/>
              </w:rPr>
              <w:t>d) prestarea altor servicii, desfăşurarea altor activităţi, în decursul unei perioade mai mari de 3 luni, cu excepţia celor tratate la pct.15</w:t>
            </w:r>
            <w:r w:rsidRPr="00C606BE">
              <w:rPr>
                <w:color w:val="000000" w:themeColor="text1"/>
                <w:sz w:val="20"/>
                <w:szCs w:val="20"/>
                <w:vertAlign w:val="superscript"/>
                <w:lang w:val="ro-MD"/>
              </w:rPr>
              <w:t>1</w:t>
            </w:r>
            <w:r w:rsidRPr="00C606BE">
              <w:rPr>
                <w:color w:val="000000" w:themeColor="text1"/>
                <w:sz w:val="20"/>
                <w:szCs w:val="20"/>
                <w:lang w:val="ro-MD"/>
              </w:rPr>
              <w:t>), precum şi a muncii conform contractului (acordului) de muncă şi activităţii profesionale independente, dacă prezentul cod nu prevede altfel;</w:t>
            </w:r>
          </w:p>
          <w:p w14:paraId="0AA98DAD" w14:textId="78DED9B5" w:rsidR="00C1003A" w:rsidRPr="00C606BE" w:rsidRDefault="004978A2" w:rsidP="004E1411">
            <w:pPr>
              <w:pStyle w:val="NormalWeb"/>
              <w:spacing w:before="0" w:beforeAutospacing="0" w:after="0" w:afterAutospacing="0"/>
              <w:ind w:left="4"/>
              <w:jc w:val="both"/>
              <w:rPr>
                <w:color w:val="000000" w:themeColor="text1"/>
                <w:sz w:val="20"/>
                <w:szCs w:val="20"/>
                <w:lang w:val="ro-MD"/>
              </w:rPr>
            </w:pPr>
            <w:r w:rsidRPr="00C606BE">
              <w:rPr>
                <w:color w:val="000000" w:themeColor="text1"/>
                <w:sz w:val="20"/>
                <w:szCs w:val="20"/>
                <w:lang w:val="ro-MD"/>
              </w:rPr>
              <w:t>e) desfăşurarea în Republica Moldova a oricărei activităţi, care corespunde uneia din condiţiile prevăzute la lit.а)-d), de către un agent cu statut dependent sau menţinerea de către acest agent în Republica Moldova a unui stoc de produse sau mărfuri din care livrează produse sau mărfuri în numele nerezidentului.</w:t>
            </w:r>
          </w:p>
        </w:tc>
      </w:tr>
      <w:tr w:rsidR="00C606BE" w:rsidRPr="00C606BE" w14:paraId="194CEAF4" w14:textId="77777777" w:rsidTr="00AD035D">
        <w:trPr>
          <w:trHeight w:val="227"/>
        </w:trPr>
        <w:tc>
          <w:tcPr>
            <w:tcW w:w="5381" w:type="dxa"/>
            <w:gridSpan w:val="2"/>
          </w:tcPr>
          <w:p w14:paraId="755BDCD4" w14:textId="77777777" w:rsidR="00C1003A" w:rsidRPr="00C606BE" w:rsidRDefault="00C1003A" w:rsidP="004E1411">
            <w:pPr>
              <w:pStyle w:val="title-article-norm"/>
              <w:shd w:val="clear" w:color="auto" w:fill="FFFFFF"/>
              <w:spacing w:before="0" w:beforeAutospacing="0" w:after="0" w:afterAutospacing="0"/>
              <w:jc w:val="center"/>
              <w:rPr>
                <w:i/>
                <w:color w:val="000000" w:themeColor="text1"/>
                <w:sz w:val="20"/>
                <w:szCs w:val="20"/>
                <w:lang w:val="ro-MD"/>
              </w:rPr>
            </w:pPr>
            <w:r w:rsidRPr="00C606BE">
              <w:rPr>
                <w:i/>
                <w:color w:val="000000" w:themeColor="text1"/>
                <w:sz w:val="20"/>
                <w:szCs w:val="20"/>
                <w:lang w:val="ro-MD"/>
              </w:rPr>
              <w:lastRenderedPageBreak/>
              <w:t>Articolul 4</w:t>
            </w:r>
          </w:p>
          <w:p w14:paraId="60339A10" w14:textId="77777777" w:rsidR="00C1003A" w:rsidRPr="00C606BE" w:rsidRDefault="00C1003A" w:rsidP="004E1411">
            <w:pPr>
              <w:pStyle w:val="title-article-norm"/>
              <w:shd w:val="clear" w:color="auto" w:fill="FFFFFF"/>
              <w:spacing w:before="0" w:beforeAutospacing="0" w:after="0" w:afterAutospacing="0"/>
              <w:jc w:val="center"/>
              <w:rPr>
                <w:b/>
                <w:color w:val="000000" w:themeColor="text1"/>
                <w:sz w:val="20"/>
                <w:szCs w:val="20"/>
                <w:lang w:val="ro-MD"/>
              </w:rPr>
            </w:pPr>
            <w:r w:rsidRPr="00C606BE">
              <w:rPr>
                <w:b/>
                <w:color w:val="000000" w:themeColor="text1"/>
                <w:sz w:val="20"/>
                <w:szCs w:val="20"/>
                <w:lang w:val="ro-MD"/>
              </w:rPr>
              <w:t>Excluderea anumitor plăți din categoria dobânzilor sau redevențelor</w:t>
            </w:r>
          </w:p>
          <w:p w14:paraId="36AA4B21" w14:textId="77777777" w:rsidR="00C1003A" w:rsidRPr="00C606BE" w:rsidRDefault="00C1003A" w:rsidP="004E1411">
            <w:pPr>
              <w:pStyle w:val="title-article-norm"/>
              <w:numPr>
                <w:ilvl w:val="0"/>
                <w:numId w:val="30"/>
              </w:numPr>
              <w:shd w:val="clear" w:color="auto" w:fill="FFFFFF"/>
              <w:tabs>
                <w:tab w:val="left" w:pos="195"/>
                <w:tab w:val="left" w:pos="450"/>
              </w:tabs>
              <w:spacing w:before="0" w:beforeAutospacing="0" w:after="0" w:afterAutospacing="0"/>
              <w:ind w:left="0" w:firstLine="0"/>
              <w:jc w:val="both"/>
              <w:rPr>
                <w:color w:val="000000" w:themeColor="text1"/>
                <w:sz w:val="20"/>
                <w:szCs w:val="20"/>
                <w:lang w:val="ro-MD"/>
              </w:rPr>
            </w:pPr>
            <w:r w:rsidRPr="00C606BE">
              <w:rPr>
                <w:color w:val="000000" w:themeColor="text1"/>
                <w:sz w:val="20"/>
                <w:szCs w:val="20"/>
                <w:lang w:val="ro-MD"/>
              </w:rPr>
              <w:t>Statul membru de origine nu este obligat să acorde avantajele oferite de prezenta directivă în următoarele cazuri:</w:t>
            </w:r>
          </w:p>
          <w:p w14:paraId="3E10F95F" w14:textId="77777777" w:rsidR="00C1003A" w:rsidRPr="00C606BE" w:rsidRDefault="00C1003A" w:rsidP="004E1411">
            <w:pPr>
              <w:pStyle w:val="title-article-norm"/>
              <w:numPr>
                <w:ilvl w:val="0"/>
                <w:numId w:val="31"/>
              </w:numPr>
              <w:shd w:val="clear" w:color="auto" w:fill="FFFFFF"/>
              <w:tabs>
                <w:tab w:val="left" w:pos="195"/>
                <w:tab w:val="left" w:pos="450"/>
              </w:tabs>
              <w:spacing w:before="0" w:beforeAutospacing="0" w:after="0" w:afterAutospacing="0"/>
              <w:ind w:left="0" w:firstLine="0"/>
              <w:jc w:val="both"/>
              <w:rPr>
                <w:color w:val="000000" w:themeColor="text1"/>
                <w:sz w:val="20"/>
                <w:szCs w:val="20"/>
                <w:lang w:val="ro-MD"/>
              </w:rPr>
            </w:pPr>
            <w:r w:rsidRPr="00C606BE">
              <w:rPr>
                <w:color w:val="000000" w:themeColor="text1"/>
                <w:sz w:val="20"/>
                <w:szCs w:val="20"/>
                <w:lang w:val="ro-MD"/>
              </w:rPr>
              <w:t>pentru plățile asimilate repartizării beneficiilor sau rambursării de capital în temeiul legislației statului de origine;</w:t>
            </w:r>
          </w:p>
          <w:p w14:paraId="2C3B76D2" w14:textId="77777777" w:rsidR="00C1003A" w:rsidRPr="00C606BE" w:rsidRDefault="00C1003A" w:rsidP="004E1411">
            <w:pPr>
              <w:pStyle w:val="title-article-norm"/>
              <w:numPr>
                <w:ilvl w:val="0"/>
                <w:numId w:val="31"/>
              </w:numPr>
              <w:shd w:val="clear" w:color="auto" w:fill="FFFFFF"/>
              <w:tabs>
                <w:tab w:val="left" w:pos="195"/>
                <w:tab w:val="left" w:pos="450"/>
              </w:tabs>
              <w:spacing w:before="0" w:beforeAutospacing="0" w:after="0" w:afterAutospacing="0"/>
              <w:ind w:left="0" w:firstLine="0"/>
              <w:jc w:val="both"/>
              <w:rPr>
                <w:color w:val="000000" w:themeColor="text1"/>
                <w:sz w:val="20"/>
                <w:szCs w:val="20"/>
                <w:lang w:val="ro-MD"/>
              </w:rPr>
            </w:pPr>
            <w:r w:rsidRPr="00C606BE">
              <w:rPr>
                <w:color w:val="000000" w:themeColor="text1"/>
                <w:sz w:val="20"/>
                <w:szCs w:val="20"/>
                <w:lang w:val="ro-MD"/>
              </w:rPr>
              <w:t>pentru plățile rezultate din creanțe însoțite de o clauză de participare la profiturile plătitorului;</w:t>
            </w:r>
          </w:p>
          <w:p w14:paraId="004A30CF" w14:textId="77777777" w:rsidR="00C1003A" w:rsidRPr="00C606BE" w:rsidRDefault="00C1003A" w:rsidP="004E1411">
            <w:pPr>
              <w:pStyle w:val="title-article-norm"/>
              <w:numPr>
                <w:ilvl w:val="0"/>
                <w:numId w:val="31"/>
              </w:numPr>
              <w:shd w:val="clear" w:color="auto" w:fill="FFFFFF"/>
              <w:tabs>
                <w:tab w:val="left" w:pos="195"/>
                <w:tab w:val="left" w:pos="450"/>
              </w:tabs>
              <w:spacing w:before="0" w:beforeAutospacing="0" w:after="0" w:afterAutospacing="0"/>
              <w:ind w:left="0" w:firstLine="0"/>
              <w:jc w:val="both"/>
              <w:rPr>
                <w:color w:val="000000" w:themeColor="text1"/>
                <w:sz w:val="20"/>
                <w:szCs w:val="20"/>
                <w:lang w:val="ro-MD"/>
              </w:rPr>
            </w:pPr>
            <w:r w:rsidRPr="00C606BE">
              <w:rPr>
                <w:color w:val="000000" w:themeColor="text1"/>
                <w:sz w:val="20"/>
                <w:szCs w:val="20"/>
                <w:lang w:val="ro-MD"/>
              </w:rPr>
              <w:t>plăți rezultate din creanțe care îi permit creditorului să își schimbe dreptul la dobânzi pe dreptul de participare la profiturile plătitorului;</w:t>
            </w:r>
          </w:p>
          <w:p w14:paraId="393F127F" w14:textId="77777777" w:rsidR="00C1003A" w:rsidRPr="00C606BE" w:rsidRDefault="00C1003A" w:rsidP="004E1411">
            <w:pPr>
              <w:pStyle w:val="title-article-norm"/>
              <w:numPr>
                <w:ilvl w:val="0"/>
                <w:numId w:val="31"/>
              </w:numPr>
              <w:shd w:val="clear" w:color="auto" w:fill="FFFFFF"/>
              <w:tabs>
                <w:tab w:val="left" w:pos="195"/>
                <w:tab w:val="left" w:pos="450"/>
              </w:tabs>
              <w:spacing w:before="0" w:beforeAutospacing="0" w:after="0" w:afterAutospacing="0"/>
              <w:ind w:left="0" w:firstLine="0"/>
              <w:jc w:val="both"/>
              <w:rPr>
                <w:color w:val="000000" w:themeColor="text1"/>
                <w:sz w:val="20"/>
                <w:szCs w:val="20"/>
                <w:lang w:val="ro-MD"/>
              </w:rPr>
            </w:pPr>
            <w:r w:rsidRPr="00C606BE">
              <w:rPr>
                <w:color w:val="000000" w:themeColor="text1"/>
                <w:sz w:val="20"/>
                <w:szCs w:val="20"/>
                <w:lang w:val="ro-MD"/>
              </w:rPr>
              <w:t>plăți rezultate din creanțe care nu prevăd rambursarea sumei datorată fără dobândă sau pentru care rambursarea are scadența la mai mult de 50 de ani de la data emiterii.</w:t>
            </w:r>
          </w:p>
          <w:p w14:paraId="43B56CCD" w14:textId="77777777" w:rsidR="00C1003A" w:rsidRPr="00C606BE" w:rsidRDefault="00C1003A" w:rsidP="004E1411">
            <w:pPr>
              <w:pStyle w:val="title-article-norm"/>
              <w:numPr>
                <w:ilvl w:val="0"/>
                <w:numId w:val="30"/>
              </w:numPr>
              <w:shd w:val="clear" w:color="auto" w:fill="FFFFFF"/>
              <w:tabs>
                <w:tab w:val="left" w:pos="195"/>
                <w:tab w:val="left" w:pos="450"/>
              </w:tabs>
              <w:spacing w:before="0" w:beforeAutospacing="0" w:after="0" w:afterAutospacing="0"/>
              <w:ind w:left="0" w:firstLine="0"/>
              <w:jc w:val="both"/>
              <w:rPr>
                <w:color w:val="000000" w:themeColor="text1"/>
                <w:sz w:val="20"/>
                <w:szCs w:val="20"/>
                <w:lang w:val="ro-MD"/>
              </w:rPr>
            </w:pPr>
            <w:r w:rsidRPr="00C606BE">
              <w:rPr>
                <w:color w:val="000000" w:themeColor="text1"/>
                <w:sz w:val="20"/>
                <w:szCs w:val="20"/>
                <w:lang w:val="ro-MD"/>
              </w:rPr>
              <w:t>Dacă, datorită unor relații speciale care există între plătitor și beneficiarul efectiv al dobânzilor sau redevențelor, sau datorită relațiilor speciale pe care cei doi le au cu un terț, valoarea dobânzilor sau redevențelor depășește valoarea asupra căreia ar fi convenit plătitorul și beneficiarul efectiv în lipsa unor asemenea relații, dispozițiile din prezenta directivă nu se aplică decât celei de-a doua sume.</w:t>
            </w:r>
          </w:p>
        </w:tc>
        <w:tc>
          <w:tcPr>
            <w:tcW w:w="4137" w:type="dxa"/>
          </w:tcPr>
          <w:p w14:paraId="144873CB" w14:textId="1BDA35D7" w:rsidR="00C1003A" w:rsidRPr="00C606BE" w:rsidRDefault="00C1003A" w:rsidP="004E1411">
            <w:pPr>
              <w:tabs>
                <w:tab w:val="left" w:pos="323"/>
                <w:tab w:val="left" w:pos="421"/>
                <w:tab w:val="left" w:pos="993"/>
              </w:tabs>
              <w:spacing w:after="120"/>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Articolul 79</w:t>
            </w:r>
            <w:r w:rsidRPr="00C606BE">
              <w:rPr>
                <w:rFonts w:ascii="Times New Roman" w:hAnsi="Times New Roman" w:cs="Times New Roman"/>
                <w:b/>
                <w:color w:val="000000" w:themeColor="text1"/>
                <w:sz w:val="20"/>
                <w:szCs w:val="20"/>
                <w:vertAlign w:val="superscript"/>
                <w:lang w:val="ro-MD"/>
              </w:rPr>
              <w:t>7</w:t>
            </w:r>
            <w:r w:rsidRPr="00C606BE">
              <w:rPr>
                <w:rFonts w:ascii="Times New Roman" w:hAnsi="Times New Roman" w:cs="Times New Roman"/>
                <w:b/>
                <w:color w:val="000000" w:themeColor="text1"/>
                <w:sz w:val="20"/>
                <w:szCs w:val="20"/>
                <w:lang w:val="ro-MD"/>
              </w:rPr>
              <w:t xml:space="preserve">. </w:t>
            </w:r>
            <w:r w:rsidRPr="00C606BE">
              <w:rPr>
                <w:rFonts w:ascii="Times New Roman" w:hAnsi="Times New Roman" w:cs="Times New Roman"/>
                <w:color w:val="000000" w:themeColor="text1"/>
                <w:sz w:val="20"/>
                <w:szCs w:val="20"/>
                <w:lang w:val="ro-MD"/>
              </w:rPr>
              <w:t>Excluderea anumitor plăți din categoria dobânzilor sau royalty</w:t>
            </w:r>
          </w:p>
          <w:p w14:paraId="5AD306CD" w14:textId="77777777" w:rsidR="004978A2" w:rsidRPr="00C606BE" w:rsidRDefault="00C1003A" w:rsidP="004E1411">
            <w:pPr>
              <w:tabs>
                <w:tab w:val="left" w:pos="323"/>
                <w:tab w:val="left" w:pos="1134"/>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(1)</w:t>
            </w:r>
            <w:r w:rsidRPr="00C606BE">
              <w:rPr>
                <w:rFonts w:ascii="Times New Roman" w:hAnsi="Times New Roman" w:cs="Times New Roman"/>
                <w:color w:val="000000" w:themeColor="text1"/>
                <w:sz w:val="20"/>
                <w:szCs w:val="20"/>
                <w:lang w:val="ro-MD"/>
              </w:rPr>
              <w:tab/>
            </w:r>
            <w:r w:rsidR="004978A2" w:rsidRPr="00C606BE">
              <w:rPr>
                <w:rFonts w:ascii="Times New Roman" w:hAnsi="Times New Roman" w:cs="Times New Roman"/>
                <w:color w:val="000000" w:themeColor="text1"/>
                <w:sz w:val="20"/>
                <w:szCs w:val="20"/>
                <w:lang w:val="ro-MD"/>
              </w:rPr>
              <w:t>Nu se acordă scutirea de la plata impozitului pe venit conform prevederilor prezentului capitol în următoarele cazuri:</w:t>
            </w:r>
          </w:p>
          <w:p w14:paraId="6CB8C22F" w14:textId="77777777" w:rsidR="004978A2" w:rsidRPr="00C606BE" w:rsidRDefault="004978A2" w:rsidP="004E1411">
            <w:pPr>
              <w:pStyle w:val="ListParagraph"/>
              <w:numPr>
                <w:ilvl w:val="0"/>
                <w:numId w:val="33"/>
              </w:numPr>
              <w:tabs>
                <w:tab w:val="left" w:pos="323"/>
                <w:tab w:val="left" w:pos="1134"/>
              </w:tabs>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în cazul în care plățile sunt asimilate/tratate ca distribuirea beneficiilor sau ca restituirea capitalului conform legislației naționale;</w:t>
            </w:r>
          </w:p>
          <w:p w14:paraId="06FE6B81" w14:textId="77777777" w:rsidR="004978A2" w:rsidRPr="00C606BE" w:rsidRDefault="004978A2" w:rsidP="004E1411">
            <w:pPr>
              <w:pStyle w:val="ListParagraph"/>
              <w:numPr>
                <w:ilvl w:val="0"/>
                <w:numId w:val="33"/>
              </w:numPr>
              <w:tabs>
                <w:tab w:val="left" w:pos="323"/>
                <w:tab w:val="left" w:pos="1134"/>
              </w:tabs>
              <w:spacing w:before="120" w:after="120"/>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pentru plățile rezultate din creanțe care dau dreptul de participare la profiturile societății plătitoare;</w:t>
            </w:r>
          </w:p>
          <w:p w14:paraId="696EF307" w14:textId="77777777" w:rsidR="004978A2" w:rsidRPr="00C606BE" w:rsidRDefault="004978A2" w:rsidP="004E1411">
            <w:pPr>
              <w:pStyle w:val="ListParagraph"/>
              <w:numPr>
                <w:ilvl w:val="0"/>
                <w:numId w:val="33"/>
              </w:numPr>
              <w:tabs>
                <w:tab w:val="left" w:pos="323"/>
                <w:tab w:val="left" w:pos="1134"/>
              </w:tabs>
              <w:spacing w:before="120" w:after="120"/>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pentru plățile rezultate din creanțe care dau dreptul societății beneficiare să își schimbe dreptul de a primi dobânda contra unui drept de participare în profiturile societății plătitoare;</w:t>
            </w:r>
          </w:p>
          <w:p w14:paraId="606E321A" w14:textId="77777777" w:rsidR="004978A2" w:rsidRPr="00C606BE" w:rsidRDefault="004978A2" w:rsidP="004E1411">
            <w:pPr>
              <w:pStyle w:val="ListParagraph"/>
              <w:numPr>
                <w:ilvl w:val="0"/>
                <w:numId w:val="33"/>
              </w:numPr>
              <w:tabs>
                <w:tab w:val="left" w:pos="323"/>
                <w:tab w:val="left" w:pos="1134"/>
              </w:tabs>
              <w:spacing w:before="120" w:after="120"/>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pentru plățile rezultate din creanțe care nu prevăd rambursarea sumei datorate fără dobândă sau pentru care rambursarea are scadență mai mult de 50 de ani de la data emiterii.</w:t>
            </w:r>
          </w:p>
          <w:p w14:paraId="4ED59689" w14:textId="786C68AF" w:rsidR="00C1003A" w:rsidRPr="00C606BE" w:rsidRDefault="004978A2" w:rsidP="004E1411">
            <w:pPr>
              <w:tabs>
                <w:tab w:val="left" w:pos="323"/>
                <w:tab w:val="left" w:pos="421"/>
                <w:tab w:val="left" w:pos="993"/>
              </w:tabs>
              <w:spacing w:before="120" w:after="120"/>
              <w:jc w:val="both"/>
              <w:rPr>
                <w:rFonts w:ascii="Times New Roman" w:hAnsi="Times New Roman" w:cs="Times New Roman"/>
                <w:b/>
                <w:color w:val="000000" w:themeColor="text1"/>
                <w:sz w:val="20"/>
                <w:szCs w:val="20"/>
                <w:lang w:val="ro-MD"/>
              </w:rPr>
            </w:pPr>
            <w:r w:rsidRPr="00C606BE">
              <w:rPr>
                <w:rFonts w:ascii="Times New Roman" w:hAnsi="Times New Roman" w:cs="Times New Roman"/>
                <w:color w:val="000000" w:themeColor="text1"/>
                <w:sz w:val="20"/>
                <w:szCs w:val="20"/>
                <w:lang w:val="ro-MD"/>
              </w:rPr>
              <w:t xml:space="preserve">(2) În cazul în care, datorită unor relații speciale care există între societatea plătitoarea și beneficiarul </w:t>
            </w:r>
            <w:r w:rsidR="0013521F" w:rsidRPr="00C606BE">
              <w:rPr>
                <w:rFonts w:ascii="Times New Roman" w:hAnsi="Times New Roman" w:cs="Times New Roman"/>
                <w:color w:val="000000" w:themeColor="text1"/>
                <w:sz w:val="20"/>
                <w:szCs w:val="20"/>
                <w:lang w:val="ro-MD"/>
              </w:rPr>
              <w:t xml:space="preserve">efectiv </w:t>
            </w:r>
            <w:r w:rsidRPr="00C606BE">
              <w:rPr>
                <w:rFonts w:ascii="Times New Roman" w:hAnsi="Times New Roman" w:cs="Times New Roman"/>
                <w:color w:val="000000" w:themeColor="text1"/>
                <w:sz w:val="20"/>
                <w:szCs w:val="20"/>
                <w:lang w:val="ro-MD"/>
              </w:rPr>
              <w:t>a dobânzilor sau royalty, sau datorită relațiilor speciale pe care societatea plătitoarea și beneficiarul</w:t>
            </w:r>
            <w:r w:rsidR="0013521F" w:rsidRPr="00C606BE">
              <w:rPr>
                <w:rFonts w:ascii="Times New Roman" w:hAnsi="Times New Roman" w:cs="Times New Roman"/>
                <w:color w:val="000000" w:themeColor="text1"/>
                <w:sz w:val="20"/>
                <w:szCs w:val="20"/>
                <w:lang w:val="ro-MD"/>
              </w:rPr>
              <w:t xml:space="preserve"> efectiv</w:t>
            </w:r>
            <w:r w:rsidRPr="00C606BE">
              <w:rPr>
                <w:rFonts w:ascii="Times New Roman" w:hAnsi="Times New Roman" w:cs="Times New Roman"/>
                <w:color w:val="000000" w:themeColor="text1"/>
                <w:sz w:val="20"/>
                <w:szCs w:val="20"/>
                <w:lang w:val="ro-MD"/>
              </w:rPr>
              <w:t xml:space="preserve"> le au cu un terț, valoarea dobânzilor sau royalty depășește valoarea asupra căreia ar fi convenit sociatatea plătitoarea și beneficiarul </w:t>
            </w:r>
            <w:r w:rsidR="0013521F" w:rsidRPr="00C606BE">
              <w:rPr>
                <w:rFonts w:ascii="Times New Roman" w:hAnsi="Times New Roman" w:cs="Times New Roman"/>
                <w:color w:val="000000" w:themeColor="text1"/>
                <w:sz w:val="20"/>
                <w:szCs w:val="20"/>
                <w:lang w:val="ro-MD"/>
              </w:rPr>
              <w:t xml:space="preserve">efectiv </w:t>
            </w:r>
            <w:r w:rsidRPr="00C606BE">
              <w:rPr>
                <w:rFonts w:ascii="Times New Roman" w:hAnsi="Times New Roman" w:cs="Times New Roman"/>
                <w:color w:val="000000" w:themeColor="text1"/>
                <w:sz w:val="20"/>
                <w:szCs w:val="20"/>
                <w:lang w:val="ro-MD"/>
              </w:rPr>
              <w:t>în lipsa unor asemenea relații, prevederile prezentului capitol se aplică aferent celei de a doua valoare</w:t>
            </w:r>
            <w:r w:rsidR="00C1003A" w:rsidRPr="00C606BE">
              <w:rPr>
                <w:rFonts w:ascii="Times New Roman" w:hAnsi="Times New Roman" w:cs="Times New Roman"/>
                <w:color w:val="000000" w:themeColor="text1"/>
                <w:sz w:val="20"/>
                <w:szCs w:val="20"/>
                <w:lang w:val="ro-MD"/>
              </w:rPr>
              <w:t>.</w:t>
            </w:r>
          </w:p>
        </w:tc>
        <w:tc>
          <w:tcPr>
            <w:tcW w:w="1941" w:type="dxa"/>
          </w:tcPr>
          <w:p w14:paraId="72FCDC75" w14:textId="77777777" w:rsidR="00C1003A" w:rsidRPr="00C606BE" w:rsidRDefault="00C1003A"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Compatibil</w:t>
            </w:r>
          </w:p>
        </w:tc>
        <w:tc>
          <w:tcPr>
            <w:tcW w:w="2570" w:type="dxa"/>
          </w:tcPr>
          <w:p w14:paraId="69A27AC6" w14:textId="77777777" w:rsidR="00C1003A" w:rsidRPr="00C606BE" w:rsidRDefault="00C1003A" w:rsidP="004E1411">
            <w:pPr>
              <w:ind w:left="4"/>
              <w:jc w:val="both"/>
              <w:rPr>
                <w:rFonts w:ascii="Times New Roman" w:hAnsi="Times New Roman" w:cs="Times New Roman"/>
                <w:color w:val="000000" w:themeColor="text1"/>
                <w:sz w:val="20"/>
                <w:szCs w:val="20"/>
                <w:lang w:val="ro-MD"/>
              </w:rPr>
            </w:pPr>
          </w:p>
        </w:tc>
      </w:tr>
      <w:tr w:rsidR="00C606BE" w:rsidRPr="00C606BE" w14:paraId="1086A133" w14:textId="77777777" w:rsidTr="00AD035D">
        <w:tc>
          <w:tcPr>
            <w:tcW w:w="5381" w:type="dxa"/>
            <w:gridSpan w:val="2"/>
          </w:tcPr>
          <w:p w14:paraId="36DE5122" w14:textId="77777777" w:rsidR="00C1003A" w:rsidRPr="00C606BE" w:rsidRDefault="00C1003A" w:rsidP="004E1411">
            <w:pPr>
              <w:pStyle w:val="ti-art"/>
              <w:shd w:val="clear" w:color="auto" w:fill="FFFFFF"/>
              <w:tabs>
                <w:tab w:val="left" w:pos="276"/>
                <w:tab w:val="left" w:pos="369"/>
              </w:tabs>
              <w:spacing w:before="0" w:beforeAutospacing="0" w:after="0" w:afterAutospacing="0"/>
              <w:jc w:val="center"/>
              <w:rPr>
                <w:i/>
                <w:iCs/>
                <w:color w:val="000000" w:themeColor="text1"/>
                <w:sz w:val="20"/>
                <w:szCs w:val="20"/>
                <w:lang w:val="ro-MD"/>
              </w:rPr>
            </w:pPr>
            <w:r w:rsidRPr="00C606BE">
              <w:rPr>
                <w:i/>
                <w:iCs/>
                <w:color w:val="000000" w:themeColor="text1"/>
                <w:sz w:val="20"/>
                <w:szCs w:val="20"/>
                <w:lang w:val="ro-MD"/>
              </w:rPr>
              <w:t>Articolul 5</w:t>
            </w:r>
          </w:p>
          <w:p w14:paraId="09DB4B90" w14:textId="77777777" w:rsidR="00C1003A" w:rsidRPr="00C606BE" w:rsidRDefault="00C1003A" w:rsidP="004E1411">
            <w:pPr>
              <w:pStyle w:val="sti-art"/>
              <w:shd w:val="clear" w:color="auto" w:fill="FFFFFF"/>
              <w:tabs>
                <w:tab w:val="left" w:pos="276"/>
                <w:tab w:val="left" w:pos="369"/>
              </w:tabs>
              <w:spacing w:before="0" w:beforeAutospacing="0" w:after="0" w:afterAutospacing="0"/>
              <w:jc w:val="center"/>
              <w:rPr>
                <w:b/>
                <w:bCs/>
                <w:color w:val="000000" w:themeColor="text1"/>
                <w:sz w:val="20"/>
                <w:szCs w:val="20"/>
                <w:lang w:val="ro-MD"/>
              </w:rPr>
            </w:pPr>
            <w:r w:rsidRPr="00C606BE">
              <w:rPr>
                <w:b/>
                <w:bCs/>
                <w:color w:val="000000" w:themeColor="text1"/>
                <w:sz w:val="20"/>
                <w:szCs w:val="20"/>
                <w:lang w:val="ro-MD"/>
              </w:rPr>
              <w:t>Fraude și abuzuri</w:t>
            </w:r>
          </w:p>
          <w:p w14:paraId="3CEE8E5B" w14:textId="77777777" w:rsidR="00C1003A" w:rsidRPr="00C606BE" w:rsidRDefault="00C1003A" w:rsidP="004E1411">
            <w:pPr>
              <w:pStyle w:val="Normal1"/>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(1)   Prezenta directivă nu împiedică aplicarea dispozițiilor naționale sau a dispozițiilor întemeiate pe convenții, care sunt necesare pentru prevenirea fraudelor sau a abuzurilor.</w:t>
            </w:r>
          </w:p>
          <w:p w14:paraId="26D817FF" w14:textId="77777777" w:rsidR="00C1003A" w:rsidRPr="00C606BE" w:rsidRDefault="00C1003A" w:rsidP="004E1411">
            <w:pPr>
              <w:pStyle w:val="title-article-norm"/>
              <w:shd w:val="clear" w:color="auto" w:fill="FFFFFF"/>
              <w:spacing w:before="0" w:beforeAutospacing="0" w:after="0" w:afterAutospacing="0"/>
              <w:jc w:val="both"/>
              <w:rPr>
                <w:i/>
                <w:iCs/>
                <w:color w:val="000000" w:themeColor="text1"/>
                <w:sz w:val="20"/>
                <w:szCs w:val="20"/>
                <w:lang w:val="ro-MD"/>
              </w:rPr>
            </w:pPr>
            <w:r w:rsidRPr="00C606BE">
              <w:rPr>
                <w:color w:val="000000" w:themeColor="text1"/>
                <w:sz w:val="20"/>
                <w:szCs w:val="20"/>
                <w:shd w:val="clear" w:color="auto" w:fill="FFFFFF"/>
                <w:lang w:val="ro-MD"/>
              </w:rPr>
              <w:t>(2)   În cazul operațiunilor ale căror obiectiv principal este frauda sau evaziunea fiscală sau abuzurile, statele membre pot să retragă beneficiile prezentei directive sau să refuze să o aplice.</w:t>
            </w:r>
          </w:p>
        </w:tc>
        <w:tc>
          <w:tcPr>
            <w:tcW w:w="4137" w:type="dxa"/>
          </w:tcPr>
          <w:p w14:paraId="7E3F9F75" w14:textId="77777777" w:rsidR="00040B31" w:rsidRPr="00C606BE" w:rsidRDefault="00C1003A" w:rsidP="004E1411">
            <w:pPr>
              <w:tabs>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b/>
                <w:color w:val="000000" w:themeColor="text1"/>
                <w:sz w:val="20"/>
                <w:szCs w:val="20"/>
                <w:lang w:val="ro-MD"/>
              </w:rPr>
              <w:t>Articolul 79</w:t>
            </w:r>
            <w:r w:rsidRPr="00C606BE">
              <w:rPr>
                <w:rFonts w:ascii="Times New Roman" w:hAnsi="Times New Roman" w:cs="Times New Roman"/>
                <w:b/>
                <w:color w:val="000000" w:themeColor="text1"/>
                <w:sz w:val="20"/>
                <w:szCs w:val="20"/>
                <w:vertAlign w:val="superscript"/>
                <w:lang w:val="ro-MD"/>
              </w:rPr>
              <w:t>8</w:t>
            </w:r>
            <w:r w:rsidRPr="00C606BE">
              <w:rPr>
                <w:rFonts w:ascii="Times New Roman" w:hAnsi="Times New Roman" w:cs="Times New Roman"/>
                <w:b/>
                <w:color w:val="000000" w:themeColor="text1"/>
                <w:sz w:val="20"/>
                <w:szCs w:val="20"/>
                <w:lang w:val="ro-MD"/>
              </w:rPr>
              <w:t>.</w:t>
            </w:r>
            <w:r w:rsidRPr="00C606BE">
              <w:rPr>
                <w:rFonts w:ascii="Times New Roman" w:hAnsi="Times New Roman" w:cs="Times New Roman"/>
                <w:color w:val="000000" w:themeColor="text1"/>
                <w:sz w:val="20"/>
                <w:szCs w:val="20"/>
                <w:lang w:val="ro-MD"/>
              </w:rPr>
              <w:t xml:space="preserve"> Fraude și abuzuri</w:t>
            </w:r>
          </w:p>
          <w:p w14:paraId="30561967" w14:textId="3CC8CBCF" w:rsidR="004978A2" w:rsidRPr="00C606BE" w:rsidRDefault="00C1003A" w:rsidP="004E1411">
            <w:pPr>
              <w:tabs>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(1)</w:t>
            </w:r>
            <w:r w:rsidRPr="00C606BE">
              <w:rPr>
                <w:rFonts w:ascii="Times New Roman" w:hAnsi="Times New Roman" w:cs="Times New Roman"/>
                <w:color w:val="000000" w:themeColor="text1"/>
                <w:sz w:val="20"/>
                <w:szCs w:val="20"/>
                <w:lang w:val="ro-MD"/>
              </w:rPr>
              <w:tab/>
            </w:r>
            <w:r w:rsidR="004978A2" w:rsidRPr="00C606BE">
              <w:rPr>
                <w:rFonts w:ascii="Times New Roman" w:hAnsi="Times New Roman" w:cs="Times New Roman"/>
                <w:color w:val="000000" w:themeColor="text1"/>
                <w:sz w:val="20"/>
                <w:szCs w:val="20"/>
                <w:lang w:val="ro-MD"/>
              </w:rPr>
              <w:t>Prevederile prezentului capitol nu exclud dreptul de aplicare a prevederilor legislației naționale sau prevederilor acordurilor/convențiilor privind evitarea dublei impuneri cu privire la impozit pe venit care sunt necesare pentru prevenirea fraudelor sau abuzurilor constatate conform legislației naționale.</w:t>
            </w:r>
          </w:p>
          <w:p w14:paraId="7AC42192" w14:textId="7173ED91" w:rsidR="00C1003A" w:rsidRPr="00C606BE" w:rsidRDefault="004978A2" w:rsidP="004E1411">
            <w:pPr>
              <w:tabs>
                <w:tab w:val="left" w:pos="323"/>
              </w:tabs>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(2) Prevederile prezentului capitol nu se aplică dacă scopul principal a tranzacțiilor desfășurate este frauda, evaziunea fiscală sau abuzuri constatate conform legislației naționale</w:t>
            </w:r>
            <w:r w:rsidR="00C1003A" w:rsidRPr="00C606BE">
              <w:rPr>
                <w:rFonts w:ascii="Times New Roman" w:hAnsi="Times New Roman" w:cs="Times New Roman"/>
                <w:color w:val="000000" w:themeColor="text1"/>
                <w:sz w:val="20"/>
                <w:szCs w:val="20"/>
                <w:lang w:val="ro-MD"/>
              </w:rPr>
              <w:t>.</w:t>
            </w:r>
          </w:p>
        </w:tc>
        <w:tc>
          <w:tcPr>
            <w:tcW w:w="1941" w:type="dxa"/>
          </w:tcPr>
          <w:p w14:paraId="5148CB35" w14:textId="77777777" w:rsidR="00C1003A" w:rsidRPr="00C606BE" w:rsidRDefault="00C1003A"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Compatibil</w:t>
            </w:r>
          </w:p>
        </w:tc>
        <w:tc>
          <w:tcPr>
            <w:tcW w:w="2570" w:type="dxa"/>
          </w:tcPr>
          <w:p w14:paraId="70A8A31E" w14:textId="77777777" w:rsidR="00C1003A" w:rsidRPr="00C606BE" w:rsidRDefault="00C1003A" w:rsidP="004E1411">
            <w:pPr>
              <w:jc w:val="center"/>
              <w:rPr>
                <w:rFonts w:ascii="Times New Roman" w:hAnsi="Times New Roman" w:cs="Times New Roman"/>
                <w:color w:val="000000" w:themeColor="text1"/>
                <w:sz w:val="20"/>
                <w:szCs w:val="20"/>
                <w:lang w:val="ro-MD"/>
              </w:rPr>
            </w:pPr>
          </w:p>
        </w:tc>
      </w:tr>
      <w:tr w:rsidR="00C606BE" w:rsidRPr="00C606BE" w14:paraId="327EF789" w14:textId="77777777" w:rsidTr="00AD035D">
        <w:tc>
          <w:tcPr>
            <w:tcW w:w="5381" w:type="dxa"/>
            <w:gridSpan w:val="2"/>
          </w:tcPr>
          <w:p w14:paraId="17E2D934" w14:textId="77777777" w:rsidR="00C1003A" w:rsidRPr="00C606BE" w:rsidRDefault="00C1003A" w:rsidP="004E1411">
            <w:pPr>
              <w:pStyle w:val="ti-art"/>
              <w:shd w:val="clear" w:color="auto" w:fill="FFFFFF"/>
              <w:tabs>
                <w:tab w:val="left" w:pos="276"/>
                <w:tab w:val="left" w:pos="369"/>
              </w:tabs>
              <w:spacing w:before="0" w:beforeAutospacing="0" w:after="0" w:afterAutospacing="0"/>
              <w:jc w:val="center"/>
              <w:rPr>
                <w:i/>
                <w:iCs/>
                <w:color w:val="000000" w:themeColor="text1"/>
                <w:sz w:val="20"/>
                <w:szCs w:val="20"/>
                <w:lang w:val="ro-MD"/>
              </w:rPr>
            </w:pPr>
            <w:r w:rsidRPr="00C606BE">
              <w:rPr>
                <w:i/>
                <w:iCs/>
                <w:color w:val="000000" w:themeColor="text1"/>
                <w:sz w:val="20"/>
                <w:szCs w:val="20"/>
                <w:lang w:val="ro-MD"/>
              </w:rPr>
              <w:lastRenderedPageBreak/>
              <w:t>Articolul 6</w:t>
            </w:r>
          </w:p>
          <w:p w14:paraId="74B351CA" w14:textId="77777777" w:rsidR="00C1003A" w:rsidRPr="00C606BE" w:rsidRDefault="00C1003A" w:rsidP="004E1411">
            <w:pPr>
              <w:pStyle w:val="sti-art"/>
              <w:shd w:val="clear" w:color="auto" w:fill="FFFFFF"/>
              <w:tabs>
                <w:tab w:val="left" w:pos="276"/>
                <w:tab w:val="left" w:pos="369"/>
              </w:tabs>
              <w:spacing w:before="0" w:beforeAutospacing="0" w:after="0" w:afterAutospacing="0"/>
              <w:jc w:val="center"/>
              <w:rPr>
                <w:b/>
                <w:bCs/>
                <w:color w:val="000000" w:themeColor="text1"/>
                <w:sz w:val="20"/>
                <w:szCs w:val="20"/>
                <w:lang w:val="ro-MD"/>
              </w:rPr>
            </w:pPr>
            <w:r w:rsidRPr="00C606BE">
              <w:rPr>
                <w:b/>
                <w:bCs/>
                <w:color w:val="000000" w:themeColor="text1"/>
                <w:sz w:val="20"/>
                <w:szCs w:val="20"/>
                <w:lang w:val="ro-MD"/>
              </w:rPr>
              <w:t>Dispoziții tranzitorii în favoarea Greciei, Spaniei și Portugaliei</w:t>
            </w:r>
          </w:p>
          <w:p w14:paraId="1E55B18A" w14:textId="77777777" w:rsidR="00C1003A" w:rsidRPr="00C606BE" w:rsidRDefault="00C1003A" w:rsidP="004E1411">
            <w:pPr>
              <w:pStyle w:val="Normal1"/>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(1)   Grecia și Portugalia sunt autorizate să nu aplice articolul 1 până la data aplicării, indicate în articolul 17 alineatele (2) și (3) din Directiva 2003/48/CE a Consiliului din 3 iunie 2003 privind impozitarea veniturilor din economii sub forma plăților de dobânzi</w:t>
            </w:r>
            <w:hyperlink r:id="rId5" w:anchor="ntr4-L_2003157RO.01004901-E0004" w:history="1">
              <w:r w:rsidRPr="00C606BE">
                <w:rPr>
                  <w:rStyle w:val="Hyperlink"/>
                  <w:color w:val="000000" w:themeColor="text1"/>
                  <w:sz w:val="20"/>
                  <w:szCs w:val="20"/>
                  <w:lang w:val="ro-MD"/>
                </w:rPr>
                <w:t> (</w:t>
              </w:r>
              <w:r w:rsidRPr="00C606BE">
                <w:rPr>
                  <w:rStyle w:val="super"/>
                  <w:color w:val="000000" w:themeColor="text1"/>
                  <w:sz w:val="20"/>
                  <w:szCs w:val="20"/>
                  <w:vertAlign w:val="superscript"/>
                  <w:lang w:val="ro-MD"/>
                </w:rPr>
                <w:t>4</w:t>
              </w:r>
              <w:r w:rsidRPr="00C606BE">
                <w:rPr>
                  <w:rStyle w:val="Hyperlink"/>
                  <w:color w:val="000000" w:themeColor="text1"/>
                  <w:sz w:val="20"/>
                  <w:szCs w:val="20"/>
                  <w:lang w:val="ro-MD"/>
                </w:rPr>
                <w:t>)</w:t>
              </w:r>
            </w:hyperlink>
            <w:r w:rsidRPr="00C606BE">
              <w:rPr>
                <w:color w:val="000000" w:themeColor="text1"/>
                <w:sz w:val="20"/>
                <w:szCs w:val="20"/>
                <w:lang w:val="ro-MD"/>
              </w:rPr>
              <w:t>. Într-o perioadă de tranziție care se încheie după opt ani de la această dată, rata impozitului aplicat plăților de dobânzi sau de redevențe efectuate în folosul unei societăți asociate dintr-un alt stat membru sau al unui sediu permanent al unei societăți asociate dintr-un stat membru situat într-un alt stat membru nu poate depăși 10 % în primii patru ani și 5 % în ultimii patru ani.</w:t>
            </w:r>
          </w:p>
          <w:p w14:paraId="5888B80C" w14:textId="77777777" w:rsidR="00C1003A" w:rsidRPr="00C606BE" w:rsidRDefault="00C1003A" w:rsidP="004E1411">
            <w:pPr>
              <w:pStyle w:val="Normal1"/>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Spania este autorizată, exclusiv în ceea ce privește plățile de redevențe, să nu aplice dispozițiile din articolul 1 până la data aplicării prevăzute în articolul 17 alineatele (2) și (3) din Directiva 2003/48/CE. Într-o perioadă de tranziție care se încheie după șase ani de la această dată, rata impozitului aplicat plăților de redevențe efectuate în folosul unei societăți asociate dintr-un alt stat membru sau al unui sediu permanent al unei societăți asociate dintr-un stat membru situat în alt stat membru nu poate depăși 10 %.</w:t>
            </w:r>
          </w:p>
          <w:p w14:paraId="1009980D" w14:textId="77777777" w:rsidR="00C1003A" w:rsidRPr="00C606BE" w:rsidRDefault="00C1003A" w:rsidP="004E1411">
            <w:pPr>
              <w:pStyle w:val="Normal1"/>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Totuși, aceste dispoziții tranzitorii sunt condiționate de aplicarea constantă a unei rate a impozitului inferioară celor menționate în primul și al doilea paragraf care ar putea fi prevăzută în convențiile bilaterale încheiate de Grecia, Spania sau Portugalia cu alte state membre. Înainte de încheierea perioadelor de tranziție prevăzute în prezentul alineat, Consiliul poate decide în unanimitate, la propunerea Comisiei, eventuala prelungire a perioadelor de tranziție.</w:t>
            </w:r>
          </w:p>
          <w:p w14:paraId="5B1AEF95" w14:textId="77777777" w:rsidR="00C1003A" w:rsidRPr="00C606BE" w:rsidRDefault="00C1003A" w:rsidP="004E1411">
            <w:pPr>
              <w:pStyle w:val="Normal1"/>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(2)   În cazul în care o societate dintr-un stat membru sau un sediu permanent, situat în acest stat membru, al unei societăți dintr-un stat membru:</w:t>
            </w:r>
          </w:p>
          <w:tbl>
            <w:tblPr>
              <w:tblW w:w="5159" w:type="dxa"/>
              <w:shd w:val="clear" w:color="auto" w:fill="FFFFFF"/>
              <w:tblCellMar>
                <w:left w:w="0" w:type="dxa"/>
                <w:right w:w="0" w:type="dxa"/>
              </w:tblCellMar>
              <w:tblLook w:val="04A0" w:firstRow="1" w:lastRow="0" w:firstColumn="1" w:lastColumn="0" w:noHBand="0" w:noVBand="1"/>
            </w:tblPr>
            <w:tblGrid>
              <w:gridCol w:w="417"/>
              <w:gridCol w:w="4742"/>
            </w:tblGrid>
            <w:tr w:rsidR="00C606BE" w:rsidRPr="00C606BE" w14:paraId="207D19A4" w14:textId="77777777" w:rsidTr="0098502A">
              <w:tc>
                <w:tcPr>
                  <w:tcW w:w="417" w:type="dxa"/>
                  <w:shd w:val="clear" w:color="auto" w:fill="FFFFFF"/>
                  <w:hideMark/>
                </w:tcPr>
                <w:p w14:paraId="3365FE32" w14:textId="77777777" w:rsidR="00C1003A" w:rsidRPr="00C606BE" w:rsidRDefault="00C1003A" w:rsidP="004E1411">
                  <w:pPr>
                    <w:pStyle w:val="Normal1"/>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w:t>
                  </w:r>
                </w:p>
              </w:tc>
              <w:tc>
                <w:tcPr>
                  <w:tcW w:w="4742" w:type="dxa"/>
                  <w:shd w:val="clear" w:color="auto" w:fill="FFFFFF"/>
                  <w:hideMark/>
                </w:tcPr>
                <w:p w14:paraId="6AD5A08C" w14:textId="77777777" w:rsidR="00C1003A" w:rsidRPr="00C606BE" w:rsidRDefault="00C1003A" w:rsidP="004E1411">
                  <w:pPr>
                    <w:pStyle w:val="Normal1"/>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primește dobânzi sau redevențe de la o societate asociată din Grecia sau Portugalia;</w:t>
                  </w:r>
                </w:p>
              </w:tc>
            </w:tr>
          </w:tbl>
          <w:p w14:paraId="7A4D68F0" w14:textId="77777777" w:rsidR="00C1003A" w:rsidRPr="00C606BE" w:rsidRDefault="00C1003A" w:rsidP="004E1411">
            <w:pPr>
              <w:tabs>
                <w:tab w:val="left" w:pos="276"/>
                <w:tab w:val="left" w:pos="369"/>
              </w:tabs>
              <w:rPr>
                <w:rFonts w:ascii="Times New Roman" w:hAnsi="Times New Roman" w:cs="Times New Roman"/>
                <w:vanish/>
                <w:color w:val="000000" w:themeColor="text1"/>
                <w:sz w:val="20"/>
                <w:szCs w:val="20"/>
                <w:lang w:val="ro-MD"/>
              </w:rPr>
            </w:pPr>
          </w:p>
          <w:tbl>
            <w:tblPr>
              <w:tblW w:w="5094" w:type="dxa"/>
              <w:shd w:val="clear" w:color="auto" w:fill="FFFFFF"/>
              <w:tblCellMar>
                <w:left w:w="0" w:type="dxa"/>
                <w:right w:w="0" w:type="dxa"/>
              </w:tblCellMar>
              <w:tblLook w:val="04A0" w:firstRow="1" w:lastRow="0" w:firstColumn="1" w:lastColumn="0" w:noHBand="0" w:noVBand="1"/>
            </w:tblPr>
            <w:tblGrid>
              <w:gridCol w:w="417"/>
              <w:gridCol w:w="4677"/>
            </w:tblGrid>
            <w:tr w:rsidR="00C606BE" w:rsidRPr="00C606BE" w14:paraId="68709A7D" w14:textId="77777777" w:rsidTr="0098502A">
              <w:tc>
                <w:tcPr>
                  <w:tcW w:w="417" w:type="dxa"/>
                  <w:shd w:val="clear" w:color="auto" w:fill="FFFFFF"/>
                  <w:hideMark/>
                </w:tcPr>
                <w:p w14:paraId="06BFC084" w14:textId="77777777" w:rsidR="00C1003A" w:rsidRPr="00C606BE" w:rsidRDefault="00C1003A" w:rsidP="004E1411">
                  <w:pPr>
                    <w:pStyle w:val="Normal1"/>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w:t>
                  </w:r>
                </w:p>
              </w:tc>
              <w:tc>
                <w:tcPr>
                  <w:tcW w:w="4677" w:type="dxa"/>
                  <w:shd w:val="clear" w:color="auto" w:fill="FFFFFF"/>
                  <w:hideMark/>
                </w:tcPr>
                <w:p w14:paraId="05494F37" w14:textId="77777777" w:rsidR="00C1003A" w:rsidRPr="00C606BE" w:rsidRDefault="00C1003A" w:rsidP="004E1411">
                  <w:pPr>
                    <w:pStyle w:val="Normal1"/>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primește redevențe de la o societate asociată din Spania;</w:t>
                  </w:r>
                </w:p>
              </w:tc>
            </w:tr>
          </w:tbl>
          <w:p w14:paraId="42E39F60" w14:textId="77777777" w:rsidR="00C1003A" w:rsidRPr="00C606BE" w:rsidRDefault="00C1003A" w:rsidP="004E1411">
            <w:pPr>
              <w:tabs>
                <w:tab w:val="left" w:pos="276"/>
                <w:tab w:val="left" w:pos="369"/>
              </w:tabs>
              <w:rPr>
                <w:rFonts w:ascii="Times New Roman" w:hAnsi="Times New Roman" w:cs="Times New Roman"/>
                <w:vanish/>
                <w:color w:val="000000" w:themeColor="text1"/>
                <w:sz w:val="20"/>
                <w:szCs w:val="20"/>
                <w:lang w:val="ro-MD"/>
              </w:rPr>
            </w:pPr>
          </w:p>
          <w:tbl>
            <w:tblPr>
              <w:tblW w:w="5165" w:type="dxa"/>
              <w:shd w:val="clear" w:color="auto" w:fill="FFFFFF"/>
              <w:tblCellMar>
                <w:left w:w="0" w:type="dxa"/>
                <w:right w:w="0" w:type="dxa"/>
              </w:tblCellMar>
              <w:tblLook w:val="04A0" w:firstRow="1" w:lastRow="0" w:firstColumn="1" w:lastColumn="0" w:noHBand="0" w:noVBand="1"/>
            </w:tblPr>
            <w:tblGrid>
              <w:gridCol w:w="417"/>
              <w:gridCol w:w="4748"/>
            </w:tblGrid>
            <w:tr w:rsidR="00C606BE" w:rsidRPr="00C606BE" w14:paraId="0605C125" w14:textId="77777777" w:rsidTr="0098502A">
              <w:tc>
                <w:tcPr>
                  <w:tcW w:w="417" w:type="dxa"/>
                  <w:shd w:val="clear" w:color="auto" w:fill="FFFFFF"/>
                  <w:hideMark/>
                </w:tcPr>
                <w:p w14:paraId="31660A48" w14:textId="77777777" w:rsidR="00C1003A" w:rsidRPr="00C606BE" w:rsidRDefault="00C1003A" w:rsidP="004E1411">
                  <w:pPr>
                    <w:pStyle w:val="Normal1"/>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w:t>
                  </w:r>
                </w:p>
              </w:tc>
              <w:tc>
                <w:tcPr>
                  <w:tcW w:w="4748" w:type="dxa"/>
                  <w:shd w:val="clear" w:color="auto" w:fill="FFFFFF"/>
                  <w:hideMark/>
                </w:tcPr>
                <w:p w14:paraId="32A52EEB" w14:textId="77777777" w:rsidR="00C1003A" w:rsidRPr="00C606BE" w:rsidRDefault="00C1003A" w:rsidP="004E1411">
                  <w:pPr>
                    <w:pStyle w:val="Normal1"/>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primește dobânzi sau redevențe de la un sediu permanent al unei societăți asociate dintr-un stat membru situat în Grecia sau Portugalia, sau</w:t>
                  </w:r>
                </w:p>
              </w:tc>
            </w:tr>
          </w:tbl>
          <w:p w14:paraId="25CF5EC4" w14:textId="77777777" w:rsidR="00C1003A" w:rsidRPr="00C606BE" w:rsidRDefault="00C1003A" w:rsidP="004E1411">
            <w:pPr>
              <w:tabs>
                <w:tab w:val="left" w:pos="276"/>
                <w:tab w:val="left" w:pos="369"/>
              </w:tabs>
              <w:rPr>
                <w:rFonts w:ascii="Times New Roman" w:hAnsi="Times New Roman" w:cs="Times New Roman"/>
                <w:vanish/>
                <w:color w:val="000000" w:themeColor="text1"/>
                <w:sz w:val="20"/>
                <w:szCs w:val="20"/>
                <w:lang w:val="ro-MD"/>
              </w:rPr>
            </w:pPr>
          </w:p>
          <w:tbl>
            <w:tblPr>
              <w:tblW w:w="5165" w:type="dxa"/>
              <w:shd w:val="clear" w:color="auto" w:fill="FFFFFF"/>
              <w:tblCellMar>
                <w:left w:w="0" w:type="dxa"/>
                <w:right w:w="0" w:type="dxa"/>
              </w:tblCellMar>
              <w:tblLook w:val="04A0" w:firstRow="1" w:lastRow="0" w:firstColumn="1" w:lastColumn="0" w:noHBand="0" w:noVBand="1"/>
            </w:tblPr>
            <w:tblGrid>
              <w:gridCol w:w="417"/>
              <w:gridCol w:w="4748"/>
            </w:tblGrid>
            <w:tr w:rsidR="00C606BE" w:rsidRPr="00C606BE" w14:paraId="570E86E5" w14:textId="77777777" w:rsidTr="0098502A">
              <w:tc>
                <w:tcPr>
                  <w:tcW w:w="417" w:type="dxa"/>
                  <w:shd w:val="clear" w:color="auto" w:fill="FFFFFF"/>
                  <w:hideMark/>
                </w:tcPr>
                <w:p w14:paraId="1F735322" w14:textId="77777777" w:rsidR="00C1003A" w:rsidRPr="00C606BE" w:rsidRDefault="00C1003A" w:rsidP="004E1411">
                  <w:pPr>
                    <w:pStyle w:val="Normal1"/>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w:t>
                  </w:r>
                </w:p>
              </w:tc>
              <w:tc>
                <w:tcPr>
                  <w:tcW w:w="4748" w:type="dxa"/>
                  <w:shd w:val="clear" w:color="auto" w:fill="FFFFFF"/>
                  <w:hideMark/>
                </w:tcPr>
                <w:p w14:paraId="2648EF3C" w14:textId="77777777" w:rsidR="00C1003A" w:rsidRPr="00C606BE" w:rsidRDefault="00C1003A" w:rsidP="004E1411">
                  <w:pPr>
                    <w:pStyle w:val="Normal1"/>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primește redevențe de la un sediu permanent al unei societăți asociate dintr-un stat membru situat în Spania,</w:t>
                  </w:r>
                </w:p>
              </w:tc>
            </w:tr>
          </w:tbl>
          <w:p w14:paraId="6359DE93" w14:textId="77777777" w:rsidR="00C1003A" w:rsidRPr="00C606BE" w:rsidRDefault="00C1003A" w:rsidP="004E1411">
            <w:pPr>
              <w:pStyle w:val="title-article-norm"/>
              <w:shd w:val="clear" w:color="auto" w:fill="FFFFFF"/>
              <w:tabs>
                <w:tab w:val="left" w:pos="1306"/>
              </w:tabs>
              <w:spacing w:before="0" w:beforeAutospacing="0" w:after="0" w:afterAutospacing="0"/>
              <w:jc w:val="both"/>
              <w:rPr>
                <w:i/>
                <w:iCs/>
                <w:color w:val="000000" w:themeColor="text1"/>
                <w:sz w:val="20"/>
                <w:szCs w:val="20"/>
                <w:lang w:val="ro-MD"/>
              </w:rPr>
            </w:pPr>
            <w:r w:rsidRPr="00C606BE">
              <w:rPr>
                <w:color w:val="000000" w:themeColor="text1"/>
                <w:sz w:val="20"/>
                <w:szCs w:val="20"/>
                <w:lang w:val="ro-MD"/>
              </w:rPr>
              <w:t xml:space="preserve">primul stat membru acordă, pentru impozitul datorat pentru venitul societății sau al sediului permanent care a primit aceste venituri, o reducere egală cu impozitul plătit în Grecia, în Spania </w:t>
            </w:r>
            <w:r w:rsidRPr="00C606BE">
              <w:rPr>
                <w:color w:val="000000" w:themeColor="text1"/>
                <w:sz w:val="20"/>
                <w:szCs w:val="20"/>
                <w:lang w:val="ro-MD"/>
              </w:rPr>
              <w:lastRenderedPageBreak/>
              <w:t>sau în Portugalia pentru aceste venituri în conformitate cu alineatul (1).</w:t>
            </w:r>
          </w:p>
        </w:tc>
        <w:tc>
          <w:tcPr>
            <w:tcW w:w="4137" w:type="dxa"/>
          </w:tcPr>
          <w:p w14:paraId="09BC9003" w14:textId="77777777" w:rsidR="00C1003A" w:rsidRPr="00C606BE" w:rsidRDefault="00C1003A" w:rsidP="004E1411">
            <w:pPr>
              <w:jc w:val="center"/>
              <w:rPr>
                <w:rFonts w:ascii="Times New Roman" w:hAnsi="Times New Roman" w:cs="Times New Roman"/>
                <w:color w:val="000000" w:themeColor="text1"/>
                <w:sz w:val="20"/>
                <w:szCs w:val="20"/>
                <w:lang w:val="ro-MD"/>
              </w:rPr>
            </w:pPr>
          </w:p>
        </w:tc>
        <w:tc>
          <w:tcPr>
            <w:tcW w:w="1941" w:type="dxa"/>
          </w:tcPr>
          <w:p w14:paraId="21ED7811" w14:textId="2B6BEA0E" w:rsidR="00C1003A" w:rsidRPr="00C606BE" w:rsidRDefault="00AC339F"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Norma opțională care nu urmează a fi transpusă</w:t>
            </w:r>
          </w:p>
        </w:tc>
        <w:tc>
          <w:tcPr>
            <w:tcW w:w="2570" w:type="dxa"/>
          </w:tcPr>
          <w:p w14:paraId="2E23E7C3" w14:textId="77777777" w:rsidR="00C1003A" w:rsidRPr="00C606BE" w:rsidRDefault="00C1003A" w:rsidP="004E1411">
            <w:pPr>
              <w:jc w:val="center"/>
              <w:rPr>
                <w:rFonts w:ascii="Times New Roman" w:hAnsi="Times New Roman" w:cs="Times New Roman"/>
                <w:color w:val="000000" w:themeColor="text1"/>
                <w:sz w:val="20"/>
                <w:szCs w:val="20"/>
                <w:lang w:val="ro-MD"/>
              </w:rPr>
            </w:pPr>
          </w:p>
        </w:tc>
      </w:tr>
      <w:tr w:rsidR="00C606BE" w:rsidRPr="00C606BE" w14:paraId="4E3DB49B" w14:textId="77777777" w:rsidTr="00AD035D">
        <w:tc>
          <w:tcPr>
            <w:tcW w:w="5381" w:type="dxa"/>
            <w:gridSpan w:val="2"/>
          </w:tcPr>
          <w:p w14:paraId="4BEB187D" w14:textId="77777777" w:rsidR="00C1003A" w:rsidRPr="00C606BE" w:rsidRDefault="00C1003A" w:rsidP="004E1411">
            <w:pPr>
              <w:pStyle w:val="Normal1"/>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lastRenderedPageBreak/>
              <w:t>(3)   Reducerea impozitului prevăzută în alineatul (2) nu poate să depășească cea mai mică dintre următoarele două sume:</w:t>
            </w:r>
          </w:p>
          <w:tbl>
            <w:tblPr>
              <w:tblW w:w="5133" w:type="dxa"/>
              <w:shd w:val="clear" w:color="auto" w:fill="FFFFFF"/>
              <w:tblCellMar>
                <w:left w:w="0" w:type="dxa"/>
                <w:right w:w="0" w:type="dxa"/>
              </w:tblCellMar>
              <w:tblLook w:val="04A0" w:firstRow="1" w:lastRow="0" w:firstColumn="1" w:lastColumn="0" w:noHBand="0" w:noVBand="1"/>
            </w:tblPr>
            <w:tblGrid>
              <w:gridCol w:w="276"/>
              <w:gridCol w:w="4857"/>
            </w:tblGrid>
            <w:tr w:rsidR="00C606BE" w:rsidRPr="00C606BE" w14:paraId="2F4D6F7F" w14:textId="77777777" w:rsidTr="00B73669">
              <w:tc>
                <w:tcPr>
                  <w:tcW w:w="276" w:type="dxa"/>
                  <w:shd w:val="clear" w:color="auto" w:fill="FFFFFF"/>
                  <w:hideMark/>
                </w:tcPr>
                <w:p w14:paraId="15174576" w14:textId="77777777" w:rsidR="00C1003A" w:rsidRPr="00C606BE" w:rsidRDefault="00C1003A" w:rsidP="004E1411">
                  <w:pPr>
                    <w:pStyle w:val="Normal1"/>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(a)</w:t>
                  </w:r>
                </w:p>
              </w:tc>
              <w:tc>
                <w:tcPr>
                  <w:tcW w:w="4857" w:type="dxa"/>
                  <w:shd w:val="clear" w:color="auto" w:fill="FFFFFF"/>
                  <w:hideMark/>
                </w:tcPr>
                <w:p w14:paraId="38D06F5F" w14:textId="77777777" w:rsidR="00C1003A" w:rsidRPr="00C606BE" w:rsidRDefault="00C1003A" w:rsidP="004E1411">
                  <w:pPr>
                    <w:pStyle w:val="Normal1"/>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impozitul care se plătește în Grecia, în Spania sau în Portugalia pentru astfel de venituri în conformitate cu alineatul (1), sau</w:t>
                  </w:r>
                </w:p>
              </w:tc>
            </w:tr>
          </w:tbl>
          <w:p w14:paraId="48BB28C3" w14:textId="77777777" w:rsidR="00C1003A" w:rsidRPr="00C606BE" w:rsidRDefault="00C1003A" w:rsidP="004E1411">
            <w:pPr>
              <w:tabs>
                <w:tab w:val="left" w:pos="276"/>
                <w:tab w:val="left" w:pos="369"/>
              </w:tabs>
              <w:rPr>
                <w:rFonts w:ascii="Times New Roman" w:hAnsi="Times New Roman" w:cs="Times New Roman"/>
                <w:vanish/>
                <w:color w:val="000000" w:themeColor="text1"/>
                <w:sz w:val="20"/>
                <w:szCs w:val="20"/>
                <w:lang w:val="ro-MD"/>
              </w:rPr>
            </w:pPr>
          </w:p>
          <w:tbl>
            <w:tblPr>
              <w:tblW w:w="5133" w:type="dxa"/>
              <w:shd w:val="clear" w:color="auto" w:fill="FFFFFF"/>
              <w:tblCellMar>
                <w:left w:w="0" w:type="dxa"/>
                <w:right w:w="0" w:type="dxa"/>
              </w:tblCellMar>
              <w:tblLook w:val="04A0" w:firstRow="1" w:lastRow="0" w:firstColumn="1" w:lastColumn="0" w:noHBand="0" w:noVBand="1"/>
            </w:tblPr>
            <w:tblGrid>
              <w:gridCol w:w="276"/>
              <w:gridCol w:w="4857"/>
            </w:tblGrid>
            <w:tr w:rsidR="00C606BE" w:rsidRPr="00C606BE" w14:paraId="4BAF836E" w14:textId="77777777" w:rsidTr="00B73669">
              <w:tc>
                <w:tcPr>
                  <w:tcW w:w="276" w:type="dxa"/>
                  <w:shd w:val="clear" w:color="auto" w:fill="FFFFFF"/>
                  <w:hideMark/>
                </w:tcPr>
                <w:p w14:paraId="4F17A192" w14:textId="77777777" w:rsidR="00C1003A" w:rsidRPr="00C606BE" w:rsidRDefault="00C1003A" w:rsidP="004E1411">
                  <w:pPr>
                    <w:pStyle w:val="Normal1"/>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(b)</w:t>
                  </w:r>
                </w:p>
              </w:tc>
              <w:tc>
                <w:tcPr>
                  <w:tcW w:w="4857" w:type="dxa"/>
                  <w:shd w:val="clear" w:color="auto" w:fill="FFFFFF"/>
                  <w:hideMark/>
                </w:tcPr>
                <w:p w14:paraId="589E4AFC" w14:textId="77777777" w:rsidR="00C1003A" w:rsidRPr="00C606BE" w:rsidRDefault="00C1003A" w:rsidP="004E1411">
                  <w:pPr>
                    <w:pStyle w:val="Normal1"/>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partea din impozitul datorat de societatea sau de sediul permanent beneficiar al dobânzilor sau al redevențelor, calculat înainte de reducerea impozitului, care corespunde acestor venituri în conformitate cu legislația națională din statul membru căruia îi aparține societatea sau în care este situat sediul permanent.</w:t>
                  </w:r>
                </w:p>
              </w:tc>
            </w:tr>
          </w:tbl>
          <w:p w14:paraId="275203A8" w14:textId="77777777" w:rsidR="00C1003A" w:rsidRPr="00C606BE" w:rsidRDefault="00C1003A" w:rsidP="004E1411">
            <w:pPr>
              <w:pStyle w:val="title-article-norm"/>
              <w:shd w:val="clear" w:color="auto" w:fill="FFFFFF"/>
              <w:spacing w:before="0" w:beforeAutospacing="0" w:after="0" w:afterAutospacing="0"/>
              <w:jc w:val="both"/>
              <w:rPr>
                <w:i/>
                <w:iCs/>
                <w:color w:val="000000" w:themeColor="text1"/>
                <w:sz w:val="20"/>
                <w:szCs w:val="20"/>
                <w:lang w:val="ro-MD"/>
              </w:rPr>
            </w:pPr>
          </w:p>
        </w:tc>
        <w:tc>
          <w:tcPr>
            <w:tcW w:w="4137" w:type="dxa"/>
          </w:tcPr>
          <w:p w14:paraId="1062FEB4" w14:textId="77777777" w:rsidR="00C1003A" w:rsidRPr="00C606BE" w:rsidRDefault="00C1003A" w:rsidP="004E1411">
            <w:pPr>
              <w:jc w:val="both"/>
              <w:rPr>
                <w:rFonts w:ascii="Times New Roman" w:hAnsi="Times New Roman" w:cs="Times New Roman"/>
                <w:color w:val="000000" w:themeColor="text1"/>
                <w:sz w:val="20"/>
                <w:szCs w:val="20"/>
                <w:lang w:val="ro-MD"/>
              </w:rPr>
            </w:pPr>
          </w:p>
        </w:tc>
        <w:tc>
          <w:tcPr>
            <w:tcW w:w="1941" w:type="dxa"/>
          </w:tcPr>
          <w:p w14:paraId="40D1FB7C" w14:textId="470C4FE9" w:rsidR="00C1003A" w:rsidRPr="00C606BE" w:rsidRDefault="00AC339F"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Norma opțională care nu urmează a fi transpusă</w:t>
            </w:r>
          </w:p>
        </w:tc>
        <w:tc>
          <w:tcPr>
            <w:tcW w:w="2570" w:type="dxa"/>
          </w:tcPr>
          <w:p w14:paraId="52A99172" w14:textId="77777777" w:rsidR="00C1003A" w:rsidRPr="00C606BE" w:rsidRDefault="00C1003A" w:rsidP="004E1411">
            <w:pPr>
              <w:jc w:val="center"/>
              <w:rPr>
                <w:rFonts w:ascii="Times New Roman" w:hAnsi="Times New Roman" w:cs="Times New Roman"/>
                <w:color w:val="000000" w:themeColor="text1"/>
                <w:sz w:val="20"/>
                <w:szCs w:val="20"/>
                <w:lang w:val="ro-MD"/>
              </w:rPr>
            </w:pPr>
          </w:p>
        </w:tc>
      </w:tr>
      <w:tr w:rsidR="00C606BE" w:rsidRPr="00C606BE" w14:paraId="096BD45E" w14:textId="77777777" w:rsidTr="00AD035D">
        <w:tc>
          <w:tcPr>
            <w:tcW w:w="5381" w:type="dxa"/>
            <w:gridSpan w:val="2"/>
          </w:tcPr>
          <w:p w14:paraId="30467141" w14:textId="77777777" w:rsidR="00C1003A" w:rsidRPr="00C606BE" w:rsidRDefault="00C1003A" w:rsidP="004E1411">
            <w:pPr>
              <w:pStyle w:val="ti-art"/>
              <w:shd w:val="clear" w:color="auto" w:fill="FFFFFF"/>
              <w:tabs>
                <w:tab w:val="left" w:pos="276"/>
                <w:tab w:val="left" w:pos="369"/>
              </w:tabs>
              <w:spacing w:before="0" w:beforeAutospacing="0" w:after="0" w:afterAutospacing="0"/>
              <w:jc w:val="center"/>
              <w:rPr>
                <w:i/>
                <w:iCs/>
                <w:color w:val="000000" w:themeColor="text1"/>
                <w:sz w:val="20"/>
                <w:szCs w:val="20"/>
                <w:lang w:val="ro-MD"/>
              </w:rPr>
            </w:pPr>
            <w:r w:rsidRPr="00C606BE">
              <w:rPr>
                <w:i/>
                <w:iCs/>
                <w:color w:val="000000" w:themeColor="text1"/>
                <w:sz w:val="20"/>
                <w:szCs w:val="20"/>
                <w:lang w:val="ro-MD"/>
              </w:rPr>
              <w:t>Articolul 7</w:t>
            </w:r>
          </w:p>
          <w:p w14:paraId="1973A761" w14:textId="77777777" w:rsidR="00C1003A" w:rsidRPr="00C606BE" w:rsidRDefault="00C1003A" w:rsidP="004E1411">
            <w:pPr>
              <w:pStyle w:val="sti-art"/>
              <w:shd w:val="clear" w:color="auto" w:fill="FFFFFF"/>
              <w:tabs>
                <w:tab w:val="left" w:pos="276"/>
                <w:tab w:val="left" w:pos="369"/>
              </w:tabs>
              <w:spacing w:before="0" w:beforeAutospacing="0" w:after="0" w:afterAutospacing="0"/>
              <w:jc w:val="center"/>
              <w:rPr>
                <w:b/>
                <w:bCs/>
                <w:color w:val="000000" w:themeColor="text1"/>
                <w:sz w:val="20"/>
                <w:szCs w:val="20"/>
                <w:lang w:val="ro-MD"/>
              </w:rPr>
            </w:pPr>
            <w:r w:rsidRPr="00C606BE">
              <w:rPr>
                <w:b/>
                <w:bCs/>
                <w:color w:val="000000" w:themeColor="text1"/>
                <w:sz w:val="20"/>
                <w:szCs w:val="20"/>
                <w:lang w:val="ro-MD"/>
              </w:rPr>
              <w:t>Punere în aplicare</w:t>
            </w:r>
          </w:p>
          <w:p w14:paraId="04E8E2C6" w14:textId="77777777" w:rsidR="00C1003A" w:rsidRPr="00C606BE" w:rsidRDefault="00C1003A" w:rsidP="004E1411">
            <w:pPr>
              <w:pStyle w:val="Normal1"/>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(1)   Statele membre asigură intrarea în vigoare a actelor cu putere de lege, și a actelor administrative necesare aducerii la îndeplinire a prezentei directive până la 1 ianuarie 2004 cel târziu. Statele membre informează imediat Comisia în legătură cu aceasta.</w:t>
            </w:r>
          </w:p>
          <w:p w14:paraId="755071AF" w14:textId="77777777" w:rsidR="00C1003A" w:rsidRPr="00C606BE" w:rsidRDefault="00C1003A" w:rsidP="004E1411">
            <w:pPr>
              <w:pStyle w:val="Normal1"/>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Când statele membre adoptă aceste dispoziții, ele conțin o trimitere la prezenta directivă sau sunt însoțite de o asemenea trimitere în momentul publicării lor oficiale. Statele membre stabilesc modalitatea de efectuare a acestei trimiteri.</w:t>
            </w:r>
          </w:p>
          <w:p w14:paraId="2A2649C6" w14:textId="77777777" w:rsidR="00C1003A" w:rsidRPr="00C606BE" w:rsidRDefault="00C1003A" w:rsidP="004E1411">
            <w:pPr>
              <w:pStyle w:val="Normal1"/>
              <w:shd w:val="clear" w:color="auto" w:fill="FFFFFF"/>
              <w:tabs>
                <w:tab w:val="left" w:pos="276"/>
                <w:tab w:val="left" w:pos="369"/>
              </w:tabs>
              <w:spacing w:before="0" w:beforeAutospacing="0" w:after="0" w:afterAutospacing="0"/>
              <w:jc w:val="both"/>
              <w:rPr>
                <w:color w:val="000000" w:themeColor="text1"/>
                <w:sz w:val="20"/>
                <w:szCs w:val="20"/>
                <w:lang w:val="ro-MD"/>
              </w:rPr>
            </w:pPr>
          </w:p>
          <w:p w14:paraId="19E90CDF" w14:textId="77777777" w:rsidR="00C1003A" w:rsidRPr="00C606BE" w:rsidRDefault="00C1003A" w:rsidP="004E1411">
            <w:pPr>
              <w:pStyle w:val="Normal1"/>
              <w:shd w:val="clear" w:color="auto" w:fill="FFFFFF"/>
              <w:tabs>
                <w:tab w:val="left" w:pos="276"/>
                <w:tab w:val="left" w:pos="369"/>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(2)   Statele membre comunică Comisiei textul principalelor dispoziții de drept intern pe care le adoptă în domeniul reglementat de prezenta directivă, precum și un tabel de corespondență între prezenta directivă și dispozițiile naționale adoptate.</w:t>
            </w:r>
          </w:p>
        </w:tc>
        <w:tc>
          <w:tcPr>
            <w:tcW w:w="4137" w:type="dxa"/>
          </w:tcPr>
          <w:p w14:paraId="4EDD620E" w14:textId="77777777" w:rsidR="000F5542" w:rsidRPr="00C606BE" w:rsidRDefault="000F5542" w:rsidP="004E1411">
            <w:pPr>
              <w:tabs>
                <w:tab w:val="left" w:pos="993"/>
              </w:tabs>
              <w:ind w:firstLine="33"/>
              <w:jc w:val="both"/>
              <w:rPr>
                <w:rFonts w:ascii="Times New Roman" w:hAnsi="Times New Roman" w:cs="Times New Roman"/>
                <w:color w:val="000000" w:themeColor="text1"/>
                <w:sz w:val="20"/>
                <w:szCs w:val="20"/>
                <w:lang w:val="ro-MD"/>
              </w:rPr>
            </w:pPr>
            <w:r w:rsidRPr="00C606BE">
              <w:rPr>
                <w:rFonts w:ascii="Times New Roman" w:hAnsi="Times New Roman" w:cs="Times New Roman"/>
                <w:b/>
                <w:bCs/>
                <w:color w:val="000000" w:themeColor="text1"/>
                <w:sz w:val="20"/>
                <w:szCs w:val="20"/>
                <w:lang w:val="ro-MD"/>
              </w:rPr>
              <w:t>Art.II.</w:t>
            </w:r>
            <w:r w:rsidRPr="00C606BE">
              <w:rPr>
                <w:rFonts w:ascii="Times New Roman" w:hAnsi="Times New Roman" w:cs="Times New Roman"/>
                <w:color w:val="000000" w:themeColor="text1"/>
                <w:sz w:val="20"/>
                <w:szCs w:val="20"/>
                <w:lang w:val="ro-MD"/>
              </w:rPr>
              <w:t xml:space="preserve"> – Prin derogare de la prevederile art.56 alin.(1) și (2) din Legea nr.100/2017 cu privire la actele normative, prezenta lege intră în vigoare </w:t>
            </w:r>
            <w:r w:rsidRPr="00C606BE">
              <w:rPr>
                <w:rFonts w:ascii="Times New Roman" w:hAnsi="Times New Roman" w:cs="Times New Roman"/>
                <w:i/>
                <w:color w:val="000000" w:themeColor="text1"/>
                <w:sz w:val="20"/>
                <w:szCs w:val="20"/>
                <w:lang w:val="ro-MD"/>
              </w:rPr>
              <w:t>la data aderării Republicii Moldova la Uniunea Europenă,</w:t>
            </w:r>
            <w:r w:rsidRPr="00C606BE">
              <w:rPr>
                <w:rFonts w:ascii="Times New Roman" w:hAnsi="Times New Roman" w:cs="Times New Roman"/>
                <w:color w:val="000000" w:themeColor="text1"/>
                <w:sz w:val="20"/>
                <w:szCs w:val="20"/>
                <w:lang w:val="ro-MD"/>
              </w:rPr>
              <w:t xml:space="preserve"> cu excepție pct.1, pct.8-11 care vor intra în vigoare la 01 ianuarie 2028.</w:t>
            </w:r>
          </w:p>
          <w:p w14:paraId="1C9F759F" w14:textId="77777777" w:rsidR="00C1003A" w:rsidRPr="00C606BE" w:rsidRDefault="00C1003A" w:rsidP="004E1411">
            <w:pPr>
              <w:pStyle w:val="NormalWeb"/>
              <w:tabs>
                <w:tab w:val="left" w:pos="302"/>
                <w:tab w:val="left" w:pos="993"/>
              </w:tabs>
              <w:spacing w:before="0" w:beforeAutospacing="0" w:after="0" w:afterAutospacing="0"/>
              <w:jc w:val="both"/>
              <w:rPr>
                <w:color w:val="000000" w:themeColor="text1"/>
                <w:sz w:val="20"/>
                <w:szCs w:val="20"/>
                <w:lang w:val="ro-MD"/>
              </w:rPr>
            </w:pPr>
          </w:p>
          <w:p w14:paraId="2C70077D" w14:textId="77777777" w:rsidR="00C1003A" w:rsidRPr="00C606BE" w:rsidRDefault="00C1003A" w:rsidP="004E1411">
            <w:pPr>
              <w:pStyle w:val="NormalWeb"/>
              <w:tabs>
                <w:tab w:val="left" w:pos="302"/>
                <w:tab w:val="left" w:pos="993"/>
              </w:tabs>
              <w:spacing w:before="0" w:beforeAutospacing="0" w:after="0" w:afterAutospacing="0"/>
              <w:jc w:val="both"/>
              <w:rPr>
                <w:color w:val="000000" w:themeColor="text1"/>
                <w:sz w:val="20"/>
                <w:szCs w:val="20"/>
                <w:lang w:val="ro-MD"/>
              </w:rPr>
            </w:pPr>
          </w:p>
          <w:p w14:paraId="60DC1F20" w14:textId="77777777" w:rsidR="00C1003A" w:rsidRPr="00C606BE" w:rsidRDefault="00C1003A" w:rsidP="004E1411">
            <w:pPr>
              <w:pStyle w:val="NormalWeb"/>
              <w:tabs>
                <w:tab w:val="left" w:pos="302"/>
                <w:tab w:val="left" w:pos="993"/>
              </w:tabs>
              <w:spacing w:before="0" w:beforeAutospacing="0" w:after="0" w:afterAutospacing="0"/>
              <w:jc w:val="both"/>
              <w:rPr>
                <w:color w:val="000000" w:themeColor="text1"/>
                <w:sz w:val="20"/>
                <w:szCs w:val="20"/>
                <w:lang w:val="ro-MD"/>
              </w:rPr>
            </w:pPr>
          </w:p>
          <w:p w14:paraId="77A2EADC" w14:textId="77777777" w:rsidR="00C1003A" w:rsidRPr="00C606BE" w:rsidRDefault="00C1003A" w:rsidP="004E1411">
            <w:pPr>
              <w:pStyle w:val="NormalWeb"/>
              <w:tabs>
                <w:tab w:val="left" w:pos="302"/>
                <w:tab w:val="left" w:pos="993"/>
              </w:tabs>
              <w:spacing w:before="0" w:beforeAutospacing="0" w:after="0" w:afterAutospacing="0"/>
              <w:jc w:val="both"/>
              <w:rPr>
                <w:color w:val="000000" w:themeColor="text1"/>
                <w:sz w:val="20"/>
                <w:szCs w:val="20"/>
                <w:lang w:val="ro-MD"/>
              </w:rPr>
            </w:pPr>
          </w:p>
          <w:p w14:paraId="4018EAC4" w14:textId="77777777" w:rsidR="00C1003A" w:rsidRPr="00C606BE" w:rsidRDefault="00C1003A" w:rsidP="004E1411">
            <w:pPr>
              <w:pStyle w:val="NormalWeb"/>
              <w:tabs>
                <w:tab w:val="left" w:pos="302"/>
                <w:tab w:val="left" w:pos="993"/>
              </w:tabs>
              <w:spacing w:before="0" w:beforeAutospacing="0" w:after="0" w:afterAutospacing="0"/>
              <w:jc w:val="both"/>
              <w:rPr>
                <w:color w:val="000000" w:themeColor="text1"/>
                <w:sz w:val="20"/>
                <w:szCs w:val="20"/>
                <w:lang w:val="ro-MD"/>
              </w:rPr>
            </w:pPr>
          </w:p>
          <w:p w14:paraId="16F329F6" w14:textId="77777777" w:rsidR="00C1003A" w:rsidRPr="00C606BE" w:rsidRDefault="00C1003A" w:rsidP="004E1411">
            <w:pPr>
              <w:pStyle w:val="NormalWeb"/>
              <w:tabs>
                <w:tab w:val="left" w:pos="302"/>
                <w:tab w:val="left" w:pos="993"/>
              </w:tabs>
              <w:spacing w:before="0" w:beforeAutospacing="0" w:after="0" w:afterAutospacing="0"/>
              <w:jc w:val="both"/>
              <w:rPr>
                <w:color w:val="000000" w:themeColor="text1"/>
                <w:sz w:val="20"/>
                <w:szCs w:val="20"/>
                <w:lang w:val="ro-MD"/>
              </w:rPr>
            </w:pPr>
          </w:p>
          <w:p w14:paraId="099D8428" w14:textId="77777777" w:rsidR="00C1003A" w:rsidRPr="00C606BE" w:rsidRDefault="00C1003A" w:rsidP="004E1411">
            <w:pPr>
              <w:pStyle w:val="NormalWeb"/>
              <w:tabs>
                <w:tab w:val="left" w:pos="302"/>
                <w:tab w:val="left" w:pos="993"/>
              </w:tabs>
              <w:spacing w:before="0" w:beforeAutospacing="0" w:after="0" w:afterAutospacing="0"/>
              <w:jc w:val="both"/>
              <w:rPr>
                <w:color w:val="000000" w:themeColor="text1"/>
                <w:sz w:val="20"/>
                <w:szCs w:val="20"/>
                <w:lang w:val="ro-MD"/>
              </w:rPr>
            </w:pPr>
          </w:p>
          <w:p w14:paraId="7AE3B870" w14:textId="77777777" w:rsidR="00C1003A" w:rsidRPr="00C606BE" w:rsidRDefault="00C1003A" w:rsidP="004E1411">
            <w:pPr>
              <w:pStyle w:val="NormalWeb"/>
              <w:tabs>
                <w:tab w:val="left" w:pos="302"/>
                <w:tab w:val="left" w:pos="993"/>
              </w:tabs>
              <w:spacing w:before="0" w:beforeAutospacing="0" w:after="0" w:afterAutospacing="0"/>
              <w:jc w:val="both"/>
              <w:rPr>
                <w:color w:val="000000" w:themeColor="text1"/>
                <w:sz w:val="20"/>
                <w:szCs w:val="20"/>
                <w:lang w:val="ro-MD"/>
              </w:rPr>
            </w:pPr>
          </w:p>
          <w:p w14:paraId="0D278C96" w14:textId="77777777" w:rsidR="00C1003A" w:rsidRPr="00C606BE" w:rsidRDefault="00C1003A" w:rsidP="004E1411">
            <w:pPr>
              <w:tabs>
                <w:tab w:val="left" w:pos="284"/>
                <w:tab w:val="left" w:pos="709"/>
                <w:tab w:val="left" w:pos="851"/>
                <w:tab w:val="left" w:pos="993"/>
                <w:tab w:val="left" w:pos="1134"/>
              </w:tabs>
              <w:spacing w:before="120" w:after="120"/>
              <w:jc w:val="both"/>
              <w:rPr>
                <w:rFonts w:ascii="Times New Roman" w:hAnsi="Times New Roman" w:cs="Times New Roman"/>
                <w:color w:val="000000" w:themeColor="text1"/>
                <w:sz w:val="20"/>
                <w:szCs w:val="20"/>
                <w:lang w:val="ro-MD"/>
              </w:rPr>
            </w:pPr>
          </w:p>
        </w:tc>
        <w:tc>
          <w:tcPr>
            <w:tcW w:w="1941" w:type="dxa"/>
          </w:tcPr>
          <w:p w14:paraId="2D4C1B85"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5BC8991A"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39A667D7"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3FEA8470"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22E794A8"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293EADF3"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64A4109A"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051DCF2C"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63A17BB0"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4512EB53"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01DAA792" w14:textId="77777777" w:rsidR="00C1003A" w:rsidRPr="00C606BE" w:rsidRDefault="00C1003A" w:rsidP="004E1411">
            <w:pPr>
              <w:jc w:val="center"/>
              <w:rPr>
                <w:rFonts w:ascii="Times New Roman" w:hAnsi="Times New Roman" w:cs="Times New Roman"/>
                <w:color w:val="000000" w:themeColor="text1"/>
                <w:sz w:val="20"/>
                <w:szCs w:val="20"/>
                <w:lang w:val="ro-MD"/>
              </w:rPr>
            </w:pPr>
          </w:p>
          <w:p w14:paraId="1218F45B" w14:textId="77777777" w:rsidR="00C1003A" w:rsidRPr="00C606BE" w:rsidRDefault="00C1003A" w:rsidP="004E1411">
            <w:pPr>
              <w:jc w:val="center"/>
              <w:rPr>
                <w:rFonts w:ascii="Times New Roman" w:hAnsi="Times New Roman" w:cs="Times New Roman"/>
                <w:color w:val="000000" w:themeColor="text1"/>
                <w:sz w:val="20"/>
                <w:szCs w:val="20"/>
                <w:lang w:val="ro-MD"/>
              </w:rPr>
            </w:pPr>
          </w:p>
        </w:tc>
        <w:tc>
          <w:tcPr>
            <w:tcW w:w="2570" w:type="dxa"/>
          </w:tcPr>
          <w:p w14:paraId="6262F55D" w14:textId="77777777" w:rsidR="00C1003A" w:rsidRPr="00C606BE" w:rsidRDefault="00C1003A" w:rsidP="004E1411">
            <w:pPr>
              <w:jc w:val="center"/>
              <w:rPr>
                <w:rFonts w:ascii="Times New Roman" w:hAnsi="Times New Roman" w:cs="Times New Roman"/>
                <w:color w:val="000000" w:themeColor="text1"/>
                <w:sz w:val="20"/>
                <w:szCs w:val="20"/>
                <w:lang w:val="ro-MD"/>
              </w:rPr>
            </w:pPr>
          </w:p>
        </w:tc>
      </w:tr>
      <w:tr w:rsidR="00C606BE" w:rsidRPr="00C606BE" w14:paraId="7E98E4EA" w14:textId="77777777" w:rsidTr="00AD035D">
        <w:tc>
          <w:tcPr>
            <w:tcW w:w="5381" w:type="dxa"/>
            <w:gridSpan w:val="2"/>
          </w:tcPr>
          <w:p w14:paraId="08BEDCFD" w14:textId="77777777" w:rsidR="00C1003A" w:rsidRPr="00C606BE" w:rsidRDefault="00C1003A" w:rsidP="004E1411">
            <w:pPr>
              <w:pStyle w:val="ti-art"/>
              <w:shd w:val="clear" w:color="auto" w:fill="FFFFFF"/>
              <w:spacing w:before="0" w:beforeAutospacing="0" w:after="0" w:afterAutospacing="0"/>
              <w:jc w:val="center"/>
              <w:rPr>
                <w:i/>
                <w:iCs/>
                <w:color w:val="000000" w:themeColor="text1"/>
                <w:sz w:val="20"/>
                <w:szCs w:val="20"/>
                <w:lang w:val="ro-MD"/>
              </w:rPr>
            </w:pPr>
            <w:r w:rsidRPr="00C606BE">
              <w:rPr>
                <w:i/>
                <w:iCs/>
                <w:color w:val="000000" w:themeColor="text1"/>
                <w:sz w:val="20"/>
                <w:szCs w:val="20"/>
                <w:lang w:val="ro-MD"/>
              </w:rPr>
              <w:t>Articolul 8</w:t>
            </w:r>
          </w:p>
          <w:p w14:paraId="1D308A4A" w14:textId="77777777" w:rsidR="00C1003A" w:rsidRPr="00C606BE" w:rsidRDefault="00C1003A" w:rsidP="004E1411">
            <w:pPr>
              <w:pStyle w:val="sti-art"/>
              <w:shd w:val="clear" w:color="auto" w:fill="FFFFFF"/>
              <w:spacing w:before="0" w:beforeAutospacing="0" w:after="0" w:afterAutospacing="0"/>
              <w:jc w:val="center"/>
              <w:rPr>
                <w:b/>
                <w:bCs/>
                <w:color w:val="000000" w:themeColor="text1"/>
                <w:sz w:val="20"/>
                <w:szCs w:val="20"/>
                <w:lang w:val="ro-MD"/>
              </w:rPr>
            </w:pPr>
            <w:r w:rsidRPr="00C606BE">
              <w:rPr>
                <w:b/>
                <w:bCs/>
                <w:color w:val="000000" w:themeColor="text1"/>
                <w:sz w:val="20"/>
                <w:szCs w:val="20"/>
                <w:lang w:val="ro-MD"/>
              </w:rPr>
              <w:t>Reexaminare</w:t>
            </w:r>
          </w:p>
          <w:p w14:paraId="6A35EB15" w14:textId="77777777" w:rsidR="00C1003A" w:rsidRPr="00C606BE" w:rsidRDefault="00C1003A" w:rsidP="004E1411">
            <w:pPr>
              <w:pStyle w:val="Normal1"/>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Până la 31 decembrie 2006 cel târziu, Comisia prezintă Consiliului un raport privind aplicarea prezentei directive, în special în vederea extinderii domeniului de aplicare al acesteia la societăți sau la întreprinderi, altele decât cele indicate în articolul 3 și în anexă.</w:t>
            </w:r>
          </w:p>
        </w:tc>
        <w:tc>
          <w:tcPr>
            <w:tcW w:w="4137" w:type="dxa"/>
          </w:tcPr>
          <w:p w14:paraId="3188794B" w14:textId="77777777" w:rsidR="00C1003A" w:rsidRPr="00C606BE" w:rsidRDefault="00C1003A" w:rsidP="004E1411">
            <w:pPr>
              <w:pStyle w:val="NormalWeb"/>
              <w:tabs>
                <w:tab w:val="left" w:pos="302"/>
                <w:tab w:val="left" w:pos="993"/>
              </w:tabs>
              <w:spacing w:before="0" w:beforeAutospacing="0" w:after="0" w:afterAutospacing="0"/>
              <w:jc w:val="both"/>
              <w:rPr>
                <w:color w:val="000000" w:themeColor="text1"/>
                <w:sz w:val="20"/>
                <w:szCs w:val="20"/>
                <w:lang w:val="ro-MD"/>
              </w:rPr>
            </w:pPr>
          </w:p>
        </w:tc>
        <w:tc>
          <w:tcPr>
            <w:tcW w:w="1941" w:type="dxa"/>
          </w:tcPr>
          <w:p w14:paraId="71A565F3" w14:textId="0133212A" w:rsidR="00C1003A" w:rsidRPr="00C606BE" w:rsidRDefault="000F5542"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Prevederile art.8 nu au fost transpuse întrucât acestea sunt destinate Comisiei Europene.</w:t>
            </w:r>
          </w:p>
        </w:tc>
        <w:tc>
          <w:tcPr>
            <w:tcW w:w="2570" w:type="dxa"/>
          </w:tcPr>
          <w:p w14:paraId="7144FC88" w14:textId="77777777" w:rsidR="00C1003A" w:rsidRPr="00C606BE" w:rsidRDefault="00C1003A" w:rsidP="004E1411">
            <w:pPr>
              <w:jc w:val="center"/>
              <w:rPr>
                <w:rFonts w:ascii="Times New Roman" w:hAnsi="Times New Roman" w:cs="Times New Roman"/>
                <w:color w:val="000000" w:themeColor="text1"/>
                <w:sz w:val="20"/>
                <w:szCs w:val="20"/>
                <w:lang w:val="ro-MD"/>
              </w:rPr>
            </w:pPr>
          </w:p>
        </w:tc>
      </w:tr>
      <w:tr w:rsidR="00C606BE" w:rsidRPr="00C606BE" w14:paraId="7AA8918F" w14:textId="77777777" w:rsidTr="00AD035D">
        <w:tc>
          <w:tcPr>
            <w:tcW w:w="5381" w:type="dxa"/>
            <w:gridSpan w:val="2"/>
          </w:tcPr>
          <w:p w14:paraId="4A92DA6C" w14:textId="77777777" w:rsidR="00C1003A" w:rsidRPr="00C606BE" w:rsidRDefault="00C1003A" w:rsidP="004E1411">
            <w:pPr>
              <w:pStyle w:val="ti-art"/>
              <w:shd w:val="clear" w:color="auto" w:fill="FFFFFF"/>
              <w:spacing w:before="0" w:beforeAutospacing="0" w:after="0" w:afterAutospacing="0"/>
              <w:jc w:val="center"/>
              <w:rPr>
                <w:i/>
                <w:iCs/>
                <w:color w:val="000000" w:themeColor="text1"/>
                <w:sz w:val="20"/>
                <w:szCs w:val="20"/>
                <w:lang w:val="ro-MD"/>
              </w:rPr>
            </w:pPr>
            <w:r w:rsidRPr="00C606BE">
              <w:rPr>
                <w:i/>
                <w:iCs/>
                <w:color w:val="000000" w:themeColor="text1"/>
                <w:sz w:val="20"/>
                <w:szCs w:val="20"/>
                <w:lang w:val="ro-MD"/>
              </w:rPr>
              <w:t>Articolul 9</w:t>
            </w:r>
          </w:p>
          <w:p w14:paraId="7ED22CFC" w14:textId="77777777" w:rsidR="00C1003A" w:rsidRPr="00C606BE" w:rsidRDefault="00C1003A" w:rsidP="004E1411">
            <w:pPr>
              <w:pStyle w:val="sti-art"/>
              <w:shd w:val="clear" w:color="auto" w:fill="FFFFFF"/>
              <w:spacing w:before="0" w:beforeAutospacing="0" w:after="0" w:afterAutospacing="0"/>
              <w:jc w:val="center"/>
              <w:rPr>
                <w:b/>
                <w:bCs/>
                <w:color w:val="000000" w:themeColor="text1"/>
                <w:sz w:val="20"/>
                <w:szCs w:val="20"/>
                <w:lang w:val="ro-MD"/>
              </w:rPr>
            </w:pPr>
            <w:r w:rsidRPr="00C606BE">
              <w:rPr>
                <w:b/>
                <w:bCs/>
                <w:color w:val="000000" w:themeColor="text1"/>
                <w:sz w:val="20"/>
                <w:szCs w:val="20"/>
                <w:lang w:val="ro-MD"/>
              </w:rPr>
              <w:t>Clauză de delimitare</w:t>
            </w:r>
          </w:p>
          <w:p w14:paraId="6014B1E3" w14:textId="77777777" w:rsidR="00C1003A" w:rsidRPr="00C606BE" w:rsidRDefault="00C1003A" w:rsidP="004E1411">
            <w:pPr>
              <w:pStyle w:val="Normal1"/>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Prezenta directivă nu afectează aplicarea dispozițiilor naționale sau a dispozițiilor bazate pe o convenție, care depășesc dispozițiile din prezenta directivă și au drept obiectiv eliminarea sau atenuarea dublei impozitări a dobânzilor și a redevențelor în statul de origine.</w:t>
            </w:r>
          </w:p>
        </w:tc>
        <w:tc>
          <w:tcPr>
            <w:tcW w:w="4137" w:type="dxa"/>
          </w:tcPr>
          <w:p w14:paraId="7209D89E" w14:textId="4DFFE3C3" w:rsidR="00C1003A" w:rsidRPr="00C606BE" w:rsidRDefault="00C1003A" w:rsidP="004E1411">
            <w:pPr>
              <w:pStyle w:val="NormalWeb"/>
              <w:tabs>
                <w:tab w:val="left" w:pos="302"/>
                <w:tab w:val="left" w:pos="993"/>
              </w:tabs>
              <w:spacing w:before="0" w:beforeAutospacing="0" w:after="0" w:afterAutospacing="0"/>
              <w:jc w:val="both"/>
              <w:rPr>
                <w:color w:val="000000" w:themeColor="text1"/>
                <w:sz w:val="20"/>
                <w:szCs w:val="20"/>
                <w:lang w:val="ro-MD"/>
              </w:rPr>
            </w:pPr>
            <w:r w:rsidRPr="00C606BE">
              <w:rPr>
                <w:b/>
                <w:color w:val="000000" w:themeColor="text1"/>
                <w:sz w:val="20"/>
                <w:szCs w:val="20"/>
                <w:lang w:val="ro-MD"/>
              </w:rPr>
              <w:t>Articolul 79</w:t>
            </w:r>
            <w:r w:rsidRPr="00C606BE">
              <w:rPr>
                <w:b/>
                <w:color w:val="000000" w:themeColor="text1"/>
                <w:sz w:val="20"/>
                <w:szCs w:val="20"/>
                <w:vertAlign w:val="superscript"/>
                <w:lang w:val="ro-MD"/>
              </w:rPr>
              <w:t>9</w:t>
            </w:r>
            <w:r w:rsidRPr="00C606BE">
              <w:rPr>
                <w:b/>
                <w:color w:val="000000" w:themeColor="text1"/>
                <w:sz w:val="20"/>
                <w:szCs w:val="20"/>
                <w:lang w:val="ro-MD"/>
              </w:rPr>
              <w:t>.</w:t>
            </w:r>
            <w:r w:rsidRPr="00C606BE">
              <w:rPr>
                <w:color w:val="000000" w:themeColor="text1"/>
                <w:sz w:val="20"/>
                <w:szCs w:val="20"/>
                <w:lang w:val="ro-MD"/>
              </w:rPr>
              <w:t xml:space="preserve"> Clauză de delimitare</w:t>
            </w:r>
          </w:p>
          <w:p w14:paraId="7EC81796" w14:textId="0089086A" w:rsidR="00C1003A" w:rsidRPr="00C606BE" w:rsidRDefault="004978A2" w:rsidP="004E1411">
            <w:pPr>
              <w:pStyle w:val="NormalWeb"/>
              <w:tabs>
                <w:tab w:val="left" w:pos="302"/>
                <w:tab w:val="left" w:pos="993"/>
              </w:tabs>
              <w:spacing w:before="0" w:beforeAutospacing="0" w:after="0" w:afterAutospacing="0"/>
              <w:jc w:val="both"/>
              <w:rPr>
                <w:color w:val="000000" w:themeColor="text1"/>
                <w:sz w:val="20"/>
                <w:szCs w:val="20"/>
                <w:lang w:val="ro-MD"/>
              </w:rPr>
            </w:pPr>
            <w:r w:rsidRPr="00C606BE">
              <w:rPr>
                <w:color w:val="000000" w:themeColor="text1"/>
                <w:sz w:val="20"/>
                <w:szCs w:val="20"/>
                <w:lang w:val="ro-MD"/>
              </w:rPr>
              <w:t>Prevederile prezentului capitol nu exclud dreptul de aplicare a prevederilor legislației naționale sau prevederilor acordurilor/convențiilor privind evitarea dublei impuneri cu privire la impozit pe venit care depășesc prevederile prezentului capitol și au drept scop eliminarea sau evitarea dublei impuneri a dobânzilor sau royalty</w:t>
            </w:r>
            <w:r w:rsidR="009D1B8A" w:rsidRPr="00C606BE">
              <w:rPr>
                <w:color w:val="000000" w:themeColor="text1"/>
                <w:sz w:val="20"/>
                <w:szCs w:val="20"/>
                <w:lang w:val="ro-MD"/>
              </w:rPr>
              <w:t>.</w:t>
            </w:r>
          </w:p>
        </w:tc>
        <w:tc>
          <w:tcPr>
            <w:tcW w:w="1941" w:type="dxa"/>
          </w:tcPr>
          <w:p w14:paraId="5D3DCECD" w14:textId="77777777" w:rsidR="00C1003A" w:rsidRPr="00C606BE" w:rsidRDefault="00C1003A"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t>Compatibil</w:t>
            </w:r>
          </w:p>
        </w:tc>
        <w:tc>
          <w:tcPr>
            <w:tcW w:w="2570" w:type="dxa"/>
          </w:tcPr>
          <w:p w14:paraId="27336B50" w14:textId="77777777" w:rsidR="00C1003A" w:rsidRPr="00C606BE" w:rsidRDefault="00C1003A" w:rsidP="004E1411">
            <w:pPr>
              <w:jc w:val="both"/>
              <w:rPr>
                <w:rFonts w:ascii="Times New Roman" w:hAnsi="Times New Roman" w:cs="Times New Roman"/>
                <w:color w:val="000000" w:themeColor="text1"/>
                <w:sz w:val="20"/>
                <w:szCs w:val="20"/>
                <w:lang w:val="ro-MD"/>
              </w:rPr>
            </w:pPr>
          </w:p>
        </w:tc>
      </w:tr>
      <w:tr w:rsidR="00C606BE" w:rsidRPr="00C606BE" w14:paraId="1575468B" w14:textId="77777777" w:rsidTr="00AD035D">
        <w:tc>
          <w:tcPr>
            <w:tcW w:w="5381" w:type="dxa"/>
            <w:gridSpan w:val="2"/>
          </w:tcPr>
          <w:p w14:paraId="2FE50F50" w14:textId="77777777" w:rsidR="00C1003A" w:rsidRPr="00C606BE" w:rsidRDefault="00C1003A" w:rsidP="004E1411">
            <w:pPr>
              <w:pStyle w:val="ti-art"/>
              <w:shd w:val="clear" w:color="auto" w:fill="FFFFFF"/>
              <w:spacing w:before="0" w:beforeAutospacing="0" w:after="0" w:afterAutospacing="0"/>
              <w:jc w:val="center"/>
              <w:rPr>
                <w:i/>
                <w:iCs/>
                <w:color w:val="000000" w:themeColor="text1"/>
                <w:sz w:val="20"/>
                <w:szCs w:val="20"/>
                <w:lang w:val="ro-MD"/>
              </w:rPr>
            </w:pPr>
            <w:r w:rsidRPr="00C606BE">
              <w:rPr>
                <w:i/>
                <w:iCs/>
                <w:color w:val="000000" w:themeColor="text1"/>
                <w:sz w:val="20"/>
                <w:szCs w:val="20"/>
                <w:lang w:val="ro-MD"/>
              </w:rPr>
              <w:lastRenderedPageBreak/>
              <w:t>Articolul 10</w:t>
            </w:r>
          </w:p>
          <w:p w14:paraId="01894D5A" w14:textId="77777777" w:rsidR="00C1003A" w:rsidRPr="00C606BE" w:rsidRDefault="00C1003A" w:rsidP="004E1411">
            <w:pPr>
              <w:pStyle w:val="sti-art"/>
              <w:shd w:val="clear" w:color="auto" w:fill="FFFFFF"/>
              <w:spacing w:before="0" w:beforeAutospacing="0" w:after="0" w:afterAutospacing="0"/>
              <w:jc w:val="center"/>
              <w:rPr>
                <w:b/>
                <w:bCs/>
                <w:color w:val="000000" w:themeColor="text1"/>
                <w:sz w:val="20"/>
                <w:szCs w:val="20"/>
                <w:lang w:val="ro-MD"/>
              </w:rPr>
            </w:pPr>
            <w:r w:rsidRPr="00C606BE">
              <w:rPr>
                <w:b/>
                <w:bCs/>
                <w:color w:val="000000" w:themeColor="text1"/>
                <w:sz w:val="20"/>
                <w:szCs w:val="20"/>
                <w:lang w:val="ro-MD"/>
              </w:rPr>
              <w:t>Intrare în vigoare</w:t>
            </w:r>
          </w:p>
          <w:p w14:paraId="0B692EA5" w14:textId="77777777" w:rsidR="00C1003A" w:rsidRPr="00C606BE" w:rsidRDefault="00C1003A" w:rsidP="004E1411">
            <w:pPr>
              <w:pStyle w:val="Normal1"/>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Prezenta directivă intră în vigoare în ziua publicării în </w:t>
            </w:r>
            <w:r w:rsidRPr="00C606BE">
              <w:rPr>
                <w:rStyle w:val="italic"/>
                <w:i/>
                <w:iCs/>
                <w:color w:val="000000" w:themeColor="text1"/>
                <w:sz w:val="20"/>
                <w:szCs w:val="20"/>
                <w:lang w:val="ro-MD"/>
              </w:rPr>
              <w:t>Jurnalul Oficial al Comunităților Europene</w:t>
            </w:r>
            <w:r w:rsidRPr="00C606BE">
              <w:rPr>
                <w:color w:val="000000" w:themeColor="text1"/>
                <w:sz w:val="20"/>
                <w:szCs w:val="20"/>
                <w:lang w:val="ro-MD"/>
              </w:rPr>
              <w:t>.</w:t>
            </w:r>
          </w:p>
          <w:p w14:paraId="5D2F2537" w14:textId="77777777" w:rsidR="00C1003A" w:rsidRPr="00C606BE" w:rsidRDefault="00C1003A" w:rsidP="004E1411">
            <w:pPr>
              <w:pStyle w:val="ti-art"/>
              <w:shd w:val="clear" w:color="auto" w:fill="FFFFFF"/>
              <w:spacing w:before="0" w:beforeAutospacing="0" w:after="0" w:afterAutospacing="0"/>
              <w:jc w:val="center"/>
              <w:rPr>
                <w:i/>
                <w:iCs/>
                <w:color w:val="000000" w:themeColor="text1"/>
                <w:sz w:val="20"/>
                <w:szCs w:val="20"/>
                <w:lang w:val="ro-MD"/>
              </w:rPr>
            </w:pPr>
            <w:r w:rsidRPr="00C606BE">
              <w:rPr>
                <w:i/>
                <w:iCs/>
                <w:color w:val="000000" w:themeColor="text1"/>
                <w:sz w:val="20"/>
                <w:szCs w:val="20"/>
                <w:lang w:val="ro-MD"/>
              </w:rPr>
              <w:t>Articolul 11</w:t>
            </w:r>
          </w:p>
          <w:p w14:paraId="74B399F0" w14:textId="77777777" w:rsidR="00C1003A" w:rsidRPr="00C606BE" w:rsidRDefault="00C1003A" w:rsidP="004E1411">
            <w:pPr>
              <w:pStyle w:val="sti-art"/>
              <w:shd w:val="clear" w:color="auto" w:fill="FFFFFF"/>
              <w:spacing w:before="0" w:beforeAutospacing="0" w:after="0" w:afterAutospacing="0"/>
              <w:jc w:val="center"/>
              <w:rPr>
                <w:b/>
                <w:bCs/>
                <w:color w:val="000000" w:themeColor="text1"/>
                <w:sz w:val="20"/>
                <w:szCs w:val="20"/>
                <w:lang w:val="ro-MD"/>
              </w:rPr>
            </w:pPr>
            <w:r w:rsidRPr="00C606BE">
              <w:rPr>
                <w:b/>
                <w:bCs/>
                <w:color w:val="000000" w:themeColor="text1"/>
                <w:sz w:val="20"/>
                <w:szCs w:val="20"/>
                <w:lang w:val="ro-MD"/>
              </w:rPr>
              <w:t>Destinatarii directivei</w:t>
            </w:r>
          </w:p>
          <w:p w14:paraId="29258460" w14:textId="77777777" w:rsidR="00C1003A" w:rsidRPr="00C606BE" w:rsidRDefault="00C1003A" w:rsidP="004E1411">
            <w:pPr>
              <w:pStyle w:val="ti-art"/>
              <w:shd w:val="clear" w:color="auto" w:fill="FFFFFF"/>
              <w:spacing w:before="0" w:beforeAutospacing="0" w:after="0" w:afterAutospacing="0"/>
              <w:jc w:val="center"/>
              <w:rPr>
                <w:i/>
                <w:iCs/>
                <w:color w:val="000000" w:themeColor="text1"/>
                <w:sz w:val="20"/>
                <w:szCs w:val="20"/>
                <w:lang w:val="ro-MD"/>
              </w:rPr>
            </w:pPr>
            <w:r w:rsidRPr="00C606BE">
              <w:rPr>
                <w:color w:val="000000" w:themeColor="text1"/>
                <w:sz w:val="20"/>
                <w:szCs w:val="20"/>
                <w:lang w:val="ro-MD"/>
              </w:rPr>
              <w:t>Prezenta directivă se adresează statelor membre.</w:t>
            </w:r>
          </w:p>
        </w:tc>
        <w:tc>
          <w:tcPr>
            <w:tcW w:w="4137" w:type="dxa"/>
          </w:tcPr>
          <w:p w14:paraId="1F5417D7" w14:textId="77777777" w:rsidR="00C1003A" w:rsidRPr="00C606BE" w:rsidRDefault="00C1003A" w:rsidP="004E1411">
            <w:pPr>
              <w:pStyle w:val="NormalWeb"/>
              <w:tabs>
                <w:tab w:val="left" w:pos="302"/>
                <w:tab w:val="left" w:pos="993"/>
              </w:tabs>
              <w:spacing w:before="0" w:beforeAutospacing="0" w:after="0" w:afterAutospacing="0"/>
              <w:jc w:val="both"/>
              <w:rPr>
                <w:color w:val="000000" w:themeColor="text1"/>
                <w:sz w:val="20"/>
                <w:szCs w:val="20"/>
                <w:lang w:val="ro-MD"/>
              </w:rPr>
            </w:pPr>
          </w:p>
        </w:tc>
        <w:tc>
          <w:tcPr>
            <w:tcW w:w="1941" w:type="dxa"/>
          </w:tcPr>
          <w:p w14:paraId="7F1D93DB" w14:textId="77777777" w:rsidR="00C1003A" w:rsidRPr="00C606BE" w:rsidRDefault="00C1003A" w:rsidP="004E1411">
            <w:pPr>
              <w:jc w:val="center"/>
              <w:rPr>
                <w:rFonts w:ascii="Times New Roman" w:hAnsi="Times New Roman" w:cs="Times New Roman"/>
                <w:color w:val="000000" w:themeColor="text1"/>
                <w:sz w:val="20"/>
                <w:szCs w:val="20"/>
                <w:lang w:val="ro-MD"/>
              </w:rPr>
            </w:pPr>
          </w:p>
        </w:tc>
        <w:tc>
          <w:tcPr>
            <w:tcW w:w="2570" w:type="dxa"/>
          </w:tcPr>
          <w:p w14:paraId="2CBE23EF" w14:textId="77777777" w:rsidR="00C1003A" w:rsidRPr="00C606BE" w:rsidRDefault="00C1003A" w:rsidP="004E1411">
            <w:pPr>
              <w:jc w:val="center"/>
              <w:rPr>
                <w:rFonts w:ascii="Times New Roman" w:hAnsi="Times New Roman" w:cs="Times New Roman"/>
                <w:color w:val="000000" w:themeColor="text1"/>
                <w:sz w:val="20"/>
                <w:szCs w:val="20"/>
                <w:lang w:val="ro-MD"/>
              </w:rPr>
            </w:pPr>
          </w:p>
        </w:tc>
      </w:tr>
      <w:tr w:rsidR="00C1003A" w:rsidRPr="00C606BE" w14:paraId="292F90E9" w14:textId="77777777" w:rsidTr="00AD035D">
        <w:tc>
          <w:tcPr>
            <w:tcW w:w="5381" w:type="dxa"/>
            <w:gridSpan w:val="2"/>
          </w:tcPr>
          <w:p w14:paraId="4F1FF73F"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ANEXĂ</w:t>
            </w:r>
          </w:p>
          <w:p w14:paraId="185D00EF"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 Lista societăților menționate în articolul 3 litera (a) din directivă </w:t>
            </w:r>
          </w:p>
          <w:p w14:paraId="42F98A85"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(a) persoanele juridice belgiene denumite „naamloze vennootschap”/„société anonyme”, „commanditaire vennootschap op aandelen”/„société en commandite par actions”, „besloten vennootschap met beperkte aansprakelijkheid”/„société privée à responsabilité limitée”, precum și entitățile de drept public care operează în regim de drept privat; </w:t>
            </w:r>
          </w:p>
          <w:p w14:paraId="7A43E4E8"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(aa) societăți aflate sub incidența legislației bulgare, denumite: „събирателното дружество”, „командитното дружество”, „дружеството с ограничена отговорност”, „акционерното дружество”, „командитното дружество с акции”, „кооперации”, „кооперативни съюзи”, „държавни предприятия”, constituite în conformitate cu legislația bulgară și care desfășoară activități comerciale; </w:t>
            </w:r>
          </w:p>
          <w:p w14:paraId="19B19B42"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(ab) societăți aflate sub incidența legislației române, denumite: „societăți pe acțiuni”, „societăți în comandită pe acțiuni”, „societăți cu răspundere limitată”. </w:t>
            </w:r>
          </w:p>
          <w:p w14:paraId="4D9DF9EF"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(b) persoanele juridice daneze denumite „aktieselskab” și „anpartsselskab”; </w:t>
            </w:r>
          </w:p>
          <w:p w14:paraId="408A2030"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(c) persoanele juridice germane denumite „Aktiengesellschaft”, „Kommanditgesellschaft auf Aktien”, „Gesellschaft mit beschränkter Haftung” și „bergrechtliche Gewerkschaft”; </w:t>
            </w:r>
          </w:p>
          <w:p w14:paraId="0E01AD87"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(d) persoanele juridice elene denumite „αυώυσμη εταιρία”; </w:t>
            </w:r>
          </w:p>
          <w:p w14:paraId="716AD095"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(e) persoanele juridice spaniole denumite „sociedad anónima”, „sociedad comanditaria por acciones”, „sociedad de responsabilidad limitada”, precum și entitățile de drept public care operează în regim de drept privat; </w:t>
            </w:r>
          </w:p>
          <w:p w14:paraId="29D0DB57"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(f) persoanele juridice franceze denumite „société anonyme”, „société en commandite par actions”, „société à responsabilité limitée”, precum și instituțiile și întreprinderile publice cu caracter industrial și comercial; </w:t>
            </w:r>
          </w:p>
          <w:p w14:paraId="4C7B7225"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(g) persoanele juridice irlandeze denumite „public companies limited by shares or by guarantee”, „private companies limited by shares or by guarantee”, instituțiile înregistrate în regimul „Industrial and Provident Societies Acts”, sau „building societies” înregistrate în regimul „Building Societies Acts”;</w:t>
            </w:r>
          </w:p>
          <w:p w14:paraId="36D6D19B"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lastRenderedPageBreak/>
              <w:t xml:space="preserve"> (h) persoanele juridice italiene denumite „società per azioni”, „società in accomandita per azioni”, „società a responsabilità limitata”, precum și entitățile publice și private care desfășoară activități industriale și comerciale; </w:t>
            </w:r>
          </w:p>
          <w:p w14:paraId="6A33EAD1"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(i) persoanele juridice luxemburgheze denumite „société anonyme”, „société en commandite par actions” și „société à responsabilité limitée”;</w:t>
            </w:r>
          </w:p>
          <w:p w14:paraId="64C44704"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(j) persoanele juridice olandeze denumite „naamloze vennootschap” și „besloten vennootschap met beperkte aansprakelijkheid”; </w:t>
            </w:r>
          </w:p>
          <w:p w14:paraId="58E53E4A"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(k) persoanele juridice austriece denumite „Aktiengesellschaft” și „Gesellschaft mit beschränkter Haftung”;</w:t>
            </w:r>
          </w:p>
          <w:p w14:paraId="6D9394EA"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(l) societățile comerciale sau societățile de drept civil cu formă comercială, precum și cooperativele și întreprinderile publice constituite în conformitate cu legislația portugheză;</w:t>
            </w:r>
          </w:p>
          <w:p w14:paraId="51C4D4C3"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(m) persoanele juridice finlandeze denumite „osakeyhtiö/aktiebolag”, „osuuskunta/andelslag”, „säästöpankki/sparbank” și „vakuutusyhtiö/försäkringsbolag”; </w:t>
            </w:r>
          </w:p>
          <w:p w14:paraId="07230B25"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(n) persoanele juridice suedeze denumite „aktiebolag” și „försäkringsaktiebolag”; </w:t>
            </w:r>
          </w:p>
          <w:p w14:paraId="666F36CC"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(o) societățile constituite în conformitate cu legislația din Regatul Unit. </w:t>
            </w:r>
          </w:p>
          <w:p w14:paraId="53961E54"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(p) societăți reglementate de legislația cehă și cunoscute sub denumirea de: „akciová společnost”, „společnost s ručením omezeným”, „veřejná obchodní společnost”, „komanditní společnost”, „družstvo”; </w:t>
            </w:r>
          </w:p>
          <w:p w14:paraId="41165DC6"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q) societăți reglementate de legislația estonă și cunoscute sub denumirea de: „täisühing”, „usaldusühing”, „osaühing”, „aktsiaselts”, „tulundusühistu”; </w:t>
            </w:r>
          </w:p>
          <w:p w14:paraId="121845EE"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(r) societăți reglementate de legislația cipriotă și cunoscute ca societăți constituite în conformitate cu dreptul societăților comerciale, organisme publice, precum și orice alt organism considerat a fi societate comercială în conformitate cu legislația privind impozitele; </w:t>
            </w:r>
          </w:p>
          <w:p w14:paraId="483F7C80"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(s) societăți reglementate de legislația letonă și cunoscute sub denumirea de: „akciju sabiedrība”, „sabiedrība ar ierobežotu atbildību”; </w:t>
            </w:r>
          </w:p>
          <w:p w14:paraId="46980774"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(t) societăți reglementate de legislația lituaniană; </w:t>
            </w:r>
          </w:p>
          <w:p w14:paraId="5162B585"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(u) societăți reglementate de legislația maghiară și cunoscute sub denumirea de: „közkereseti társaság”, „betéti társaság”, „közös vállalat”, „korlátolt felelősségű társaság”, „részvénytársaság”, „egyesülés”, „közhasznú társaság”, „szövetkezet”; </w:t>
            </w:r>
          </w:p>
          <w:p w14:paraId="52DA9AFD"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(v) societăți reglementate de legislația malteză și cunoscute sub denumirea de: „Kumpaniji ta' Responsabilita' Limitata”, </w:t>
            </w:r>
            <w:r w:rsidRPr="00C606BE">
              <w:rPr>
                <w:color w:val="000000" w:themeColor="text1"/>
                <w:sz w:val="20"/>
                <w:szCs w:val="20"/>
                <w:lang w:val="ro-MD"/>
              </w:rPr>
              <w:lastRenderedPageBreak/>
              <w:t xml:space="preserve">„Socjetajiet in akkomandita li lkapital tagħhom maqsum f'azzjonijiet”; </w:t>
            </w:r>
          </w:p>
          <w:p w14:paraId="2778B66D"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(w) societăți reglementate de legislația poloneză și cunoscute sub denumirea de: „spółka akcyjna”, „spółka z ograniczoną odpowiedzialnością”; </w:t>
            </w:r>
          </w:p>
          <w:p w14:paraId="5CFB3742"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(x) societăți reglementate de legislația slovenă și cunoscute sub denumirea de: „delniška družba”, „komanditna delniška družba”, „komanditna družba”, „družba z omejeno odgovornostjo”, „družba z neomejeno odgovornostjo”; </w:t>
            </w:r>
          </w:p>
          <w:p w14:paraId="2C83B9A4" w14:textId="77777777" w:rsidR="00C1003A" w:rsidRPr="00C606BE" w:rsidRDefault="00C1003A" w:rsidP="004E1411">
            <w:pPr>
              <w:pStyle w:val="ti-art"/>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 xml:space="preserve">(y) societăți reglementate de legislația slovacă și cunoscute sub denumirea de: „akciová spoločnos”, „spoločnosť s ručením obmedzeným”, „komanditná spoločnos”, „verejná obchodná spoločnos”, „družstvo”; </w:t>
            </w:r>
          </w:p>
          <w:p w14:paraId="54759A2D" w14:textId="77777777" w:rsidR="00C1003A" w:rsidRPr="00C606BE" w:rsidRDefault="00C1003A" w:rsidP="004E1411">
            <w:pPr>
              <w:pStyle w:val="ti-art"/>
              <w:shd w:val="clear" w:color="auto" w:fill="FFFFFF"/>
              <w:spacing w:before="0" w:beforeAutospacing="0" w:after="0" w:afterAutospacing="0"/>
              <w:jc w:val="both"/>
              <w:rPr>
                <w:i/>
                <w:iCs/>
                <w:color w:val="000000" w:themeColor="text1"/>
                <w:sz w:val="20"/>
                <w:szCs w:val="20"/>
                <w:lang w:val="ro-MD"/>
              </w:rPr>
            </w:pPr>
            <w:r w:rsidRPr="00C606BE">
              <w:rPr>
                <w:color w:val="000000" w:themeColor="text1"/>
                <w:sz w:val="20"/>
                <w:szCs w:val="20"/>
                <w:lang w:val="ro-MD"/>
              </w:rPr>
              <w:t>(z) societăți aflate sub incidența legislației croate, denumite „dioničko društvo”, „društvo s ograničenom odgovornošću” și alte societăți constituite în conformitate cu legislația croată și care sunt supuse impozitului pe profit în Croația.</w:t>
            </w:r>
          </w:p>
        </w:tc>
        <w:tc>
          <w:tcPr>
            <w:tcW w:w="4137" w:type="dxa"/>
          </w:tcPr>
          <w:p w14:paraId="0090EB5E" w14:textId="77777777" w:rsidR="004564E6" w:rsidRPr="00C606BE" w:rsidRDefault="004564E6" w:rsidP="004E1411">
            <w:pPr>
              <w:shd w:val="clear" w:color="auto" w:fill="FFFFFF"/>
              <w:jc w:val="right"/>
              <w:rPr>
                <w:rFonts w:ascii="Times New Roman" w:eastAsia="Times New Roman" w:hAnsi="Times New Roman" w:cs="Times New Roman"/>
                <w:color w:val="000000" w:themeColor="text1"/>
                <w:sz w:val="20"/>
                <w:szCs w:val="20"/>
                <w:lang w:val="ro-MD"/>
              </w:rPr>
            </w:pPr>
            <w:r w:rsidRPr="00C606BE">
              <w:rPr>
                <w:rFonts w:ascii="Times New Roman" w:eastAsia="Times New Roman" w:hAnsi="Times New Roman" w:cs="Times New Roman"/>
                <w:color w:val="000000" w:themeColor="text1"/>
                <w:sz w:val="20"/>
                <w:szCs w:val="20"/>
                <w:lang w:val="ro-MD"/>
              </w:rPr>
              <w:lastRenderedPageBreak/>
              <w:t>Anexă nr.2</w:t>
            </w:r>
          </w:p>
          <w:p w14:paraId="52A21CB6" w14:textId="77777777" w:rsidR="004564E6" w:rsidRPr="00C606BE" w:rsidRDefault="004564E6" w:rsidP="004E1411">
            <w:pPr>
              <w:pStyle w:val="ListParagraph"/>
              <w:tabs>
                <w:tab w:val="left" w:pos="1134"/>
              </w:tabs>
              <w:spacing w:before="120" w:after="120"/>
              <w:ind w:left="709"/>
              <w:jc w:val="center"/>
              <w:rPr>
                <w:rFonts w:ascii="Times New Roman" w:hAnsi="Times New Roman" w:cs="Times New Roman"/>
                <w:b/>
                <w:color w:val="000000" w:themeColor="text1"/>
                <w:sz w:val="20"/>
                <w:szCs w:val="20"/>
                <w:lang w:val="ro-MD"/>
              </w:rPr>
            </w:pPr>
            <w:r w:rsidRPr="00C606BE">
              <w:rPr>
                <w:rFonts w:ascii="Times New Roman" w:hAnsi="Times New Roman" w:cs="Times New Roman"/>
                <w:b/>
                <w:color w:val="000000" w:themeColor="text1"/>
                <w:sz w:val="20"/>
                <w:szCs w:val="20"/>
                <w:lang w:val="ro-MD"/>
              </w:rPr>
              <w:t>Lista societăților acoperite de prevederile art.79</w:t>
            </w:r>
            <w:r w:rsidRPr="00C606BE">
              <w:rPr>
                <w:rFonts w:ascii="Times New Roman" w:hAnsi="Times New Roman" w:cs="Times New Roman"/>
                <w:b/>
                <w:color w:val="000000" w:themeColor="text1"/>
                <w:sz w:val="20"/>
                <w:szCs w:val="20"/>
                <w:vertAlign w:val="superscript"/>
                <w:lang w:val="ro-MD"/>
              </w:rPr>
              <w:t>4</w:t>
            </w:r>
            <w:r w:rsidRPr="00C606BE">
              <w:rPr>
                <w:rFonts w:ascii="Times New Roman" w:hAnsi="Times New Roman" w:cs="Times New Roman"/>
                <w:b/>
                <w:color w:val="000000" w:themeColor="text1"/>
                <w:sz w:val="20"/>
                <w:szCs w:val="20"/>
                <w:lang w:val="ro-MD"/>
              </w:rPr>
              <w:t xml:space="preserve"> pct.1)</w:t>
            </w:r>
          </w:p>
          <w:p w14:paraId="3034485D" w14:textId="77777777" w:rsidR="004564E6" w:rsidRPr="00C606BE" w:rsidRDefault="004564E6" w:rsidP="004E1411">
            <w:pPr>
              <w:pStyle w:val="ListParagraph"/>
              <w:numPr>
                <w:ilvl w:val="0"/>
                <w:numId w:val="35"/>
              </w:numPr>
              <w:tabs>
                <w:tab w:val="left" w:pos="284"/>
                <w:tab w:val="left" w:pos="709"/>
                <w:tab w:val="left" w:pos="851"/>
                <w:tab w:val="left" w:pos="993"/>
              </w:tabs>
              <w:spacing w:before="120" w:after="120"/>
              <w:ind w:left="0" w:firstLine="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shd w:val="clear" w:color="auto" w:fill="FFFFFF"/>
                <w:lang w:val="ro-MD"/>
              </w:rPr>
              <w:t xml:space="preserve">persoanele juridice belgiene denumite „naamloze vennootschap”/„société anonyme”, „commanditaire vennootschap op aandelen”/„société en commandite par actions”, „besloten vennootschap met beperkte aansprake lijkheid”/„société privée à responsabilité limitée”, precum și entitățile de drept public care operează în regim de drept privat; </w:t>
            </w:r>
          </w:p>
          <w:p w14:paraId="60C8D959" w14:textId="77777777" w:rsidR="004564E6" w:rsidRPr="00C606BE" w:rsidRDefault="004564E6" w:rsidP="004E1411">
            <w:pPr>
              <w:pStyle w:val="ListParagraph"/>
              <w:tabs>
                <w:tab w:val="left" w:pos="284"/>
                <w:tab w:val="left" w:pos="851"/>
                <w:tab w:val="left" w:pos="993"/>
              </w:tabs>
              <w:spacing w:before="120" w:after="120"/>
              <w:ind w:left="0"/>
              <w:jc w:val="both"/>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shd w:val="clear" w:color="auto" w:fill="FFFFFF"/>
                <w:lang w:val="ro-MD"/>
              </w:rPr>
              <w:t>aa) societăți aflate sub incidența legislației bulgare, denumite: „събирателното дружество”, „командитното дружество”, „дружеството с ограничена отговорност”, „акционерното дружество”, „командитното дружество с акции”, „кооперации”, „кооперативни съюзи”, „държавни пред приятия”, constituite în conformitate cu legislația bulgară și care desfășoară activități comerciale;</w:t>
            </w:r>
          </w:p>
          <w:p w14:paraId="144702B4" w14:textId="77777777" w:rsidR="004564E6" w:rsidRPr="00C606BE" w:rsidRDefault="004564E6" w:rsidP="004E1411">
            <w:pPr>
              <w:pStyle w:val="ListParagraph"/>
              <w:tabs>
                <w:tab w:val="left" w:pos="284"/>
                <w:tab w:val="left" w:pos="851"/>
                <w:tab w:val="left" w:pos="993"/>
              </w:tabs>
              <w:ind w:left="0"/>
              <w:jc w:val="both"/>
              <w:rPr>
                <w:rFonts w:ascii="Times New Roman" w:hAnsi="Times New Roman" w:cs="Times New Roman"/>
                <w:color w:val="000000" w:themeColor="text1"/>
                <w:sz w:val="20"/>
                <w:szCs w:val="20"/>
                <w:shd w:val="clear" w:color="auto" w:fill="FFFFFF"/>
                <w:lang w:val="ro-MD"/>
              </w:rPr>
            </w:pPr>
            <w:r w:rsidRPr="00C606BE">
              <w:rPr>
                <w:rFonts w:ascii="Times New Roman" w:hAnsi="Times New Roman" w:cs="Times New Roman"/>
                <w:color w:val="000000" w:themeColor="text1"/>
                <w:sz w:val="20"/>
                <w:szCs w:val="20"/>
                <w:shd w:val="clear" w:color="auto" w:fill="FFFFFF"/>
                <w:lang w:val="ro-MD"/>
              </w:rPr>
              <w:t>ab) societăți aflate sub incidența legislației române, denumite: „societăți pe acțiuni”, „societăți în comandită pe acțiuni”, „societăți cu răspundere limitată”;</w:t>
            </w:r>
          </w:p>
          <w:p w14:paraId="033F5EEE"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(b) persoanele juridice daneze denumite „aktieselskab” și „anpartsselskab”;</w:t>
            </w:r>
          </w:p>
          <w:p w14:paraId="31297208"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(c) persoanele juridice germane denumite „Aktiengesellschaft”, „Kommanditgesellschaft auf Aktien”, „Gesellschaft mit beschränkter Haftung” și „bergrechtliche Gewerkschaft”;</w:t>
            </w:r>
          </w:p>
          <w:p w14:paraId="1E085EC6"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(d) persoanele juridice elene denumite „αυώυσμη εταιρία”;</w:t>
            </w:r>
          </w:p>
          <w:p w14:paraId="42288F72"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(e) persoanele juridice spaniole denumite „sociedad anónima”, „sociedad comanditaria por acciones”, „sociedad de responsabilidad limitada”, precum și entitățile de drept public care operează în regim de drept privat;</w:t>
            </w:r>
          </w:p>
          <w:p w14:paraId="2913E720"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lastRenderedPageBreak/>
              <w:t>(f) persoanele juridice franceze denumite „société anonyme”, „société en commandite par actions”, „société à responsabilité limitée”, precum și instituțiile și întreprinderile publice cu caracter industrial și comercial;</w:t>
            </w:r>
          </w:p>
          <w:p w14:paraId="7B9680E0"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(g) persoanele juridice irlandeze denumite „public companies limited by shares or by guarantee”, „private companies limited by shares or by guarantee”, instituțiile înregistrate în regimul „Industrial and Provident Societies Acts”, sau „building societies” înregistrate în regimul „Building Societies Acts”;</w:t>
            </w:r>
          </w:p>
          <w:p w14:paraId="57DB11CD"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(h) persoanele juridice italiene denumite „società per azioni”, „società in accomandita per azioni”, „società a responsabilità limitata”, precum și entitățile publice și private care desfășoară activități industriale și comerciale;</w:t>
            </w:r>
          </w:p>
          <w:p w14:paraId="0A46CC34"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(i) persoanele juridice luxemburgheze denumite „société anonyme”, „société en commandite par actions” și „société à responsabilité limitée”;</w:t>
            </w:r>
          </w:p>
          <w:p w14:paraId="59149B7D"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(j) persoanele juridice olandeze denumite „naamloze vennootschap” și „besloten vennootschap met beperkte aansprakelijkheid”;</w:t>
            </w:r>
          </w:p>
          <w:p w14:paraId="069DF7E2"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(k) persoanele juridice austriece denumite „Aktiengesellschaft” și „Gesellschaft mit beschränkter Haftung”;</w:t>
            </w:r>
          </w:p>
          <w:p w14:paraId="753B5B09"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(l) societățile comerciale sau societățile de drept civil cu formă comercială, precum și cooperativele și întreprinderile publice constituite în conformitate cu legislația portugheză;</w:t>
            </w:r>
          </w:p>
          <w:p w14:paraId="0120627B"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(m) persoanele juridice finlandeze denumite „osakeyhtiö/aktiebolag”, „osuuskunta/andelslag”, „säästöpankki/sparbank” și „vakuutusyhtiö/försäkringsbolag”;</w:t>
            </w:r>
          </w:p>
          <w:p w14:paraId="526EC60D"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(n) persoanele juridice suedeze denumite „aktiebolag” și „försäkringsaktiebolag”;</w:t>
            </w:r>
          </w:p>
          <w:p w14:paraId="7EB0B17E"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(o) societățile constituite în conformitate cu legislația din Regatul Unit.</w:t>
            </w:r>
          </w:p>
          <w:p w14:paraId="5B963318"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(p) societăți reglementate de legislația cehă și cunoscute sub denumirea de: „akciová společnost”, „společnost s ručením omezeným”, „veřejná obchodní společnost”, „komanditní společnost”, „družstvo”;</w:t>
            </w:r>
          </w:p>
          <w:p w14:paraId="2C331788"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lastRenderedPageBreak/>
              <w:t>q) societăți reglementate de legislația estonă și cunoscute sub denumirea de: „täisühing”, „usaldusühing”, „osaühing”, „aktsiaselts”, „tulundusühistu”;</w:t>
            </w:r>
          </w:p>
          <w:p w14:paraId="3F1A80E4"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(r) societăți reglementate de legislația cipriotă și cunoscute ca societăți constituite în conformitate cu dreptul societăților comerciale, organisme publice, precum și orice alt organism considerat a fi societate comercială în conformitate cu legislația privind impozitele;</w:t>
            </w:r>
          </w:p>
          <w:p w14:paraId="76CF856A"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(s) societăți reglementate de legislația letonă și cunoscute sub denumirea de: „akciju sabiedrība”, „sabiedrība ar ierobežotu atbildību”;</w:t>
            </w:r>
          </w:p>
          <w:p w14:paraId="123E2481"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(t) societăți reglementate de legislația lituaniană;</w:t>
            </w:r>
          </w:p>
          <w:p w14:paraId="750B190A"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(u) societăți reglementate de legislația maghiară și cunoscute sub denumirea de: „közkereseti társaság”, „betéti társaság”, „közös vállalat”, „korlátolt felelősségű társaság”, „részvénytársaság”, „egyesülés”, „közhasznú társaság”, „szövetkezet”;</w:t>
            </w:r>
          </w:p>
          <w:p w14:paraId="45CC8CF8"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(v) societăți reglementate de legislația malteză și cunoscute sub denumirea de: „Kumpaniji ta' Responsabilita' Limitata”, „Socjetajiet in akkomandita li lkapital tagħhom maqsum f'azzjonijiet”;</w:t>
            </w:r>
          </w:p>
          <w:p w14:paraId="5348D524"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(w) societăți reglementate de legislația poloneză și cunoscute sub denumirea de: „spółka akcyjna”, „spółka z ograniczoną odpowiedzialnością”;</w:t>
            </w:r>
          </w:p>
          <w:p w14:paraId="2C25B81F"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(x) societăți reglementate de legislația slovenă și cunoscute sub denumirea de: „delniška družba”, „komanditna delniška družba”, „komanditna družba”, „družba z omejeno odgovornostjo”, „družba z neomejeno odgovornostjo”;</w:t>
            </w:r>
          </w:p>
          <w:p w14:paraId="3E154245" w14:textId="77777777" w:rsidR="004564E6" w:rsidRPr="00C606BE" w:rsidRDefault="004564E6" w:rsidP="004E1411">
            <w:pPr>
              <w:pStyle w:val="norm"/>
              <w:shd w:val="clear" w:color="auto" w:fill="FFFFFF"/>
              <w:spacing w:before="0" w:beforeAutospacing="0" w:after="0" w:afterAutospacing="0"/>
              <w:jc w:val="both"/>
              <w:rPr>
                <w:color w:val="000000" w:themeColor="text1"/>
                <w:sz w:val="20"/>
                <w:szCs w:val="20"/>
                <w:lang w:val="ro-MD"/>
              </w:rPr>
            </w:pPr>
            <w:r w:rsidRPr="00C606BE">
              <w:rPr>
                <w:color w:val="000000" w:themeColor="text1"/>
                <w:sz w:val="20"/>
                <w:szCs w:val="20"/>
                <w:lang w:val="ro-MD"/>
              </w:rPr>
              <w:t>(y) societăți reglementate de legislația slovacă și cunoscute sub denumirea de: „akciová spoločnos”, „spoločnosť s ručením obmedzeným”, „komanditná spoločnos”, „verejná obchodná spoločnos”, „družstvo”;</w:t>
            </w:r>
          </w:p>
          <w:p w14:paraId="241A8801" w14:textId="509C3612" w:rsidR="00C1003A" w:rsidRPr="00C606BE" w:rsidRDefault="004564E6" w:rsidP="004E1411">
            <w:pPr>
              <w:pStyle w:val="norm"/>
              <w:shd w:val="clear" w:color="auto" w:fill="FFFFFF"/>
              <w:spacing w:before="0" w:beforeAutospacing="0" w:after="0" w:afterAutospacing="0"/>
              <w:ind w:left="40"/>
              <w:jc w:val="both"/>
              <w:rPr>
                <w:color w:val="000000" w:themeColor="text1"/>
                <w:sz w:val="20"/>
                <w:szCs w:val="20"/>
                <w:shd w:val="clear" w:color="auto" w:fill="FFFFFF"/>
                <w:lang w:val="ro-MD"/>
              </w:rPr>
            </w:pPr>
            <w:r w:rsidRPr="00C606BE">
              <w:rPr>
                <w:color w:val="000000" w:themeColor="text1"/>
                <w:sz w:val="20"/>
                <w:szCs w:val="20"/>
                <w:shd w:val="clear" w:color="auto" w:fill="FFFFFF"/>
                <w:lang w:val="ro-MD"/>
              </w:rPr>
              <w:t>(z) societăți aflate sub incidența legislației croate, denumite „dioničko društvo”, „društvo s ograničenom odgovornošću” și alte societăți constituite în conformitate cu legislația croată și care sunt supuse impozitului pe profit în Croația.”.</w:t>
            </w:r>
            <w:r w:rsidR="00C1003A" w:rsidRPr="00C606BE">
              <w:rPr>
                <w:color w:val="000000" w:themeColor="text1"/>
                <w:sz w:val="20"/>
                <w:szCs w:val="20"/>
                <w:shd w:val="clear" w:color="auto" w:fill="FFFFFF"/>
                <w:lang w:val="ro-MD"/>
              </w:rPr>
              <w:t>.</w:t>
            </w:r>
          </w:p>
        </w:tc>
        <w:tc>
          <w:tcPr>
            <w:tcW w:w="1941" w:type="dxa"/>
          </w:tcPr>
          <w:p w14:paraId="28E05014" w14:textId="77777777" w:rsidR="00C1003A" w:rsidRPr="00C606BE" w:rsidRDefault="00C1003A" w:rsidP="004E1411">
            <w:pPr>
              <w:jc w:val="center"/>
              <w:rPr>
                <w:rFonts w:ascii="Times New Roman" w:hAnsi="Times New Roman" w:cs="Times New Roman"/>
                <w:color w:val="000000" w:themeColor="text1"/>
                <w:sz w:val="20"/>
                <w:szCs w:val="20"/>
                <w:lang w:val="ro-MD"/>
              </w:rPr>
            </w:pPr>
            <w:r w:rsidRPr="00C606BE">
              <w:rPr>
                <w:rFonts w:ascii="Times New Roman" w:hAnsi="Times New Roman" w:cs="Times New Roman"/>
                <w:color w:val="000000" w:themeColor="text1"/>
                <w:sz w:val="20"/>
                <w:szCs w:val="20"/>
                <w:lang w:val="ro-MD"/>
              </w:rPr>
              <w:lastRenderedPageBreak/>
              <w:t>Compatibil</w:t>
            </w:r>
          </w:p>
        </w:tc>
        <w:tc>
          <w:tcPr>
            <w:tcW w:w="2570" w:type="dxa"/>
          </w:tcPr>
          <w:p w14:paraId="406CCE35" w14:textId="77777777" w:rsidR="00C1003A" w:rsidRPr="00C606BE" w:rsidRDefault="00C1003A" w:rsidP="004E1411">
            <w:pPr>
              <w:jc w:val="center"/>
              <w:rPr>
                <w:rFonts w:ascii="Times New Roman" w:hAnsi="Times New Roman" w:cs="Times New Roman"/>
                <w:color w:val="000000" w:themeColor="text1"/>
                <w:sz w:val="20"/>
                <w:szCs w:val="20"/>
                <w:lang w:val="ro-MD"/>
              </w:rPr>
            </w:pPr>
          </w:p>
        </w:tc>
      </w:tr>
    </w:tbl>
    <w:p w14:paraId="20D70354" w14:textId="77777777" w:rsidR="003B3F39" w:rsidRPr="00C606BE" w:rsidRDefault="003B3F39" w:rsidP="003B3F39">
      <w:pPr>
        <w:jc w:val="center"/>
        <w:rPr>
          <w:color w:val="000000" w:themeColor="text1"/>
          <w:lang w:val="ro-MD"/>
        </w:rPr>
      </w:pPr>
    </w:p>
    <w:sectPr w:rsidR="003B3F39" w:rsidRPr="00C606BE" w:rsidSect="004E1411">
      <w:pgSz w:w="15840" w:h="12240"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388D"/>
    <w:multiLevelType w:val="hybridMultilevel"/>
    <w:tmpl w:val="46080C0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06B59"/>
    <w:multiLevelType w:val="hybridMultilevel"/>
    <w:tmpl w:val="C7848BFA"/>
    <w:lvl w:ilvl="0" w:tplc="74A2FD7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3FB4476"/>
    <w:multiLevelType w:val="hybridMultilevel"/>
    <w:tmpl w:val="55B0B47C"/>
    <w:lvl w:ilvl="0" w:tplc="FBCA1A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F13B2"/>
    <w:multiLevelType w:val="hybridMultilevel"/>
    <w:tmpl w:val="74902500"/>
    <w:lvl w:ilvl="0" w:tplc="4D08B18E">
      <w:start w:val="2"/>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8496611"/>
    <w:multiLevelType w:val="hybridMultilevel"/>
    <w:tmpl w:val="111A584E"/>
    <w:lvl w:ilvl="0" w:tplc="143E09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9AE60A4"/>
    <w:multiLevelType w:val="hybridMultilevel"/>
    <w:tmpl w:val="4D7E2C06"/>
    <w:lvl w:ilvl="0" w:tplc="75246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7E2B52"/>
    <w:multiLevelType w:val="hybridMultilevel"/>
    <w:tmpl w:val="B97ECF9C"/>
    <w:lvl w:ilvl="0" w:tplc="19A2DF7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350CD5"/>
    <w:multiLevelType w:val="hybridMultilevel"/>
    <w:tmpl w:val="299CCF20"/>
    <w:lvl w:ilvl="0" w:tplc="682A8C6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E2451"/>
    <w:multiLevelType w:val="hybridMultilevel"/>
    <w:tmpl w:val="388A7A2A"/>
    <w:lvl w:ilvl="0" w:tplc="4D08B18E">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324F4759"/>
    <w:multiLevelType w:val="hybridMultilevel"/>
    <w:tmpl w:val="0FAA40B4"/>
    <w:lvl w:ilvl="0" w:tplc="00F29F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43A5A45"/>
    <w:multiLevelType w:val="hybridMultilevel"/>
    <w:tmpl w:val="249AB00C"/>
    <w:lvl w:ilvl="0" w:tplc="68248CE4">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6C5"/>
    <w:multiLevelType w:val="hybridMultilevel"/>
    <w:tmpl w:val="99CEED34"/>
    <w:lvl w:ilvl="0" w:tplc="ADD672B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7EE63F4"/>
    <w:multiLevelType w:val="hybridMultilevel"/>
    <w:tmpl w:val="C1B00ED4"/>
    <w:lvl w:ilvl="0" w:tplc="F612C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C3560"/>
    <w:multiLevelType w:val="hybridMultilevel"/>
    <w:tmpl w:val="299CCF20"/>
    <w:lvl w:ilvl="0" w:tplc="682A8C6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711C0"/>
    <w:multiLevelType w:val="hybridMultilevel"/>
    <w:tmpl w:val="1E26F8CC"/>
    <w:lvl w:ilvl="0" w:tplc="B52CFA2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E451255"/>
    <w:multiLevelType w:val="hybridMultilevel"/>
    <w:tmpl w:val="299CCF20"/>
    <w:lvl w:ilvl="0" w:tplc="682A8C6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748C8"/>
    <w:multiLevelType w:val="hybridMultilevel"/>
    <w:tmpl w:val="299CCF20"/>
    <w:lvl w:ilvl="0" w:tplc="682A8C6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F6D89"/>
    <w:multiLevelType w:val="hybridMultilevel"/>
    <w:tmpl w:val="408825B0"/>
    <w:lvl w:ilvl="0" w:tplc="3F1A37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23D9B"/>
    <w:multiLevelType w:val="hybridMultilevel"/>
    <w:tmpl w:val="1E226234"/>
    <w:lvl w:ilvl="0" w:tplc="F77872D0">
      <w:start w:val="1"/>
      <w:numFmt w:val="lowerLetter"/>
      <w:lvlText w:val="%1)"/>
      <w:lvlJc w:val="left"/>
      <w:pPr>
        <w:ind w:left="1069" w:hanging="360"/>
      </w:pPr>
      <w:rPr>
        <w:rFonts w:eastAsiaTheme="minorHAnsi" w:cstheme="minorBid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9285A6C"/>
    <w:multiLevelType w:val="hybridMultilevel"/>
    <w:tmpl w:val="99CEED34"/>
    <w:lvl w:ilvl="0" w:tplc="ADD672B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6447FA"/>
    <w:multiLevelType w:val="hybridMultilevel"/>
    <w:tmpl w:val="0F161FD0"/>
    <w:lvl w:ilvl="0" w:tplc="3674837E">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F70D44"/>
    <w:multiLevelType w:val="hybridMultilevel"/>
    <w:tmpl w:val="72AA449A"/>
    <w:lvl w:ilvl="0" w:tplc="9FCA701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4BFA7A8A"/>
    <w:multiLevelType w:val="hybridMultilevel"/>
    <w:tmpl w:val="78EC7254"/>
    <w:lvl w:ilvl="0" w:tplc="42B2368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1853035"/>
    <w:multiLevelType w:val="hybridMultilevel"/>
    <w:tmpl w:val="AB24177C"/>
    <w:lvl w:ilvl="0" w:tplc="0CEAD31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592516C0"/>
    <w:multiLevelType w:val="hybridMultilevel"/>
    <w:tmpl w:val="948C6DD6"/>
    <w:lvl w:ilvl="0" w:tplc="1A2C8130">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A7D2D18"/>
    <w:multiLevelType w:val="hybridMultilevel"/>
    <w:tmpl w:val="1920571A"/>
    <w:lvl w:ilvl="0" w:tplc="D4488B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EDE2C1D"/>
    <w:multiLevelType w:val="hybridMultilevel"/>
    <w:tmpl w:val="935479D8"/>
    <w:lvl w:ilvl="0" w:tplc="E3E8E334">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DE3948"/>
    <w:multiLevelType w:val="hybridMultilevel"/>
    <w:tmpl w:val="67A0BF46"/>
    <w:lvl w:ilvl="0" w:tplc="FD844A5E">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63701AD0"/>
    <w:multiLevelType w:val="hybridMultilevel"/>
    <w:tmpl w:val="299CCF20"/>
    <w:lvl w:ilvl="0" w:tplc="682A8C6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6C1139"/>
    <w:multiLevelType w:val="hybridMultilevel"/>
    <w:tmpl w:val="299CCF20"/>
    <w:lvl w:ilvl="0" w:tplc="682A8C6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B171E5"/>
    <w:multiLevelType w:val="hybridMultilevel"/>
    <w:tmpl w:val="ECAC1EE4"/>
    <w:lvl w:ilvl="0" w:tplc="F5DCB0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204452D"/>
    <w:multiLevelType w:val="hybridMultilevel"/>
    <w:tmpl w:val="35DCAC3E"/>
    <w:lvl w:ilvl="0" w:tplc="92C879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8E64C2"/>
    <w:multiLevelType w:val="hybridMultilevel"/>
    <w:tmpl w:val="5470DB5A"/>
    <w:lvl w:ilvl="0" w:tplc="59383C9A">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CBF0F06"/>
    <w:multiLevelType w:val="hybridMultilevel"/>
    <w:tmpl w:val="299CCF20"/>
    <w:lvl w:ilvl="0" w:tplc="682A8C6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E47A2F"/>
    <w:multiLevelType w:val="hybridMultilevel"/>
    <w:tmpl w:val="6FD6FD04"/>
    <w:lvl w:ilvl="0" w:tplc="1004B5A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34"/>
  </w:num>
  <w:num w:numId="3">
    <w:abstractNumId w:val="24"/>
  </w:num>
  <w:num w:numId="4">
    <w:abstractNumId w:val="18"/>
  </w:num>
  <w:num w:numId="5">
    <w:abstractNumId w:val="3"/>
  </w:num>
  <w:num w:numId="6">
    <w:abstractNumId w:val="32"/>
  </w:num>
  <w:num w:numId="7">
    <w:abstractNumId w:val="29"/>
  </w:num>
  <w:num w:numId="8">
    <w:abstractNumId w:val="11"/>
  </w:num>
  <w:num w:numId="9">
    <w:abstractNumId w:val="2"/>
  </w:num>
  <w:num w:numId="10">
    <w:abstractNumId w:val="5"/>
  </w:num>
  <w:num w:numId="11">
    <w:abstractNumId w:val="31"/>
  </w:num>
  <w:num w:numId="12">
    <w:abstractNumId w:val="0"/>
  </w:num>
  <w:num w:numId="13">
    <w:abstractNumId w:val="16"/>
  </w:num>
  <w:num w:numId="14">
    <w:abstractNumId w:val="13"/>
  </w:num>
  <w:num w:numId="15">
    <w:abstractNumId w:val="33"/>
  </w:num>
  <w:num w:numId="16">
    <w:abstractNumId w:val="28"/>
  </w:num>
  <w:num w:numId="17">
    <w:abstractNumId w:val="7"/>
  </w:num>
  <w:num w:numId="18">
    <w:abstractNumId w:val="15"/>
  </w:num>
  <w:num w:numId="19">
    <w:abstractNumId w:val="6"/>
  </w:num>
  <w:num w:numId="20">
    <w:abstractNumId w:val="20"/>
  </w:num>
  <w:num w:numId="21">
    <w:abstractNumId w:val="22"/>
  </w:num>
  <w:num w:numId="22">
    <w:abstractNumId w:val="30"/>
  </w:num>
  <w:num w:numId="23">
    <w:abstractNumId w:val="14"/>
  </w:num>
  <w:num w:numId="24">
    <w:abstractNumId w:val="10"/>
  </w:num>
  <w:num w:numId="25">
    <w:abstractNumId w:val="9"/>
  </w:num>
  <w:num w:numId="26">
    <w:abstractNumId w:val="1"/>
  </w:num>
  <w:num w:numId="27">
    <w:abstractNumId w:val="25"/>
  </w:num>
  <w:num w:numId="28">
    <w:abstractNumId w:val="23"/>
  </w:num>
  <w:num w:numId="29">
    <w:abstractNumId w:val="27"/>
  </w:num>
  <w:num w:numId="30">
    <w:abstractNumId w:val="12"/>
  </w:num>
  <w:num w:numId="31">
    <w:abstractNumId w:val="17"/>
  </w:num>
  <w:num w:numId="32">
    <w:abstractNumId w:val="4"/>
  </w:num>
  <w:num w:numId="33">
    <w:abstractNumId w:val="21"/>
  </w:num>
  <w:num w:numId="34">
    <w:abstractNumId w:val="2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39"/>
    <w:rsid w:val="00040B31"/>
    <w:rsid w:val="00043DA1"/>
    <w:rsid w:val="000F5542"/>
    <w:rsid w:val="000F5A2D"/>
    <w:rsid w:val="0013521F"/>
    <w:rsid w:val="00137587"/>
    <w:rsid w:val="0018724C"/>
    <w:rsid w:val="001A5548"/>
    <w:rsid w:val="001B5C9B"/>
    <w:rsid w:val="001C7C6D"/>
    <w:rsid w:val="001F6723"/>
    <w:rsid w:val="00214C16"/>
    <w:rsid w:val="00242F42"/>
    <w:rsid w:val="002837FA"/>
    <w:rsid w:val="00295F41"/>
    <w:rsid w:val="002D76B2"/>
    <w:rsid w:val="00313E67"/>
    <w:rsid w:val="00361B59"/>
    <w:rsid w:val="003B3F39"/>
    <w:rsid w:val="004174FF"/>
    <w:rsid w:val="00425CC7"/>
    <w:rsid w:val="004564E6"/>
    <w:rsid w:val="0049578C"/>
    <w:rsid w:val="004978A2"/>
    <w:rsid w:val="004A0B7A"/>
    <w:rsid w:val="004C0613"/>
    <w:rsid w:val="004E1411"/>
    <w:rsid w:val="00507A36"/>
    <w:rsid w:val="0054496A"/>
    <w:rsid w:val="00572BB6"/>
    <w:rsid w:val="005863DB"/>
    <w:rsid w:val="00596EC1"/>
    <w:rsid w:val="005A039A"/>
    <w:rsid w:val="005F06A5"/>
    <w:rsid w:val="006568C1"/>
    <w:rsid w:val="0067509B"/>
    <w:rsid w:val="00702E6E"/>
    <w:rsid w:val="0081718C"/>
    <w:rsid w:val="00880C5B"/>
    <w:rsid w:val="00887119"/>
    <w:rsid w:val="008B5475"/>
    <w:rsid w:val="008E070E"/>
    <w:rsid w:val="0098502A"/>
    <w:rsid w:val="009D1B8A"/>
    <w:rsid w:val="00A178FA"/>
    <w:rsid w:val="00A61BBA"/>
    <w:rsid w:val="00A8217B"/>
    <w:rsid w:val="00AC339F"/>
    <w:rsid w:val="00AD035D"/>
    <w:rsid w:val="00AE04C2"/>
    <w:rsid w:val="00B05102"/>
    <w:rsid w:val="00B44367"/>
    <w:rsid w:val="00B73669"/>
    <w:rsid w:val="00BC3AE5"/>
    <w:rsid w:val="00C1003A"/>
    <w:rsid w:val="00C24303"/>
    <w:rsid w:val="00C606BE"/>
    <w:rsid w:val="00CB5858"/>
    <w:rsid w:val="00CD31CA"/>
    <w:rsid w:val="00DB493C"/>
    <w:rsid w:val="00DD3461"/>
    <w:rsid w:val="00E22526"/>
    <w:rsid w:val="00E444E8"/>
    <w:rsid w:val="00E524F2"/>
    <w:rsid w:val="00E9403F"/>
    <w:rsid w:val="00EA1F4E"/>
    <w:rsid w:val="00ED7DA3"/>
    <w:rsid w:val="00F417CF"/>
    <w:rsid w:val="00F82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321A"/>
  <w15:chartTrackingRefBased/>
  <w15:docId w15:val="{A770B42B-A165-43C5-B56C-F808909A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0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3B3F39"/>
    <w:rPr>
      <w:color w:val="0000FF"/>
      <w:u w:val="single"/>
    </w:rPr>
  </w:style>
  <w:style w:type="paragraph" w:customStyle="1" w:styleId="title-article-norm">
    <w:name w:val="title-article-norm"/>
    <w:basedOn w:val="Normal"/>
    <w:rsid w:val="000F5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0F5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E22526"/>
  </w:style>
  <w:style w:type="paragraph" w:styleId="Header">
    <w:name w:val="header"/>
    <w:basedOn w:val="Normal"/>
    <w:link w:val="HeaderChar"/>
    <w:rsid w:val="00E22526"/>
    <w:pPr>
      <w:tabs>
        <w:tab w:val="center" w:pos="4677"/>
        <w:tab w:val="right" w:pos="9355"/>
      </w:tabs>
      <w:spacing w:after="0" w:line="240" w:lineRule="auto"/>
      <w:ind w:firstLine="720"/>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E22526"/>
    <w:rPr>
      <w:rFonts w:ascii="Times New Roman" w:eastAsia="Times New Roman" w:hAnsi="Times New Roman" w:cs="Times New Roman"/>
      <w:sz w:val="20"/>
      <w:szCs w:val="20"/>
    </w:rPr>
  </w:style>
  <w:style w:type="paragraph" w:customStyle="1" w:styleId="title-annex-1">
    <w:name w:val="title-annex-1"/>
    <w:basedOn w:val="Normal"/>
    <w:rsid w:val="00E225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E225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DefaultParagraphFont"/>
    <w:rsid w:val="00E22526"/>
  </w:style>
  <w:style w:type="character" w:customStyle="1" w:styleId="superscript">
    <w:name w:val="superscript"/>
    <w:basedOn w:val="DefaultParagraphFont"/>
    <w:rsid w:val="00E22526"/>
  </w:style>
  <w:style w:type="paragraph" w:styleId="ListParagraph">
    <w:name w:val="List Paragraph"/>
    <w:aliases w:val="List Paragraph 1,Scriptoria bullet points"/>
    <w:basedOn w:val="Normal"/>
    <w:link w:val="ListParagraphChar"/>
    <w:uiPriority w:val="34"/>
    <w:qFormat/>
    <w:rsid w:val="00A178FA"/>
    <w:pPr>
      <w:ind w:left="720"/>
      <w:contextualSpacing/>
    </w:pPr>
  </w:style>
  <w:style w:type="character" w:customStyle="1" w:styleId="ListParagraphChar">
    <w:name w:val="List Paragraph Char"/>
    <w:aliases w:val="List Paragraph 1 Char,Scriptoria bullet points Char"/>
    <w:link w:val="ListParagraph"/>
    <w:uiPriority w:val="34"/>
    <w:locked/>
    <w:rsid w:val="00A178FA"/>
  </w:style>
  <w:style w:type="paragraph" w:styleId="NormalWeb">
    <w:name w:val="Normal (Web)"/>
    <w:basedOn w:val="Normal"/>
    <w:uiPriority w:val="99"/>
    <w:unhideWhenUsed/>
    <w:rsid w:val="00CD31C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31CA"/>
    <w:rPr>
      <w:sz w:val="16"/>
      <w:szCs w:val="16"/>
    </w:rPr>
  </w:style>
  <w:style w:type="paragraph" w:styleId="CommentText">
    <w:name w:val="annotation text"/>
    <w:basedOn w:val="Normal"/>
    <w:link w:val="CommentTextChar"/>
    <w:uiPriority w:val="99"/>
    <w:semiHidden/>
    <w:unhideWhenUsed/>
    <w:rsid w:val="00CD31CA"/>
    <w:pPr>
      <w:spacing w:line="240" w:lineRule="auto"/>
    </w:pPr>
    <w:rPr>
      <w:sz w:val="20"/>
      <w:szCs w:val="20"/>
    </w:rPr>
  </w:style>
  <w:style w:type="character" w:customStyle="1" w:styleId="CommentTextChar">
    <w:name w:val="Comment Text Char"/>
    <w:basedOn w:val="DefaultParagraphFont"/>
    <w:link w:val="CommentText"/>
    <w:uiPriority w:val="99"/>
    <w:semiHidden/>
    <w:rsid w:val="00CD31CA"/>
    <w:rPr>
      <w:sz w:val="20"/>
      <w:szCs w:val="20"/>
    </w:rPr>
  </w:style>
  <w:style w:type="character" w:styleId="Strong">
    <w:name w:val="Strong"/>
    <w:basedOn w:val="DefaultParagraphFont"/>
    <w:uiPriority w:val="22"/>
    <w:qFormat/>
    <w:rsid w:val="004C0613"/>
    <w:rPr>
      <w:b/>
      <w:bCs/>
    </w:rPr>
  </w:style>
  <w:style w:type="paragraph" w:styleId="BalloonText">
    <w:name w:val="Balloon Text"/>
    <w:basedOn w:val="Normal"/>
    <w:link w:val="BalloonTextChar"/>
    <w:uiPriority w:val="99"/>
    <w:semiHidden/>
    <w:unhideWhenUsed/>
    <w:rsid w:val="008B5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47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B5475"/>
    <w:rPr>
      <w:b/>
      <w:bCs/>
    </w:rPr>
  </w:style>
  <w:style w:type="character" w:customStyle="1" w:styleId="CommentSubjectChar">
    <w:name w:val="Comment Subject Char"/>
    <w:basedOn w:val="CommentTextChar"/>
    <w:link w:val="CommentSubject"/>
    <w:uiPriority w:val="99"/>
    <w:semiHidden/>
    <w:rsid w:val="008B5475"/>
    <w:rPr>
      <w:b/>
      <w:bCs/>
      <w:sz w:val="20"/>
      <w:szCs w:val="20"/>
    </w:rPr>
  </w:style>
  <w:style w:type="paragraph" w:customStyle="1" w:styleId="ti-art">
    <w:name w:val="ti-art"/>
    <w:basedOn w:val="Normal"/>
    <w:rsid w:val="00CB58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CB58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CB58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B73669"/>
  </w:style>
  <w:style w:type="character" w:customStyle="1" w:styleId="italic">
    <w:name w:val="italic"/>
    <w:basedOn w:val="DefaultParagraphFont"/>
    <w:rsid w:val="00B73669"/>
  </w:style>
  <w:style w:type="paragraph" w:customStyle="1" w:styleId="ttsp">
    <w:name w:val="tt_sp"/>
    <w:basedOn w:val="Normal"/>
    <w:rsid w:val="00ED7D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ED7D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8444">
      <w:bodyDiv w:val="1"/>
      <w:marLeft w:val="0"/>
      <w:marRight w:val="0"/>
      <w:marTop w:val="0"/>
      <w:marBottom w:val="0"/>
      <w:divBdr>
        <w:top w:val="none" w:sz="0" w:space="0" w:color="auto"/>
        <w:left w:val="none" w:sz="0" w:space="0" w:color="auto"/>
        <w:bottom w:val="none" w:sz="0" w:space="0" w:color="auto"/>
        <w:right w:val="none" w:sz="0" w:space="0" w:color="auto"/>
      </w:divBdr>
      <w:divsChild>
        <w:div w:id="889271293">
          <w:marLeft w:val="0"/>
          <w:marRight w:val="0"/>
          <w:marTop w:val="0"/>
          <w:marBottom w:val="0"/>
          <w:divBdr>
            <w:top w:val="none" w:sz="0" w:space="0" w:color="auto"/>
            <w:left w:val="none" w:sz="0" w:space="0" w:color="auto"/>
            <w:bottom w:val="none" w:sz="0" w:space="0" w:color="auto"/>
            <w:right w:val="none" w:sz="0" w:space="0" w:color="auto"/>
          </w:divBdr>
        </w:div>
      </w:divsChild>
    </w:div>
    <w:div w:id="123619176">
      <w:bodyDiv w:val="1"/>
      <w:marLeft w:val="0"/>
      <w:marRight w:val="0"/>
      <w:marTop w:val="0"/>
      <w:marBottom w:val="0"/>
      <w:divBdr>
        <w:top w:val="none" w:sz="0" w:space="0" w:color="auto"/>
        <w:left w:val="none" w:sz="0" w:space="0" w:color="auto"/>
        <w:bottom w:val="none" w:sz="0" w:space="0" w:color="auto"/>
        <w:right w:val="none" w:sz="0" w:space="0" w:color="auto"/>
      </w:divBdr>
      <w:divsChild>
        <w:div w:id="1335567393">
          <w:marLeft w:val="0"/>
          <w:marRight w:val="0"/>
          <w:marTop w:val="0"/>
          <w:marBottom w:val="0"/>
          <w:divBdr>
            <w:top w:val="none" w:sz="0" w:space="0" w:color="auto"/>
            <w:left w:val="none" w:sz="0" w:space="0" w:color="auto"/>
            <w:bottom w:val="none" w:sz="0" w:space="0" w:color="auto"/>
            <w:right w:val="none" w:sz="0" w:space="0" w:color="auto"/>
          </w:divBdr>
        </w:div>
      </w:divsChild>
    </w:div>
    <w:div w:id="349767483">
      <w:bodyDiv w:val="1"/>
      <w:marLeft w:val="0"/>
      <w:marRight w:val="0"/>
      <w:marTop w:val="0"/>
      <w:marBottom w:val="0"/>
      <w:divBdr>
        <w:top w:val="none" w:sz="0" w:space="0" w:color="auto"/>
        <w:left w:val="none" w:sz="0" w:space="0" w:color="auto"/>
        <w:bottom w:val="none" w:sz="0" w:space="0" w:color="auto"/>
        <w:right w:val="none" w:sz="0" w:space="0" w:color="auto"/>
      </w:divBdr>
    </w:div>
    <w:div w:id="404255864">
      <w:bodyDiv w:val="1"/>
      <w:marLeft w:val="0"/>
      <w:marRight w:val="0"/>
      <w:marTop w:val="0"/>
      <w:marBottom w:val="0"/>
      <w:divBdr>
        <w:top w:val="none" w:sz="0" w:space="0" w:color="auto"/>
        <w:left w:val="none" w:sz="0" w:space="0" w:color="auto"/>
        <w:bottom w:val="none" w:sz="0" w:space="0" w:color="auto"/>
        <w:right w:val="none" w:sz="0" w:space="0" w:color="auto"/>
      </w:divBdr>
      <w:divsChild>
        <w:div w:id="1872567582">
          <w:marLeft w:val="0"/>
          <w:marRight w:val="0"/>
          <w:marTop w:val="0"/>
          <w:marBottom w:val="0"/>
          <w:divBdr>
            <w:top w:val="none" w:sz="0" w:space="0" w:color="auto"/>
            <w:left w:val="none" w:sz="0" w:space="0" w:color="auto"/>
            <w:bottom w:val="none" w:sz="0" w:space="0" w:color="auto"/>
            <w:right w:val="none" w:sz="0" w:space="0" w:color="auto"/>
          </w:divBdr>
        </w:div>
      </w:divsChild>
    </w:div>
    <w:div w:id="416171935">
      <w:bodyDiv w:val="1"/>
      <w:marLeft w:val="0"/>
      <w:marRight w:val="0"/>
      <w:marTop w:val="0"/>
      <w:marBottom w:val="0"/>
      <w:divBdr>
        <w:top w:val="none" w:sz="0" w:space="0" w:color="auto"/>
        <w:left w:val="none" w:sz="0" w:space="0" w:color="auto"/>
        <w:bottom w:val="none" w:sz="0" w:space="0" w:color="auto"/>
        <w:right w:val="none" w:sz="0" w:space="0" w:color="auto"/>
      </w:divBdr>
      <w:divsChild>
        <w:div w:id="529954782">
          <w:marLeft w:val="0"/>
          <w:marRight w:val="0"/>
          <w:marTop w:val="0"/>
          <w:marBottom w:val="0"/>
          <w:divBdr>
            <w:top w:val="none" w:sz="0" w:space="0" w:color="auto"/>
            <w:left w:val="none" w:sz="0" w:space="0" w:color="auto"/>
            <w:bottom w:val="none" w:sz="0" w:space="0" w:color="auto"/>
            <w:right w:val="none" w:sz="0" w:space="0" w:color="auto"/>
          </w:divBdr>
        </w:div>
      </w:divsChild>
    </w:div>
    <w:div w:id="1296179544">
      <w:bodyDiv w:val="1"/>
      <w:marLeft w:val="0"/>
      <w:marRight w:val="0"/>
      <w:marTop w:val="0"/>
      <w:marBottom w:val="0"/>
      <w:divBdr>
        <w:top w:val="none" w:sz="0" w:space="0" w:color="auto"/>
        <w:left w:val="none" w:sz="0" w:space="0" w:color="auto"/>
        <w:bottom w:val="none" w:sz="0" w:space="0" w:color="auto"/>
        <w:right w:val="none" w:sz="0" w:space="0" w:color="auto"/>
      </w:divBdr>
      <w:divsChild>
        <w:div w:id="235939017">
          <w:marLeft w:val="0"/>
          <w:marRight w:val="0"/>
          <w:marTop w:val="0"/>
          <w:marBottom w:val="0"/>
          <w:divBdr>
            <w:top w:val="none" w:sz="0" w:space="0" w:color="auto"/>
            <w:left w:val="none" w:sz="0" w:space="0" w:color="auto"/>
            <w:bottom w:val="none" w:sz="0" w:space="0" w:color="auto"/>
            <w:right w:val="none" w:sz="0" w:space="0" w:color="auto"/>
          </w:divBdr>
        </w:div>
      </w:divsChild>
    </w:div>
    <w:div w:id="1591232027">
      <w:bodyDiv w:val="1"/>
      <w:marLeft w:val="0"/>
      <w:marRight w:val="0"/>
      <w:marTop w:val="0"/>
      <w:marBottom w:val="0"/>
      <w:divBdr>
        <w:top w:val="none" w:sz="0" w:space="0" w:color="auto"/>
        <w:left w:val="none" w:sz="0" w:space="0" w:color="auto"/>
        <w:bottom w:val="none" w:sz="0" w:space="0" w:color="auto"/>
        <w:right w:val="none" w:sz="0" w:space="0" w:color="auto"/>
      </w:divBdr>
      <w:divsChild>
        <w:div w:id="207612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lex.europa.eu/legal-content/RO/TXT/?uri=celex%3A32003L004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6699</Words>
  <Characters>38190</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Ciurca Alesea</dc:creator>
  <cp:keywords/>
  <dc:description/>
  <cp:lastModifiedBy>Iulia, Melnic</cp:lastModifiedBy>
  <cp:revision>2</cp:revision>
  <dcterms:created xsi:type="dcterms:W3CDTF">2025-12-23T09:45:00Z</dcterms:created>
  <dcterms:modified xsi:type="dcterms:W3CDTF">2025-12-23T09:45:00Z</dcterms:modified>
</cp:coreProperties>
</file>