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D449" w14:textId="77777777" w:rsidR="004E0622" w:rsidRP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i/>
          <w:iCs/>
          <w:kern w:val="0"/>
          <w:szCs w:val="28"/>
          <w:lang w:val="ro"/>
          <w14:ligatures w14:val="none"/>
        </w:rPr>
      </w:pPr>
      <w:bookmarkStart w:id="0" w:name="_Hlk215480169"/>
    </w:p>
    <w:p w14:paraId="4F05C464" w14:textId="77777777" w:rsidR="004E0622" w:rsidRP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b/>
          <w:bCs/>
          <w:i/>
          <w:iCs/>
          <w:kern w:val="0"/>
          <w:sz w:val="24"/>
          <w:szCs w:val="24"/>
          <w:lang w:val="ro"/>
          <w14:ligatures w14:val="none"/>
        </w:rPr>
      </w:pPr>
      <w:r w:rsidRPr="004E0622">
        <w:rPr>
          <w:rFonts w:eastAsia="Times New Roman" w:cs="Times New Roman"/>
          <w:i/>
          <w:iCs/>
          <w:kern w:val="0"/>
          <w:szCs w:val="28"/>
          <w:lang w:val="ro"/>
          <w14:ligatures w14:val="none"/>
        </w:rPr>
        <w:t>PROIECT</w:t>
      </w:r>
      <w:r w:rsidRPr="004E0622">
        <w:rPr>
          <w:rFonts w:eastAsia="Times New Roman" w:cs="Times New Roman"/>
          <w:i/>
          <w:iCs/>
          <w:kern w:val="0"/>
          <w:sz w:val="24"/>
          <w:szCs w:val="24"/>
          <w:lang w:val="ro"/>
          <w14:ligatures w14:val="none"/>
        </w:rPr>
        <w:t xml:space="preserve"> </w:t>
      </w:r>
    </w:p>
    <w:p w14:paraId="2B4C224C" w14:textId="77777777" w:rsidR="004E0622" w:rsidRPr="004E0622" w:rsidRDefault="004E0622" w:rsidP="004E0622">
      <w:pPr>
        <w:widowControl w:val="0"/>
        <w:tabs>
          <w:tab w:val="left" w:pos="426"/>
          <w:tab w:val="left" w:pos="990"/>
          <w:tab w:val="left" w:pos="1134"/>
        </w:tabs>
        <w:spacing w:after="0"/>
        <w:jc w:val="center"/>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Nota informativă</w:t>
      </w:r>
    </w:p>
    <w:p w14:paraId="22CC7BA7" w14:textId="77777777" w:rsidR="004E0622" w:rsidRPr="004E0622" w:rsidRDefault="004E0622" w:rsidP="004E0622">
      <w:pPr>
        <w:shd w:val="clear" w:color="auto" w:fill="FFFFFF"/>
        <w:tabs>
          <w:tab w:val="left" w:pos="426"/>
          <w:tab w:val="left" w:pos="990"/>
          <w:tab w:val="left" w:pos="1134"/>
        </w:tabs>
        <w:spacing w:after="0" w:line="276" w:lineRule="auto"/>
        <w:jc w:val="center"/>
        <w:outlineLvl w:val="3"/>
        <w:rPr>
          <w:rFonts w:eastAsia="Times New Roman" w:cs="Times New Roman"/>
          <w:b/>
          <w:bCs/>
          <w:kern w:val="0"/>
          <w:sz w:val="24"/>
          <w:szCs w:val="24"/>
          <w:lang w:val="ro"/>
          <w14:ligatures w14:val="none"/>
        </w:rPr>
      </w:pPr>
      <w:r w:rsidRPr="004E0622">
        <w:rPr>
          <w:rFonts w:eastAsia="Arial" w:cs="Times New Roman"/>
          <w:b/>
          <w:bCs/>
          <w:kern w:val="0"/>
          <w:sz w:val="24"/>
          <w:szCs w:val="24"/>
          <w:lang w:val="ro"/>
          <w14:ligatures w14:val="none"/>
        </w:rPr>
        <w:t xml:space="preserve">la proiectul hotărârii Guvernului </w:t>
      </w:r>
      <w:r w:rsidRPr="004E0622">
        <w:rPr>
          <w:rFonts w:eastAsia="Times New Roman" w:cs="Times New Roman"/>
          <w:b/>
          <w:bCs/>
          <w:kern w:val="0"/>
          <w:sz w:val="24"/>
          <w:szCs w:val="24"/>
          <w:lang w:val="ro"/>
          <w14:ligatures w14:val="none"/>
        </w:rPr>
        <w:t xml:space="preserve">pentru modificarea Hotărârii Guvernului nr. 653/2023 </w:t>
      </w:r>
    </w:p>
    <w:p w14:paraId="19B0786F" w14:textId="77777777" w:rsidR="004E0622" w:rsidRPr="004E0622" w:rsidRDefault="004E0622" w:rsidP="004E0622">
      <w:pPr>
        <w:shd w:val="clear" w:color="auto" w:fill="FFFFFF"/>
        <w:tabs>
          <w:tab w:val="left" w:pos="426"/>
          <w:tab w:val="left" w:pos="990"/>
          <w:tab w:val="left" w:pos="1134"/>
        </w:tabs>
        <w:spacing w:after="0" w:line="276" w:lineRule="auto"/>
        <w:jc w:val="center"/>
        <w:outlineLvl w:val="3"/>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cu privire la aprobarea Programului național pentru promovarea antreprenoriatului </w:t>
      </w:r>
    </w:p>
    <w:p w14:paraId="2208E7BC" w14:textId="77777777" w:rsidR="004E0622" w:rsidRPr="004E0622" w:rsidRDefault="004E0622" w:rsidP="004E0622">
      <w:pPr>
        <w:shd w:val="clear" w:color="auto" w:fill="FFFFFF"/>
        <w:tabs>
          <w:tab w:val="left" w:pos="426"/>
          <w:tab w:val="left" w:pos="990"/>
          <w:tab w:val="left" w:pos="1134"/>
        </w:tabs>
        <w:spacing w:after="0" w:line="276" w:lineRule="auto"/>
        <w:jc w:val="center"/>
        <w:outlineLvl w:val="3"/>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și creșterea competitivității în anii 2023-2027</w:t>
      </w:r>
    </w:p>
    <w:p w14:paraId="4AAECD9F" w14:textId="77777777" w:rsidR="004E0622" w:rsidRPr="004E0622" w:rsidRDefault="004E0622" w:rsidP="004E0622">
      <w:pPr>
        <w:widowControl w:val="0"/>
        <w:tabs>
          <w:tab w:val="left" w:pos="426"/>
          <w:tab w:val="left" w:pos="990"/>
          <w:tab w:val="left" w:pos="1134"/>
        </w:tabs>
        <w:spacing w:after="0"/>
        <w:jc w:val="center"/>
        <w:rPr>
          <w:rFonts w:eastAsia="Times New Roman" w:cs="Times New Roman"/>
          <w:b/>
          <w:bCs/>
          <w:kern w:val="0"/>
          <w:sz w:val="24"/>
          <w:szCs w:val="24"/>
          <w:lang w:val="ro"/>
          <w14:ligatures w14:val="none"/>
        </w:rPr>
      </w:pPr>
    </w:p>
    <w:tbl>
      <w:tblPr>
        <w:tblW w:w="9330" w:type="dxa"/>
        <w:tblInd w:w="45" w:type="dxa"/>
        <w:tblBorders>
          <w:top w:val="nil"/>
          <w:left w:val="nil"/>
          <w:bottom w:val="nil"/>
          <w:right w:val="nil"/>
          <w:insideH w:val="nil"/>
          <w:insideV w:val="nil"/>
        </w:tblBorders>
        <w:tblLayout w:type="fixed"/>
        <w:tblLook w:val="0600" w:firstRow="0" w:lastRow="0" w:firstColumn="0" w:lastColumn="0" w:noHBand="1" w:noVBand="1"/>
      </w:tblPr>
      <w:tblGrid>
        <w:gridCol w:w="9330"/>
      </w:tblGrid>
      <w:tr w:rsidR="004E0622" w:rsidRPr="00C27EE7" w14:paraId="0AF3A82F" w14:textId="77777777" w:rsidTr="004E0622">
        <w:trPr>
          <w:trHeight w:val="563"/>
        </w:trPr>
        <w:tc>
          <w:tcPr>
            <w:tcW w:w="933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14:paraId="2F131AB0" w14:textId="77777777" w:rsidR="004E0622" w:rsidRPr="004E0622" w:rsidRDefault="004E0622" w:rsidP="004E0622">
            <w:pPr>
              <w:widowControl w:val="0"/>
              <w:tabs>
                <w:tab w:val="left" w:pos="426"/>
                <w:tab w:val="left" w:pos="990"/>
                <w:tab w:val="left" w:pos="1134"/>
              </w:tabs>
              <w:spacing w:after="0" w:line="276" w:lineRule="auto"/>
              <w:jc w:val="both"/>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1.</w:t>
            </w:r>
            <w:r w:rsidRPr="004E0622">
              <w:rPr>
                <w:rFonts w:eastAsia="Times New Roman" w:cs="Times New Roman"/>
                <w:kern w:val="0"/>
                <w:sz w:val="14"/>
                <w:szCs w:val="14"/>
                <w:lang w:val="ro"/>
                <w14:ligatures w14:val="none"/>
              </w:rPr>
              <w:t xml:space="preserve">    </w:t>
            </w:r>
            <w:r w:rsidRPr="004E0622">
              <w:rPr>
                <w:rFonts w:eastAsia="Times New Roman" w:cs="Times New Roman"/>
                <w:b/>
                <w:bCs/>
                <w:kern w:val="0"/>
                <w:sz w:val="24"/>
                <w:szCs w:val="24"/>
                <w:lang w:val="ro"/>
                <w14:ligatures w14:val="none"/>
              </w:rPr>
              <w:t xml:space="preserve"> Denumirea autorului şi, după caz, a participanţilor la elaborarea proiectului</w:t>
            </w:r>
          </w:p>
        </w:tc>
      </w:tr>
      <w:tr w:rsidR="004E0622" w:rsidRPr="00C27EE7" w14:paraId="343D7C5E" w14:textId="77777777" w:rsidTr="00B33EB0">
        <w:trPr>
          <w:trHeight w:val="1260"/>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087C92C" w14:textId="77777777" w:rsidR="004E0622" w:rsidRPr="004E0622" w:rsidRDefault="004E0622" w:rsidP="004E0622">
            <w:pPr>
              <w:widowControl w:val="0"/>
              <w:tabs>
                <w:tab w:val="left" w:pos="426"/>
                <w:tab w:val="left" w:pos="990"/>
                <w:tab w:val="left" w:pos="1134"/>
              </w:tabs>
              <w:spacing w:before="240" w:after="0" w:line="276" w:lineRule="auto"/>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  </w:t>
            </w:r>
            <w:r w:rsidRPr="004E0622">
              <w:rPr>
                <w:rFonts w:eastAsia="Times New Roman" w:cs="Times New Roman"/>
                <w:kern w:val="0"/>
                <w:sz w:val="24"/>
                <w:szCs w:val="24"/>
                <w:lang w:val="ro"/>
                <w14:ligatures w14:val="none"/>
              </w:rPr>
              <w:tab/>
              <w:t>Proiectul hotărârii Guvernului pentru modificarea Hotărârii Guvernului nr. 653/2023 cu privire la aprobarea Programului național pentru promovarea antreprenoriatului și creșterea competitivității în anii 2023–2027 a fost elaborat de Ministerul Dezvoltării Economice și Digitalizării al Republicii Moldova.</w:t>
            </w:r>
          </w:p>
        </w:tc>
      </w:tr>
      <w:tr w:rsidR="004E0622" w:rsidRPr="00C27EE7" w14:paraId="61983B73" w14:textId="77777777" w:rsidTr="00B33EB0">
        <w:trPr>
          <w:trHeight w:val="544"/>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5D904C1" w14:textId="77777777" w:rsidR="004E0622" w:rsidRPr="004E0622" w:rsidRDefault="004E0622" w:rsidP="004E0622">
            <w:pPr>
              <w:widowControl w:val="0"/>
              <w:tabs>
                <w:tab w:val="left" w:pos="426"/>
                <w:tab w:val="left" w:pos="990"/>
                <w:tab w:val="left" w:pos="1134"/>
              </w:tabs>
              <w:spacing w:before="240" w:after="0" w:line="276" w:lineRule="auto"/>
              <w:jc w:val="both"/>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2. Condiţiile ce au impus elaborarea proiectului de act normativ şi finalităţile urmărite</w:t>
            </w:r>
          </w:p>
        </w:tc>
      </w:tr>
      <w:tr w:rsidR="004E0622" w:rsidRPr="00C27EE7" w14:paraId="01AE0607" w14:textId="77777777" w:rsidTr="00B33EB0">
        <w:trPr>
          <w:trHeight w:val="3675"/>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82D94BA"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2"/>
                <w:lang w:val="ro"/>
                <w14:ligatures w14:val="none"/>
              </w:rPr>
              <w:t xml:space="preserve">   </w:t>
            </w:r>
            <w:r w:rsidRPr="004E0622">
              <w:rPr>
                <w:rFonts w:eastAsia="Times New Roman" w:cs="Times New Roman"/>
                <w:kern w:val="0"/>
                <w:sz w:val="24"/>
                <w:szCs w:val="24"/>
                <w:lang w:val="ro"/>
                <w14:ligatures w14:val="none"/>
              </w:rPr>
              <w:tab/>
            </w:r>
            <w:r w:rsidRPr="004E0622">
              <w:rPr>
                <w:rFonts w:eastAsia="Times New Roman" w:cs="Times New Roman"/>
                <w:b/>
                <w:bCs/>
                <w:kern w:val="0"/>
                <w:sz w:val="24"/>
                <w:szCs w:val="24"/>
                <w:lang w:val="ro"/>
                <w14:ligatures w14:val="none"/>
              </w:rPr>
              <w:t>Scopul</w:t>
            </w:r>
            <w:r w:rsidRPr="004E0622">
              <w:rPr>
                <w:rFonts w:eastAsia="Times New Roman" w:cs="Times New Roman"/>
                <w:kern w:val="0"/>
                <w:sz w:val="24"/>
                <w:szCs w:val="24"/>
                <w:lang w:val="ro"/>
                <w14:ligatures w14:val="none"/>
              </w:rPr>
              <w:t xml:space="preserve"> Proiectului este actualizarea Programului național pentru promovarea antreprenoriatului și creșterea competitivității în anii 2023–2027, aprobat prin Hotărârea Guvernului nr. 653/2023, prin completarea acestuia cu noi acțiuni pentru anii 2026–2027, ajustarea indicatorilor de rezultat și actualizarea responsabililor de implementare, în vederea asigurării continuității și eficienței politicilor publice de sprijin al mediului de afaceri. Necesitatea modificării Programului derivă din:</w:t>
            </w:r>
          </w:p>
          <w:p w14:paraId="77AF7743" w14:textId="77777777" w:rsidR="004E0622" w:rsidRPr="004E0622" w:rsidRDefault="004E0622" w:rsidP="004E0622">
            <w:pPr>
              <w:widowControl w:val="0"/>
              <w:tabs>
                <w:tab w:val="left" w:pos="426"/>
                <w:tab w:val="left" w:pos="990"/>
                <w:tab w:val="left" w:pos="1134"/>
              </w:tabs>
              <w:spacing w:after="0"/>
              <w:ind w:firstLine="412"/>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-evoluțiile recente ale cadrului strategic național și al angajamentelor Republicii Moldova privind aderarea la Uniunea Europeană;</w:t>
            </w:r>
          </w:p>
          <w:p w14:paraId="217F416C" w14:textId="77777777" w:rsidR="004E0622" w:rsidRPr="004E0622" w:rsidRDefault="004E0622" w:rsidP="004E0622">
            <w:pPr>
              <w:widowControl w:val="0"/>
              <w:tabs>
                <w:tab w:val="left" w:pos="426"/>
                <w:tab w:val="left" w:pos="990"/>
                <w:tab w:val="left" w:pos="1134"/>
              </w:tabs>
              <w:spacing w:after="0"/>
              <w:ind w:firstLine="412"/>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-necesitatea consolidării competitivității economiei naționale și alinierii politicilor de susținere a antreprenoriatului la standardele și instrumentele europene;</w:t>
            </w:r>
          </w:p>
          <w:p w14:paraId="29FD9E48" w14:textId="77777777" w:rsidR="004E0622" w:rsidRPr="004E0622" w:rsidRDefault="004E0622" w:rsidP="004E0622">
            <w:pPr>
              <w:widowControl w:val="0"/>
              <w:tabs>
                <w:tab w:val="left" w:pos="426"/>
                <w:tab w:val="left" w:pos="990"/>
                <w:tab w:val="left" w:pos="1134"/>
              </w:tabs>
              <w:spacing w:after="0"/>
              <w:ind w:firstLine="412"/>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-recomandările formulate în procesul de monitorizare și evaluare a implementării Programului pentru anii 2023–2025, care au evidențiat necesitatea adaptării acțiunilor la noile priorități de dezvoltare economică și la condițiile pieței.</w:t>
            </w:r>
          </w:p>
        </w:tc>
      </w:tr>
      <w:tr w:rsidR="004E0622" w:rsidRPr="00C27EE7" w14:paraId="4088BCE3" w14:textId="77777777" w:rsidTr="00B33EB0">
        <w:trPr>
          <w:trHeight w:val="675"/>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C29F42B" w14:textId="77777777" w:rsidR="004E0622" w:rsidRPr="004E0622" w:rsidRDefault="004E0622" w:rsidP="004E0622">
            <w:pPr>
              <w:widowControl w:val="0"/>
              <w:tabs>
                <w:tab w:val="left" w:pos="426"/>
                <w:tab w:val="left" w:pos="990"/>
                <w:tab w:val="left" w:pos="1134"/>
              </w:tabs>
              <w:spacing w:before="240" w:after="0" w:line="276" w:lineRule="auto"/>
              <w:jc w:val="both"/>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3. Descrierea gradului de compatibilitate pentru proiectele care au ca scop armonizarea legislaţiei naţionale cu legislaţia Uniunii Europene</w:t>
            </w:r>
          </w:p>
        </w:tc>
      </w:tr>
      <w:tr w:rsidR="004E0622" w:rsidRPr="00C27EE7" w14:paraId="5B5C3130" w14:textId="77777777" w:rsidTr="00B33EB0">
        <w:trPr>
          <w:trHeight w:val="6246"/>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8C321D4" w14:textId="77777777" w:rsidR="004E0622" w:rsidRPr="004E0622" w:rsidRDefault="004E0622" w:rsidP="004E0622">
            <w:pPr>
              <w:widowControl w:val="0"/>
              <w:pBdr>
                <w:top w:val="nil"/>
                <w:left w:val="nil"/>
                <w:bottom w:val="nil"/>
                <w:right w:val="nil"/>
                <w:between w:val="nil"/>
              </w:pBdr>
              <w:tabs>
                <w:tab w:val="left" w:pos="426"/>
                <w:tab w:val="left" w:pos="990"/>
                <w:tab w:val="left" w:pos="1134"/>
              </w:tabs>
              <w:spacing w:before="240" w:after="0" w:line="276" w:lineRule="auto"/>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lastRenderedPageBreak/>
              <w:t>Programul nu are drept scop armonizarea legislaţiei naţionale cu legislaţia Uniunii Europene. Totodată, proiectul Programului PACC 2027 este în concordanță cu prevederile Acordului de Asociere UE-Moldova, Titlul IV privind „Cooperarea economică și de altă natură” și la capitolele relevante, în special la Cap. 10 „Politica industrială și antreprenorială”, art. 62, ce vizează următoarele: „Părțile își dezvoltă și își consolidează cooperarea privind politica industrială și antreprenorială, îmbunătățind astfel mediul de afaceri pentru toți operatorii economici, dar cu un accent deosebit pe întreprinderile mici și mijlocii. Cooperarea sporită ar trebui să îmbunătățească cadrul administrativ și de reglementare pentru întreprinderile din Republica Moldova, care funcționează atât în UE, cât și în Republica Moldova și ar trebui să fie întemeiată pe politicile industriale și pe politicile privind IMM-urile ale UE, ținând seama de principiile și de practicile recunoscute la nivel internațional în acest domeniu.” Proiectul contribuie la consolidarea cadrului de politici publice compatibil cu acquis-ul comunitar și este conform cu:</w:t>
            </w:r>
          </w:p>
          <w:p w14:paraId="50F5969C" w14:textId="77777777" w:rsidR="004E0622" w:rsidRPr="004E0622" w:rsidRDefault="004E0622" w:rsidP="004E0622">
            <w:pPr>
              <w:widowControl w:val="0"/>
              <w:tabs>
                <w:tab w:val="left" w:pos="426"/>
                <w:tab w:val="left" w:pos="990"/>
                <w:tab w:val="left" w:pos="1134"/>
              </w:tabs>
              <w:spacing w:after="0"/>
              <w:ind w:firstLine="554"/>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-Strategia națională de dezvoltare „Moldova Europeană 2030”</w:t>
            </w:r>
            <w:r w:rsidRPr="004E0622">
              <w:rPr>
                <w:rFonts w:eastAsia="Times New Roman" w:cs="Times New Roman"/>
                <w:kern w:val="0"/>
                <w:sz w:val="24"/>
                <w:szCs w:val="24"/>
                <w:lang w:val="ro-MD"/>
                <w14:ligatures w14:val="none"/>
              </w:rPr>
              <w:t>, aprobată prin Legea nr. 315/2022</w:t>
            </w:r>
            <w:r w:rsidRPr="004E0622">
              <w:rPr>
                <w:rFonts w:eastAsia="Times New Roman" w:cs="Times New Roman"/>
                <w:kern w:val="0"/>
                <w:sz w:val="24"/>
                <w:szCs w:val="24"/>
                <w:lang w:val="ro"/>
                <w14:ligatures w14:val="none"/>
              </w:rPr>
              <w:t>;</w:t>
            </w:r>
          </w:p>
          <w:p w14:paraId="789FBB48" w14:textId="77777777" w:rsidR="004E0622" w:rsidRPr="004E0622" w:rsidRDefault="004E0622" w:rsidP="004E0622">
            <w:pPr>
              <w:widowControl w:val="0"/>
              <w:tabs>
                <w:tab w:val="left" w:pos="426"/>
                <w:tab w:val="left" w:pos="990"/>
                <w:tab w:val="left" w:pos="1134"/>
              </w:tabs>
              <w:spacing w:after="0"/>
              <w:ind w:firstLine="554"/>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 Programul național de aderare a Republicii Moldova la Uniunea Europeană 2025–2029, </w:t>
            </w:r>
            <w:r w:rsidRPr="004E0622">
              <w:rPr>
                <w:rFonts w:eastAsia="Times New Roman" w:cs="Times New Roman"/>
                <w:kern w:val="0"/>
                <w:sz w:val="24"/>
                <w:szCs w:val="24"/>
                <w:lang w:val="ro-MD"/>
                <w14:ligatures w14:val="none"/>
              </w:rPr>
              <w:t>aprobat prin Hotărârea Guvernului nr. 305/2025</w:t>
            </w:r>
            <w:r w:rsidRPr="004E0622">
              <w:rPr>
                <w:rFonts w:eastAsia="Times New Roman" w:cs="Times New Roman"/>
                <w:kern w:val="0"/>
                <w:sz w:val="24"/>
                <w:szCs w:val="24"/>
                <w:lang w:val="ro"/>
                <w14:ligatures w14:val="none"/>
              </w:rPr>
              <w:t>;</w:t>
            </w:r>
          </w:p>
          <w:p w14:paraId="22E0A67B" w14:textId="77777777" w:rsidR="004E0622" w:rsidRPr="004E0622" w:rsidRDefault="004E0622" w:rsidP="004E0622">
            <w:pPr>
              <w:widowControl w:val="0"/>
              <w:tabs>
                <w:tab w:val="left" w:pos="426"/>
                <w:tab w:val="left" w:pos="990"/>
                <w:tab w:val="left" w:pos="1134"/>
              </w:tabs>
              <w:spacing w:after="0"/>
              <w:ind w:firstLine="554"/>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 Strategia Națională de Dezvoltare Economică, </w:t>
            </w:r>
            <w:r w:rsidRPr="004E0622">
              <w:rPr>
                <w:rFonts w:eastAsia="Times New Roman" w:cs="Times New Roman"/>
                <w:kern w:val="0"/>
                <w:sz w:val="24"/>
                <w:szCs w:val="24"/>
                <w:lang w:val="ro-MD"/>
                <w14:ligatures w14:val="none"/>
              </w:rPr>
              <w:t xml:space="preserve">aprobată prin Hotărârea Guvernului nr. 393/2024; </w:t>
            </w:r>
            <w:r w:rsidRPr="004E0622">
              <w:rPr>
                <w:rFonts w:eastAsia="Times New Roman" w:cs="Times New Roman"/>
                <w:kern w:val="0"/>
                <w:sz w:val="24"/>
                <w:szCs w:val="24"/>
                <w:lang w:val="ro"/>
                <w14:ligatures w14:val="none"/>
              </w:rPr>
              <w:t xml:space="preserve"> </w:t>
            </w:r>
          </w:p>
          <w:p w14:paraId="1F5F70C3" w14:textId="77777777" w:rsidR="004E0622" w:rsidRPr="004E0622" w:rsidRDefault="004E0622" w:rsidP="004E0622">
            <w:pPr>
              <w:widowControl w:val="0"/>
              <w:tabs>
                <w:tab w:val="left" w:pos="426"/>
                <w:tab w:val="left" w:pos="990"/>
                <w:tab w:val="left" w:pos="1134"/>
              </w:tabs>
              <w:spacing w:after="0"/>
              <w:ind w:firstLine="554"/>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Comunicarea Comisiei Uniunii Europene ”</w:t>
            </w:r>
            <w:r w:rsidRPr="004E0622">
              <w:rPr>
                <w:rFonts w:eastAsia="Times New Roman" w:cs="Times New Roman"/>
                <w:bCs/>
                <w:color w:val="000000"/>
                <w:kern w:val="0"/>
                <w:sz w:val="24"/>
                <w:szCs w:val="24"/>
                <w:shd w:val="clear" w:color="auto" w:fill="FFFFFF"/>
                <w:lang w:val="ro"/>
                <w14:ligatures w14:val="none"/>
              </w:rPr>
              <w:t>O strategie pentru IMM-uri pentru o Europă sustenabilă și digitală”</w:t>
            </w:r>
            <w:r w:rsidRPr="004E0622">
              <w:rPr>
                <w:rFonts w:eastAsia="Times New Roman" w:cs="Times New Roman"/>
                <w:b/>
                <w:bCs/>
                <w:color w:val="000000"/>
                <w:kern w:val="0"/>
                <w:sz w:val="24"/>
                <w:szCs w:val="24"/>
                <w:shd w:val="clear" w:color="auto" w:fill="FFFFFF"/>
                <w:lang w:val="ro"/>
                <w14:ligatures w14:val="none"/>
              </w:rPr>
              <w:t xml:space="preserve"> </w:t>
            </w:r>
            <w:hyperlink r:id="rId6" w:history="1">
              <w:r w:rsidRPr="004E0622">
                <w:rPr>
                  <w:rFonts w:eastAsia="Times New Roman" w:cs="Times New Roman"/>
                  <w:color w:val="0000FF"/>
                  <w:kern w:val="0"/>
                  <w:sz w:val="24"/>
                  <w:szCs w:val="24"/>
                  <w:u w:val="single"/>
                  <w:lang w:val="ro"/>
                  <w14:ligatures w14:val="none"/>
                </w:rPr>
                <w:t>https://eur-lex.europa.eu/legal-content/RO/TXT/HTML/?uri=CELEX:52020DC0103</w:t>
              </w:r>
            </w:hyperlink>
            <w:r w:rsidRPr="004E0622">
              <w:rPr>
                <w:rFonts w:eastAsia="Times New Roman" w:cs="Times New Roman"/>
                <w:kern w:val="0"/>
                <w:sz w:val="24"/>
                <w:szCs w:val="24"/>
                <w:lang w:val="ro"/>
                <w14:ligatures w14:val="none"/>
              </w:rPr>
              <w:t xml:space="preserve"> </w:t>
            </w:r>
          </w:p>
          <w:p w14:paraId="2B75A589" w14:textId="77777777" w:rsidR="004E0622" w:rsidRPr="004E0622" w:rsidRDefault="004E0622" w:rsidP="004E0622">
            <w:pPr>
              <w:widowControl w:val="0"/>
              <w:tabs>
                <w:tab w:val="left" w:pos="426"/>
                <w:tab w:val="left" w:pos="990"/>
                <w:tab w:val="left" w:pos="1134"/>
              </w:tabs>
              <w:spacing w:after="0"/>
              <w:ind w:firstLine="554"/>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Raportul „Small Business Act” pentru țările Parteneriatului Estic (2020–2023), precum și alte acte relevante.</w:t>
            </w:r>
          </w:p>
        </w:tc>
      </w:tr>
      <w:tr w:rsidR="004E0622" w:rsidRPr="00C27EE7" w14:paraId="4A061A1F" w14:textId="77777777" w:rsidTr="00B33EB0">
        <w:trPr>
          <w:trHeight w:val="285"/>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AD7F605" w14:textId="77777777" w:rsidR="004E0622" w:rsidRPr="004E0622" w:rsidRDefault="004E0622" w:rsidP="004E0622">
            <w:pPr>
              <w:widowControl w:val="0"/>
              <w:tabs>
                <w:tab w:val="left" w:pos="426"/>
                <w:tab w:val="left" w:pos="990"/>
                <w:tab w:val="left" w:pos="1134"/>
              </w:tabs>
              <w:spacing w:before="240" w:after="0" w:line="276" w:lineRule="auto"/>
              <w:jc w:val="both"/>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4. Principalele prevederi ale proiectului şi evidenţierea elementelor noi</w:t>
            </w:r>
          </w:p>
        </w:tc>
      </w:tr>
      <w:tr w:rsidR="004E0622" w:rsidRPr="00C27EE7" w14:paraId="34722CB8" w14:textId="77777777" w:rsidTr="00B33EB0">
        <w:trPr>
          <w:trHeight w:val="7395"/>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724FE49"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2"/>
                <w:lang w:val="ro"/>
                <w14:ligatures w14:val="none"/>
              </w:rPr>
              <w:lastRenderedPageBreak/>
              <w:t xml:space="preserve"> </w:t>
            </w:r>
            <w:r w:rsidRPr="004E0622">
              <w:rPr>
                <w:rFonts w:eastAsia="Times New Roman" w:cs="Times New Roman"/>
                <w:kern w:val="0"/>
                <w:sz w:val="24"/>
                <w:szCs w:val="24"/>
                <w:lang w:val="ro"/>
                <w14:ligatures w14:val="none"/>
              </w:rPr>
              <w:tab/>
            </w:r>
          </w:p>
          <w:p w14:paraId="113C2D5C"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b/>
                <w:bCs/>
                <w:kern w:val="0"/>
                <w:sz w:val="24"/>
                <w:szCs w:val="24"/>
                <w:lang w:val="ro"/>
                <w14:ligatures w14:val="none"/>
              </w:rPr>
              <w:t xml:space="preserve">     Scopul Programului PACC 2027</w:t>
            </w:r>
            <w:r w:rsidRPr="004E0622">
              <w:rPr>
                <w:rFonts w:eastAsia="Times New Roman" w:cs="Times New Roman"/>
                <w:kern w:val="0"/>
                <w:sz w:val="24"/>
                <w:szCs w:val="24"/>
                <w:lang w:val="ro"/>
                <w14:ligatures w14:val="none"/>
              </w:rPr>
              <w:t xml:space="preserve"> este dezvoltarea antreprenoriatului bazat pe inovare și specializare inteligentă, care să conducă la o economie durabilă, rezilientă și rezistentă la șocuri, generatoare de produse și servicii competitive pe piața Uniunii Europene. </w:t>
            </w:r>
          </w:p>
          <w:p w14:paraId="4CA4D90B"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În conformitate cu pct. 4 subpunctul 2 din Hotărârea Guvernului nr. 653/2023,  Ministerul Dezvoltării Economice și Digitalizării va prezenta propuneri argumentate privind actualizarea/modificarea, după caz, a Programului și elaborarea proiectului Planului de acțiuni pentru implementarea în anii 2026-2027 a Programului.</w:t>
            </w:r>
          </w:p>
          <w:p w14:paraId="6B2764CB"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În acest scop Ministerul a solicitat propuneri de la autoritățile publice și mediul de afaceri, în baza cărora a elaborat proiectul de modificare a Hotărârii Guvernului nr. 653/2023.</w:t>
            </w:r>
          </w:p>
          <w:p w14:paraId="6152ABDE"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 xml:space="preserve">     Proiectul prevede:</w:t>
            </w:r>
          </w:p>
          <w:p w14:paraId="3B9841AF"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-completarea Hotărârii Guvernului nr. 653/2023 cu noi dispoziții privind implementarea Planului de acțiuni pentru anii 2026–2027;</w:t>
            </w:r>
          </w:p>
          <w:p w14:paraId="5B1CAED7"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-ajustarea termenelor de raportare și monitorizare, în corelare cu ciclurile bugetare și de planificare strategică ale Guvernului;</w:t>
            </w:r>
          </w:p>
          <w:p w14:paraId="766C46E4"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-completarea Programului cu referințe la documentele strategice recente, inclusiv Strategia națională de dezvoltare economică 2030 (HG nr. 393/2024) și Programul național de aderare la Uniunea Europeană 2025–2029 (HG nr. 306/2025);</w:t>
            </w:r>
          </w:p>
          <w:p w14:paraId="32E8A266"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actualizarea Obiectivelor Generale și Specifice;</w:t>
            </w:r>
          </w:p>
          <w:p w14:paraId="21AAE96A"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stabilirea indicatorilor țintă ce urmează a fi atinși până în anul 2027;</w:t>
            </w:r>
          </w:p>
          <w:p w14:paraId="34C9507D"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-integrarea recomandărilor formulate în Raportul „Small Business Act” și în  Comunicarea Comisiei Uniunii Europene ”</w:t>
            </w:r>
            <w:r w:rsidRPr="004E0622">
              <w:rPr>
                <w:rFonts w:eastAsia="Times New Roman" w:cs="Times New Roman"/>
                <w:bCs/>
                <w:color w:val="000000"/>
                <w:kern w:val="0"/>
                <w:sz w:val="24"/>
                <w:szCs w:val="24"/>
                <w:shd w:val="clear" w:color="auto" w:fill="FFFFFF"/>
                <w:lang w:val="ro"/>
                <w14:ligatures w14:val="none"/>
              </w:rPr>
              <w:t>O strategie pentru IMM-uri pentru o Europă sustenabilă și digitală”</w:t>
            </w:r>
            <w:r w:rsidRPr="004E0622">
              <w:rPr>
                <w:rFonts w:eastAsia="Times New Roman" w:cs="Times New Roman"/>
                <w:kern w:val="0"/>
                <w:sz w:val="24"/>
                <w:szCs w:val="24"/>
                <w:lang w:val="ro"/>
                <w14:ligatures w14:val="none"/>
              </w:rPr>
              <w:t>;</w:t>
            </w:r>
          </w:p>
          <w:p w14:paraId="2A21A21B"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 completarea cu Planul de Acțiuni pentru implementarea Programului în anii 2026-2027, necesare pentru realizarea obiectivelor și atingerea indicatorilor stabiliți. </w:t>
            </w:r>
          </w:p>
          <w:p w14:paraId="67549F5A"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Acțiunile propuse sunt axate pe sprijinirea inovării, digitalizării, tranziției verzi și extinderii exporturilor.</w:t>
            </w:r>
          </w:p>
        </w:tc>
      </w:tr>
      <w:tr w:rsidR="004E0622" w:rsidRPr="004E0622" w14:paraId="40E5A273" w14:textId="77777777" w:rsidTr="00B33EB0">
        <w:trPr>
          <w:trHeight w:val="285"/>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1B2A4D56" w14:textId="77777777" w:rsidR="004E0622" w:rsidRPr="004E0622" w:rsidRDefault="004E0622" w:rsidP="004E0622">
            <w:pPr>
              <w:widowControl w:val="0"/>
              <w:tabs>
                <w:tab w:val="left" w:pos="426"/>
                <w:tab w:val="left" w:pos="990"/>
                <w:tab w:val="left" w:pos="1134"/>
              </w:tabs>
              <w:spacing w:before="240" w:after="0" w:line="276" w:lineRule="auto"/>
              <w:jc w:val="both"/>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5. Fundamentarea economico-financiară</w:t>
            </w:r>
          </w:p>
        </w:tc>
      </w:tr>
      <w:tr w:rsidR="004E0622" w:rsidRPr="00C27EE7" w14:paraId="0B881BB5" w14:textId="77777777" w:rsidTr="00B33EB0">
        <w:trPr>
          <w:trHeight w:val="9345"/>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495F72F"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lastRenderedPageBreak/>
              <w:t xml:space="preserve"> </w:t>
            </w:r>
            <w:r w:rsidRPr="004E0622">
              <w:rPr>
                <w:rFonts w:eastAsia="Times New Roman" w:cs="Times New Roman"/>
                <w:kern w:val="0"/>
                <w:sz w:val="24"/>
                <w:szCs w:val="24"/>
                <w:lang w:val="ro"/>
                <w14:ligatures w14:val="none"/>
              </w:rPr>
              <w:tab/>
            </w:r>
          </w:p>
          <w:p w14:paraId="4838A502"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     Activitățile planificate în Programul PACC 2027 sunt ajustate la programul bugetar 50 „Servicii general economice și comerciale”, în special subprogramul 5004 „Sprijin pentru întreprinderile mici și mijlocii”, acțiunile căruia sunt în concordanță directă cu scopul propus al Programului.</w:t>
            </w:r>
          </w:p>
          <w:p w14:paraId="401F1CE3"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  </w:t>
            </w:r>
            <w:r w:rsidRPr="004E0622">
              <w:rPr>
                <w:rFonts w:eastAsia="Times New Roman" w:cs="Times New Roman"/>
                <w:kern w:val="0"/>
                <w:sz w:val="24"/>
                <w:szCs w:val="24"/>
                <w:lang w:val="ro"/>
                <w14:ligatures w14:val="none"/>
              </w:rPr>
              <w:tab/>
              <w:t>Proiectul de modificare a Programului PACC 2027 conține evaluarea costurilor implementării acțiunilor planificate pentru anii 2026-2027. Documentul ia în considerare constrângerile fiscale și resursele disponibile ale statului și ale donatorilor în procesul de implementare a Planului de acțiuni pentru anii 2026-2027 al Programului PACC.</w:t>
            </w:r>
          </w:p>
          <w:p w14:paraId="04A3FE2B" w14:textId="77777777" w:rsidR="004E0622" w:rsidRPr="004E0622" w:rsidRDefault="004E0622" w:rsidP="004E0622">
            <w:pPr>
              <w:widowControl w:val="0"/>
              <w:pBdr>
                <w:top w:val="nil"/>
                <w:left w:val="nil"/>
                <w:bottom w:val="nil"/>
                <w:right w:val="nil"/>
                <w:between w:val="nil"/>
              </w:pBdr>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    Mijloacele financiare planificate în bugetele autorităților/instituțiilor responsabile în vederea realizării Programului PACC 2027 sunt repartizate, luându-se în considerație prevederile Strategiei sectoriale de cheltuieli (SSC) pentru anii 2025-2027, proiectul SSC pentru anii 2026-2028 și prioritățile Guvernului.</w:t>
            </w:r>
          </w:p>
          <w:p w14:paraId="27AD8D5E" w14:textId="200C0844" w:rsidR="004E0622" w:rsidRDefault="004E0622" w:rsidP="004E0622">
            <w:pPr>
              <w:widowControl w:val="0"/>
              <w:pBdr>
                <w:top w:val="nil"/>
                <w:left w:val="nil"/>
                <w:bottom w:val="nil"/>
                <w:right w:val="nil"/>
                <w:between w:val="nil"/>
              </w:pBdr>
              <w:tabs>
                <w:tab w:val="left" w:pos="426"/>
                <w:tab w:val="left" w:pos="990"/>
                <w:tab w:val="left" w:pos="1134"/>
              </w:tabs>
              <w:spacing w:after="0"/>
              <w:jc w:val="both"/>
              <w:rPr>
                <w:rFonts w:eastAsia="Times New Roman" w:cs="Times New Roman"/>
                <w:kern w:val="0"/>
                <w:sz w:val="24"/>
                <w:szCs w:val="24"/>
                <w:lang w:val="ro"/>
                <w14:ligatures w14:val="none"/>
              </w:rPr>
            </w:pPr>
            <w:r>
              <w:rPr>
                <w:rFonts w:eastAsia="Times New Roman" w:cs="Times New Roman"/>
                <w:kern w:val="0"/>
                <w:sz w:val="24"/>
                <w:szCs w:val="24"/>
                <w:lang w:val="ro"/>
                <w14:ligatures w14:val="none"/>
              </w:rPr>
              <w:t xml:space="preserve">    </w:t>
            </w:r>
            <w:r w:rsidRPr="004E0622">
              <w:rPr>
                <w:rFonts w:eastAsia="Times New Roman" w:cs="Times New Roman"/>
                <w:kern w:val="0"/>
                <w:sz w:val="24"/>
                <w:szCs w:val="24"/>
                <w:lang w:val="ro"/>
                <w14:ligatures w14:val="none"/>
              </w:rPr>
              <w:t>Costul total pentru implementarea Programului în anii 2026-2027 se estimează la cifra de 3 327 741,7 mii lei, dintre care 2 277 493,3  mii lei – din bugetul de stat, alte surse – 471 540,0  mii lei.</w:t>
            </w:r>
            <w:r>
              <w:rPr>
                <w:rFonts w:eastAsia="Times New Roman" w:cs="Times New Roman"/>
                <w:kern w:val="0"/>
                <w:sz w:val="24"/>
                <w:szCs w:val="24"/>
                <w:lang w:val="ro"/>
                <w14:ligatures w14:val="none"/>
              </w:rPr>
              <w:t xml:space="preserve"> </w:t>
            </w:r>
            <w:r w:rsidRPr="004E0622">
              <w:rPr>
                <w:rFonts w:eastAsia="Times New Roman" w:cs="Times New Roman"/>
                <w:kern w:val="0"/>
                <w:sz w:val="24"/>
                <w:szCs w:val="24"/>
                <w:lang w:val="ro"/>
                <w14:ligatures w14:val="none"/>
              </w:rPr>
              <w:t>Repartizate pe ani, costurile pentru implementarea Planului 2026-2027 se prezintă în felul următor:</w:t>
            </w:r>
            <w:r>
              <w:rPr>
                <w:rFonts w:eastAsia="Times New Roman" w:cs="Times New Roman"/>
                <w:kern w:val="0"/>
                <w:sz w:val="24"/>
                <w:szCs w:val="24"/>
                <w:lang w:val="ro"/>
                <w14:ligatures w14:val="none"/>
              </w:rPr>
              <w:t xml:space="preserve">  </w:t>
            </w:r>
          </w:p>
          <w:p w14:paraId="256D9E47" w14:textId="12537B4A" w:rsidR="004E0622" w:rsidRPr="004E0622" w:rsidRDefault="004E0622" w:rsidP="004E0622">
            <w:pPr>
              <w:pStyle w:val="Listparagraf"/>
              <w:widowControl w:val="0"/>
              <w:numPr>
                <w:ilvl w:val="0"/>
                <w:numId w:val="1"/>
              </w:numPr>
              <w:pBdr>
                <w:top w:val="nil"/>
                <w:left w:val="nil"/>
                <w:bottom w:val="nil"/>
                <w:right w:val="nil"/>
                <w:between w:val="nil"/>
              </w:pBdr>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pentru anul 2026:  1 663 174,1 mii lei, dintre care 1 086 102,5 mii lei – din bugetul de stat, alte surse – 297 120,0 mii lei.</w:t>
            </w:r>
          </w:p>
          <w:p w14:paraId="795DD099" w14:textId="0F32580D" w:rsidR="004E0622" w:rsidRPr="004E0622" w:rsidRDefault="004E0622" w:rsidP="004E0622">
            <w:pPr>
              <w:pStyle w:val="Listparagraf"/>
              <w:widowControl w:val="0"/>
              <w:numPr>
                <w:ilvl w:val="0"/>
                <w:numId w:val="1"/>
              </w:numPr>
              <w:pBdr>
                <w:top w:val="nil"/>
                <w:left w:val="nil"/>
                <w:bottom w:val="nil"/>
                <w:right w:val="nil"/>
                <w:between w:val="nil"/>
              </w:pBdr>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pentru anul 2027: 1 664 567,6 mii lei, dintre care 1 191 390,8 mii lei – din bugetul de stat, alte surse – 174 420,0 mii lei.</w:t>
            </w:r>
          </w:p>
          <w:p w14:paraId="1F187060" w14:textId="591195E6"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Pr>
                <w:rFonts w:eastAsia="Times New Roman" w:cs="Times New Roman"/>
                <w:kern w:val="0"/>
                <w:sz w:val="24"/>
                <w:szCs w:val="24"/>
                <w:lang w:val="ro"/>
                <w14:ligatures w14:val="none"/>
              </w:rPr>
              <w:t xml:space="preserve">    </w:t>
            </w:r>
            <w:r w:rsidRPr="004E0622">
              <w:rPr>
                <w:rFonts w:eastAsia="Times New Roman" w:cs="Times New Roman"/>
                <w:kern w:val="0"/>
                <w:sz w:val="24"/>
                <w:szCs w:val="24"/>
                <w:lang w:val="ro"/>
                <w14:ligatures w14:val="none"/>
              </w:rPr>
              <w:t>Repartizate pe obiective general</w:t>
            </w:r>
            <w:r>
              <w:rPr>
                <w:rFonts w:eastAsia="Times New Roman" w:cs="Times New Roman"/>
                <w:kern w:val="0"/>
                <w:sz w:val="24"/>
                <w:szCs w:val="24"/>
                <w:lang w:val="ro"/>
                <w14:ligatures w14:val="none"/>
              </w:rPr>
              <w:t>e</w:t>
            </w:r>
            <w:r w:rsidRPr="004E0622">
              <w:rPr>
                <w:rFonts w:eastAsia="Times New Roman" w:cs="Times New Roman"/>
                <w:kern w:val="0"/>
                <w:sz w:val="24"/>
                <w:szCs w:val="24"/>
                <w:lang w:val="ro"/>
                <w14:ligatures w14:val="none"/>
              </w:rPr>
              <w:t>, costurile pentru implementarea Planului 2026-2027 se prezintă în felul următor:</w:t>
            </w:r>
          </w:p>
          <w:p w14:paraId="079BD0D8" w14:textId="77777777" w:rsidR="004E0622" w:rsidRPr="004E0622" w:rsidRDefault="004E0622" w:rsidP="004E0622">
            <w:pPr>
              <w:pStyle w:val="Listparagraf"/>
              <w:widowControl w:val="0"/>
              <w:numPr>
                <w:ilvl w:val="0"/>
                <w:numId w:val="2"/>
              </w:numPr>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obiectivul general nr. 1: Total: 547 522,5 mii lei, dintre care 7 634,4 mii lei – din bugetul de stat, alte surse – 20 590,0 mii lei.</w:t>
            </w:r>
          </w:p>
          <w:p w14:paraId="7FA7AA42" w14:textId="77777777" w:rsidR="004E0622" w:rsidRPr="004E0622" w:rsidRDefault="004E0622" w:rsidP="004E0622">
            <w:pPr>
              <w:pStyle w:val="Listparagraf"/>
              <w:widowControl w:val="0"/>
              <w:numPr>
                <w:ilvl w:val="0"/>
                <w:numId w:val="2"/>
              </w:numPr>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obiectivul general nr. 2: Total: 2 309 464,4 mii lei, dintre care 1 863 064,4 mii lei – din bugetul de stat, alte surse – 445 280,0 mii lei</w:t>
            </w:r>
          </w:p>
          <w:p w14:paraId="5E3BA43B" w14:textId="77777777" w:rsidR="004E0622" w:rsidRPr="004E0622" w:rsidRDefault="004E0622" w:rsidP="004E0622">
            <w:pPr>
              <w:pStyle w:val="Listparagraf"/>
              <w:widowControl w:val="0"/>
              <w:numPr>
                <w:ilvl w:val="0"/>
                <w:numId w:val="2"/>
              </w:numPr>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obiectivul general nr. 3: Total: 470 754,7 mii lei, dintre care 406 794,4 mii lei – din bugetul de stat, alte surse – 5 670,0 mii lei</w:t>
            </w:r>
          </w:p>
          <w:p w14:paraId="2E3837E5" w14:textId="77777777" w:rsidR="004E0622" w:rsidRPr="004E0622" w:rsidRDefault="004E0622" w:rsidP="004E0622">
            <w:pPr>
              <w:widowControl w:val="0"/>
              <w:pBdr>
                <w:top w:val="nil"/>
                <w:left w:val="nil"/>
                <w:bottom w:val="nil"/>
                <w:right w:val="nil"/>
                <w:between w:val="nil"/>
              </w:pBdr>
              <w:tabs>
                <w:tab w:val="left" w:pos="426"/>
                <w:tab w:val="left" w:pos="990"/>
                <w:tab w:val="left" w:pos="1134"/>
              </w:tabs>
              <w:spacing w:after="0"/>
              <w:jc w:val="both"/>
              <w:rPr>
                <w:rFonts w:eastAsia="Times New Roman" w:cs="Times New Roman"/>
                <w:kern w:val="0"/>
                <w:sz w:val="16"/>
                <w:szCs w:val="16"/>
                <w:lang w:val="ro"/>
                <w14:ligatures w14:val="none"/>
              </w:rPr>
            </w:pPr>
          </w:p>
          <w:p w14:paraId="311847D2" w14:textId="326D1108" w:rsidR="004E0622" w:rsidRPr="004E0622" w:rsidRDefault="004E0622" w:rsidP="004E0622">
            <w:pPr>
              <w:widowControl w:val="0"/>
              <w:pBdr>
                <w:top w:val="nil"/>
                <w:left w:val="nil"/>
                <w:bottom w:val="nil"/>
                <w:right w:val="nil"/>
                <w:between w:val="nil"/>
              </w:pBdr>
              <w:tabs>
                <w:tab w:val="left" w:pos="426"/>
                <w:tab w:val="left" w:pos="990"/>
                <w:tab w:val="left" w:pos="1134"/>
              </w:tabs>
              <w:spacing w:after="0"/>
              <w:jc w:val="both"/>
              <w:rPr>
                <w:rFonts w:eastAsia="Times New Roman" w:cs="Times New Roman"/>
                <w:kern w:val="0"/>
                <w:sz w:val="24"/>
                <w:szCs w:val="24"/>
                <w:lang w:val="ro"/>
                <w14:ligatures w14:val="none"/>
              </w:rPr>
            </w:pPr>
            <w:r>
              <w:rPr>
                <w:rFonts w:eastAsia="Times New Roman" w:cs="Times New Roman"/>
                <w:kern w:val="0"/>
                <w:sz w:val="24"/>
                <w:szCs w:val="24"/>
                <w:lang w:val="ro"/>
                <w14:ligatures w14:val="none"/>
              </w:rPr>
              <w:t xml:space="preserve">    </w:t>
            </w:r>
            <w:r w:rsidRPr="004E0622">
              <w:rPr>
                <w:rFonts w:eastAsia="Times New Roman" w:cs="Times New Roman"/>
                <w:kern w:val="0"/>
                <w:sz w:val="24"/>
                <w:szCs w:val="24"/>
                <w:lang w:val="ro"/>
                <w14:ligatures w14:val="none"/>
              </w:rPr>
              <w:t>Expunerea detaliată pe obiective și pe acțiuni a sumei estimate se prezintă în capitolul XI prim  din Planul de acțiuni privind implementarea în anii 2026-2027 a Programului PACC 2027       Acțiunile propuse se vor realiza din contul și în limitele alocațiilor bugetare aprobate în bugetele autorităților publice, responsabile de implementare, precum și din alte surse legale, inclusiv fonduri externe nerambursabile, granturi și parteneriate public-private, în conformitate cu legislația în vigoare.</w:t>
            </w:r>
          </w:p>
        </w:tc>
      </w:tr>
      <w:tr w:rsidR="004E0622" w:rsidRPr="00C27EE7" w14:paraId="1299ECDD" w14:textId="77777777" w:rsidTr="00B33EB0">
        <w:trPr>
          <w:trHeight w:val="285"/>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F9BAF1D" w14:textId="77777777" w:rsidR="004E0622" w:rsidRPr="004E0622" w:rsidRDefault="004E0622" w:rsidP="004E0622">
            <w:pPr>
              <w:widowControl w:val="0"/>
              <w:tabs>
                <w:tab w:val="left" w:pos="426"/>
                <w:tab w:val="left" w:pos="990"/>
                <w:tab w:val="left" w:pos="1134"/>
              </w:tabs>
              <w:spacing w:before="240" w:after="0" w:line="276" w:lineRule="auto"/>
              <w:jc w:val="both"/>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6. Modul de încorporare a actului în cadrul normativ în vigoare</w:t>
            </w:r>
          </w:p>
        </w:tc>
      </w:tr>
      <w:tr w:rsidR="004E0622" w:rsidRPr="00C27EE7" w14:paraId="1CE2215F" w14:textId="77777777" w:rsidTr="00B33EB0">
        <w:trPr>
          <w:trHeight w:val="1376"/>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620A18B" w14:textId="77777777" w:rsidR="004E0622" w:rsidRPr="004E0622" w:rsidRDefault="004E0622" w:rsidP="004E0622">
            <w:pPr>
              <w:widowControl w:val="0"/>
              <w:spacing w:after="0"/>
              <w:ind w:hanging="8"/>
              <w:jc w:val="both"/>
              <w:rPr>
                <w:rFonts w:eastAsia="Times New Roman" w:cs="Times New Roman"/>
                <w:kern w:val="0"/>
                <w:sz w:val="24"/>
                <w:szCs w:val="24"/>
                <w:lang w:val="ro"/>
                <w14:ligatures w14:val="none"/>
              </w:rPr>
            </w:pPr>
            <w:r w:rsidRPr="004E0622">
              <w:rPr>
                <w:rFonts w:eastAsia="Times New Roman" w:cs="Times New Roman"/>
                <w:kern w:val="0"/>
                <w:sz w:val="22"/>
                <w:lang w:val="ro"/>
                <w14:ligatures w14:val="none"/>
              </w:rPr>
              <w:t xml:space="preserve">  </w:t>
            </w:r>
            <w:r w:rsidRPr="004E0622">
              <w:rPr>
                <w:rFonts w:eastAsia="Times New Roman" w:cs="Times New Roman"/>
                <w:kern w:val="0"/>
                <w:sz w:val="22"/>
                <w:lang w:val="ro"/>
                <w14:ligatures w14:val="none"/>
              </w:rPr>
              <w:tab/>
              <w:t>Proiectul hotărârii Guvernului pentru modificarea Hotărârii Guvernului nr. 653/2023 cu privire la aprobarea Programului național pentru promovarea antreprenoriatului </w:t>
            </w:r>
            <w:r w:rsidRPr="004E0622">
              <w:rPr>
                <w:rFonts w:eastAsia="Times New Roman" w:cs="Times New Roman"/>
                <w:kern w:val="0"/>
                <w:sz w:val="24"/>
                <w:szCs w:val="24"/>
                <w:lang w:val="ro"/>
                <w14:ligatures w14:val="none"/>
              </w:rPr>
              <w:t>și creșterea competitivității în anii 2023-2027 con</w:t>
            </w:r>
            <w:r w:rsidRPr="004E0622">
              <w:rPr>
                <w:rFonts w:eastAsia="Times New Roman" w:cs="Times New Roman"/>
                <w:kern w:val="0"/>
                <w:sz w:val="22"/>
                <w:lang w:val="ro"/>
                <w14:ligatures w14:val="none"/>
              </w:rPr>
              <w:t>ț</w:t>
            </w:r>
            <w:r w:rsidRPr="004E0622">
              <w:rPr>
                <w:rFonts w:eastAsia="Times New Roman" w:cs="Times New Roman"/>
                <w:kern w:val="0"/>
                <w:sz w:val="24"/>
                <w:szCs w:val="24"/>
                <w:lang w:val="ro"/>
                <w14:ligatures w14:val="none"/>
              </w:rPr>
              <w:t>ine</w:t>
            </w:r>
            <w:r w:rsidRPr="004E0622">
              <w:rPr>
                <w:rFonts w:eastAsia="Times New Roman" w:cs="Times New Roman"/>
                <w:kern w:val="0"/>
                <w:sz w:val="22"/>
                <w:lang w:val="ro"/>
                <w14:ligatures w14:val="none"/>
              </w:rPr>
              <w:t xml:space="preserve"> completarea acestuia cu noi acțiuni pentru anii 2026–2027, ajustarea indicatorilor de rezultat și actualizarea responsabililor de implementare, în vederea asigurării continuității și eficienței politicilor publice de sprijin al mediului de afaceri.</w:t>
            </w:r>
          </w:p>
        </w:tc>
      </w:tr>
      <w:tr w:rsidR="004E0622" w:rsidRPr="00C27EE7" w14:paraId="35FC0DF1" w14:textId="77777777" w:rsidTr="00B33EB0">
        <w:trPr>
          <w:trHeight w:val="420"/>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A27051E" w14:textId="77777777" w:rsidR="004E0622" w:rsidRPr="004E0622" w:rsidRDefault="004E0622" w:rsidP="004E0622">
            <w:pPr>
              <w:widowControl w:val="0"/>
              <w:tabs>
                <w:tab w:val="left" w:pos="426"/>
                <w:tab w:val="left" w:pos="990"/>
                <w:tab w:val="left" w:pos="1134"/>
              </w:tabs>
              <w:spacing w:before="240" w:after="0" w:line="276" w:lineRule="auto"/>
              <w:jc w:val="both"/>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7. Avizarea şi consultarea publică a proiectului</w:t>
            </w:r>
          </w:p>
        </w:tc>
      </w:tr>
      <w:tr w:rsidR="004E0622" w:rsidRPr="00C27EE7" w14:paraId="74495296" w14:textId="77777777" w:rsidTr="00B33EB0">
        <w:trPr>
          <w:trHeight w:val="2925"/>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21AF9950"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p>
          <w:p w14:paraId="689965D5"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     Avizul privind inițierea procesului de elaborare a proiectului Programului poate fi consultat la următorul link: </w:t>
            </w:r>
          </w:p>
          <w:p w14:paraId="5FE47910"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Asigurarea transparenței în procesul elaborării proiectului Programului va fi realizată în strictă conformitate cu prevederile Legii nr. 239/2008 privind transparența în procesul decizional, Legii nr. 100/2017 cu privire la actele normative, precum și a Hotărârii Guvernului nr. 386/2020 cu privire la planificarea strategică.</w:t>
            </w:r>
          </w:p>
          <w:p w14:paraId="5B054F1A" w14:textId="1D2BB3BD"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    Astfel, prin prisma prevederilor pct. 63.13 al Regulamentului cu privire la planificarea strategică, aprobat prin Hotărârea Guvernului nr.386/2020, proiectul va fi transmis spre consultare către Cancelaria de Stat și Ministerul Finanțelor.</w:t>
            </w:r>
          </w:p>
          <w:p w14:paraId="75B86EAF"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     Proiectul urmează a fi supus consultărilor publice, în conformitate cu Legea nr. 239/2008 privind transparența în procesul decizional, prin publicare pe pagina oficială a Ministerului Dezvoltării Economice și Digitalizării și pe particip.gov.md.</w:t>
            </w:r>
          </w:p>
          <w:p w14:paraId="3F7B3266"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    De asemenea, proiectul va fi transmis spre avizare ministerelor de resort, și spre consultare - mediului de afaceri, mediului academic, precum și altor instituții interesate. </w:t>
            </w:r>
          </w:p>
        </w:tc>
      </w:tr>
      <w:tr w:rsidR="004E0622" w:rsidRPr="004E0622" w14:paraId="55E96D84" w14:textId="77777777" w:rsidTr="00B33EB0">
        <w:trPr>
          <w:trHeight w:val="332"/>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BF23509" w14:textId="77777777" w:rsidR="004E0622" w:rsidRPr="004E0622" w:rsidRDefault="004E0622" w:rsidP="004E0622">
            <w:pPr>
              <w:widowControl w:val="0"/>
              <w:tabs>
                <w:tab w:val="left" w:pos="426"/>
                <w:tab w:val="left" w:pos="990"/>
                <w:tab w:val="left" w:pos="1134"/>
              </w:tabs>
              <w:spacing w:before="240" w:after="0" w:line="276" w:lineRule="auto"/>
              <w:jc w:val="both"/>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8. Constatările expertizei anticorupție</w:t>
            </w:r>
          </w:p>
        </w:tc>
      </w:tr>
      <w:tr w:rsidR="004E0622" w:rsidRPr="00C27EE7" w14:paraId="6988FC7A" w14:textId="77777777" w:rsidTr="00B33EB0">
        <w:trPr>
          <w:trHeight w:val="585"/>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771B3339" w14:textId="77777777" w:rsidR="004E0622" w:rsidRPr="004E0622" w:rsidRDefault="004E0622" w:rsidP="004E0622">
            <w:pPr>
              <w:widowControl w:val="0"/>
              <w:tabs>
                <w:tab w:val="left" w:pos="426"/>
                <w:tab w:val="left" w:pos="990"/>
                <w:tab w:val="left" w:pos="1134"/>
              </w:tabs>
              <w:spacing w:after="0"/>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Proiectul nu necesită efectuarea expertizei anticorupție obligatorii, deoarece documentele de politici sunt exceptate de la analiza anticorupție </w:t>
            </w:r>
          </w:p>
        </w:tc>
      </w:tr>
      <w:tr w:rsidR="004E0622" w:rsidRPr="004E0622" w14:paraId="1BDC34F5" w14:textId="77777777" w:rsidTr="00B33EB0">
        <w:trPr>
          <w:trHeight w:val="392"/>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474ACE61" w14:textId="77777777" w:rsidR="004E0622" w:rsidRPr="004E0622" w:rsidRDefault="004E0622" w:rsidP="004E0622">
            <w:pPr>
              <w:widowControl w:val="0"/>
              <w:tabs>
                <w:tab w:val="left" w:pos="426"/>
                <w:tab w:val="left" w:pos="990"/>
                <w:tab w:val="left" w:pos="1134"/>
              </w:tabs>
              <w:spacing w:before="240" w:after="0" w:line="276" w:lineRule="auto"/>
              <w:jc w:val="both"/>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9. Constatările expertizei de compatibilitate</w:t>
            </w:r>
          </w:p>
        </w:tc>
      </w:tr>
      <w:tr w:rsidR="004E0622" w:rsidRPr="00C27EE7" w14:paraId="14AC6198" w14:textId="77777777" w:rsidTr="00B33EB0">
        <w:trPr>
          <w:trHeight w:val="570"/>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69E86D0C" w14:textId="77777777" w:rsidR="004E0622" w:rsidRPr="004E0622" w:rsidRDefault="004E0622" w:rsidP="004E0622">
            <w:pPr>
              <w:widowControl w:val="0"/>
              <w:tabs>
                <w:tab w:val="left" w:pos="426"/>
                <w:tab w:val="left" w:pos="990"/>
                <w:tab w:val="left" w:pos="1134"/>
              </w:tabs>
              <w:spacing w:after="0"/>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Proiectul nu conține norme de aliniere la legislația europeană, respectiv, nu este necesară expertiza de compatibilitate.</w:t>
            </w:r>
          </w:p>
        </w:tc>
      </w:tr>
      <w:tr w:rsidR="004E0622" w:rsidRPr="004E0622" w14:paraId="1A07AEBC" w14:textId="77777777" w:rsidTr="00B33EB0">
        <w:trPr>
          <w:trHeight w:val="285"/>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428BDD7" w14:textId="77777777" w:rsidR="004E0622" w:rsidRPr="004E0622" w:rsidRDefault="004E0622" w:rsidP="004E0622">
            <w:pPr>
              <w:widowControl w:val="0"/>
              <w:tabs>
                <w:tab w:val="left" w:pos="426"/>
                <w:tab w:val="left" w:pos="990"/>
                <w:tab w:val="left" w:pos="1134"/>
              </w:tabs>
              <w:spacing w:before="240" w:after="0" w:line="276" w:lineRule="auto"/>
              <w:jc w:val="both"/>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10. Constatările expertizei juridice</w:t>
            </w:r>
          </w:p>
        </w:tc>
      </w:tr>
      <w:tr w:rsidR="004E0622" w:rsidRPr="00C27EE7" w14:paraId="4BB22B32" w14:textId="77777777" w:rsidTr="00B33EB0">
        <w:trPr>
          <w:trHeight w:val="675"/>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33C71CAB" w14:textId="77777777" w:rsidR="004E0622" w:rsidRPr="004E0622" w:rsidRDefault="004E0622" w:rsidP="004E0622">
            <w:pPr>
              <w:widowControl w:val="0"/>
              <w:tabs>
                <w:tab w:val="left" w:pos="426"/>
                <w:tab w:val="left" w:pos="990"/>
                <w:tab w:val="left" w:pos="1134"/>
              </w:tabs>
              <w:spacing w:after="0"/>
              <w:rPr>
                <w:rFonts w:eastAsia="Times New Roman" w:cs="Times New Roman"/>
                <w:kern w:val="0"/>
                <w:sz w:val="24"/>
                <w:szCs w:val="24"/>
                <w:lang w:val="ro"/>
                <w14:ligatures w14:val="none"/>
              </w:rPr>
            </w:pPr>
          </w:p>
          <w:p w14:paraId="78A392B3"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Expertiza juridică va fi efectuată de Ministerul Justiției conform procedurilor stabilite.</w:t>
            </w:r>
          </w:p>
          <w:p w14:paraId="363FE147" w14:textId="77777777" w:rsidR="004E0622" w:rsidRPr="004E0622" w:rsidRDefault="004E0622" w:rsidP="004E0622">
            <w:pPr>
              <w:widowControl w:val="0"/>
              <w:tabs>
                <w:tab w:val="left" w:pos="426"/>
                <w:tab w:val="left" w:pos="990"/>
                <w:tab w:val="left" w:pos="1134"/>
              </w:tabs>
              <w:spacing w:after="0"/>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Rezultatele expertizei juridice vor fi reflectate în Sinteza obiecțiilor și propunerilor.</w:t>
            </w:r>
          </w:p>
        </w:tc>
      </w:tr>
      <w:tr w:rsidR="004E0622" w:rsidRPr="004E0622" w14:paraId="0642FA99" w14:textId="77777777" w:rsidTr="00B33EB0">
        <w:trPr>
          <w:trHeight w:val="285"/>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0D30052B" w14:textId="77777777" w:rsidR="004E0622" w:rsidRPr="004E0622" w:rsidRDefault="004E0622" w:rsidP="004E0622">
            <w:pPr>
              <w:widowControl w:val="0"/>
              <w:tabs>
                <w:tab w:val="left" w:pos="426"/>
                <w:tab w:val="left" w:pos="990"/>
                <w:tab w:val="left" w:pos="1134"/>
              </w:tabs>
              <w:spacing w:before="240" w:after="0" w:line="276" w:lineRule="auto"/>
              <w:jc w:val="both"/>
              <w:rPr>
                <w:rFonts w:eastAsia="Times New Roman" w:cs="Times New Roman"/>
                <w:b/>
                <w:bCs/>
                <w:kern w:val="0"/>
                <w:sz w:val="24"/>
                <w:szCs w:val="24"/>
                <w:lang w:val="ro"/>
                <w14:ligatures w14:val="none"/>
              </w:rPr>
            </w:pPr>
            <w:r w:rsidRPr="004E0622">
              <w:rPr>
                <w:rFonts w:eastAsia="Times New Roman" w:cs="Times New Roman"/>
                <w:b/>
                <w:bCs/>
                <w:kern w:val="0"/>
                <w:sz w:val="24"/>
                <w:szCs w:val="24"/>
                <w:lang w:val="ro"/>
                <w14:ligatures w14:val="none"/>
              </w:rPr>
              <w:t>11. Constatările altor expertize</w:t>
            </w:r>
          </w:p>
        </w:tc>
      </w:tr>
      <w:tr w:rsidR="004E0622" w:rsidRPr="00C27EE7" w14:paraId="22400CF2" w14:textId="77777777" w:rsidTr="00B33EB0">
        <w:trPr>
          <w:trHeight w:val="450"/>
        </w:trPr>
        <w:tc>
          <w:tcPr>
            <w:tcW w:w="9330" w:type="dxa"/>
            <w:tcBorders>
              <w:top w:val="nil"/>
              <w:left w:val="single" w:sz="8" w:space="0" w:color="000000"/>
              <w:bottom w:val="single" w:sz="8" w:space="0" w:color="000000"/>
              <w:right w:val="single" w:sz="8" w:space="0" w:color="000000"/>
            </w:tcBorders>
            <w:tcMar>
              <w:top w:w="0" w:type="dxa"/>
              <w:left w:w="100" w:type="dxa"/>
              <w:bottom w:w="0" w:type="dxa"/>
              <w:right w:w="100" w:type="dxa"/>
            </w:tcMar>
          </w:tcPr>
          <w:p w14:paraId="529466FE" w14:textId="77777777" w:rsidR="004E0622" w:rsidRPr="004E0622" w:rsidRDefault="004E0622" w:rsidP="004E0622">
            <w:pPr>
              <w:widowControl w:val="0"/>
              <w:tabs>
                <w:tab w:val="left" w:pos="426"/>
                <w:tab w:val="left" w:pos="990"/>
                <w:tab w:val="left" w:pos="1134"/>
              </w:tabs>
              <w:spacing w:after="0"/>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Proiectul nu necesită alte expertize obligatorii. </w:t>
            </w:r>
          </w:p>
        </w:tc>
      </w:tr>
    </w:tbl>
    <w:p w14:paraId="0E3D5E42" w14:textId="77777777" w:rsidR="004E0622" w:rsidRPr="004E0622" w:rsidRDefault="004E0622" w:rsidP="004E0622">
      <w:pPr>
        <w:widowControl w:val="0"/>
        <w:tabs>
          <w:tab w:val="left" w:pos="426"/>
          <w:tab w:val="left" w:pos="990"/>
          <w:tab w:val="left" w:pos="1134"/>
        </w:tabs>
        <w:spacing w:before="240" w:after="0" w:line="276" w:lineRule="auto"/>
        <w:jc w:val="both"/>
        <w:rPr>
          <w:rFonts w:eastAsia="Times New Roman" w:cs="Times New Roman"/>
          <w:kern w:val="0"/>
          <w:sz w:val="24"/>
          <w:szCs w:val="24"/>
          <w:lang w:val="ro"/>
          <w14:ligatures w14:val="none"/>
        </w:rPr>
      </w:pPr>
      <w:r w:rsidRPr="004E0622">
        <w:rPr>
          <w:rFonts w:eastAsia="Times New Roman" w:cs="Times New Roman"/>
          <w:kern w:val="0"/>
          <w:sz w:val="24"/>
          <w:szCs w:val="24"/>
          <w:lang w:val="ro"/>
          <w14:ligatures w14:val="none"/>
        </w:rPr>
        <w:t xml:space="preserve"> </w:t>
      </w:r>
    </w:p>
    <w:p w14:paraId="6C09D489" w14:textId="77777777" w:rsidR="004E0622" w:rsidRP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kern w:val="0"/>
          <w:szCs w:val="28"/>
          <w:lang w:val="ro"/>
          <w14:ligatures w14:val="none"/>
        </w:rPr>
      </w:pPr>
    </w:p>
    <w:bookmarkEnd w:id="0"/>
    <w:p w14:paraId="502B69F4" w14:textId="77777777" w:rsidR="004E0622" w:rsidRP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kern w:val="0"/>
          <w:szCs w:val="28"/>
          <w:lang w:val="ro"/>
          <w14:ligatures w14:val="none"/>
        </w:rPr>
      </w:pPr>
    </w:p>
    <w:p w14:paraId="2C8C9BEB" w14:textId="77777777" w:rsidR="004E0622" w:rsidRPr="004E0622" w:rsidRDefault="004E0622" w:rsidP="004E0622">
      <w:pPr>
        <w:widowControl w:val="0"/>
        <w:tabs>
          <w:tab w:val="left" w:pos="426"/>
          <w:tab w:val="left" w:pos="990"/>
          <w:tab w:val="left" w:pos="1134"/>
        </w:tabs>
        <w:spacing w:after="0" w:line="276" w:lineRule="auto"/>
        <w:ind w:firstLine="426"/>
        <w:jc w:val="both"/>
        <w:rPr>
          <w:rFonts w:eastAsia="Times New Roman" w:cs="Times New Roman"/>
          <w:b/>
          <w:bCs/>
          <w:kern w:val="0"/>
          <w:szCs w:val="28"/>
          <w:lang w:val="ro"/>
          <w14:ligatures w14:val="none"/>
        </w:rPr>
      </w:pPr>
    </w:p>
    <w:p w14:paraId="4B6A76ED" w14:textId="77777777" w:rsid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i/>
          <w:iCs/>
          <w:kern w:val="0"/>
          <w:szCs w:val="28"/>
          <w:lang w:val="ro"/>
          <w14:ligatures w14:val="none"/>
        </w:rPr>
      </w:pPr>
    </w:p>
    <w:p w14:paraId="38E0BB2E" w14:textId="77777777" w:rsid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i/>
          <w:iCs/>
          <w:kern w:val="0"/>
          <w:szCs w:val="28"/>
          <w:lang w:val="ro"/>
          <w14:ligatures w14:val="none"/>
        </w:rPr>
      </w:pPr>
    </w:p>
    <w:p w14:paraId="746EA9A3" w14:textId="77777777" w:rsid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i/>
          <w:iCs/>
          <w:kern w:val="0"/>
          <w:szCs w:val="28"/>
          <w:lang w:val="ro"/>
          <w14:ligatures w14:val="none"/>
        </w:rPr>
      </w:pPr>
    </w:p>
    <w:p w14:paraId="38CAB8CB" w14:textId="77777777" w:rsid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i/>
          <w:iCs/>
          <w:kern w:val="0"/>
          <w:szCs w:val="28"/>
          <w:lang w:val="ro"/>
          <w14:ligatures w14:val="none"/>
        </w:rPr>
      </w:pPr>
    </w:p>
    <w:p w14:paraId="6EB179F2" w14:textId="77777777" w:rsid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i/>
          <w:iCs/>
          <w:kern w:val="0"/>
          <w:szCs w:val="28"/>
          <w:lang w:val="ro"/>
          <w14:ligatures w14:val="none"/>
        </w:rPr>
      </w:pPr>
    </w:p>
    <w:p w14:paraId="02856808" w14:textId="77777777" w:rsid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i/>
          <w:iCs/>
          <w:kern w:val="0"/>
          <w:szCs w:val="28"/>
          <w:lang w:val="ro"/>
          <w14:ligatures w14:val="none"/>
        </w:rPr>
      </w:pPr>
    </w:p>
    <w:p w14:paraId="0FFDD557" w14:textId="77777777" w:rsid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i/>
          <w:iCs/>
          <w:kern w:val="0"/>
          <w:szCs w:val="28"/>
          <w:lang w:val="ro"/>
          <w14:ligatures w14:val="none"/>
        </w:rPr>
      </w:pPr>
    </w:p>
    <w:p w14:paraId="24E25EDB" w14:textId="77777777" w:rsid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i/>
          <w:iCs/>
          <w:kern w:val="0"/>
          <w:szCs w:val="28"/>
          <w:lang w:val="ro"/>
          <w14:ligatures w14:val="none"/>
        </w:rPr>
      </w:pPr>
    </w:p>
    <w:p w14:paraId="750F7793" w14:textId="77777777" w:rsid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i/>
          <w:iCs/>
          <w:kern w:val="0"/>
          <w:szCs w:val="28"/>
          <w:lang w:val="ro"/>
          <w14:ligatures w14:val="none"/>
        </w:rPr>
      </w:pPr>
    </w:p>
    <w:p w14:paraId="0729AF5E" w14:textId="77777777" w:rsidR="004E0622" w:rsidRDefault="004E0622" w:rsidP="004E0622">
      <w:pPr>
        <w:widowControl w:val="0"/>
        <w:tabs>
          <w:tab w:val="left" w:pos="426"/>
          <w:tab w:val="left" w:pos="990"/>
          <w:tab w:val="left" w:pos="1134"/>
        </w:tabs>
        <w:spacing w:after="0" w:line="276" w:lineRule="auto"/>
        <w:ind w:right="173" w:firstLine="426"/>
        <w:jc w:val="right"/>
        <w:rPr>
          <w:rFonts w:eastAsia="Times New Roman" w:cs="Times New Roman"/>
          <w:i/>
          <w:iCs/>
          <w:kern w:val="0"/>
          <w:szCs w:val="28"/>
          <w:lang w:val="ro"/>
          <w14:ligatures w14:val="none"/>
        </w:rPr>
      </w:pPr>
    </w:p>
    <w:sectPr w:rsidR="004E062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F1114E"/>
    <w:multiLevelType w:val="hybridMultilevel"/>
    <w:tmpl w:val="24C06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60111D"/>
    <w:multiLevelType w:val="hybridMultilevel"/>
    <w:tmpl w:val="61824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3705415">
    <w:abstractNumId w:val="1"/>
  </w:num>
  <w:num w:numId="2" w16cid:durableId="1666747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0622"/>
    <w:rsid w:val="004E0622"/>
    <w:rsid w:val="00686F32"/>
    <w:rsid w:val="006B5884"/>
    <w:rsid w:val="006C0B77"/>
    <w:rsid w:val="00712BC5"/>
    <w:rsid w:val="008242FF"/>
    <w:rsid w:val="00870751"/>
    <w:rsid w:val="00922C48"/>
    <w:rsid w:val="00A92DD0"/>
    <w:rsid w:val="00B915B7"/>
    <w:rsid w:val="00C27EE7"/>
    <w:rsid w:val="00D879E3"/>
    <w:rsid w:val="00EA59DF"/>
    <w:rsid w:val="00EE4070"/>
    <w:rsid w:val="00F12C76"/>
    <w:rsid w:val="00FA54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54D8F"/>
  <w15:chartTrackingRefBased/>
  <w15:docId w15:val="{F3E60863-4FBB-4875-BDC4-04EBF75B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Titlu1">
    <w:name w:val="heading 1"/>
    <w:basedOn w:val="Normal"/>
    <w:next w:val="Normal"/>
    <w:link w:val="Titlu1Caracter"/>
    <w:uiPriority w:val="9"/>
    <w:qFormat/>
    <w:rsid w:val="004E062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lu2">
    <w:name w:val="heading 2"/>
    <w:basedOn w:val="Normal"/>
    <w:next w:val="Normal"/>
    <w:link w:val="Titlu2Caracter"/>
    <w:uiPriority w:val="9"/>
    <w:semiHidden/>
    <w:unhideWhenUsed/>
    <w:qFormat/>
    <w:rsid w:val="004E0622"/>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lu3">
    <w:name w:val="heading 3"/>
    <w:basedOn w:val="Normal"/>
    <w:next w:val="Normal"/>
    <w:link w:val="Titlu3Caracter"/>
    <w:uiPriority w:val="9"/>
    <w:semiHidden/>
    <w:unhideWhenUsed/>
    <w:qFormat/>
    <w:rsid w:val="004E0622"/>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Titlu4">
    <w:name w:val="heading 4"/>
    <w:basedOn w:val="Normal"/>
    <w:next w:val="Normal"/>
    <w:link w:val="Titlu4Caracter"/>
    <w:uiPriority w:val="9"/>
    <w:semiHidden/>
    <w:unhideWhenUsed/>
    <w:qFormat/>
    <w:rsid w:val="004E0622"/>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Titlu5">
    <w:name w:val="heading 5"/>
    <w:basedOn w:val="Normal"/>
    <w:next w:val="Normal"/>
    <w:link w:val="Titlu5Caracter"/>
    <w:uiPriority w:val="9"/>
    <w:semiHidden/>
    <w:unhideWhenUsed/>
    <w:qFormat/>
    <w:rsid w:val="004E0622"/>
    <w:pPr>
      <w:keepNext/>
      <w:keepLines/>
      <w:spacing w:before="80" w:after="40"/>
      <w:outlineLvl w:val="4"/>
    </w:pPr>
    <w:rPr>
      <w:rFonts w:asciiTheme="minorHAnsi" w:eastAsiaTheme="majorEastAsia" w:hAnsiTheme="minorHAnsi" w:cstheme="majorBidi"/>
      <w:color w:val="2E74B5" w:themeColor="accent1" w:themeShade="BF"/>
    </w:rPr>
  </w:style>
  <w:style w:type="paragraph" w:styleId="Titlu6">
    <w:name w:val="heading 6"/>
    <w:basedOn w:val="Normal"/>
    <w:next w:val="Normal"/>
    <w:link w:val="Titlu6Caracter"/>
    <w:uiPriority w:val="9"/>
    <w:semiHidden/>
    <w:unhideWhenUsed/>
    <w:qFormat/>
    <w:rsid w:val="004E06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itlu7">
    <w:name w:val="heading 7"/>
    <w:basedOn w:val="Normal"/>
    <w:next w:val="Normal"/>
    <w:link w:val="Titlu7Caracter"/>
    <w:uiPriority w:val="9"/>
    <w:semiHidden/>
    <w:unhideWhenUsed/>
    <w:qFormat/>
    <w:rsid w:val="004E0622"/>
    <w:pPr>
      <w:keepNext/>
      <w:keepLines/>
      <w:spacing w:before="40" w:after="0"/>
      <w:outlineLvl w:val="6"/>
    </w:pPr>
    <w:rPr>
      <w:rFonts w:asciiTheme="minorHAnsi" w:eastAsiaTheme="majorEastAsia" w:hAnsiTheme="minorHAnsi" w:cstheme="majorBidi"/>
      <w:color w:val="595959" w:themeColor="text1" w:themeTint="A6"/>
    </w:rPr>
  </w:style>
  <w:style w:type="paragraph" w:styleId="Titlu8">
    <w:name w:val="heading 8"/>
    <w:basedOn w:val="Normal"/>
    <w:next w:val="Normal"/>
    <w:link w:val="Titlu8Caracter"/>
    <w:uiPriority w:val="9"/>
    <w:semiHidden/>
    <w:unhideWhenUsed/>
    <w:qFormat/>
    <w:rsid w:val="004E0622"/>
    <w:pPr>
      <w:keepNext/>
      <w:keepLines/>
      <w:spacing w:after="0"/>
      <w:outlineLvl w:val="7"/>
    </w:pPr>
    <w:rPr>
      <w:rFonts w:asciiTheme="minorHAnsi" w:eastAsiaTheme="majorEastAsia" w:hAnsiTheme="minorHAnsi" w:cstheme="majorBidi"/>
      <w:i/>
      <w:iCs/>
      <w:color w:val="272727" w:themeColor="text1" w:themeTint="D8"/>
    </w:rPr>
  </w:style>
  <w:style w:type="paragraph" w:styleId="Titlu9">
    <w:name w:val="heading 9"/>
    <w:basedOn w:val="Normal"/>
    <w:next w:val="Normal"/>
    <w:link w:val="Titlu9Caracter"/>
    <w:uiPriority w:val="9"/>
    <w:semiHidden/>
    <w:unhideWhenUsed/>
    <w:qFormat/>
    <w:rsid w:val="004E0622"/>
    <w:pPr>
      <w:keepNext/>
      <w:keepLines/>
      <w:spacing w:after="0"/>
      <w:outlineLvl w:val="8"/>
    </w:pPr>
    <w:rPr>
      <w:rFonts w:asciiTheme="minorHAnsi" w:eastAsiaTheme="majorEastAsia" w:hAnsiTheme="minorHAnsi"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E0622"/>
    <w:rPr>
      <w:rFonts w:asciiTheme="majorHAnsi" w:eastAsiaTheme="majorEastAsia" w:hAnsiTheme="majorHAnsi" w:cstheme="majorBidi"/>
      <w:color w:val="2E74B5" w:themeColor="accent1" w:themeShade="BF"/>
      <w:sz w:val="40"/>
      <w:szCs w:val="40"/>
    </w:rPr>
  </w:style>
  <w:style w:type="character" w:customStyle="1" w:styleId="Titlu2Caracter">
    <w:name w:val="Titlu 2 Caracter"/>
    <w:basedOn w:val="Fontdeparagrafimplicit"/>
    <w:link w:val="Titlu2"/>
    <w:uiPriority w:val="9"/>
    <w:semiHidden/>
    <w:rsid w:val="004E0622"/>
    <w:rPr>
      <w:rFonts w:asciiTheme="majorHAnsi" w:eastAsiaTheme="majorEastAsia" w:hAnsiTheme="majorHAnsi" w:cstheme="majorBidi"/>
      <w:color w:val="2E74B5" w:themeColor="accent1" w:themeShade="BF"/>
      <w:sz w:val="32"/>
      <w:szCs w:val="32"/>
    </w:rPr>
  </w:style>
  <w:style w:type="character" w:customStyle="1" w:styleId="Titlu3Caracter">
    <w:name w:val="Titlu 3 Caracter"/>
    <w:basedOn w:val="Fontdeparagrafimplicit"/>
    <w:link w:val="Titlu3"/>
    <w:uiPriority w:val="9"/>
    <w:semiHidden/>
    <w:rsid w:val="004E0622"/>
    <w:rPr>
      <w:rFonts w:eastAsiaTheme="majorEastAsia" w:cstheme="majorBidi"/>
      <w:color w:val="2E74B5" w:themeColor="accent1" w:themeShade="BF"/>
      <w:sz w:val="28"/>
      <w:szCs w:val="28"/>
    </w:rPr>
  </w:style>
  <w:style w:type="character" w:customStyle="1" w:styleId="Titlu4Caracter">
    <w:name w:val="Titlu 4 Caracter"/>
    <w:basedOn w:val="Fontdeparagrafimplicit"/>
    <w:link w:val="Titlu4"/>
    <w:uiPriority w:val="9"/>
    <w:semiHidden/>
    <w:rsid w:val="004E0622"/>
    <w:rPr>
      <w:rFonts w:eastAsiaTheme="majorEastAsia" w:cstheme="majorBidi"/>
      <w:i/>
      <w:iCs/>
      <w:color w:val="2E74B5" w:themeColor="accent1" w:themeShade="BF"/>
      <w:sz w:val="28"/>
    </w:rPr>
  </w:style>
  <w:style w:type="character" w:customStyle="1" w:styleId="Titlu5Caracter">
    <w:name w:val="Titlu 5 Caracter"/>
    <w:basedOn w:val="Fontdeparagrafimplicit"/>
    <w:link w:val="Titlu5"/>
    <w:uiPriority w:val="9"/>
    <w:semiHidden/>
    <w:rsid w:val="004E0622"/>
    <w:rPr>
      <w:rFonts w:eastAsiaTheme="majorEastAsia" w:cstheme="majorBidi"/>
      <w:color w:val="2E74B5" w:themeColor="accent1" w:themeShade="BF"/>
      <w:sz w:val="28"/>
    </w:rPr>
  </w:style>
  <w:style w:type="character" w:customStyle="1" w:styleId="Titlu6Caracter">
    <w:name w:val="Titlu 6 Caracter"/>
    <w:basedOn w:val="Fontdeparagrafimplicit"/>
    <w:link w:val="Titlu6"/>
    <w:uiPriority w:val="9"/>
    <w:semiHidden/>
    <w:rsid w:val="004E0622"/>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4E0622"/>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4E0622"/>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4E0622"/>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4E0622"/>
    <w:pPr>
      <w:spacing w:after="80"/>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4E0622"/>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4E0622"/>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uCaracter">
    <w:name w:val="Subtitlu Caracter"/>
    <w:basedOn w:val="Fontdeparagrafimplicit"/>
    <w:link w:val="Subtitlu"/>
    <w:uiPriority w:val="11"/>
    <w:rsid w:val="004E0622"/>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4E0622"/>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4E0622"/>
    <w:rPr>
      <w:rFonts w:ascii="Times New Roman" w:hAnsi="Times New Roman"/>
      <w:i/>
      <w:iCs/>
      <w:color w:val="404040" w:themeColor="text1" w:themeTint="BF"/>
      <w:sz w:val="28"/>
    </w:rPr>
  </w:style>
  <w:style w:type="paragraph" w:styleId="Listparagraf">
    <w:name w:val="List Paragraph"/>
    <w:basedOn w:val="Normal"/>
    <w:uiPriority w:val="34"/>
    <w:qFormat/>
    <w:rsid w:val="004E0622"/>
    <w:pPr>
      <w:ind w:left="720"/>
      <w:contextualSpacing/>
    </w:pPr>
  </w:style>
  <w:style w:type="character" w:styleId="Accentuareintens">
    <w:name w:val="Intense Emphasis"/>
    <w:basedOn w:val="Fontdeparagrafimplicit"/>
    <w:uiPriority w:val="21"/>
    <w:qFormat/>
    <w:rsid w:val="004E0622"/>
    <w:rPr>
      <w:i/>
      <w:iCs/>
      <w:color w:val="2E74B5" w:themeColor="accent1" w:themeShade="BF"/>
    </w:rPr>
  </w:style>
  <w:style w:type="paragraph" w:styleId="Citatintens">
    <w:name w:val="Intense Quote"/>
    <w:basedOn w:val="Normal"/>
    <w:next w:val="Normal"/>
    <w:link w:val="CitatintensCaracter"/>
    <w:uiPriority w:val="30"/>
    <w:qFormat/>
    <w:rsid w:val="004E0622"/>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ntensCaracter">
    <w:name w:val="Citat intens Caracter"/>
    <w:basedOn w:val="Fontdeparagrafimplicit"/>
    <w:link w:val="Citatintens"/>
    <w:uiPriority w:val="30"/>
    <w:rsid w:val="004E0622"/>
    <w:rPr>
      <w:rFonts w:ascii="Times New Roman" w:hAnsi="Times New Roman"/>
      <w:i/>
      <w:iCs/>
      <w:color w:val="2E74B5" w:themeColor="accent1" w:themeShade="BF"/>
      <w:sz w:val="28"/>
    </w:rPr>
  </w:style>
  <w:style w:type="character" w:styleId="Referireintens">
    <w:name w:val="Intense Reference"/>
    <w:basedOn w:val="Fontdeparagrafimplicit"/>
    <w:uiPriority w:val="32"/>
    <w:qFormat/>
    <w:rsid w:val="004E0622"/>
    <w:rPr>
      <w:b/>
      <w:bCs/>
      <w:smallCaps/>
      <w:color w:val="2E74B5" w:themeColor="accent1" w:themeShade="BF"/>
      <w:spacing w:val="5"/>
    </w:rPr>
  </w:style>
  <w:style w:type="paragraph" w:styleId="Textcomentariu">
    <w:name w:val="annotation text"/>
    <w:basedOn w:val="Normal"/>
    <w:link w:val="TextcomentariuCaracter"/>
    <w:uiPriority w:val="99"/>
    <w:semiHidden/>
    <w:unhideWhenUsed/>
    <w:rsid w:val="004E0622"/>
    <w:rPr>
      <w:sz w:val="20"/>
      <w:szCs w:val="20"/>
    </w:rPr>
  </w:style>
  <w:style w:type="character" w:customStyle="1" w:styleId="TextcomentariuCaracter">
    <w:name w:val="Text comentariu Caracter"/>
    <w:basedOn w:val="Fontdeparagrafimplicit"/>
    <w:link w:val="Textcomentariu"/>
    <w:uiPriority w:val="99"/>
    <w:semiHidden/>
    <w:rsid w:val="004E0622"/>
    <w:rPr>
      <w:rFonts w:ascii="Times New Roman" w:hAnsi="Times New Roman"/>
      <w:sz w:val="20"/>
      <w:szCs w:val="20"/>
    </w:rPr>
  </w:style>
  <w:style w:type="character" w:styleId="Referincomentariu">
    <w:name w:val="annotation reference"/>
    <w:basedOn w:val="Fontdeparagrafimplicit"/>
    <w:uiPriority w:val="99"/>
    <w:unhideWhenUsed/>
    <w:rsid w:val="004E062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ur-lex.europa.eu/legal-content/RO/TXT/HTML/?uri=CELEX:52020DC0103"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736B52-8340-4807-A8AC-82DEAA4C2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1573</Words>
  <Characters>9125</Characters>
  <Application>Microsoft Office Word</Application>
  <DocSecurity>0</DocSecurity>
  <Lines>76</Lines>
  <Paragraphs>21</Paragraphs>
  <ScaleCrop>false</ScaleCrop>
  <Company/>
  <LinksUpToDate>false</LinksUpToDate>
  <CharactersWithSpaces>10677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Anastasia Ungureanu</dc:creator>
  <cp:keywords/>
  <dc:description/>
  <cp:lastModifiedBy>Anastasia</cp:lastModifiedBy>
  <cp:revision>6</cp:revision>
  <dcterms:created xsi:type="dcterms:W3CDTF">2025-12-02T06:08:00Z</dcterms:created>
  <dcterms:modified xsi:type="dcterms:W3CDTF">2025-12-02T06:09:00Z</dcterms:modified>
</cp:coreProperties>
</file>