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DFDC" w14:textId="77777777" w:rsidR="00B92A21" w:rsidRPr="00EB5E76" w:rsidRDefault="00B92A21" w:rsidP="005B496E">
      <w:pPr>
        <w:tabs>
          <w:tab w:val="left" w:pos="884"/>
          <w:tab w:val="left" w:pos="1196"/>
        </w:tabs>
        <w:spacing w:after="0"/>
        <w:jc w:val="center"/>
        <w:rPr>
          <w:rFonts w:ascii="Times New Roman" w:hAnsi="Times New Roman"/>
          <w:b/>
          <w:sz w:val="24"/>
          <w:szCs w:val="24"/>
          <w:lang w:val="ro-MD"/>
        </w:rPr>
      </w:pPr>
      <w:r w:rsidRPr="00EB5E76">
        <w:rPr>
          <w:rFonts w:ascii="Times New Roman" w:hAnsi="Times New Roman"/>
          <w:b/>
          <w:sz w:val="24"/>
          <w:szCs w:val="24"/>
          <w:lang w:val="ro-MD"/>
        </w:rPr>
        <w:t xml:space="preserve">SINTEZA </w:t>
      </w:r>
    </w:p>
    <w:p w14:paraId="1611A8A2" w14:textId="4334AF3D" w:rsidR="00B92A21" w:rsidRPr="00EB5E76" w:rsidRDefault="00620023" w:rsidP="00BF0C7C">
      <w:pPr>
        <w:tabs>
          <w:tab w:val="left" w:pos="884"/>
          <w:tab w:val="left" w:pos="1196"/>
        </w:tabs>
        <w:spacing w:after="0"/>
        <w:jc w:val="center"/>
        <w:rPr>
          <w:rFonts w:ascii="Times New Roman" w:hAnsi="Times New Roman"/>
          <w:b/>
          <w:sz w:val="24"/>
          <w:szCs w:val="24"/>
          <w:lang w:val="ro-MD"/>
        </w:rPr>
      </w:pPr>
      <w:r w:rsidRPr="00EB5E76">
        <w:rPr>
          <w:rFonts w:ascii="Times New Roman" w:hAnsi="Times New Roman"/>
          <w:b/>
          <w:sz w:val="24"/>
          <w:szCs w:val="24"/>
          <w:lang w:val="ro-MD"/>
        </w:rPr>
        <w:t>obiecțiilor</w:t>
      </w:r>
      <w:r w:rsidR="005B496E" w:rsidRPr="00EB5E76">
        <w:rPr>
          <w:rFonts w:ascii="Times New Roman" w:hAnsi="Times New Roman"/>
          <w:b/>
          <w:sz w:val="24"/>
          <w:szCs w:val="24"/>
          <w:lang w:val="ro-MD"/>
        </w:rPr>
        <w:t xml:space="preserve"> şi propunerilor/recomandărilor</w:t>
      </w:r>
    </w:p>
    <w:p w14:paraId="48B87919" w14:textId="6349EB9A" w:rsidR="002C323A" w:rsidRPr="00EB5E76" w:rsidRDefault="005A09BF" w:rsidP="00BF0C7C">
      <w:pPr>
        <w:tabs>
          <w:tab w:val="left" w:pos="884"/>
          <w:tab w:val="left" w:pos="1196"/>
        </w:tabs>
        <w:spacing w:after="0" w:line="240" w:lineRule="auto"/>
        <w:ind w:firstLine="702"/>
        <w:jc w:val="center"/>
        <w:rPr>
          <w:rFonts w:ascii="Times New Roman" w:hAnsi="Times New Roman"/>
          <w:b/>
          <w:i/>
          <w:color w:val="000000"/>
          <w:sz w:val="24"/>
          <w:szCs w:val="24"/>
          <w:shd w:val="clear" w:color="auto" w:fill="F8FAFC"/>
          <w:lang w:val="ro-RO"/>
        </w:rPr>
      </w:pPr>
      <w:r w:rsidRPr="00EB5E76">
        <w:rPr>
          <w:rFonts w:ascii="Times New Roman" w:hAnsi="Times New Roman"/>
          <w:lang w:val="ro-MD"/>
        </w:rPr>
        <w:t>la proiectului hotărârii Guvernului pentru modificarea Hotărârii Guvernului nr.1060/2023 cu privire la organizarea și funcționarea Instituției Publice Centrul Național pentru Energie Durabilă</w:t>
      </w:r>
      <w:r w:rsidRPr="00EB5E76">
        <w:rPr>
          <w:rFonts w:ascii="Times New Roman" w:hAnsi="Times New Roman"/>
          <w:b/>
          <w:i/>
          <w:color w:val="000000"/>
          <w:sz w:val="24"/>
          <w:szCs w:val="24"/>
          <w:shd w:val="clear" w:color="auto" w:fill="F8FAFC"/>
          <w:lang w:val="ro-RO"/>
        </w:rPr>
        <w:t xml:space="preserve"> </w:t>
      </w:r>
      <w:r w:rsidR="00F063EC" w:rsidRPr="00EB5E76">
        <w:rPr>
          <w:rFonts w:ascii="Times New Roman" w:hAnsi="Times New Roman"/>
          <w:b/>
          <w:i/>
          <w:color w:val="000000"/>
          <w:sz w:val="24"/>
          <w:szCs w:val="24"/>
          <w:shd w:val="clear" w:color="auto" w:fill="F8FAFC"/>
          <w:lang w:val="ro-RO"/>
        </w:rPr>
        <w:t xml:space="preserve">(nr. unic </w:t>
      </w:r>
      <w:r w:rsidRPr="00EB5E76">
        <w:rPr>
          <w:rFonts w:ascii="Times New Roman" w:hAnsi="Times New Roman"/>
          <w:b/>
          <w:i/>
          <w:color w:val="000000"/>
          <w:sz w:val="24"/>
          <w:szCs w:val="24"/>
          <w:shd w:val="clear" w:color="auto" w:fill="F8FAFC"/>
          <w:lang w:val="ro-RO"/>
        </w:rPr>
        <w:t>756</w:t>
      </w:r>
      <w:r w:rsidR="00F063EC" w:rsidRPr="00EB5E76">
        <w:rPr>
          <w:rFonts w:ascii="Times New Roman" w:hAnsi="Times New Roman"/>
          <w:b/>
          <w:i/>
          <w:color w:val="000000"/>
          <w:sz w:val="24"/>
          <w:szCs w:val="24"/>
          <w:shd w:val="clear" w:color="auto" w:fill="F8FAFC"/>
          <w:lang w:val="ro-RO"/>
        </w:rPr>
        <w:t>/MEn/2025)</w:t>
      </w:r>
    </w:p>
    <w:p w14:paraId="6A833A04" w14:textId="77777777" w:rsidR="00F063EC" w:rsidRPr="00EB5E76" w:rsidRDefault="00F063EC" w:rsidP="00BF0C7C">
      <w:pPr>
        <w:tabs>
          <w:tab w:val="left" w:pos="884"/>
          <w:tab w:val="left" w:pos="1196"/>
        </w:tabs>
        <w:spacing w:after="0" w:line="240" w:lineRule="auto"/>
        <w:ind w:firstLine="702"/>
        <w:jc w:val="center"/>
        <w:rPr>
          <w:rFonts w:ascii="Times New Roman" w:hAnsi="Times New Roman"/>
          <w:b/>
          <w:sz w:val="28"/>
          <w:szCs w:val="28"/>
          <w:lang w:val="ro-MD"/>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567"/>
        <w:gridCol w:w="7230"/>
        <w:gridCol w:w="4268"/>
      </w:tblGrid>
      <w:tr w:rsidR="0069342A" w:rsidRPr="00EB5E76" w14:paraId="61D46423" w14:textId="77777777" w:rsidTr="00455587">
        <w:tc>
          <w:tcPr>
            <w:tcW w:w="2830" w:type="dxa"/>
            <w:gridSpan w:val="2"/>
            <w:shd w:val="clear" w:color="auto" w:fill="FFFFFF"/>
          </w:tcPr>
          <w:p w14:paraId="1CE333FB" w14:textId="77777777" w:rsidR="00B92A21" w:rsidRPr="00EB5E76" w:rsidRDefault="00B92A21" w:rsidP="005D0C3F">
            <w:pPr>
              <w:tabs>
                <w:tab w:val="left" w:pos="884"/>
                <w:tab w:val="left" w:pos="1196"/>
              </w:tabs>
              <w:spacing w:after="0" w:line="240" w:lineRule="auto"/>
              <w:jc w:val="center"/>
              <w:rPr>
                <w:rFonts w:ascii="Times New Roman" w:hAnsi="Times New Roman"/>
                <w:b/>
                <w:sz w:val="24"/>
                <w:szCs w:val="24"/>
                <w:lang w:val="ro-MD"/>
              </w:rPr>
            </w:pPr>
            <w:r w:rsidRPr="00EB5E76">
              <w:rPr>
                <w:rFonts w:ascii="Times New Roman" w:hAnsi="Times New Roman"/>
                <w:b/>
                <w:sz w:val="24"/>
                <w:szCs w:val="24"/>
                <w:lang w:val="ro-MD"/>
              </w:rPr>
              <w:t xml:space="preserve">Participantul la avizare (expertizare)/consultare publică </w:t>
            </w:r>
          </w:p>
        </w:tc>
        <w:tc>
          <w:tcPr>
            <w:tcW w:w="7230" w:type="dxa"/>
            <w:shd w:val="clear" w:color="auto" w:fill="FFFFFF"/>
          </w:tcPr>
          <w:p w14:paraId="534DF28F" w14:textId="77777777" w:rsidR="00B92A21" w:rsidRPr="00EB5E76" w:rsidRDefault="00B92A21" w:rsidP="005D0C3F">
            <w:pPr>
              <w:tabs>
                <w:tab w:val="left" w:pos="884"/>
                <w:tab w:val="left" w:pos="1196"/>
              </w:tabs>
              <w:spacing w:after="0" w:line="240" w:lineRule="auto"/>
              <w:jc w:val="center"/>
              <w:rPr>
                <w:rFonts w:ascii="Times New Roman" w:hAnsi="Times New Roman"/>
                <w:b/>
                <w:sz w:val="24"/>
                <w:szCs w:val="24"/>
                <w:lang w:val="ro-MD"/>
              </w:rPr>
            </w:pPr>
            <w:r w:rsidRPr="00EB5E76">
              <w:rPr>
                <w:rFonts w:ascii="Times New Roman" w:hAnsi="Times New Roman"/>
                <w:b/>
                <w:sz w:val="24"/>
                <w:szCs w:val="24"/>
                <w:lang w:val="ro-MD"/>
              </w:rPr>
              <w:t>Conţinutul obiecţiei/</w:t>
            </w:r>
          </w:p>
          <w:p w14:paraId="705F31A3" w14:textId="77777777" w:rsidR="00B92A21" w:rsidRPr="00EB5E76" w:rsidRDefault="005B496E" w:rsidP="005B496E">
            <w:pPr>
              <w:tabs>
                <w:tab w:val="left" w:pos="884"/>
                <w:tab w:val="left" w:pos="1196"/>
              </w:tabs>
              <w:spacing w:after="0" w:line="240" w:lineRule="auto"/>
              <w:jc w:val="center"/>
              <w:rPr>
                <w:rFonts w:ascii="Times New Roman" w:hAnsi="Times New Roman"/>
                <w:b/>
                <w:sz w:val="24"/>
                <w:szCs w:val="24"/>
                <w:lang w:val="ro-MD"/>
              </w:rPr>
            </w:pPr>
            <w:r w:rsidRPr="00EB5E76">
              <w:rPr>
                <w:rFonts w:ascii="Times New Roman" w:hAnsi="Times New Roman"/>
                <w:b/>
                <w:sz w:val="24"/>
                <w:szCs w:val="24"/>
                <w:lang w:val="ro-MD"/>
              </w:rPr>
              <w:t>propunerii/recomandării</w:t>
            </w:r>
          </w:p>
        </w:tc>
        <w:tc>
          <w:tcPr>
            <w:tcW w:w="4268" w:type="dxa"/>
            <w:shd w:val="clear" w:color="auto" w:fill="FFFFFF"/>
          </w:tcPr>
          <w:p w14:paraId="0F002451" w14:textId="77777777" w:rsidR="00B92A21" w:rsidRPr="00EB5E76" w:rsidRDefault="00B92A21" w:rsidP="005D0C3F">
            <w:pPr>
              <w:tabs>
                <w:tab w:val="left" w:pos="884"/>
                <w:tab w:val="left" w:pos="1196"/>
              </w:tabs>
              <w:spacing w:after="0" w:line="240" w:lineRule="auto"/>
              <w:jc w:val="center"/>
              <w:rPr>
                <w:rFonts w:ascii="Times New Roman" w:hAnsi="Times New Roman"/>
                <w:b/>
                <w:sz w:val="24"/>
                <w:szCs w:val="24"/>
                <w:lang w:val="ro-MD"/>
              </w:rPr>
            </w:pPr>
            <w:r w:rsidRPr="00EB5E76">
              <w:rPr>
                <w:rFonts w:ascii="Times New Roman" w:hAnsi="Times New Roman"/>
                <w:b/>
                <w:sz w:val="24"/>
                <w:szCs w:val="24"/>
                <w:lang w:val="ro-MD"/>
              </w:rPr>
              <w:t xml:space="preserve">Argumentarea </w:t>
            </w:r>
          </w:p>
          <w:p w14:paraId="137DF2B2" w14:textId="77777777" w:rsidR="00B92A21" w:rsidRPr="00EB5E76" w:rsidRDefault="00B92A21" w:rsidP="005D0C3F">
            <w:pPr>
              <w:tabs>
                <w:tab w:val="left" w:pos="884"/>
                <w:tab w:val="left" w:pos="1196"/>
              </w:tabs>
              <w:spacing w:after="0" w:line="240" w:lineRule="auto"/>
              <w:jc w:val="center"/>
              <w:rPr>
                <w:rFonts w:ascii="Times New Roman" w:hAnsi="Times New Roman"/>
                <w:b/>
                <w:sz w:val="24"/>
                <w:szCs w:val="24"/>
                <w:lang w:val="ro-MD"/>
              </w:rPr>
            </w:pPr>
            <w:r w:rsidRPr="00EB5E76">
              <w:rPr>
                <w:rFonts w:ascii="Times New Roman" w:hAnsi="Times New Roman"/>
                <w:b/>
                <w:sz w:val="24"/>
                <w:szCs w:val="24"/>
                <w:lang w:val="ro-MD"/>
              </w:rPr>
              <w:t>autorului proiectului</w:t>
            </w:r>
          </w:p>
        </w:tc>
      </w:tr>
      <w:tr w:rsidR="0069342A" w:rsidRPr="00EB5E76" w14:paraId="5E8CDF33" w14:textId="77777777" w:rsidTr="005677E9">
        <w:tc>
          <w:tcPr>
            <w:tcW w:w="14328" w:type="dxa"/>
            <w:gridSpan w:val="4"/>
          </w:tcPr>
          <w:p w14:paraId="10EC6116" w14:textId="0F90CCC7" w:rsidR="00B02933" w:rsidRPr="00EB5E76" w:rsidRDefault="00B02933" w:rsidP="00D51A2E">
            <w:pPr>
              <w:pStyle w:val="Listparagraf"/>
              <w:numPr>
                <w:ilvl w:val="0"/>
                <w:numId w:val="11"/>
              </w:numPr>
              <w:tabs>
                <w:tab w:val="left" w:pos="884"/>
                <w:tab w:val="left" w:pos="1196"/>
              </w:tabs>
              <w:spacing w:after="0" w:line="240" w:lineRule="auto"/>
              <w:jc w:val="center"/>
              <w:rPr>
                <w:sz w:val="24"/>
                <w:szCs w:val="24"/>
                <w:lang w:val="ro-MD"/>
              </w:rPr>
            </w:pPr>
            <w:r w:rsidRPr="00EB5E76">
              <w:rPr>
                <w:sz w:val="24"/>
                <w:szCs w:val="24"/>
                <w:lang w:val="ro-MD"/>
              </w:rPr>
              <w:t>Obiecţiile, propunerile/recomandările</w:t>
            </w:r>
          </w:p>
          <w:p w14:paraId="2C128BE0" w14:textId="77777777" w:rsidR="00C36D61" w:rsidRPr="00EB5E76" w:rsidRDefault="00C36D61" w:rsidP="00C36D61">
            <w:pPr>
              <w:pStyle w:val="Listparagraf"/>
              <w:tabs>
                <w:tab w:val="left" w:pos="884"/>
                <w:tab w:val="left" w:pos="1196"/>
              </w:tabs>
              <w:spacing w:after="0" w:line="240" w:lineRule="auto"/>
              <w:ind w:left="2142"/>
              <w:rPr>
                <w:sz w:val="24"/>
                <w:szCs w:val="24"/>
                <w:lang w:val="ro-MD"/>
              </w:rPr>
            </w:pPr>
          </w:p>
        </w:tc>
      </w:tr>
      <w:tr w:rsidR="00D51A2E" w:rsidRPr="00EB5E76" w14:paraId="1A6E2D58" w14:textId="77777777" w:rsidTr="00455587">
        <w:trPr>
          <w:trHeight w:val="3495"/>
        </w:trPr>
        <w:tc>
          <w:tcPr>
            <w:tcW w:w="2263" w:type="dxa"/>
            <w:vMerge w:val="restart"/>
          </w:tcPr>
          <w:p w14:paraId="66189355" w14:textId="77777777" w:rsidR="00D51A2E" w:rsidRPr="00EB5E76" w:rsidRDefault="00D51A2E" w:rsidP="00787DF3">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t>Cancelaria de Stat</w:t>
            </w:r>
          </w:p>
          <w:p w14:paraId="5FD9DB39" w14:textId="5A1C5F6F" w:rsidR="00D51A2E" w:rsidRPr="00EB5E76" w:rsidRDefault="00D51A2E" w:rsidP="00787DF3">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Nr.30-69-10259 din 06.10.2025</w:t>
            </w:r>
          </w:p>
        </w:tc>
        <w:tc>
          <w:tcPr>
            <w:tcW w:w="567" w:type="dxa"/>
          </w:tcPr>
          <w:p w14:paraId="10E528E0" w14:textId="17BB0ECC" w:rsidR="00D51A2E" w:rsidRPr="00EB5E76" w:rsidRDefault="00D51A2E">
            <w:pPr>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w:t>
            </w:r>
          </w:p>
          <w:p w14:paraId="4EBF030F" w14:textId="77777777" w:rsidR="00D51A2E" w:rsidRPr="00EB5E76" w:rsidRDefault="00D51A2E" w:rsidP="00787DF3">
            <w:pPr>
              <w:tabs>
                <w:tab w:val="left" w:pos="884"/>
                <w:tab w:val="left" w:pos="1196"/>
              </w:tabs>
              <w:spacing w:after="0" w:line="240" w:lineRule="auto"/>
              <w:rPr>
                <w:rFonts w:ascii="Times New Roman" w:eastAsiaTheme="minorHAnsi" w:hAnsi="Times New Roman"/>
                <w:bCs/>
                <w:sz w:val="24"/>
                <w:szCs w:val="24"/>
                <w:lang w:val="ro-MD" w:eastAsia="en-US"/>
              </w:rPr>
            </w:pPr>
          </w:p>
        </w:tc>
        <w:tc>
          <w:tcPr>
            <w:tcW w:w="7230" w:type="dxa"/>
          </w:tcPr>
          <w:p w14:paraId="6CA0682A" w14:textId="693AB6DD" w:rsidR="00D51A2E" w:rsidRPr="00EB5E76" w:rsidRDefault="00D51A2E" w:rsidP="00620023">
            <w:pPr>
              <w:tabs>
                <w:tab w:val="left" w:pos="884"/>
                <w:tab w:val="left" w:pos="1196"/>
              </w:tabs>
              <w:spacing w:after="0" w:line="240" w:lineRule="auto"/>
              <w:jc w:val="both"/>
              <w:rPr>
                <w:rFonts w:ascii="Times New Roman" w:hAnsi="Times New Roman"/>
                <w:lang w:val="en-US"/>
              </w:rPr>
            </w:pPr>
            <w:r w:rsidRPr="00EB5E76">
              <w:rPr>
                <w:rFonts w:ascii="Times New Roman" w:hAnsi="Times New Roman"/>
                <w:i/>
                <w:iCs/>
                <w:lang w:val="en-US"/>
              </w:rPr>
              <w:t xml:space="preserve">      Referitor la nr. unic 756/MEn/2025</w:t>
            </w:r>
            <w:r w:rsidRPr="00EB5E76">
              <w:rPr>
                <w:rFonts w:ascii="Times New Roman" w:hAnsi="Times New Roman"/>
                <w:lang w:val="en-US"/>
              </w:rPr>
              <w:t xml:space="preserve"> </w:t>
            </w:r>
          </w:p>
          <w:p w14:paraId="1B391BFF" w14:textId="77777777" w:rsidR="00D51A2E" w:rsidRPr="00EB5E76" w:rsidRDefault="00D51A2E" w:rsidP="00620023">
            <w:pPr>
              <w:tabs>
                <w:tab w:val="left" w:pos="884"/>
                <w:tab w:val="left" w:pos="1196"/>
              </w:tabs>
              <w:spacing w:after="0" w:line="240" w:lineRule="auto"/>
              <w:jc w:val="both"/>
              <w:rPr>
                <w:rFonts w:ascii="Times New Roman" w:hAnsi="Times New Roman"/>
                <w:lang w:val="en-US"/>
              </w:rPr>
            </w:pPr>
            <w:r w:rsidRPr="00EB5E76">
              <w:rPr>
                <w:rFonts w:ascii="Times New Roman" w:hAnsi="Times New Roman"/>
                <w:lang w:val="en-US"/>
              </w:rPr>
              <w:t>Urmare a examinării proiectului hotărârii Guvernului pentru modificarea Hotărârii Guvernului nr.1060/2023 cu privire la organizarea și funcționarea Instituției Publice Centrul Național pentru Energie Durabilă, în limita competențelor funcționale, comunicăm următoarele.</w:t>
            </w:r>
          </w:p>
          <w:p w14:paraId="3A5070DA" w14:textId="4F89EDCF" w:rsidR="00D51A2E" w:rsidRPr="00EB5E76" w:rsidRDefault="00D51A2E" w:rsidP="00620023">
            <w:pPr>
              <w:tabs>
                <w:tab w:val="left" w:pos="884"/>
                <w:tab w:val="left" w:pos="1196"/>
              </w:tabs>
              <w:spacing w:after="0" w:line="240" w:lineRule="auto"/>
              <w:jc w:val="both"/>
              <w:rPr>
                <w:rFonts w:ascii="Times New Roman" w:hAnsi="Times New Roman"/>
                <w:b/>
                <w:bCs/>
                <w:lang w:val="pt-BR"/>
              </w:rPr>
            </w:pPr>
            <w:r w:rsidRPr="00EB5E76">
              <w:rPr>
                <w:rFonts w:ascii="Times New Roman" w:hAnsi="Times New Roman"/>
                <w:lang w:val="en-US"/>
              </w:rPr>
              <w:t xml:space="preserve">      </w:t>
            </w:r>
            <w:r w:rsidRPr="00EB5E76">
              <w:rPr>
                <w:rFonts w:ascii="Times New Roman" w:hAnsi="Times New Roman"/>
                <w:b/>
                <w:bCs/>
                <w:lang w:val="pt-BR"/>
              </w:rPr>
              <w:t>La proiectul hotărârii:</w:t>
            </w:r>
          </w:p>
          <w:p w14:paraId="43BC0F45" w14:textId="1AEB8CCE" w:rsidR="00D51A2E" w:rsidRPr="00EB5E76" w:rsidRDefault="00D51A2E" w:rsidP="00620023">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Clauza de adoptare urmează a fi revizuită prin excluderea art. 14 alin. (7) din Legea nr. 98/2012 privind administrația publică centrală de specialitate, întrucât vizează autoritățile administrative aflate în subordinea ministerelor, și prin includerea referirii la </w:t>
            </w:r>
            <w:bookmarkStart w:id="0" w:name="_Hlk213014162"/>
            <w:r w:rsidRPr="00EB5E76">
              <w:rPr>
                <w:rFonts w:ascii="Times New Roman" w:hAnsi="Times New Roman"/>
                <w:lang w:val="pt-BR"/>
              </w:rPr>
              <w:t>art. 9 alin. (1) lit. h) din Legea nr. 139/2018 privind eficiența energetică</w:t>
            </w:r>
            <w:bookmarkEnd w:id="0"/>
            <w:r w:rsidRPr="00EB5E76">
              <w:rPr>
                <w:rFonts w:ascii="Times New Roman" w:hAnsi="Times New Roman"/>
                <w:lang w:val="pt-BR"/>
              </w:rPr>
              <w:t xml:space="preserve">. Totodată, pentru asigurarea uniformității, pct. 2.1 </w:t>
            </w:r>
            <w:r w:rsidRPr="00EB5E76">
              <w:rPr>
                <w:rFonts w:ascii="Times New Roman" w:hAnsi="Times New Roman"/>
                <w:i/>
                <w:iCs/>
                <w:lang w:val="pt-BR"/>
              </w:rPr>
              <w:t>„Temeiul legal sau, după caz, sursa proiectului actului normativ”</w:t>
            </w:r>
            <w:r w:rsidRPr="00EB5E76">
              <w:rPr>
                <w:rFonts w:ascii="Times New Roman" w:hAnsi="Times New Roman"/>
                <w:lang w:val="pt-BR"/>
              </w:rPr>
              <w:t xml:space="preserve"> din Nota de fundamentare urmează a fi ajustat corespunzător.</w:t>
            </w:r>
          </w:p>
        </w:tc>
        <w:tc>
          <w:tcPr>
            <w:tcW w:w="4268" w:type="dxa"/>
            <w:vMerge w:val="restart"/>
            <w:shd w:val="clear" w:color="auto" w:fill="FFFFFF" w:themeFill="background1"/>
          </w:tcPr>
          <w:p w14:paraId="7D0104A1"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5D51EE64"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6E115058"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3A560A0B"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6103EBD9"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2160E506"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34B40EED" w14:textId="6E7BE083" w:rsidR="00D51A2E" w:rsidRPr="00EB5E76" w:rsidRDefault="00D51A2E" w:rsidP="00787DF3">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58E01396"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192BF43E"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79DA5ADB"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4EDA2009"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5CFF52BB"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0D2ADE1F"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3F3B1EC7" w14:textId="77777777" w:rsidR="00B646B7" w:rsidRPr="00EB5E76" w:rsidRDefault="00B646B7" w:rsidP="00787DF3">
            <w:pPr>
              <w:tabs>
                <w:tab w:val="left" w:pos="884"/>
                <w:tab w:val="left" w:pos="1196"/>
              </w:tabs>
              <w:spacing w:after="0" w:line="240" w:lineRule="auto"/>
              <w:jc w:val="both"/>
              <w:rPr>
                <w:rFonts w:ascii="Times New Roman" w:hAnsi="Times New Roman"/>
                <w:b/>
                <w:bCs/>
                <w:lang w:val="ro-RO"/>
              </w:rPr>
            </w:pPr>
          </w:p>
          <w:p w14:paraId="20A2A3AF" w14:textId="4A15BE87" w:rsidR="00B646B7" w:rsidRPr="00EB5E76" w:rsidRDefault="00B646B7" w:rsidP="00787DF3">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tc>
      </w:tr>
      <w:tr w:rsidR="00D51A2E" w:rsidRPr="00E546E1" w14:paraId="62D3D17B" w14:textId="77777777" w:rsidTr="00455587">
        <w:trPr>
          <w:trHeight w:val="1170"/>
        </w:trPr>
        <w:tc>
          <w:tcPr>
            <w:tcW w:w="2263" w:type="dxa"/>
            <w:vMerge/>
          </w:tcPr>
          <w:p w14:paraId="485C344C" w14:textId="77777777" w:rsidR="00D51A2E" w:rsidRPr="00EB5E76" w:rsidRDefault="00D51A2E" w:rsidP="00787DF3">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144F122B" w14:textId="1BD9921E" w:rsidR="00D51A2E" w:rsidRPr="00EB5E76" w:rsidRDefault="00D51A2E" w:rsidP="00787DF3">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2</w:t>
            </w:r>
          </w:p>
        </w:tc>
        <w:tc>
          <w:tcPr>
            <w:tcW w:w="7230" w:type="dxa"/>
          </w:tcPr>
          <w:p w14:paraId="3878A4D5" w14:textId="52BA625D" w:rsidR="00D51A2E" w:rsidRPr="00EB5E76" w:rsidRDefault="00D51A2E" w:rsidP="00D51A2E">
            <w:pPr>
              <w:tabs>
                <w:tab w:val="left" w:pos="884"/>
                <w:tab w:val="left" w:pos="1196"/>
              </w:tabs>
              <w:spacing w:after="0" w:line="240" w:lineRule="auto"/>
              <w:jc w:val="both"/>
              <w:rPr>
                <w:rFonts w:ascii="Times New Roman" w:hAnsi="Times New Roman"/>
                <w:i/>
                <w:iCs/>
                <w:lang w:val="pt-BR"/>
              </w:rPr>
            </w:pPr>
            <w:r w:rsidRPr="00EB5E76">
              <w:rPr>
                <w:rFonts w:ascii="Times New Roman" w:hAnsi="Times New Roman"/>
                <w:lang w:val="ro-MD"/>
              </w:rPr>
              <w:t xml:space="preserve">       La pct. 1, subpct. 1.1 și subpct. </w:t>
            </w:r>
            <w:r w:rsidRPr="00EB5E76">
              <w:rPr>
                <w:rFonts w:ascii="Times New Roman" w:hAnsi="Times New Roman"/>
                <w:lang w:val="pt-BR"/>
              </w:rPr>
              <w:t xml:space="preserve">1.2.17.2, cuvântul „cifra” se va substitui cu cuvântul „numărul” deoarece, potrivit regulilor tehnicii legislative, dacă un număr este format din două sau mai multe cifre, pentru identificarea acestuia, se foloseşte cuvântul „numărul” sau „cifrele” şi nu „cifra”. </w:t>
            </w:r>
          </w:p>
        </w:tc>
        <w:tc>
          <w:tcPr>
            <w:tcW w:w="4268" w:type="dxa"/>
            <w:vMerge/>
            <w:shd w:val="clear" w:color="auto" w:fill="FFFFFF" w:themeFill="background1"/>
          </w:tcPr>
          <w:p w14:paraId="0758557A" w14:textId="77777777" w:rsidR="00D51A2E" w:rsidRPr="00EB5E76" w:rsidRDefault="00D51A2E" w:rsidP="00787DF3">
            <w:pPr>
              <w:tabs>
                <w:tab w:val="left" w:pos="884"/>
                <w:tab w:val="left" w:pos="1196"/>
              </w:tabs>
              <w:spacing w:after="0" w:line="240" w:lineRule="auto"/>
              <w:jc w:val="both"/>
              <w:rPr>
                <w:rFonts w:ascii="Times New Roman" w:hAnsi="Times New Roman"/>
                <w:b/>
                <w:bCs/>
                <w:lang w:val="ro-RO"/>
              </w:rPr>
            </w:pPr>
          </w:p>
        </w:tc>
      </w:tr>
      <w:tr w:rsidR="00D51A2E" w:rsidRPr="00EB5E76" w14:paraId="6C5F9654" w14:textId="77777777" w:rsidTr="00455587">
        <w:trPr>
          <w:trHeight w:val="1022"/>
        </w:trPr>
        <w:tc>
          <w:tcPr>
            <w:tcW w:w="2263" w:type="dxa"/>
            <w:vMerge/>
          </w:tcPr>
          <w:p w14:paraId="3D9AF2D6" w14:textId="77777777" w:rsidR="00D51A2E" w:rsidRPr="00EB5E76" w:rsidRDefault="00D51A2E" w:rsidP="00787DF3">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C62D235" w14:textId="3045BBAC" w:rsidR="00D51A2E" w:rsidRPr="00EB5E76" w:rsidRDefault="00D51A2E" w:rsidP="00787DF3">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3</w:t>
            </w:r>
          </w:p>
        </w:tc>
        <w:tc>
          <w:tcPr>
            <w:tcW w:w="7230" w:type="dxa"/>
          </w:tcPr>
          <w:p w14:paraId="76272C9E" w14:textId="788214ED" w:rsidR="00D51A2E" w:rsidRPr="00EB5E76" w:rsidRDefault="00D51A2E" w:rsidP="00D51A2E">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1, subpct. 1.2.3., se va specifica că se exclud „cuvintele”, iar la subpct. 1.2.11., că se substituie cu „textul” (obiecție valabilă și pentru pct. 1.3., subpct. 1.3.2.). De asemenea, la pct. 1.3., subpct. 1.3.3., completarea se face după „textul”. </w:t>
            </w:r>
          </w:p>
        </w:tc>
        <w:tc>
          <w:tcPr>
            <w:tcW w:w="4268" w:type="dxa"/>
            <w:shd w:val="clear" w:color="auto" w:fill="FFFFFF" w:themeFill="background1"/>
          </w:tcPr>
          <w:p w14:paraId="57E7A2DB" w14:textId="615AEDA4" w:rsidR="00D51A2E" w:rsidRPr="00EB5E76" w:rsidRDefault="008773C2" w:rsidP="00787DF3">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tc>
      </w:tr>
      <w:tr w:rsidR="00D51A2E" w:rsidRPr="00E546E1" w14:paraId="64A29842" w14:textId="77777777" w:rsidTr="00455587">
        <w:trPr>
          <w:trHeight w:val="1025"/>
        </w:trPr>
        <w:tc>
          <w:tcPr>
            <w:tcW w:w="2263" w:type="dxa"/>
            <w:vMerge/>
          </w:tcPr>
          <w:p w14:paraId="073865D4" w14:textId="77777777" w:rsidR="00D51A2E" w:rsidRPr="00EB5E76" w:rsidRDefault="00D51A2E" w:rsidP="00787DF3">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19A73449" w14:textId="7E3D6F8D" w:rsidR="00D51A2E" w:rsidRPr="00EB5E76" w:rsidRDefault="00D51A2E" w:rsidP="00787DF3">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4</w:t>
            </w:r>
          </w:p>
        </w:tc>
        <w:tc>
          <w:tcPr>
            <w:tcW w:w="7230" w:type="dxa"/>
          </w:tcPr>
          <w:p w14:paraId="3E8D85D3" w14:textId="39F2BFB7" w:rsidR="00D51A2E" w:rsidRPr="00EB5E76" w:rsidRDefault="00D51A2E" w:rsidP="00D51A2E">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1.2.5.1.4, având în vedere abrogarea lit. i) și k), se impune clarificarea situației registrelor electronice la care acestea fac trimitere, inclusiv cu privire la continuarea, preluarea ori încetarea funcționării acestora.   </w:t>
            </w:r>
          </w:p>
        </w:tc>
        <w:tc>
          <w:tcPr>
            <w:tcW w:w="4268" w:type="dxa"/>
            <w:shd w:val="clear" w:color="auto" w:fill="FFFFFF" w:themeFill="background1"/>
          </w:tcPr>
          <w:p w14:paraId="671A8EF5" w14:textId="77777777" w:rsidR="00D51A2E" w:rsidRPr="00EB5E76" w:rsidRDefault="00DC7DF2" w:rsidP="00787DF3">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Comentariu.</w:t>
            </w:r>
          </w:p>
          <w:p w14:paraId="5653B70F" w14:textId="4E39AEAA" w:rsidR="00DC7DF2" w:rsidRPr="00EB5E76" w:rsidRDefault="00DC7DF2" w:rsidP="00787DF3">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Expunerea literei g) într-un nou cuprins clarifică asigurarea continuității creării și administrării registrelor menționate. Prin urmare, registrele prevăzute la lit.i) și k) din redacția curentă a HG nr.1060/2023 sunt cuprinse de Sistemului informațional național în domeniul eficienței energetice, reglementat prin HG nr.144/2025</w:t>
            </w:r>
            <w:r w:rsidRPr="00EB5E76">
              <w:rPr>
                <w:lang w:val="ro-RO"/>
              </w:rPr>
              <w:t xml:space="preserve"> </w:t>
            </w:r>
            <w:r w:rsidRPr="00EB5E76">
              <w:rPr>
                <w:rFonts w:ascii="Times New Roman" w:hAnsi="Times New Roman"/>
                <w:lang w:val="ro-RO"/>
              </w:rPr>
              <w:t>cu privire la aprobarea Conceptul Sistemului informațional național în domeniul eficienței energetice, care asigură normele exhaustive privind crearea, administrarea, dezvoltarea și realizarea mentenanței acestora.</w:t>
            </w:r>
            <w:r w:rsidR="00F65C4D" w:rsidRPr="00EB5E76">
              <w:rPr>
                <w:rFonts w:ascii="Times New Roman" w:hAnsi="Times New Roman"/>
                <w:lang w:val="ro-RO"/>
              </w:rPr>
              <w:t xml:space="preserve"> </w:t>
            </w:r>
          </w:p>
        </w:tc>
      </w:tr>
      <w:tr w:rsidR="00F65C4D" w:rsidRPr="00EB5E76" w14:paraId="2C71941B" w14:textId="77777777" w:rsidTr="00455587">
        <w:trPr>
          <w:trHeight w:val="868"/>
        </w:trPr>
        <w:tc>
          <w:tcPr>
            <w:tcW w:w="2263" w:type="dxa"/>
            <w:vMerge/>
          </w:tcPr>
          <w:p w14:paraId="53DA48FE"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82F260A" w14:textId="6B75209A"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5</w:t>
            </w:r>
          </w:p>
        </w:tc>
        <w:tc>
          <w:tcPr>
            <w:tcW w:w="7230" w:type="dxa"/>
          </w:tcPr>
          <w:p w14:paraId="43D351CE" w14:textId="1BCB9925"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1, subpct. 1.2.17.1, cuvintele „pagina web oficială” se vor substitui cu cuvintele „site-ul web oficial”, în conformitate cu prevederile Hotărârii Guvernului nr. 728/2023. </w:t>
            </w:r>
          </w:p>
        </w:tc>
        <w:tc>
          <w:tcPr>
            <w:tcW w:w="4268" w:type="dxa"/>
            <w:shd w:val="clear" w:color="auto" w:fill="FFFFFF" w:themeFill="background1"/>
          </w:tcPr>
          <w:p w14:paraId="2F88861A" w14:textId="77777777" w:rsidR="00F65C4D" w:rsidRPr="00EB5E76" w:rsidRDefault="00F65C4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1CF63590" w14:textId="55B64B80" w:rsidR="003F7A4F" w:rsidRPr="00EB5E76" w:rsidRDefault="003F7A4F" w:rsidP="00F65C4D">
            <w:pPr>
              <w:tabs>
                <w:tab w:val="left" w:pos="884"/>
                <w:tab w:val="left" w:pos="1196"/>
              </w:tabs>
              <w:spacing w:after="0" w:line="240" w:lineRule="auto"/>
              <w:jc w:val="both"/>
              <w:rPr>
                <w:rFonts w:ascii="Times New Roman" w:hAnsi="Times New Roman"/>
                <w:b/>
                <w:bCs/>
                <w:lang w:val="ro-RO"/>
              </w:rPr>
            </w:pPr>
          </w:p>
        </w:tc>
      </w:tr>
      <w:tr w:rsidR="00F65C4D" w:rsidRPr="00E546E1" w14:paraId="32797358" w14:textId="77777777" w:rsidTr="00455587">
        <w:trPr>
          <w:trHeight w:val="2987"/>
        </w:trPr>
        <w:tc>
          <w:tcPr>
            <w:tcW w:w="2263" w:type="dxa"/>
            <w:vMerge/>
          </w:tcPr>
          <w:p w14:paraId="0EB5744B"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623B1DA3" w14:textId="0770A7CA"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6</w:t>
            </w:r>
          </w:p>
        </w:tc>
        <w:tc>
          <w:tcPr>
            <w:tcW w:w="7230" w:type="dxa"/>
          </w:tcPr>
          <w:p w14:paraId="784AC5A4" w14:textId="108BA684"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1.3, subpct. 1.3.5., cuvântul “sintagma” se va substitui cu cuvântul „cuvintele”. </w:t>
            </w:r>
          </w:p>
          <w:p w14:paraId="10ECDF7E" w14:textId="338C5374"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Pentru claritate și pentru a evita interpretările echivoce, se recomandă, la pct. 1.3., expunerea Anexei nr. 2 în redacție nouă. Dacă se menține forma actuală, pentru evitarea confuziei, atenționăm despre necesitatea revizuirii denumirii subdiviziunii interne „Secția primire dosare, evaluare conformitate și riscuri prefinanțare” în contextul creării „Serviciului primire și procesare dosare” și a „Secției evaluare conformitate și riscuri prefinanțare”. Totodată, atenționăm căinstituirea „Secției evaluare conformitate și riscuri prefinanțare” nu este prevăzută la pct. 1.3, fiind necesară coroborarea prevederilor Anexei nr. 2 cu cele ale Anexei nr. 3 din proiectul de hotărâre.</w:t>
            </w:r>
          </w:p>
        </w:tc>
        <w:tc>
          <w:tcPr>
            <w:tcW w:w="4268" w:type="dxa"/>
            <w:shd w:val="clear" w:color="auto" w:fill="FFFFFF" w:themeFill="background1"/>
          </w:tcPr>
          <w:p w14:paraId="54BF6CC7" w14:textId="77777777" w:rsidR="00F65C4D" w:rsidRPr="00EB5E76" w:rsidRDefault="00F65C4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6A46A01D" w14:textId="48F8DE6B" w:rsidR="000242E3" w:rsidRPr="00EB5E76" w:rsidRDefault="000242E3"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Anexa nr.2 a fost expusă în redacție nouă, modificată în conformitate cu propunerile din acest proces de consultare publică.</w:t>
            </w:r>
            <w:r w:rsidR="009877B1" w:rsidRPr="00EB5E76">
              <w:rPr>
                <w:rFonts w:ascii="Times New Roman" w:hAnsi="Times New Roman"/>
                <w:lang w:val="ro-RO"/>
              </w:rPr>
              <w:t xml:space="preserve"> IP CNED propune modificarea formei subdiviziunii din „Serviciu primire și procesare dosare” în „Secția primire procesare dosare”, cu prezentarea argumentelor de rigoare, considerate relevante. Aceste aspecte nu presupune creșterea efectivului de personal comparativ cu cel inițial propus în proiect. Va fi realocat personal de la Unitățile de implementare. Statul de personal va fi aprobat de Consiliu IP CNED, astfel cum prevede Statutul IP CNED.</w:t>
            </w:r>
          </w:p>
        </w:tc>
      </w:tr>
      <w:tr w:rsidR="00F65C4D" w:rsidRPr="00E546E1" w14:paraId="7FE41175" w14:textId="77777777" w:rsidTr="00455587">
        <w:trPr>
          <w:trHeight w:val="1410"/>
        </w:trPr>
        <w:tc>
          <w:tcPr>
            <w:tcW w:w="2263" w:type="dxa"/>
            <w:vMerge/>
          </w:tcPr>
          <w:p w14:paraId="5AE96EB6"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48492DA2" w14:textId="2A762191"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7</w:t>
            </w:r>
          </w:p>
        </w:tc>
        <w:tc>
          <w:tcPr>
            <w:tcW w:w="7230" w:type="dxa"/>
          </w:tcPr>
          <w:p w14:paraId="3A6880CF" w14:textId="20205C04"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1.4. din denumirea Organigramei se va exclude cuvântul „Hotărârea”. Totodată, în conținutul organigramei se va indica expres că subdiviziunea „Fondul de eficiență energetică în sectorul rezidențial” este </w:t>
            </w:r>
            <w:r w:rsidRPr="00EB5E76">
              <w:rPr>
                <w:rFonts w:ascii="Times New Roman" w:hAnsi="Times New Roman"/>
                <w:i/>
                <w:iCs/>
                <w:lang w:val="pt-BR"/>
              </w:rPr>
              <w:t>cu statut de Direcție</w:t>
            </w:r>
            <w:r w:rsidRPr="00EB5E76">
              <w:rPr>
                <w:rFonts w:ascii="Times New Roman" w:hAnsi="Times New Roman"/>
                <w:lang w:val="pt-BR"/>
              </w:rPr>
              <w:t xml:space="preserve">, iar în ceea ce privește subdiviziunile „Unități de implementare a programelor și proiectelor (UIP)”, se va preciza statutul acestora. </w:t>
            </w:r>
          </w:p>
        </w:tc>
        <w:tc>
          <w:tcPr>
            <w:tcW w:w="4268" w:type="dxa"/>
            <w:shd w:val="clear" w:color="auto" w:fill="FFFFFF" w:themeFill="background1"/>
          </w:tcPr>
          <w:p w14:paraId="326F06AB" w14:textId="77777777" w:rsidR="004B7967" w:rsidRPr="00EB5E76" w:rsidRDefault="004B7967" w:rsidP="004B7967">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562260B0" w14:textId="406B8675" w:rsidR="00F65C4D" w:rsidRPr="00EB5E76" w:rsidRDefault="004B7967"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UIP vor avea statut de secție</w:t>
            </w:r>
          </w:p>
        </w:tc>
      </w:tr>
      <w:tr w:rsidR="00F65C4D" w:rsidRPr="00E546E1" w14:paraId="1064B650" w14:textId="77777777" w:rsidTr="00455587">
        <w:trPr>
          <w:trHeight w:val="1705"/>
        </w:trPr>
        <w:tc>
          <w:tcPr>
            <w:tcW w:w="2263" w:type="dxa"/>
            <w:vMerge/>
          </w:tcPr>
          <w:p w14:paraId="2E8490C5"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2EB290FC" w14:textId="10F289F3"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8</w:t>
            </w:r>
          </w:p>
        </w:tc>
        <w:tc>
          <w:tcPr>
            <w:tcW w:w="7230" w:type="dxa"/>
          </w:tcPr>
          <w:p w14:paraId="17705FF8"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w:t>
            </w:r>
            <w:r w:rsidRPr="00EB5E76">
              <w:rPr>
                <w:rFonts w:ascii="Times New Roman" w:hAnsi="Times New Roman"/>
                <w:b/>
                <w:bCs/>
                <w:lang w:val="pt-BR"/>
              </w:rPr>
              <w:t>La Nota de fundamentare</w:t>
            </w:r>
          </w:p>
          <w:p w14:paraId="1370EEF6" w14:textId="4D1E72DA"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4.1 „</w:t>
            </w:r>
            <w:r w:rsidRPr="00EB5E76">
              <w:rPr>
                <w:rFonts w:ascii="Times New Roman" w:hAnsi="Times New Roman"/>
                <w:i/>
                <w:iCs/>
                <w:lang w:val="pt-BR"/>
              </w:rPr>
              <w:t>Impactul asupra sectorului public”,</w:t>
            </w:r>
            <w:r w:rsidRPr="00EB5E76">
              <w:rPr>
                <w:rFonts w:ascii="Times New Roman" w:hAnsi="Times New Roman"/>
                <w:lang w:val="pt-BR"/>
              </w:rPr>
              <w:t xml:space="preserve"> Tabelul nr. 2, textul urmează a fi uniformizat, prin utilizarea denumirii „Serviciul primire și procesare dosare”, pentru a asigura conformitatea cu proiectul actului normativ. Rectificări corespunzătoare urmează a fi operate și în textul Tabelului comparativ. </w:t>
            </w:r>
          </w:p>
        </w:tc>
        <w:tc>
          <w:tcPr>
            <w:tcW w:w="4268" w:type="dxa"/>
            <w:shd w:val="clear" w:color="auto" w:fill="FFFFFF" w:themeFill="background1"/>
          </w:tcPr>
          <w:p w14:paraId="63CC11F4" w14:textId="77777777" w:rsidR="00F65C4D" w:rsidRPr="00EB5E76" w:rsidRDefault="00393C3C"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6E8C1DEB" w14:textId="5C128E4B" w:rsidR="00393C3C" w:rsidRPr="00EB5E76" w:rsidRDefault="009877B1"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Vezi comentariile de mai sus (pct.6)</w:t>
            </w:r>
            <w:r w:rsidR="00393C3C" w:rsidRPr="00EB5E76">
              <w:rPr>
                <w:rFonts w:ascii="Times New Roman" w:hAnsi="Times New Roman"/>
                <w:lang w:val="ro-RO"/>
              </w:rPr>
              <w:t>.</w:t>
            </w:r>
          </w:p>
        </w:tc>
      </w:tr>
      <w:tr w:rsidR="00F65C4D" w:rsidRPr="00EB5E76" w14:paraId="3587E245" w14:textId="77777777" w:rsidTr="00455587">
        <w:trPr>
          <w:trHeight w:val="3410"/>
        </w:trPr>
        <w:tc>
          <w:tcPr>
            <w:tcW w:w="2263" w:type="dxa"/>
            <w:vMerge/>
          </w:tcPr>
          <w:p w14:paraId="15FF1CBF"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6FE866D" w14:textId="09FEF813"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9</w:t>
            </w:r>
          </w:p>
        </w:tc>
        <w:tc>
          <w:tcPr>
            <w:tcW w:w="7230" w:type="dxa"/>
          </w:tcPr>
          <w:p w14:paraId="39002E49" w14:textId="03E224E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Cu titlul general, menționăm că proiectul hotărârii a fost examinat pe platforma Grupului de lucru privind examinarea inițiativelor de instituire/reorganizare a autorităților administrative și a structurilor organizaționale din sfera lor de competență, în ședința din 9 septembrie 2025. </w:t>
            </w:r>
          </w:p>
          <w:p w14:paraId="6A8C7D5F"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Conform celor agreate în ședința Grupului de lucru, proiectul de</w:t>
            </w:r>
          </w:p>
          <w:p w14:paraId="2AB28F50"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hotărâre și Nota de fundamentare urmau a fi revizuite la compartimentul 4.2 Impactul financiar și argumentarea costurilor estimative, ținând cont de numărul actualizat al unităților de personal solicitate și estimării impactului financiar ca efect al majorării efectivului de personal. </w:t>
            </w:r>
          </w:p>
          <w:p w14:paraId="1D7808E6" w14:textId="1F30B5D3"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Astfel, urmare a examinării proiectului, se constată că autorul a ținut cont de observațiile formulate și a operat revizuirile corespunzătoare în proiectul de hotărâre și Nota de fundamentare.</w:t>
            </w:r>
          </w:p>
        </w:tc>
        <w:tc>
          <w:tcPr>
            <w:tcW w:w="4268" w:type="dxa"/>
            <w:shd w:val="clear" w:color="auto" w:fill="FFFFFF" w:themeFill="background1"/>
          </w:tcPr>
          <w:p w14:paraId="20FA186D" w14:textId="4CAAD1DA" w:rsidR="00F65C4D" w:rsidRPr="00EB5E76" w:rsidRDefault="00D36EE7"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ia act</w:t>
            </w:r>
          </w:p>
        </w:tc>
      </w:tr>
      <w:tr w:rsidR="00F65C4D" w:rsidRPr="00EB5E76" w14:paraId="6BDE9C7C" w14:textId="77777777" w:rsidTr="00455587">
        <w:trPr>
          <w:trHeight w:val="1430"/>
        </w:trPr>
        <w:tc>
          <w:tcPr>
            <w:tcW w:w="2263" w:type="dxa"/>
          </w:tcPr>
          <w:p w14:paraId="3F1196BC"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t>Ministerul Infrastructurii și Dezvoltării Regionale</w:t>
            </w:r>
          </w:p>
          <w:p w14:paraId="2F5770C9" w14:textId="4E944167"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Nr. 21-5290 din 07.10.2025</w:t>
            </w:r>
          </w:p>
        </w:tc>
        <w:tc>
          <w:tcPr>
            <w:tcW w:w="567" w:type="dxa"/>
          </w:tcPr>
          <w:p w14:paraId="488E92E8" w14:textId="5449CA05"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10</w:t>
            </w:r>
          </w:p>
        </w:tc>
        <w:tc>
          <w:tcPr>
            <w:tcW w:w="7230" w:type="dxa"/>
          </w:tcPr>
          <w:p w14:paraId="20A6977D" w14:textId="57B777F3"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Ca urmare a examinării </w:t>
            </w:r>
            <w:r w:rsidRPr="00EB5E76">
              <w:rPr>
                <w:rFonts w:ascii="Times New Roman" w:hAnsi="Times New Roman"/>
                <w:i/>
                <w:iCs/>
                <w:lang w:val="ro-MD"/>
              </w:rPr>
              <w:t>proiectului de hotărâre a Guvernului pentru modificarea Hotărârii Guvernului nr.1060/2023 cu privire la organizarea și funcționarea Instituției Publice Centrul Național pentru Energie Durabilă</w:t>
            </w:r>
            <w:r w:rsidRPr="00EB5E76">
              <w:rPr>
                <w:rFonts w:ascii="Times New Roman" w:hAnsi="Times New Roman"/>
                <w:lang w:val="ro-MD"/>
              </w:rPr>
              <w:t xml:space="preserve"> </w:t>
            </w:r>
            <w:r w:rsidRPr="00EB5E76">
              <w:rPr>
                <w:rFonts w:ascii="Times New Roman" w:hAnsi="Times New Roman"/>
                <w:b/>
                <w:bCs/>
                <w:lang w:val="ro-MD"/>
              </w:rPr>
              <w:t>(număr unic 756/MEn/2025),</w:t>
            </w:r>
            <w:r w:rsidRPr="00EB5E76">
              <w:rPr>
                <w:rFonts w:ascii="Times New Roman" w:hAnsi="Times New Roman"/>
                <w:lang w:val="ro-MD"/>
              </w:rPr>
              <w:t xml:space="preserve"> în limitele competențelor funcționale, comunicăm lipsa obiecțiilor și propunerilor.</w:t>
            </w:r>
          </w:p>
        </w:tc>
        <w:tc>
          <w:tcPr>
            <w:tcW w:w="4268" w:type="dxa"/>
            <w:shd w:val="clear" w:color="auto" w:fill="FFFFFF" w:themeFill="background1"/>
          </w:tcPr>
          <w:p w14:paraId="320E5BA5" w14:textId="3B1D7313" w:rsidR="00F65C4D" w:rsidRPr="00EB5E76" w:rsidRDefault="00F65C4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ia act</w:t>
            </w:r>
          </w:p>
        </w:tc>
      </w:tr>
      <w:tr w:rsidR="00F65C4D" w:rsidRPr="00E546E1" w14:paraId="4A30F083" w14:textId="77777777" w:rsidTr="00455587">
        <w:trPr>
          <w:trHeight w:val="2612"/>
        </w:trPr>
        <w:tc>
          <w:tcPr>
            <w:tcW w:w="2263" w:type="dxa"/>
            <w:vMerge w:val="restart"/>
          </w:tcPr>
          <w:p w14:paraId="598C3CDE"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lastRenderedPageBreak/>
              <w:t>Ministerul Muncii și Protecției Sociale</w:t>
            </w:r>
          </w:p>
          <w:p w14:paraId="3FD5AE46" w14:textId="73B91768"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Nr. 17/4721 din 08.10.2025</w:t>
            </w:r>
          </w:p>
        </w:tc>
        <w:tc>
          <w:tcPr>
            <w:tcW w:w="567" w:type="dxa"/>
          </w:tcPr>
          <w:p w14:paraId="038B9717" w14:textId="09188522"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11</w:t>
            </w:r>
          </w:p>
        </w:tc>
        <w:tc>
          <w:tcPr>
            <w:tcW w:w="7230" w:type="dxa"/>
          </w:tcPr>
          <w:p w14:paraId="116B1E83" w14:textId="597ADD7A"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Ministerul Muncii și Protecției Sociale a examinat proiectul de hotărâre pentru modificarea Hotărârii Guvernului nr. 1060/2023 cu privire la organizarea și funcționarea Instituției Publice Centrul Național pentru Energie Durabilă </w:t>
            </w:r>
            <w:r w:rsidRPr="00EB5E76">
              <w:rPr>
                <w:rFonts w:ascii="Times New Roman" w:hAnsi="Times New Roman"/>
                <w:i/>
                <w:iCs/>
                <w:lang w:val="ro-MD"/>
              </w:rPr>
              <w:t>(număr unic 756/MEn/2025)</w:t>
            </w:r>
            <w:r w:rsidRPr="00EB5E76">
              <w:rPr>
                <w:rFonts w:ascii="Times New Roman" w:hAnsi="Times New Roman"/>
                <w:lang w:val="ro-MD"/>
              </w:rPr>
              <w:t xml:space="preserve"> și, în limita competențelor funcționale, comunică următoarele.</w:t>
            </w:r>
          </w:p>
          <w:p w14:paraId="1D2FF0CD" w14:textId="3D4E050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1. La pct. 1.2.11., se va ține cont că 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w:t>
            </w:r>
            <w:r w:rsidRPr="00EB5E76">
              <w:rPr>
                <w:rFonts w:ascii="Times New Roman" w:hAnsi="Times New Roman"/>
                <w:lang w:val="pt-BR"/>
              </w:rPr>
              <w:t>„textului” respectiv.</w:t>
            </w:r>
          </w:p>
        </w:tc>
        <w:tc>
          <w:tcPr>
            <w:tcW w:w="4268" w:type="dxa"/>
            <w:shd w:val="clear" w:color="auto" w:fill="FFFFFF" w:themeFill="background1"/>
          </w:tcPr>
          <w:p w14:paraId="50F9722F" w14:textId="77777777" w:rsidR="00FB0962" w:rsidRPr="00EB5E76" w:rsidRDefault="00FB0962" w:rsidP="00FB0962">
            <w:pPr>
              <w:tabs>
                <w:tab w:val="left" w:pos="884"/>
                <w:tab w:val="left" w:pos="1196"/>
              </w:tabs>
              <w:spacing w:after="0" w:line="240" w:lineRule="auto"/>
              <w:jc w:val="both"/>
              <w:rPr>
                <w:rFonts w:ascii="Times New Roman" w:hAnsi="Times New Roman"/>
                <w:b/>
                <w:bCs/>
                <w:lang w:val="ro-RO"/>
              </w:rPr>
            </w:pPr>
          </w:p>
          <w:p w14:paraId="2F466431" w14:textId="77777777" w:rsidR="00FB0962" w:rsidRPr="00EB5E76" w:rsidRDefault="00FB0962" w:rsidP="00FB0962">
            <w:pPr>
              <w:tabs>
                <w:tab w:val="left" w:pos="884"/>
                <w:tab w:val="left" w:pos="1196"/>
              </w:tabs>
              <w:spacing w:after="0" w:line="240" w:lineRule="auto"/>
              <w:jc w:val="both"/>
              <w:rPr>
                <w:rFonts w:ascii="Times New Roman" w:hAnsi="Times New Roman"/>
                <w:b/>
                <w:bCs/>
                <w:lang w:val="ro-RO"/>
              </w:rPr>
            </w:pPr>
          </w:p>
          <w:p w14:paraId="2041B420" w14:textId="77777777" w:rsidR="00FB0962" w:rsidRPr="00EB5E76" w:rsidRDefault="00FB0962" w:rsidP="00FB0962">
            <w:pPr>
              <w:tabs>
                <w:tab w:val="left" w:pos="884"/>
                <w:tab w:val="left" w:pos="1196"/>
              </w:tabs>
              <w:spacing w:after="0" w:line="240" w:lineRule="auto"/>
              <w:jc w:val="both"/>
              <w:rPr>
                <w:rFonts w:ascii="Times New Roman" w:hAnsi="Times New Roman"/>
                <w:b/>
                <w:bCs/>
                <w:lang w:val="ro-RO"/>
              </w:rPr>
            </w:pPr>
          </w:p>
          <w:p w14:paraId="2F5D98F7" w14:textId="77777777" w:rsidR="00FB0962" w:rsidRPr="00EB5E76" w:rsidRDefault="00FB0962" w:rsidP="00FB0962">
            <w:pPr>
              <w:tabs>
                <w:tab w:val="left" w:pos="884"/>
                <w:tab w:val="left" w:pos="1196"/>
              </w:tabs>
              <w:spacing w:after="0" w:line="240" w:lineRule="auto"/>
              <w:jc w:val="both"/>
              <w:rPr>
                <w:rFonts w:ascii="Times New Roman" w:hAnsi="Times New Roman"/>
                <w:b/>
                <w:bCs/>
                <w:lang w:val="ro-RO"/>
              </w:rPr>
            </w:pPr>
          </w:p>
          <w:p w14:paraId="13D3BE73" w14:textId="77777777" w:rsidR="00FB0962" w:rsidRPr="00EB5E76" w:rsidRDefault="00FB0962" w:rsidP="00FB0962">
            <w:pPr>
              <w:tabs>
                <w:tab w:val="left" w:pos="884"/>
                <w:tab w:val="left" w:pos="1196"/>
              </w:tabs>
              <w:spacing w:after="0" w:line="240" w:lineRule="auto"/>
              <w:jc w:val="both"/>
              <w:rPr>
                <w:rFonts w:ascii="Times New Roman" w:hAnsi="Times New Roman"/>
                <w:b/>
                <w:bCs/>
                <w:lang w:val="ro-RO"/>
              </w:rPr>
            </w:pPr>
          </w:p>
          <w:p w14:paraId="3485AED3" w14:textId="34C20F5A" w:rsidR="00FB0962" w:rsidRPr="00EB5E76" w:rsidRDefault="00FB0962" w:rsidP="00FB0962">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533598BA" w14:textId="0177B00C" w:rsidR="00F65C4D" w:rsidRPr="00EB5E76" w:rsidRDefault="00FB0962"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Modificat conform propunerilor similare ale Cancelariei de Stat.</w:t>
            </w:r>
          </w:p>
        </w:tc>
      </w:tr>
      <w:tr w:rsidR="00F65C4D" w:rsidRPr="00E546E1" w14:paraId="01B8D12A" w14:textId="77777777" w:rsidTr="00455587">
        <w:trPr>
          <w:trHeight w:val="1520"/>
        </w:trPr>
        <w:tc>
          <w:tcPr>
            <w:tcW w:w="2263" w:type="dxa"/>
            <w:vMerge/>
          </w:tcPr>
          <w:p w14:paraId="3C7D3CD7"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2B93E9B6" w14:textId="0BE69D55"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12</w:t>
            </w:r>
          </w:p>
        </w:tc>
        <w:tc>
          <w:tcPr>
            <w:tcW w:w="7230" w:type="dxa"/>
          </w:tcPr>
          <w:p w14:paraId="12DCEFCA"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2. Suplimentar, menționăm că </w:t>
            </w:r>
            <w:r w:rsidRPr="00EB5E76">
              <w:rPr>
                <w:rFonts w:ascii="Times New Roman" w:hAnsi="Times New Roman"/>
                <w:b/>
                <w:bCs/>
                <w:lang w:val="pt-BR"/>
              </w:rPr>
              <w:t>la pct. 1.2.17.1 și în întregul proiect</w:t>
            </w:r>
            <w:r w:rsidRPr="00EB5E76">
              <w:rPr>
                <w:rFonts w:ascii="Times New Roman" w:hAnsi="Times New Roman"/>
                <w:lang w:val="pt-BR"/>
              </w:rPr>
              <w:t xml:space="preserve"> se utilizează alternativ termenii </w:t>
            </w:r>
            <w:r w:rsidRPr="00EB5E76">
              <w:rPr>
                <w:rFonts w:ascii="Times New Roman" w:hAnsi="Times New Roman"/>
                <w:i/>
                <w:iCs/>
                <w:lang w:val="pt-BR"/>
              </w:rPr>
              <w:t>„pagina web oficială”</w:t>
            </w:r>
            <w:r w:rsidRPr="00EB5E76">
              <w:rPr>
                <w:rFonts w:ascii="Times New Roman" w:hAnsi="Times New Roman"/>
                <w:lang w:val="pt-BR"/>
              </w:rPr>
              <w:t xml:space="preserve"> și </w:t>
            </w:r>
            <w:r w:rsidRPr="00EB5E76">
              <w:rPr>
                <w:rFonts w:ascii="Times New Roman" w:hAnsi="Times New Roman"/>
                <w:i/>
                <w:iCs/>
                <w:lang w:val="pt-BR"/>
              </w:rPr>
              <w:t>„site-ul web oficial”</w:t>
            </w:r>
            <w:r w:rsidRPr="00EB5E76">
              <w:rPr>
                <w:rFonts w:ascii="Times New Roman" w:hAnsi="Times New Roman"/>
                <w:lang w:val="pt-BR"/>
              </w:rPr>
              <w:t>, ceea ce poate crea neuniformitate terminologică.</w:t>
            </w:r>
          </w:p>
          <w:p w14:paraId="6479AA48" w14:textId="7DF3960B"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Astfel, propunem utilizarea consecventă, pe tot parcursul actului normativ, a sintagmei </w:t>
            </w:r>
            <w:r w:rsidRPr="00EB5E76">
              <w:rPr>
                <w:rFonts w:ascii="Times New Roman" w:hAnsi="Times New Roman"/>
                <w:i/>
                <w:iCs/>
                <w:lang w:val="pt-BR"/>
              </w:rPr>
              <w:t>„pagina web oficială”</w:t>
            </w:r>
            <w:r w:rsidRPr="00EB5E76">
              <w:rPr>
                <w:rFonts w:ascii="Times New Roman" w:hAnsi="Times New Roman"/>
                <w:lang w:val="pt-BR"/>
              </w:rPr>
              <w:t>, pentru a asigura unitatea stilului legislativ și coerența juridică a textului.</w:t>
            </w:r>
          </w:p>
        </w:tc>
        <w:tc>
          <w:tcPr>
            <w:tcW w:w="4268" w:type="dxa"/>
            <w:shd w:val="clear" w:color="auto" w:fill="FFFFFF" w:themeFill="background1"/>
          </w:tcPr>
          <w:p w14:paraId="4303A7B7" w14:textId="2236D2F4" w:rsidR="00FB0962" w:rsidRPr="00EB5E76" w:rsidRDefault="00FB0962" w:rsidP="00FB0962">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 xml:space="preserve"> </w:t>
            </w:r>
            <w:r w:rsidR="00E65CE8">
              <w:rPr>
                <w:rFonts w:ascii="Times New Roman" w:hAnsi="Times New Roman"/>
                <w:b/>
                <w:bCs/>
                <w:lang w:val="ro-RO"/>
              </w:rPr>
              <w:t>S</w:t>
            </w:r>
            <w:r w:rsidRPr="00EB5E76">
              <w:rPr>
                <w:rFonts w:ascii="Times New Roman" w:hAnsi="Times New Roman"/>
                <w:b/>
                <w:bCs/>
                <w:lang w:val="ro-RO"/>
              </w:rPr>
              <w:t>e acceptă.</w:t>
            </w:r>
          </w:p>
          <w:p w14:paraId="2A866AB8" w14:textId="38A0F7B6" w:rsidR="00F65C4D" w:rsidRPr="00EB5E76" w:rsidRDefault="00FB0962" w:rsidP="00FB0962">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lang w:val="ro-RO"/>
              </w:rPr>
              <w:t>Modificat conform propunerilor similare ale Cancelariei de Stat, prin care se propune utilizarea „site-ul web oficial”</w:t>
            </w:r>
            <w:r w:rsidR="00D81559" w:rsidRPr="00EB5E76">
              <w:rPr>
                <w:rFonts w:ascii="Times New Roman" w:hAnsi="Times New Roman"/>
                <w:lang w:val="ro-RO"/>
              </w:rPr>
              <w:t xml:space="preserve">, conform HG </w:t>
            </w:r>
            <w:r w:rsidR="00D81559" w:rsidRPr="00EB5E76">
              <w:rPr>
                <w:rFonts w:ascii="Times New Roman" w:hAnsi="Times New Roman"/>
                <w:lang w:val="pt-BR"/>
              </w:rPr>
              <w:t>nr. 728/2023.</w:t>
            </w:r>
          </w:p>
        </w:tc>
      </w:tr>
      <w:tr w:rsidR="00F65C4D" w:rsidRPr="00E546E1" w14:paraId="322A89A6" w14:textId="77777777" w:rsidTr="00455587">
        <w:trPr>
          <w:trHeight w:val="2420"/>
        </w:trPr>
        <w:tc>
          <w:tcPr>
            <w:tcW w:w="2263" w:type="dxa"/>
            <w:vMerge/>
          </w:tcPr>
          <w:p w14:paraId="045EBABB"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412E5620" w14:textId="779EE1F8"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13</w:t>
            </w:r>
          </w:p>
        </w:tc>
        <w:tc>
          <w:tcPr>
            <w:tcW w:w="7230" w:type="dxa"/>
          </w:tcPr>
          <w:p w14:paraId="1C941F46" w14:textId="2D5D86B5" w:rsidR="00F65C4D" w:rsidRPr="00EB5E76" w:rsidRDefault="00F65C4D" w:rsidP="00F65C4D">
            <w:pPr>
              <w:tabs>
                <w:tab w:val="left" w:pos="884"/>
                <w:tab w:val="left" w:pos="1196"/>
              </w:tabs>
              <w:spacing w:after="0" w:line="240" w:lineRule="auto"/>
              <w:jc w:val="both"/>
              <w:rPr>
                <w:rFonts w:ascii="Times New Roman" w:hAnsi="Times New Roman"/>
                <w:i/>
                <w:iCs/>
                <w:lang w:val="pt-BR"/>
              </w:rPr>
            </w:pPr>
            <w:r w:rsidRPr="00EB5E76">
              <w:rPr>
                <w:rFonts w:ascii="Times New Roman" w:hAnsi="Times New Roman"/>
                <w:lang w:val="pt-BR"/>
              </w:rPr>
              <w:t xml:space="preserve">3. În Anexa la Statutul IP Centru Național pentru Energie Durabilă (indicatoriicheie de performanță) propunem completarea cu un nou indicator: </w:t>
            </w:r>
            <w:r w:rsidRPr="00EB5E76">
              <w:rPr>
                <w:rFonts w:ascii="Times New Roman" w:hAnsi="Times New Roman"/>
                <w:i/>
                <w:iCs/>
                <w:lang w:val="pt-BR"/>
              </w:rPr>
              <w:t>„– Procentul gospodăriilor vulnerabile din punct de vedere energetic care au beneficiat de măsuri de eficiență energetică, raportat la totalul gospodăriilor vulnerabile identificate la nivel național.”</w:t>
            </w:r>
          </w:p>
          <w:p w14:paraId="798085BC" w14:textId="77777777" w:rsidR="00F65C4D" w:rsidRPr="00EB5E76" w:rsidRDefault="00F65C4D" w:rsidP="00F65C4D">
            <w:pPr>
              <w:tabs>
                <w:tab w:val="left" w:pos="884"/>
                <w:tab w:val="left" w:pos="1196"/>
              </w:tabs>
              <w:spacing w:after="0" w:line="240" w:lineRule="auto"/>
              <w:jc w:val="both"/>
              <w:rPr>
                <w:rFonts w:ascii="Times New Roman" w:hAnsi="Times New Roman"/>
                <w:b/>
                <w:bCs/>
                <w:lang w:val="pt-BR"/>
              </w:rPr>
            </w:pPr>
            <w:r w:rsidRPr="00EB5E76">
              <w:rPr>
                <w:rFonts w:ascii="Times New Roman" w:hAnsi="Times New Roman"/>
                <w:b/>
                <w:bCs/>
                <w:lang w:val="pt-BR"/>
              </w:rPr>
              <w:t>Argumentare:</w:t>
            </w:r>
          </w:p>
          <w:p w14:paraId="29AADA53" w14:textId="1B993A88"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Completarea propusă va permite monitorizarea mai exactă a impactului social al programelor implementate și va facilita raportarea către autoritățile naționale și partenerii internaționali.</w:t>
            </w:r>
          </w:p>
        </w:tc>
        <w:tc>
          <w:tcPr>
            <w:tcW w:w="4268" w:type="dxa"/>
            <w:shd w:val="clear" w:color="auto" w:fill="FFFFFF" w:themeFill="background1"/>
          </w:tcPr>
          <w:p w14:paraId="695E9FB4" w14:textId="77777777" w:rsidR="00F65C4D" w:rsidRPr="00EB5E76" w:rsidRDefault="00E34265"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0E55B37B" w14:textId="487FAD79" w:rsidR="00271CEA" w:rsidRPr="00EB5E76" w:rsidRDefault="00271CEA"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În vederea asigurării sinergiei propunerii cu relevanța empirică a acestei propuneri, proiectul a fost completat cu următorii 2 indicatori:</w:t>
            </w:r>
          </w:p>
          <w:p w14:paraId="08D33108" w14:textId="77777777" w:rsidR="00271CEA" w:rsidRPr="00EB5E76" w:rsidRDefault="00271CEA" w:rsidP="00271CEA">
            <w:pPr>
              <w:pStyle w:val="Listparagraf"/>
              <w:numPr>
                <w:ilvl w:val="0"/>
                <w:numId w:val="14"/>
              </w:numPr>
              <w:spacing w:after="0" w:line="259" w:lineRule="auto"/>
              <w:ind w:left="561" w:hanging="142"/>
              <w:rPr>
                <w:sz w:val="20"/>
                <w:lang w:val="ro-RO"/>
              </w:rPr>
            </w:pPr>
            <w:r w:rsidRPr="00EB5E76">
              <w:rPr>
                <w:i/>
                <w:iCs/>
                <w:sz w:val="20"/>
                <w:lang w:val="ro-RO"/>
              </w:rPr>
              <w:t xml:space="preserve">numărul de gospodării </w:t>
            </w:r>
            <w:r w:rsidRPr="00EB5E76">
              <w:rPr>
                <w:i/>
                <w:iCs/>
                <w:lang w:val="pt-BR"/>
              </w:rPr>
              <w:t>vulnerabile din punct de vedere energetic care au beneficiat de măsuri de eficiență energetică</w:t>
            </w:r>
            <w:r w:rsidRPr="00EB5E76">
              <w:rPr>
                <w:i/>
                <w:iCs/>
                <w:sz w:val="20"/>
                <w:lang w:val="ro-RO"/>
              </w:rPr>
              <w:t>;</w:t>
            </w:r>
          </w:p>
          <w:p w14:paraId="1A866DAF" w14:textId="1E8101EB" w:rsidR="00271CEA" w:rsidRPr="00EB5E76" w:rsidRDefault="00271CEA" w:rsidP="00271CEA">
            <w:pPr>
              <w:pStyle w:val="Listparagraf"/>
              <w:numPr>
                <w:ilvl w:val="0"/>
                <w:numId w:val="14"/>
              </w:numPr>
              <w:tabs>
                <w:tab w:val="left" w:pos="884"/>
                <w:tab w:val="left" w:pos="1196"/>
              </w:tabs>
              <w:spacing w:after="0" w:line="240" w:lineRule="auto"/>
              <w:ind w:left="561"/>
              <w:jc w:val="both"/>
              <w:rPr>
                <w:b/>
                <w:bCs/>
                <w:lang w:val="ro-RO"/>
              </w:rPr>
            </w:pPr>
            <w:r w:rsidRPr="00EB5E76">
              <w:rPr>
                <w:i/>
                <w:iCs/>
                <w:sz w:val="20"/>
                <w:lang w:val="ro-RO"/>
              </w:rPr>
              <w:t>ponderea numărului de gospodăriilor vulnerabile din punct de vedere energetic care au beneficiat de măsuri de eficiență energetică din numărul total de gospodăriilor vulnerabile la nivel național.</w:t>
            </w:r>
          </w:p>
        </w:tc>
      </w:tr>
      <w:tr w:rsidR="00F65C4D" w:rsidRPr="00E546E1" w14:paraId="7F962407" w14:textId="77777777" w:rsidTr="00455587">
        <w:trPr>
          <w:trHeight w:val="3860"/>
        </w:trPr>
        <w:tc>
          <w:tcPr>
            <w:tcW w:w="2263" w:type="dxa"/>
            <w:vMerge w:val="restart"/>
          </w:tcPr>
          <w:p w14:paraId="0CFF204C" w14:textId="77777777" w:rsidR="00F65C4D" w:rsidRPr="00EB5E76" w:rsidRDefault="00F65C4D" w:rsidP="00F65C4D">
            <w:pPr>
              <w:tabs>
                <w:tab w:val="left" w:pos="884"/>
                <w:tab w:val="left" w:pos="1196"/>
              </w:tabs>
              <w:spacing w:after="0" w:line="240" w:lineRule="auto"/>
              <w:rPr>
                <w:rFonts w:ascii="Times New Roman" w:hAnsi="Times New Roman"/>
                <w:b/>
                <w:bCs/>
                <w:lang w:val="en-US"/>
              </w:rPr>
            </w:pPr>
            <w:r w:rsidRPr="00EB5E76">
              <w:rPr>
                <w:rFonts w:ascii="Times New Roman" w:hAnsi="Times New Roman"/>
                <w:b/>
                <w:bCs/>
                <w:lang w:val="en-US"/>
              </w:rPr>
              <w:lastRenderedPageBreak/>
              <w:t>ACGV ENERGOEXPERT SERVICE SRL</w:t>
            </w:r>
          </w:p>
          <w:p w14:paraId="66EA21AD" w14:textId="0DD3C223"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en-US" w:eastAsia="en-US"/>
              </w:rPr>
            </w:pPr>
            <w:r w:rsidRPr="00EB5E76">
              <w:rPr>
                <w:rFonts w:ascii="Times New Roman" w:hAnsi="Times New Roman"/>
                <w:lang w:val="en-US"/>
              </w:rPr>
              <w:t>F/N din 11.10.2025</w:t>
            </w:r>
          </w:p>
        </w:tc>
        <w:tc>
          <w:tcPr>
            <w:tcW w:w="567" w:type="dxa"/>
          </w:tcPr>
          <w:p w14:paraId="3F1AE960" w14:textId="1500D996"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14</w:t>
            </w:r>
          </w:p>
        </w:tc>
        <w:tc>
          <w:tcPr>
            <w:tcW w:w="7230" w:type="dxa"/>
          </w:tcPr>
          <w:p w14:paraId="243CBC95" w14:textId="7777777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b/>
                <w:bCs/>
                <w:lang w:val="ro-MD"/>
              </w:rPr>
              <w:t>Subiect:</w:t>
            </w:r>
            <w:r w:rsidRPr="00EB5E76">
              <w:rPr>
                <w:rFonts w:ascii="Times New Roman" w:hAnsi="Times New Roman"/>
                <w:lang w:val="ro-MD"/>
              </w:rPr>
              <w:t xml:space="preserve"> Propuneri asupra proiectului de HG de modificare a Statutului IP CNED</w:t>
            </w:r>
          </w:p>
          <w:p w14:paraId="3D231C47" w14:textId="7777777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 </w:t>
            </w:r>
            <w:r w:rsidRPr="00EB5E76">
              <w:rPr>
                <w:rFonts w:ascii="Times New Roman" w:hAnsi="Times New Roman"/>
                <w:i/>
                <w:iCs/>
                <w:lang w:val="ro-MD"/>
              </w:rPr>
              <w:t>(Anexa nr. 1 la Hotărârea Guvernului nr. 1060 din 21 decembrie 2023)</w:t>
            </w:r>
            <w:r w:rsidRPr="00EB5E76">
              <w:rPr>
                <w:rFonts w:ascii="Times New Roman" w:hAnsi="Times New Roman"/>
                <w:lang w:val="ro-MD"/>
              </w:rPr>
              <w:t xml:space="preserve"> Stimați Domni și Doamne, </w:t>
            </w:r>
          </w:p>
          <w:p w14:paraId="6F619897" w14:textId="0E27D564" w:rsidR="00F65C4D" w:rsidRPr="00EB5E76" w:rsidRDefault="00F65C4D" w:rsidP="00F65C4D">
            <w:pPr>
              <w:tabs>
                <w:tab w:val="left" w:pos="884"/>
                <w:tab w:val="left" w:pos="1196"/>
              </w:tabs>
              <w:spacing w:after="0" w:line="240" w:lineRule="auto"/>
              <w:ind w:firstLine="225"/>
              <w:jc w:val="both"/>
              <w:rPr>
                <w:rFonts w:ascii="Times New Roman" w:hAnsi="Times New Roman"/>
                <w:lang w:val="ro-MD"/>
              </w:rPr>
            </w:pPr>
            <w:r w:rsidRPr="00EB5E76">
              <w:rPr>
                <w:rFonts w:ascii="Times New Roman" w:hAnsi="Times New Roman"/>
                <w:lang w:val="ro-MD"/>
              </w:rPr>
              <w:t xml:space="preserve">Prin prezenta, Vă transmit următoarele propuneri punctuale asupra proiectului pentru modificarea Hotărârii Guvernului nr. 1060/2023 cu privire la organizarea și funcționarea Instituției Publice Centrul Național pentru Energie Durabilă: </w:t>
            </w:r>
          </w:p>
          <w:p w14:paraId="001A87C1" w14:textId="14D6AABE" w:rsidR="00F65C4D" w:rsidRPr="00EB5E76" w:rsidRDefault="00F65C4D" w:rsidP="00F65C4D">
            <w:pPr>
              <w:pStyle w:val="Listparagraf"/>
              <w:numPr>
                <w:ilvl w:val="0"/>
                <w:numId w:val="12"/>
              </w:numPr>
              <w:tabs>
                <w:tab w:val="left" w:pos="884"/>
                <w:tab w:val="left" w:pos="1196"/>
              </w:tabs>
              <w:spacing w:after="0" w:line="240" w:lineRule="auto"/>
              <w:jc w:val="both"/>
              <w:rPr>
                <w:lang w:val="ro-MD"/>
              </w:rPr>
            </w:pPr>
            <w:r w:rsidRPr="00EB5E76">
              <w:rPr>
                <w:b/>
                <w:bCs/>
                <w:lang w:val="ro-MD"/>
              </w:rPr>
              <w:t>Registre publice – menținerea lit. k)</w:t>
            </w:r>
            <w:r w:rsidRPr="00EB5E76">
              <w:rPr>
                <w:lang w:val="ro-MD"/>
              </w:rPr>
              <w:t xml:space="preserve"> </w:t>
            </w:r>
          </w:p>
          <w:p w14:paraId="72A57655" w14:textId="7777777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La pct. 1.2.5.1.4: să se excludă prevederea privind abrogarea pct. 9 alin. (1) lit. k) din Statut. Lit. k) menține Registrul public al auditorilor energetici și Registrul public al rapoartelor de audit energetic.</w:t>
            </w:r>
          </w:p>
          <w:p w14:paraId="0677E790" w14:textId="7CA9E0DF"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Păstrarea lit. k) asigură transparență și trasabilitate pe lanțul auditor → raport de audit energetic și permite beneficiarilor să verifice auditorii autorizați și documentele emise.</w:t>
            </w:r>
          </w:p>
        </w:tc>
        <w:tc>
          <w:tcPr>
            <w:tcW w:w="4268" w:type="dxa"/>
            <w:shd w:val="clear" w:color="auto" w:fill="FFFFFF" w:themeFill="background1"/>
          </w:tcPr>
          <w:p w14:paraId="3CB6E22A" w14:textId="77777777" w:rsidR="00F65C4D" w:rsidRPr="00EB5E76" w:rsidRDefault="00F65C4D" w:rsidP="00F65C4D">
            <w:pPr>
              <w:tabs>
                <w:tab w:val="left" w:pos="884"/>
                <w:tab w:val="left" w:pos="1196"/>
              </w:tabs>
              <w:spacing w:after="0" w:line="240" w:lineRule="auto"/>
              <w:jc w:val="both"/>
              <w:rPr>
                <w:rFonts w:ascii="Times New Roman" w:hAnsi="Times New Roman"/>
                <w:b/>
                <w:bCs/>
                <w:lang w:val="ro-RO"/>
              </w:rPr>
            </w:pPr>
          </w:p>
          <w:p w14:paraId="15DAC06E"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35294B38"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45A81E51"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5C28DEFE"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35B5B54B"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62FC9BDF"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35AD9A4C"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p>
          <w:p w14:paraId="77169F94" w14:textId="77777777" w:rsidR="00902B42" w:rsidRPr="00EB5E76" w:rsidRDefault="00902B42"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Nu se acceptă.</w:t>
            </w:r>
          </w:p>
          <w:p w14:paraId="40FB3111" w14:textId="43065594" w:rsidR="00902B42" w:rsidRPr="00EB5E76" w:rsidRDefault="00902B42" w:rsidP="00F65C4D">
            <w:pPr>
              <w:tabs>
                <w:tab w:val="left" w:pos="884"/>
                <w:tab w:val="left" w:pos="1196"/>
              </w:tabs>
              <w:spacing w:after="0" w:line="240" w:lineRule="auto"/>
              <w:jc w:val="both"/>
              <w:rPr>
                <w:rFonts w:ascii="Times New Roman" w:hAnsi="Times New Roman"/>
                <w:b/>
                <w:bCs/>
                <w:lang w:val="ro-RO"/>
              </w:rPr>
            </w:pPr>
            <w:r w:rsidRPr="00C67BBA">
              <w:rPr>
                <w:rFonts w:ascii="Times New Roman" w:hAnsi="Times New Roman"/>
                <w:lang w:val="ro-RO"/>
              </w:rPr>
              <w:t>Aceste aspecte sunt reglementate prin</w:t>
            </w:r>
            <w:r w:rsidRPr="00EB5E76">
              <w:rPr>
                <w:rFonts w:ascii="Times New Roman" w:hAnsi="Times New Roman"/>
                <w:lang w:val="ro-RO"/>
              </w:rPr>
              <w:t xml:space="preserve"> HG nr.144/2025</w:t>
            </w:r>
            <w:r w:rsidRPr="00EB5E76">
              <w:rPr>
                <w:lang w:val="ro-RO"/>
              </w:rPr>
              <w:t xml:space="preserve"> </w:t>
            </w:r>
            <w:r w:rsidRPr="00EB5E76">
              <w:rPr>
                <w:rFonts w:ascii="Times New Roman" w:hAnsi="Times New Roman"/>
                <w:lang w:val="ro-RO"/>
              </w:rPr>
              <w:t>cu privire la aprobarea Conceptul Sistemului informațional național în domeniul eficienței energetice, funcție care este atribuită CNED-ului prin expunerea în redacție nouă a lit. g).</w:t>
            </w:r>
          </w:p>
        </w:tc>
      </w:tr>
      <w:tr w:rsidR="00F65C4D" w:rsidRPr="00E546E1" w14:paraId="1BFD72FD" w14:textId="77777777" w:rsidTr="00455587">
        <w:trPr>
          <w:trHeight w:val="2115"/>
        </w:trPr>
        <w:tc>
          <w:tcPr>
            <w:tcW w:w="2263" w:type="dxa"/>
            <w:vMerge/>
          </w:tcPr>
          <w:p w14:paraId="1D135FC6" w14:textId="77777777" w:rsidR="00F65C4D" w:rsidRPr="00EB5E76" w:rsidRDefault="00F65C4D" w:rsidP="00F65C4D">
            <w:pPr>
              <w:tabs>
                <w:tab w:val="left" w:pos="884"/>
                <w:tab w:val="left" w:pos="1196"/>
              </w:tabs>
              <w:spacing w:after="0" w:line="240" w:lineRule="auto"/>
              <w:rPr>
                <w:rFonts w:ascii="Times New Roman" w:hAnsi="Times New Roman"/>
                <w:lang w:val="pt-BR"/>
              </w:rPr>
            </w:pPr>
          </w:p>
        </w:tc>
        <w:tc>
          <w:tcPr>
            <w:tcW w:w="567" w:type="dxa"/>
          </w:tcPr>
          <w:p w14:paraId="0B4DE69B" w14:textId="2B3635BB"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15</w:t>
            </w:r>
          </w:p>
        </w:tc>
        <w:tc>
          <w:tcPr>
            <w:tcW w:w="7230" w:type="dxa"/>
          </w:tcPr>
          <w:p w14:paraId="382B8E3A" w14:textId="77777777" w:rsidR="00F65C4D" w:rsidRPr="00EB5E76" w:rsidRDefault="00F65C4D" w:rsidP="00F65C4D">
            <w:pPr>
              <w:pStyle w:val="Listparagraf"/>
              <w:numPr>
                <w:ilvl w:val="0"/>
                <w:numId w:val="12"/>
              </w:numPr>
              <w:tabs>
                <w:tab w:val="left" w:pos="884"/>
                <w:tab w:val="left" w:pos="1196"/>
              </w:tabs>
              <w:spacing w:after="0" w:line="240" w:lineRule="auto"/>
              <w:jc w:val="both"/>
              <w:rPr>
                <w:lang w:val="pt-BR"/>
              </w:rPr>
            </w:pPr>
            <w:r w:rsidRPr="00EB5E76">
              <w:rPr>
                <w:b/>
                <w:bCs/>
                <w:lang w:val="pt-BR"/>
              </w:rPr>
              <w:t>Garanții, compensații, granturi – regulile de aplicare</w:t>
            </w:r>
            <w:r w:rsidRPr="00EB5E76">
              <w:rPr>
                <w:lang w:val="pt-BR"/>
              </w:rPr>
              <w:t xml:space="preserve"> </w:t>
            </w:r>
          </w:p>
          <w:p w14:paraId="79FC069B" w14:textId="77777777" w:rsidR="00F65C4D" w:rsidRPr="00EB5E76" w:rsidRDefault="00F65C4D" w:rsidP="00F65C4D">
            <w:pPr>
              <w:tabs>
                <w:tab w:val="left" w:pos="884"/>
                <w:tab w:val="left" w:pos="1196"/>
              </w:tabs>
              <w:spacing w:after="0" w:line="240" w:lineRule="auto"/>
              <w:jc w:val="both"/>
              <w:rPr>
                <w:lang w:val="pt-BR"/>
              </w:rPr>
            </w:pPr>
            <w:r w:rsidRPr="00EB5E76">
              <w:rPr>
                <w:lang w:val="pt-BR"/>
              </w:rPr>
              <w:t xml:space="preserve">La pct. 1.2.5.3.2 să se completează lit. d¹ și d² cu textul: </w:t>
            </w:r>
          </w:p>
          <w:p w14:paraId="549669B5" w14:textId="77777777" w:rsidR="00F65C4D" w:rsidRPr="00EB5E76" w:rsidRDefault="00F65C4D" w:rsidP="00F65C4D">
            <w:pPr>
              <w:tabs>
                <w:tab w:val="left" w:pos="884"/>
                <w:tab w:val="left" w:pos="1196"/>
              </w:tabs>
              <w:spacing w:after="0" w:line="240" w:lineRule="auto"/>
              <w:jc w:val="both"/>
              <w:rPr>
                <w:lang w:val="pt-BR"/>
              </w:rPr>
            </w:pPr>
            <w:r w:rsidRPr="00EB5E76">
              <w:rPr>
                <w:lang w:val="pt-BR"/>
              </w:rPr>
              <w:t>„…conform unui Regulament secundar/Ordin aprobat de IP CNED, care descrie criteriile, plafoanele, eligibilitatea, colateralele, gestionarea riscului, mecanismele de recuperare și raportarea publică pentru:</w:t>
            </w:r>
          </w:p>
          <w:p w14:paraId="29623945" w14:textId="77777777" w:rsidR="00F65C4D" w:rsidRPr="00EB5E76" w:rsidRDefault="00F65C4D" w:rsidP="00F65C4D">
            <w:pPr>
              <w:pStyle w:val="Listparagraf"/>
              <w:numPr>
                <w:ilvl w:val="0"/>
                <w:numId w:val="13"/>
              </w:numPr>
              <w:tabs>
                <w:tab w:val="left" w:pos="884"/>
                <w:tab w:val="left" w:pos="1196"/>
              </w:tabs>
              <w:spacing w:after="0" w:line="240" w:lineRule="auto"/>
              <w:jc w:val="both"/>
              <w:rPr>
                <w:lang w:val="pt-BR"/>
              </w:rPr>
            </w:pPr>
            <w:r w:rsidRPr="00EB5E76">
              <w:rPr>
                <w:lang w:val="pt-BR"/>
              </w:rPr>
              <w:t xml:space="preserve">acordarea de granturi și ajutoare financiare, </w:t>
            </w:r>
          </w:p>
          <w:p w14:paraId="383BD0DA" w14:textId="77777777" w:rsidR="00F65C4D" w:rsidRPr="00EB5E76" w:rsidRDefault="00F65C4D" w:rsidP="00F65C4D">
            <w:pPr>
              <w:pStyle w:val="Listparagraf"/>
              <w:numPr>
                <w:ilvl w:val="0"/>
                <w:numId w:val="13"/>
              </w:numPr>
              <w:tabs>
                <w:tab w:val="left" w:pos="884"/>
                <w:tab w:val="left" w:pos="1196"/>
              </w:tabs>
              <w:spacing w:after="0" w:line="240" w:lineRule="auto"/>
              <w:jc w:val="both"/>
              <w:rPr>
                <w:lang w:val="ro-MD"/>
              </w:rPr>
            </w:pPr>
            <w:r w:rsidRPr="00EB5E76">
              <w:rPr>
                <w:lang w:val="pt-BR"/>
              </w:rPr>
              <w:t>emiterea garanțiilor financiare</w:t>
            </w:r>
          </w:p>
          <w:p w14:paraId="69C80B4B" w14:textId="77777777" w:rsidR="00F65C4D" w:rsidRPr="00EB5E76" w:rsidRDefault="00F65C4D" w:rsidP="00F65C4D">
            <w:pPr>
              <w:pStyle w:val="Listparagraf"/>
              <w:numPr>
                <w:ilvl w:val="0"/>
                <w:numId w:val="13"/>
              </w:numPr>
              <w:tabs>
                <w:tab w:val="left" w:pos="884"/>
                <w:tab w:val="left" w:pos="1196"/>
              </w:tabs>
              <w:spacing w:after="0" w:line="240" w:lineRule="auto"/>
              <w:jc w:val="both"/>
              <w:rPr>
                <w:lang w:val="ro-MD"/>
              </w:rPr>
            </w:pPr>
            <w:r w:rsidRPr="00EB5E76">
              <w:rPr>
                <w:lang w:val="pt-BR"/>
              </w:rPr>
              <w:t xml:space="preserve">acordarea compensațiilor financiare.” </w:t>
            </w:r>
          </w:p>
          <w:p w14:paraId="46947A36" w14:textId="01C6E798" w:rsidR="00F65C4D" w:rsidRPr="00EB5E76" w:rsidRDefault="00F65C4D" w:rsidP="00F65C4D">
            <w:pPr>
              <w:tabs>
                <w:tab w:val="left" w:pos="884"/>
                <w:tab w:val="left" w:pos="1196"/>
              </w:tabs>
              <w:spacing w:after="0" w:line="240" w:lineRule="auto"/>
              <w:jc w:val="both"/>
              <w:rPr>
                <w:rFonts w:ascii="Times New Roman" w:hAnsi="Times New Roman"/>
                <w:b/>
                <w:bCs/>
                <w:lang w:val="ro-MD"/>
              </w:rPr>
            </w:pPr>
          </w:p>
        </w:tc>
        <w:tc>
          <w:tcPr>
            <w:tcW w:w="4268" w:type="dxa"/>
            <w:shd w:val="clear" w:color="auto" w:fill="FFFFFF" w:themeFill="background1"/>
          </w:tcPr>
          <w:p w14:paraId="5F6938C7" w14:textId="614F6CCF" w:rsidR="00F65C4D" w:rsidRPr="00EB5E76" w:rsidRDefault="00902B42"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Nu se acceptă</w:t>
            </w:r>
            <w:r w:rsidR="00916A1B" w:rsidRPr="00EB5E76">
              <w:rPr>
                <w:rFonts w:ascii="Times New Roman" w:hAnsi="Times New Roman"/>
                <w:b/>
                <w:bCs/>
                <w:lang w:val="ro-RO"/>
              </w:rPr>
              <w:t>.</w:t>
            </w:r>
          </w:p>
          <w:p w14:paraId="49214268" w14:textId="650DF69D" w:rsidR="00902B42" w:rsidRPr="00EB5E76" w:rsidRDefault="00916A1B"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Acordarea asistenței financiare, garanțiilor și compensațiilor financiare se realizează în baza produselor CNED elaborate în baza Legii nr.</w:t>
            </w:r>
            <w:r w:rsidR="00902B42" w:rsidRPr="00EB5E76">
              <w:rPr>
                <w:rFonts w:ascii="Times New Roman" w:hAnsi="Times New Roman"/>
                <w:lang w:val="ro-RO"/>
              </w:rPr>
              <w:t>139/2018</w:t>
            </w:r>
            <w:r w:rsidR="000C0C2A" w:rsidRPr="00EB5E76">
              <w:rPr>
                <w:rFonts w:ascii="Times New Roman" w:hAnsi="Times New Roman"/>
                <w:lang w:val="ro-RO"/>
              </w:rPr>
              <w:t xml:space="preserve"> cu privire la eficiența energetică</w:t>
            </w:r>
            <w:r w:rsidRPr="00EB5E76">
              <w:rPr>
                <w:rFonts w:ascii="Times New Roman" w:hAnsi="Times New Roman"/>
                <w:lang w:val="ro-RO"/>
              </w:rPr>
              <w:t xml:space="preserve"> și a programelor de stat aprobate de Guvern. De ex., </w:t>
            </w:r>
            <w:r w:rsidR="00E03084" w:rsidRPr="00EB5E76">
              <w:rPr>
                <w:rFonts w:ascii="Times New Roman" w:hAnsi="Times New Roman"/>
                <w:lang w:val="ro-RO"/>
              </w:rPr>
              <w:t>modul de emitere</w:t>
            </w:r>
            <w:r w:rsidRPr="00EB5E76">
              <w:rPr>
                <w:rFonts w:ascii="Times New Roman" w:hAnsi="Times New Roman"/>
                <w:lang w:val="ro-RO"/>
              </w:rPr>
              <w:t>, limitele</w:t>
            </w:r>
            <w:r w:rsidR="0095299A" w:rsidRPr="00EB5E76">
              <w:rPr>
                <w:rFonts w:ascii="Times New Roman" w:hAnsi="Times New Roman"/>
                <w:lang w:val="ro-RO"/>
              </w:rPr>
              <w:t xml:space="preserve"> plafoanelor și criteriile de eligibilitate pentru beneficiarii  garanțiilor și compensațiilor financiare vor fi reglementate de Guvern, conform </w:t>
            </w:r>
            <w:r w:rsidRPr="00EB5E76">
              <w:rPr>
                <w:rFonts w:ascii="Times New Roman" w:hAnsi="Times New Roman"/>
                <w:lang w:val="ro-RO"/>
              </w:rPr>
              <w:t>art</w:t>
            </w:r>
            <w:r w:rsidR="00521D07">
              <w:rPr>
                <w:rFonts w:ascii="Times New Roman" w:hAnsi="Times New Roman"/>
                <w:lang w:val="ro-RO"/>
              </w:rPr>
              <w:t>.</w:t>
            </w:r>
            <w:r w:rsidRPr="00EB5E76">
              <w:rPr>
                <w:rFonts w:ascii="Times New Roman" w:hAnsi="Times New Roman"/>
                <w:lang w:val="ro-RO"/>
              </w:rPr>
              <w:t>23</w:t>
            </w:r>
            <w:r w:rsidRPr="00EB5E76">
              <w:rPr>
                <w:rFonts w:ascii="Times New Roman" w:hAnsi="Times New Roman"/>
                <w:vertAlign w:val="superscript"/>
                <w:lang w:val="ro-RO"/>
              </w:rPr>
              <w:t>3</w:t>
            </w:r>
            <w:r w:rsidRPr="00EB5E76">
              <w:rPr>
                <w:rFonts w:ascii="Times New Roman" w:hAnsi="Times New Roman"/>
                <w:lang w:val="ro-RO"/>
              </w:rPr>
              <w:t xml:space="preserve"> din </w:t>
            </w:r>
            <w:r w:rsidR="0095299A" w:rsidRPr="00EB5E76">
              <w:rPr>
                <w:rFonts w:ascii="Times New Roman" w:hAnsi="Times New Roman"/>
                <w:lang w:val="ro-RO"/>
              </w:rPr>
              <w:t>L</w:t>
            </w:r>
            <w:r w:rsidRPr="00EB5E76">
              <w:rPr>
                <w:rFonts w:ascii="Times New Roman" w:hAnsi="Times New Roman"/>
                <w:lang w:val="ro-RO"/>
              </w:rPr>
              <w:t>egea nr.139/2018.</w:t>
            </w:r>
          </w:p>
        </w:tc>
      </w:tr>
      <w:tr w:rsidR="00F65C4D" w:rsidRPr="00E546E1" w14:paraId="18E7EF1F" w14:textId="77777777" w:rsidTr="00455587">
        <w:trPr>
          <w:trHeight w:val="2690"/>
        </w:trPr>
        <w:tc>
          <w:tcPr>
            <w:tcW w:w="2263" w:type="dxa"/>
            <w:vMerge/>
          </w:tcPr>
          <w:p w14:paraId="1F42AC78" w14:textId="77777777" w:rsidR="00F65C4D" w:rsidRPr="00EB5E76" w:rsidRDefault="00F65C4D" w:rsidP="00F65C4D">
            <w:pPr>
              <w:tabs>
                <w:tab w:val="left" w:pos="884"/>
                <w:tab w:val="left" w:pos="1196"/>
              </w:tabs>
              <w:spacing w:after="0" w:line="240" w:lineRule="auto"/>
              <w:rPr>
                <w:rFonts w:ascii="Times New Roman" w:hAnsi="Times New Roman"/>
                <w:lang w:val="en-US"/>
              </w:rPr>
            </w:pPr>
          </w:p>
        </w:tc>
        <w:tc>
          <w:tcPr>
            <w:tcW w:w="567" w:type="dxa"/>
          </w:tcPr>
          <w:p w14:paraId="5BDF2F90" w14:textId="02D796C5"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16</w:t>
            </w:r>
          </w:p>
        </w:tc>
        <w:tc>
          <w:tcPr>
            <w:tcW w:w="7230" w:type="dxa"/>
          </w:tcPr>
          <w:p w14:paraId="08D3E646" w14:textId="0BAC3B81" w:rsidR="00F65C4D" w:rsidRPr="00EB5E76" w:rsidRDefault="00F65C4D" w:rsidP="00F65C4D">
            <w:pPr>
              <w:pStyle w:val="Listparagraf"/>
              <w:numPr>
                <w:ilvl w:val="0"/>
                <w:numId w:val="12"/>
              </w:numPr>
              <w:tabs>
                <w:tab w:val="left" w:pos="884"/>
                <w:tab w:val="left" w:pos="1196"/>
              </w:tabs>
              <w:spacing w:after="0" w:line="240" w:lineRule="auto"/>
              <w:jc w:val="both"/>
              <w:rPr>
                <w:lang w:val="pt-BR"/>
              </w:rPr>
            </w:pPr>
            <w:r w:rsidRPr="00EB5E76">
              <w:rPr>
                <w:lang w:val="pt-BR"/>
              </w:rPr>
              <w:t>Comitetului de finanțare și risc – independență și integritate</w:t>
            </w:r>
          </w:p>
          <w:p w14:paraId="4435CB45"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La pct. 41–49 din Statut să se introducă expres pentru membrii Comitetului de finanțare și risc: </w:t>
            </w:r>
          </w:p>
          <w:p w14:paraId="5EC3E69D"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Segoe UI Symbol" w:hAnsi="Segoe UI Symbol" w:cs="Segoe UI Symbol"/>
                <w:lang w:val="pt-BR"/>
              </w:rPr>
              <w:t>➢</w:t>
            </w:r>
            <w:r w:rsidRPr="00EB5E76">
              <w:rPr>
                <w:rFonts w:ascii="Times New Roman" w:hAnsi="Times New Roman"/>
                <w:lang w:val="pt-BR"/>
              </w:rPr>
              <w:t xml:space="preserve"> criterii de independență; </w:t>
            </w:r>
          </w:p>
          <w:p w14:paraId="1C72F8FE"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Segoe UI Symbol" w:hAnsi="Segoe UI Symbol" w:cs="Segoe UI Symbol"/>
                <w:lang w:val="pt-BR"/>
              </w:rPr>
              <w:t>➢</w:t>
            </w:r>
            <w:r w:rsidRPr="00EB5E76">
              <w:rPr>
                <w:rFonts w:ascii="Times New Roman" w:hAnsi="Times New Roman"/>
                <w:lang w:val="pt-BR"/>
              </w:rPr>
              <w:t xml:space="preserve"> incompatibilități și test de conflict de interese (declarații anuale, abținere, înlocuire); </w:t>
            </w:r>
          </w:p>
          <w:p w14:paraId="46AC7B66" w14:textId="3B1C4AF3"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Segoe UI Symbol" w:hAnsi="Segoe UI Symbol" w:cs="Segoe UI Symbol"/>
                <w:lang w:val="pt-BR"/>
              </w:rPr>
              <w:t>➢</w:t>
            </w:r>
            <w:r w:rsidRPr="00EB5E76">
              <w:rPr>
                <w:rFonts w:ascii="Times New Roman" w:hAnsi="Times New Roman"/>
                <w:lang w:val="pt-BR"/>
              </w:rPr>
              <w:t xml:space="preserve"> limitarea la cel mult două mandate consecutive pentru membrii Comitetului. </w:t>
            </w:r>
          </w:p>
          <w:p w14:paraId="5CD09603" w14:textId="77777777" w:rsidR="00F65C4D" w:rsidRPr="00EB5E76" w:rsidRDefault="00F65C4D" w:rsidP="00F65C4D">
            <w:pPr>
              <w:tabs>
                <w:tab w:val="left" w:pos="884"/>
                <w:tab w:val="left" w:pos="1196"/>
              </w:tabs>
              <w:spacing w:after="0" w:line="240" w:lineRule="auto"/>
              <w:jc w:val="both"/>
              <w:rPr>
                <w:rFonts w:ascii="Times New Roman" w:hAnsi="Times New Roman"/>
                <w:b/>
                <w:bCs/>
                <w:lang w:val="pt-BR"/>
              </w:rPr>
            </w:pPr>
            <w:r w:rsidRPr="00EB5E76">
              <w:rPr>
                <w:rFonts w:ascii="Times New Roman" w:hAnsi="Times New Roman"/>
                <w:lang w:val="pt-BR"/>
              </w:rPr>
              <w:t>Vă rugăm să integrați propunerile în forma finală a proiectului</w:t>
            </w:r>
          </w:p>
          <w:p w14:paraId="1C309B74" w14:textId="261086EB" w:rsidR="00F65C4D" w:rsidRPr="00EB5E76" w:rsidRDefault="00F65C4D" w:rsidP="00F65C4D">
            <w:pPr>
              <w:tabs>
                <w:tab w:val="left" w:pos="884"/>
                <w:tab w:val="left" w:pos="1196"/>
              </w:tabs>
              <w:spacing w:after="0" w:line="240" w:lineRule="auto"/>
              <w:jc w:val="both"/>
              <w:rPr>
                <w:rFonts w:ascii="Times New Roman" w:hAnsi="Times New Roman"/>
                <w:b/>
                <w:bCs/>
                <w:lang w:val="pt-BR"/>
              </w:rPr>
            </w:pPr>
            <w:r w:rsidRPr="00EB5E76">
              <w:rPr>
                <w:rFonts w:ascii="Times New Roman" w:hAnsi="Times New Roman"/>
                <w:lang w:val="pt-BR"/>
              </w:rPr>
              <w:t xml:space="preserve"> </w:t>
            </w:r>
          </w:p>
        </w:tc>
        <w:tc>
          <w:tcPr>
            <w:tcW w:w="4268" w:type="dxa"/>
            <w:shd w:val="clear" w:color="auto" w:fill="FFFFFF" w:themeFill="background1"/>
          </w:tcPr>
          <w:p w14:paraId="43001ECF" w14:textId="77777777" w:rsidR="00F65C4D" w:rsidRPr="00EB5E76" w:rsidRDefault="00DB6736"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 parțial:</w:t>
            </w:r>
          </w:p>
          <w:p w14:paraId="6E7F6B99" w14:textId="77777777" w:rsidR="00DB6736" w:rsidRPr="00EB5E76" w:rsidRDefault="00DB6736"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Aceste aspecte sunt deja reglementate prin HG nr.1060/2023 cu privire la organizarea și funcționarea Instituției Publice Centrul Național pentru Energie Durabilă:</w:t>
            </w:r>
          </w:p>
          <w:p w14:paraId="29E800CD" w14:textId="77777777" w:rsidR="00DB6736" w:rsidRPr="00EB5E76" w:rsidRDefault="00DB6736" w:rsidP="00DB6736">
            <w:pPr>
              <w:pStyle w:val="Listparagraf"/>
              <w:numPr>
                <w:ilvl w:val="0"/>
                <w:numId w:val="14"/>
              </w:numPr>
              <w:tabs>
                <w:tab w:val="left" w:pos="884"/>
                <w:tab w:val="left" w:pos="1196"/>
              </w:tabs>
              <w:spacing w:after="0" w:line="240" w:lineRule="auto"/>
              <w:jc w:val="both"/>
              <w:rPr>
                <w:lang w:val="ro-RO"/>
              </w:rPr>
            </w:pPr>
            <w:r w:rsidRPr="00EB5E76">
              <w:rPr>
                <w:lang w:val="ro-RO"/>
              </w:rPr>
              <w:t>criteriile de independență la pct.49;</w:t>
            </w:r>
          </w:p>
          <w:p w14:paraId="02973176" w14:textId="77777777" w:rsidR="00C10F26" w:rsidRPr="00EB5E76" w:rsidRDefault="00DB6736" w:rsidP="00DB6736">
            <w:pPr>
              <w:pStyle w:val="Listparagraf"/>
              <w:numPr>
                <w:ilvl w:val="0"/>
                <w:numId w:val="14"/>
              </w:numPr>
              <w:tabs>
                <w:tab w:val="left" w:pos="884"/>
                <w:tab w:val="left" w:pos="1196"/>
              </w:tabs>
              <w:spacing w:after="0" w:line="240" w:lineRule="auto"/>
              <w:jc w:val="both"/>
              <w:rPr>
                <w:lang w:val="ro-RO"/>
              </w:rPr>
            </w:pPr>
            <w:r w:rsidRPr="00EB5E76">
              <w:rPr>
                <w:lang w:val="ro-RO"/>
              </w:rPr>
              <w:t>conflicte de interese: pct.62</w:t>
            </w:r>
            <w:r w:rsidR="00C10F26" w:rsidRPr="00EB5E76">
              <w:rPr>
                <w:lang w:val="ro-RO"/>
              </w:rPr>
              <w:t xml:space="preserve"> și pct.81;</w:t>
            </w:r>
          </w:p>
          <w:p w14:paraId="0FC87973" w14:textId="614E431A" w:rsidR="00DB6736" w:rsidRPr="00EB5E76" w:rsidRDefault="00C10F26" w:rsidP="00DB6736">
            <w:pPr>
              <w:pStyle w:val="Listparagraf"/>
              <w:numPr>
                <w:ilvl w:val="0"/>
                <w:numId w:val="14"/>
              </w:numPr>
              <w:tabs>
                <w:tab w:val="left" w:pos="884"/>
                <w:tab w:val="left" w:pos="1196"/>
              </w:tabs>
              <w:spacing w:after="0" w:line="240" w:lineRule="auto"/>
              <w:jc w:val="both"/>
              <w:rPr>
                <w:b/>
                <w:bCs/>
                <w:lang w:val="ro-RO"/>
              </w:rPr>
            </w:pPr>
            <w:r w:rsidRPr="00EB5E76">
              <w:rPr>
                <w:lang w:val="ro-RO"/>
              </w:rPr>
              <w:t>membrul care deține mai mult de 2 mandate</w:t>
            </w:r>
            <w:r w:rsidR="00DB6736" w:rsidRPr="00EB5E76">
              <w:rPr>
                <w:lang w:val="ro-RO"/>
              </w:rPr>
              <w:t xml:space="preserve"> </w:t>
            </w:r>
            <w:r w:rsidRPr="00EB5E76">
              <w:rPr>
                <w:lang w:val="ro-RO"/>
              </w:rPr>
              <w:t>consecutive nu este independent: pct.49, subpct. 5). De asemenea, în scopul excluderii situațiilor de echivoc, pct.46 din HG nr.1060/2023 se modifică în acest sens (pct.1.2.10 din proiect)</w:t>
            </w:r>
            <w:r w:rsidRPr="00EB5E76">
              <w:rPr>
                <w:b/>
                <w:bCs/>
                <w:lang w:val="ro-RO"/>
              </w:rPr>
              <w:t>.</w:t>
            </w:r>
          </w:p>
        </w:tc>
      </w:tr>
      <w:tr w:rsidR="00F65C4D" w:rsidRPr="00EB5E76" w14:paraId="0199A24A" w14:textId="77777777" w:rsidTr="00455587">
        <w:trPr>
          <w:trHeight w:val="620"/>
        </w:trPr>
        <w:tc>
          <w:tcPr>
            <w:tcW w:w="2263" w:type="dxa"/>
          </w:tcPr>
          <w:p w14:paraId="05BA0474"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t>Ministerul Mediului</w:t>
            </w:r>
          </w:p>
          <w:p w14:paraId="704C7AD3" w14:textId="31B7D5C0" w:rsidR="00F65C4D" w:rsidRPr="00EB5E76" w:rsidRDefault="00F65C4D" w:rsidP="00F65C4D">
            <w:pPr>
              <w:tabs>
                <w:tab w:val="left" w:pos="884"/>
                <w:tab w:val="left" w:pos="1196"/>
              </w:tabs>
              <w:spacing w:after="0" w:line="240" w:lineRule="auto"/>
              <w:rPr>
                <w:rFonts w:ascii="Times New Roman" w:eastAsiaTheme="minorHAnsi" w:hAnsi="Times New Roman"/>
                <w:bCs/>
                <w:lang w:val="ro-MD" w:eastAsia="en-US"/>
              </w:rPr>
            </w:pPr>
            <w:r w:rsidRPr="00EB5E76">
              <w:rPr>
                <w:rFonts w:ascii="Times New Roman" w:eastAsiaTheme="minorHAnsi" w:hAnsi="Times New Roman"/>
                <w:bCs/>
                <w:lang w:val="ro-MD" w:eastAsia="en-US"/>
              </w:rPr>
              <w:t>Nr. 13-05/2781 din 13.10.2025</w:t>
            </w:r>
          </w:p>
        </w:tc>
        <w:tc>
          <w:tcPr>
            <w:tcW w:w="567" w:type="dxa"/>
          </w:tcPr>
          <w:p w14:paraId="4110D37C" w14:textId="7AADE7FD"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17</w:t>
            </w:r>
          </w:p>
        </w:tc>
        <w:tc>
          <w:tcPr>
            <w:tcW w:w="7230" w:type="dxa"/>
          </w:tcPr>
          <w:p w14:paraId="3D8E0600" w14:textId="08C1B405"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În contextul examinării proiectului de hotărâre pentru modificarea Hotărârii Guvernului nr. 1060/2023 cu privire la organizarea și funcționarea Instituției Publice Centrul Național pentru Energie Durabilă </w:t>
            </w:r>
            <w:r w:rsidRPr="00EB5E76">
              <w:rPr>
                <w:rFonts w:ascii="Times New Roman" w:hAnsi="Times New Roman"/>
                <w:b/>
                <w:bCs/>
                <w:i/>
                <w:iCs/>
                <w:lang w:val="ro-MD"/>
              </w:rPr>
              <w:t>(număr unic 756/MEn/2024),</w:t>
            </w:r>
            <w:r w:rsidRPr="00EB5E76">
              <w:rPr>
                <w:rFonts w:ascii="Times New Roman" w:hAnsi="Times New Roman"/>
                <w:lang w:val="ro-MD"/>
              </w:rPr>
              <w:t xml:space="preserve"> Vă comunicăm lipsa obiecțiilor și propunerilor.</w:t>
            </w:r>
          </w:p>
        </w:tc>
        <w:tc>
          <w:tcPr>
            <w:tcW w:w="4268" w:type="dxa"/>
            <w:shd w:val="clear" w:color="auto" w:fill="FFFFFF" w:themeFill="background1"/>
          </w:tcPr>
          <w:p w14:paraId="0C89128F" w14:textId="76B714A1" w:rsidR="00F65C4D" w:rsidRPr="00EB5E76" w:rsidRDefault="00F65C4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ia act</w:t>
            </w:r>
          </w:p>
        </w:tc>
      </w:tr>
      <w:tr w:rsidR="00F65C4D" w:rsidRPr="00EB5E76" w14:paraId="02653763" w14:textId="77777777" w:rsidTr="00455587">
        <w:trPr>
          <w:trHeight w:val="620"/>
        </w:trPr>
        <w:tc>
          <w:tcPr>
            <w:tcW w:w="2263" w:type="dxa"/>
          </w:tcPr>
          <w:p w14:paraId="2BC4378B"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t>Ministerul Dezvoltării Economice și Digitalizării</w:t>
            </w:r>
          </w:p>
          <w:p w14:paraId="74682186" w14:textId="27980C09" w:rsidR="00F65C4D" w:rsidRPr="00EB5E76" w:rsidRDefault="00F65C4D" w:rsidP="00F65C4D">
            <w:pPr>
              <w:tabs>
                <w:tab w:val="left" w:pos="884"/>
                <w:tab w:val="left" w:pos="1196"/>
              </w:tabs>
              <w:spacing w:after="0" w:line="240" w:lineRule="auto"/>
              <w:rPr>
                <w:rFonts w:ascii="Times New Roman" w:eastAsiaTheme="minorHAnsi" w:hAnsi="Times New Roman"/>
                <w:bCs/>
                <w:lang w:val="ro-MD" w:eastAsia="en-US"/>
              </w:rPr>
            </w:pPr>
            <w:r w:rsidRPr="00EB5E76">
              <w:rPr>
                <w:rFonts w:ascii="Times New Roman" w:eastAsiaTheme="minorHAnsi" w:hAnsi="Times New Roman"/>
                <w:bCs/>
                <w:lang w:val="ro-MD" w:eastAsia="en-US"/>
              </w:rPr>
              <w:t>Nr. 03-2966 din 15.10.2025</w:t>
            </w:r>
          </w:p>
        </w:tc>
        <w:tc>
          <w:tcPr>
            <w:tcW w:w="567" w:type="dxa"/>
          </w:tcPr>
          <w:p w14:paraId="59DB0930" w14:textId="13E9C7DB"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18</w:t>
            </w:r>
          </w:p>
        </w:tc>
        <w:tc>
          <w:tcPr>
            <w:tcW w:w="7230" w:type="dxa"/>
          </w:tcPr>
          <w:p w14:paraId="45308E21" w14:textId="7777777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Cu referire la </w:t>
            </w:r>
            <w:r w:rsidRPr="00EB5E76">
              <w:rPr>
                <w:rFonts w:ascii="Times New Roman" w:hAnsi="Times New Roman"/>
                <w:b/>
                <w:bCs/>
                <w:i/>
                <w:iCs/>
                <w:lang w:val="ro-MD"/>
              </w:rPr>
              <w:t>proiectul hotărârii Guvernului pentru modificarea Hotărârii Guvernului nr.1060/2023 cu privire la organizarea și funcționarea Instituției Publice Centrul Național pentru Energie Durabilă</w:t>
            </w:r>
            <w:r w:rsidRPr="00EB5E76">
              <w:rPr>
                <w:rFonts w:ascii="Times New Roman" w:hAnsi="Times New Roman"/>
                <w:i/>
                <w:iCs/>
                <w:lang w:val="ro-MD"/>
              </w:rPr>
              <w:t xml:space="preserve"> (număr unic 756/MEn/2025),</w:t>
            </w:r>
            <w:r w:rsidRPr="00EB5E76">
              <w:rPr>
                <w:rFonts w:ascii="Times New Roman" w:hAnsi="Times New Roman"/>
                <w:lang w:val="ro-MD"/>
              </w:rPr>
              <w:t xml:space="preserve"> în limita competențelor funcționale, comunicăm lipsa de obiecții și propuneri.</w:t>
            </w:r>
          </w:p>
          <w:p w14:paraId="42FC6BDA" w14:textId="5010C4E3" w:rsidR="00F65C4D" w:rsidRPr="00EB5E76" w:rsidRDefault="00F65C4D" w:rsidP="00F65C4D">
            <w:pPr>
              <w:tabs>
                <w:tab w:val="left" w:pos="884"/>
                <w:tab w:val="left" w:pos="1196"/>
              </w:tabs>
              <w:spacing w:after="0" w:line="240" w:lineRule="auto"/>
              <w:jc w:val="both"/>
              <w:rPr>
                <w:rFonts w:ascii="Times New Roman" w:hAnsi="Times New Roman"/>
                <w:lang w:val="ro-MD"/>
              </w:rPr>
            </w:pPr>
          </w:p>
        </w:tc>
        <w:tc>
          <w:tcPr>
            <w:tcW w:w="4268" w:type="dxa"/>
            <w:shd w:val="clear" w:color="auto" w:fill="FFFFFF" w:themeFill="background1"/>
          </w:tcPr>
          <w:p w14:paraId="68C255DF" w14:textId="7C7B1B3E" w:rsidR="00F65C4D" w:rsidRPr="00EB5E76" w:rsidRDefault="00F65C4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ia act</w:t>
            </w:r>
          </w:p>
        </w:tc>
      </w:tr>
      <w:tr w:rsidR="00F65C4D" w:rsidRPr="00EB5E76" w14:paraId="1EBF6787" w14:textId="77777777" w:rsidTr="00455587">
        <w:trPr>
          <w:trHeight w:val="5250"/>
        </w:trPr>
        <w:tc>
          <w:tcPr>
            <w:tcW w:w="2263" w:type="dxa"/>
            <w:vMerge w:val="restart"/>
          </w:tcPr>
          <w:p w14:paraId="4C0CFFB8"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
                <w:sz w:val="24"/>
                <w:szCs w:val="24"/>
                <w:lang w:val="ro-MD" w:eastAsia="en-US"/>
              </w:rPr>
              <w:lastRenderedPageBreak/>
              <w:t xml:space="preserve"> IP Centrul Național pentru Energie Durabilă</w:t>
            </w:r>
          </w:p>
          <w:p w14:paraId="53B60DD6" w14:textId="77756856" w:rsidR="00F65C4D" w:rsidRPr="00EB5E76" w:rsidRDefault="00F65C4D" w:rsidP="00F65C4D">
            <w:pPr>
              <w:tabs>
                <w:tab w:val="left" w:pos="884"/>
                <w:tab w:val="left" w:pos="1196"/>
              </w:tabs>
              <w:spacing w:after="0" w:line="240" w:lineRule="auto"/>
              <w:rPr>
                <w:rFonts w:ascii="Times New Roman" w:eastAsiaTheme="minorHAnsi" w:hAnsi="Times New Roman"/>
                <w:bCs/>
                <w:lang w:val="ro-MD" w:eastAsia="en-US"/>
              </w:rPr>
            </w:pPr>
            <w:r w:rsidRPr="00EB5E76">
              <w:rPr>
                <w:rFonts w:ascii="Times New Roman" w:eastAsiaTheme="minorHAnsi" w:hAnsi="Times New Roman"/>
                <w:bCs/>
                <w:lang w:val="ro-MD" w:eastAsia="en-US"/>
              </w:rPr>
              <w:t>Nr. 15-1983 din 13.10.2025</w:t>
            </w:r>
          </w:p>
        </w:tc>
        <w:tc>
          <w:tcPr>
            <w:tcW w:w="567" w:type="dxa"/>
          </w:tcPr>
          <w:p w14:paraId="0A3D9D8B" w14:textId="6B746B63"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19</w:t>
            </w:r>
          </w:p>
        </w:tc>
        <w:tc>
          <w:tcPr>
            <w:tcW w:w="7230" w:type="dxa"/>
          </w:tcPr>
          <w:p w14:paraId="62895A97" w14:textId="77777777"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 xml:space="preserve">     Prin prezenta, Instituția Publică Centrul Național pentru Energie Durabilă (IP CNED), a examinat solicitarea Dvs. cu nr. 03-2570 din 30 septembrie 2025, privind avizarea </w:t>
            </w:r>
            <w:r w:rsidRPr="00EB5E76">
              <w:rPr>
                <w:rFonts w:ascii="Times New Roman" w:hAnsi="Times New Roman"/>
                <w:i/>
                <w:iCs/>
                <w:lang w:val="ro-MD"/>
              </w:rPr>
              <w:t>Proiectului Hotărârii Guvernului pentru modificarea Hotărârii Guvernului nr.1060/2023 cu privire la organizarea și funcționarea Instituției Publice Centrul Național pentru Energie Durabilă,</w:t>
            </w:r>
            <w:r w:rsidRPr="00EB5E76">
              <w:rPr>
                <w:rFonts w:ascii="Times New Roman" w:hAnsi="Times New Roman"/>
                <w:lang w:val="ro-MD"/>
              </w:rPr>
              <w:t xml:space="preserve"> (număr unic 756/MEn/2025), autor - Ministerul Energiei și, Vă comunică următoarele propuneri: </w:t>
            </w:r>
          </w:p>
          <w:p w14:paraId="78D185F4" w14:textId="15EE2D14"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ro-MD"/>
              </w:rPr>
              <w:t xml:space="preserve">    1. </w:t>
            </w:r>
            <w:r w:rsidRPr="00EB5E76">
              <w:rPr>
                <w:rFonts w:ascii="Times New Roman" w:hAnsi="Times New Roman"/>
                <w:lang w:val="pt-BR"/>
              </w:rPr>
              <w:t xml:space="preserve">La anexa nr.2 la Statut, se propune completarea cu un nou subpunct, 1.3.6, cu următorul conținut: </w:t>
            </w:r>
            <w:r w:rsidRPr="00EB5E76">
              <w:rPr>
                <w:rFonts w:ascii="Times New Roman" w:hAnsi="Times New Roman"/>
                <w:i/>
                <w:iCs/>
                <w:lang w:val="pt-BR"/>
              </w:rPr>
              <w:t>„Secția dezvoltare programe de eficiență energetică și relații externe”</w:t>
            </w:r>
            <w:r w:rsidRPr="00EB5E76">
              <w:rPr>
                <w:rFonts w:ascii="Times New Roman" w:hAnsi="Times New Roman"/>
                <w:lang w:val="pt-BR"/>
              </w:rPr>
              <w:t xml:space="preserve"> se substituie cu sintagma </w:t>
            </w:r>
            <w:r w:rsidRPr="00EB5E76">
              <w:rPr>
                <w:rFonts w:ascii="Times New Roman" w:hAnsi="Times New Roman"/>
                <w:i/>
                <w:iCs/>
                <w:lang w:val="pt-BR"/>
              </w:rPr>
              <w:t>„</w:t>
            </w:r>
            <w:bookmarkStart w:id="1" w:name="_Hlk213094289"/>
            <w:r w:rsidRPr="00EB5E76">
              <w:rPr>
                <w:rFonts w:ascii="Times New Roman" w:hAnsi="Times New Roman"/>
                <w:i/>
                <w:iCs/>
                <w:lang w:val="pt-BR"/>
              </w:rPr>
              <w:t>Secția atragere fonduri și relații externe</w:t>
            </w:r>
            <w:bookmarkEnd w:id="1"/>
            <w:r w:rsidRPr="00EB5E76">
              <w:rPr>
                <w:rFonts w:ascii="Times New Roman" w:hAnsi="Times New Roman"/>
                <w:i/>
                <w:iCs/>
                <w:lang w:val="pt-BR"/>
              </w:rPr>
              <w:t>”.</w:t>
            </w:r>
            <w:r w:rsidRPr="00EB5E76">
              <w:rPr>
                <w:rFonts w:ascii="Times New Roman" w:hAnsi="Times New Roman"/>
                <w:lang w:val="pt-BR"/>
              </w:rPr>
              <w:t xml:space="preserve"> În conformitate cu cadrul instituțional, programele naționale în domeniul eficienței energetice sunt elaborate de Guvern și implementate de către subdiviziunile de specialitate din cadrul IP CNED. Activitatea secției vizate se axează preponderent pe identificarea și atragerea surselor de finanțare/asistență externă destinate susținerii inițiativelor instituției, precum și pe dezvoltarea parteneriatelor externe. Această modificare se propune pentru a reflecta mai specific atribuțiile subdiviziunii. Prin urmare, noua denumire descrie mai clar funcțiile de bază ale secției și asigură o corelare mai specifică între denumire și domeniul efectiv de activitate al acesteia. Totodată, urmează a fi efectuate și ajustările corespunzătoare în Organigrama IP CNED.</w:t>
            </w:r>
          </w:p>
        </w:tc>
        <w:tc>
          <w:tcPr>
            <w:tcW w:w="4268" w:type="dxa"/>
            <w:shd w:val="clear" w:color="auto" w:fill="FFFFFF" w:themeFill="background1"/>
          </w:tcPr>
          <w:p w14:paraId="07211FB0" w14:textId="77777777" w:rsidR="00F65C4D" w:rsidRPr="00EB5E76" w:rsidRDefault="00F65C4D" w:rsidP="00F65C4D">
            <w:pPr>
              <w:tabs>
                <w:tab w:val="left" w:pos="884"/>
                <w:tab w:val="left" w:pos="1196"/>
              </w:tabs>
              <w:spacing w:after="0" w:line="240" w:lineRule="auto"/>
              <w:jc w:val="both"/>
              <w:rPr>
                <w:rFonts w:ascii="Times New Roman" w:hAnsi="Times New Roman"/>
                <w:b/>
                <w:bCs/>
                <w:lang w:val="ro-RO"/>
              </w:rPr>
            </w:pPr>
          </w:p>
          <w:p w14:paraId="730D91CA"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6CE1AC47"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5E759601"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44DAD4A7"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609F8A99"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630DC2EE" w14:textId="77777777" w:rsidR="00A2799F" w:rsidRPr="00EB5E76" w:rsidRDefault="00A2799F" w:rsidP="00F65C4D">
            <w:pPr>
              <w:tabs>
                <w:tab w:val="left" w:pos="884"/>
                <w:tab w:val="left" w:pos="1196"/>
              </w:tabs>
              <w:spacing w:after="0" w:line="240" w:lineRule="auto"/>
              <w:jc w:val="both"/>
              <w:rPr>
                <w:rFonts w:ascii="Times New Roman" w:hAnsi="Times New Roman"/>
                <w:b/>
                <w:bCs/>
                <w:lang w:val="ro-RO"/>
              </w:rPr>
            </w:pPr>
          </w:p>
          <w:p w14:paraId="190CE524" w14:textId="21FC1228" w:rsidR="00A2799F" w:rsidRPr="00EB5E76" w:rsidRDefault="00A2799F"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tc>
      </w:tr>
      <w:tr w:rsidR="00F65C4D" w:rsidRPr="00EB5E76" w14:paraId="5F8A5408" w14:textId="77777777" w:rsidTr="00455587">
        <w:trPr>
          <w:trHeight w:val="3190"/>
        </w:trPr>
        <w:tc>
          <w:tcPr>
            <w:tcW w:w="2263" w:type="dxa"/>
            <w:vMerge/>
          </w:tcPr>
          <w:p w14:paraId="1399F232"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vMerge w:val="restart"/>
          </w:tcPr>
          <w:p w14:paraId="13ED2CBA" w14:textId="322DFA07"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20</w:t>
            </w:r>
          </w:p>
        </w:tc>
        <w:tc>
          <w:tcPr>
            <w:tcW w:w="7230" w:type="dxa"/>
            <w:vMerge w:val="restart"/>
          </w:tcPr>
          <w:p w14:paraId="0CD996C4" w14:textId="347716AE"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2. La anexa nr.2 la Statut, se propune modificarea subpunct, 1.3.3, cu următorul conținut: </w:t>
            </w:r>
            <w:r w:rsidRPr="00EB5E76">
              <w:rPr>
                <w:rFonts w:ascii="Times New Roman" w:hAnsi="Times New Roman"/>
                <w:i/>
                <w:iCs/>
                <w:lang w:val="pt-BR"/>
              </w:rPr>
              <w:t>„Serviciul primire și procesare dosare”</w:t>
            </w:r>
            <w:r w:rsidRPr="00EB5E76">
              <w:rPr>
                <w:rFonts w:ascii="Times New Roman" w:hAnsi="Times New Roman"/>
                <w:lang w:val="pt-BR"/>
              </w:rPr>
              <w:t xml:space="preserve"> se substituie cu sintagma </w:t>
            </w:r>
            <w:r w:rsidRPr="00EB5E76">
              <w:rPr>
                <w:rFonts w:ascii="Times New Roman" w:hAnsi="Times New Roman"/>
                <w:i/>
                <w:iCs/>
                <w:lang w:val="pt-BR"/>
              </w:rPr>
              <w:t>„Secția primire și procesare dosare”</w:t>
            </w:r>
            <w:r w:rsidRPr="00EB5E76">
              <w:rPr>
                <w:rFonts w:ascii="Times New Roman" w:hAnsi="Times New Roman"/>
                <w:lang w:val="pt-BR"/>
              </w:rPr>
              <w:t xml:space="preserve">. Această modificare este necesară ca urmare a experienței acumulate după lansarea produsului de finanțare „Casa Verde”, unde s-a constatat un volum mare de activități legate de interacțiunea cu aplicanții în cadrul proiectelor, fapt ce a determinat extinderea duratei procesului de evaluare. În acest sens, la aprobarea statelor de personal de către Consiliu, se va propune realocarea unei poziții din cadrul alte subdiviziuni, ex. din cadul Unității de implementare a programelor și proiectelor (UIP), în vederea optimizării procesului de gestionare a fluxului de aplicații și a activităților aferente programelor implementate de IP CNED. De asemenea, urmează a fi ajustată în mod corespunzător Organigrama IP CNED. </w:t>
            </w:r>
          </w:p>
        </w:tc>
        <w:tc>
          <w:tcPr>
            <w:tcW w:w="4268" w:type="dxa"/>
            <w:shd w:val="clear" w:color="auto" w:fill="FFFFFF" w:themeFill="background1"/>
          </w:tcPr>
          <w:p w14:paraId="1279A3B7" w14:textId="0384B2F5" w:rsidR="00F65C4D" w:rsidRPr="00EB5E76" w:rsidRDefault="000D5405"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tc>
      </w:tr>
      <w:tr w:rsidR="00F65C4D" w:rsidRPr="00EB5E76" w14:paraId="3BDCC61A" w14:textId="77777777" w:rsidTr="00455587">
        <w:trPr>
          <w:trHeight w:val="780"/>
        </w:trPr>
        <w:tc>
          <w:tcPr>
            <w:tcW w:w="2263" w:type="dxa"/>
            <w:vMerge/>
          </w:tcPr>
          <w:p w14:paraId="56A32E36"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vMerge/>
          </w:tcPr>
          <w:p w14:paraId="4D30B82A" w14:textId="77777777"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p>
        </w:tc>
        <w:tc>
          <w:tcPr>
            <w:tcW w:w="7230" w:type="dxa"/>
            <w:vMerge/>
          </w:tcPr>
          <w:p w14:paraId="61160856"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p>
        </w:tc>
        <w:tc>
          <w:tcPr>
            <w:tcW w:w="4268" w:type="dxa"/>
            <w:shd w:val="clear" w:color="auto" w:fill="FFFFFF" w:themeFill="background1"/>
          </w:tcPr>
          <w:p w14:paraId="254AA65B" w14:textId="77777777" w:rsidR="00F65C4D" w:rsidRPr="00EB5E76" w:rsidRDefault="00F65C4D" w:rsidP="00F65C4D">
            <w:pPr>
              <w:tabs>
                <w:tab w:val="left" w:pos="884"/>
                <w:tab w:val="left" w:pos="1196"/>
              </w:tabs>
              <w:spacing w:after="0" w:line="240" w:lineRule="auto"/>
              <w:jc w:val="both"/>
              <w:rPr>
                <w:rFonts w:ascii="Times New Roman" w:hAnsi="Times New Roman"/>
                <w:b/>
                <w:bCs/>
                <w:lang w:val="ro-RO"/>
              </w:rPr>
            </w:pPr>
          </w:p>
        </w:tc>
      </w:tr>
      <w:tr w:rsidR="00F65C4D" w:rsidRPr="00EB5E76" w14:paraId="4273B862" w14:textId="77777777" w:rsidTr="00455587">
        <w:trPr>
          <w:trHeight w:val="2745"/>
        </w:trPr>
        <w:tc>
          <w:tcPr>
            <w:tcW w:w="2263" w:type="dxa"/>
            <w:vMerge/>
          </w:tcPr>
          <w:p w14:paraId="0589B75B"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0F4BBEBB" w14:textId="58AD4AAD"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21</w:t>
            </w:r>
          </w:p>
        </w:tc>
        <w:tc>
          <w:tcPr>
            <w:tcW w:w="7230" w:type="dxa"/>
          </w:tcPr>
          <w:p w14:paraId="6C7554ED" w14:textId="0EC8D3A0"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 xml:space="preserve">  3. La punctul 9 subpunctul 1) litera d), se propune reformularea literei d)după cum urmează: </w:t>
            </w:r>
          </w:p>
          <w:p w14:paraId="67E0C6E6" w14:textId="77777777"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i/>
                <w:iCs/>
                <w:lang w:val="pt-BR"/>
              </w:rPr>
              <w:t xml:space="preserve">„d) acordă asistență fondatorului la elaborarea şi monitorizarea aplicării Planului național integrat privind energia şi clima, inclusiv prin colectarea în acest sens de informații necesare de la autoritățile administrației publice centrale şi locale, precum şi de la participanții la piețele energetice”. </w:t>
            </w:r>
            <w:r w:rsidRPr="00EB5E76">
              <w:rPr>
                <w:rFonts w:ascii="Times New Roman" w:hAnsi="Times New Roman"/>
                <w:lang w:val="pt-BR"/>
              </w:rPr>
              <w:t>Această atribuție urmează a fi corelată și clarificată în contextul prevederilor art. 6 alin. (4) din Legea nr. 139/2018 privind eficiența energetică, care stabilește două exerciții de raportare distincte. Este necesară revizuirea acestei atribuții pentru a asigura o formulare clară și coerentă și în conținutul regulamentului.</w:t>
            </w:r>
          </w:p>
        </w:tc>
        <w:tc>
          <w:tcPr>
            <w:tcW w:w="4268" w:type="dxa"/>
            <w:shd w:val="clear" w:color="auto" w:fill="FFFFFF" w:themeFill="background1"/>
          </w:tcPr>
          <w:p w14:paraId="3E3FBC03" w14:textId="77777777" w:rsidR="00D65A3D" w:rsidRPr="00EB5E76" w:rsidRDefault="00D65A3D"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353B63E3" w14:textId="024C254D" w:rsidR="00F65C4D" w:rsidRPr="00EB5E76" w:rsidRDefault="000D5405"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 xml:space="preserve">Proiectul prevede deja acest conținut la pct.9, subpct. 1), lit d). </w:t>
            </w:r>
          </w:p>
        </w:tc>
      </w:tr>
      <w:tr w:rsidR="00F65C4D" w:rsidRPr="00E546E1" w14:paraId="2D9D7DF5" w14:textId="77777777" w:rsidTr="00455587">
        <w:trPr>
          <w:trHeight w:val="620"/>
        </w:trPr>
        <w:tc>
          <w:tcPr>
            <w:tcW w:w="2263" w:type="dxa"/>
            <w:vMerge w:val="restart"/>
          </w:tcPr>
          <w:p w14:paraId="5CE60BFC" w14:textId="5AFA354E"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RO" w:eastAsia="en-US"/>
              </w:rPr>
            </w:pPr>
            <w:r w:rsidRPr="00EB5E76">
              <w:rPr>
                <w:rFonts w:ascii="Times New Roman" w:eastAsiaTheme="minorHAnsi" w:hAnsi="Times New Roman"/>
                <w:b/>
                <w:sz w:val="24"/>
                <w:szCs w:val="24"/>
                <w:lang w:val="ro-MD" w:eastAsia="en-US"/>
              </w:rPr>
              <w:t>Ministerul Finan</w:t>
            </w:r>
            <w:r w:rsidRPr="00EB5E76">
              <w:rPr>
                <w:rFonts w:ascii="Times New Roman" w:eastAsiaTheme="minorHAnsi" w:hAnsi="Times New Roman"/>
                <w:b/>
                <w:sz w:val="24"/>
                <w:szCs w:val="24"/>
                <w:lang w:val="ro-RO" w:eastAsia="en-US"/>
              </w:rPr>
              <w:t>țelor</w:t>
            </w:r>
          </w:p>
          <w:p w14:paraId="1EB7E05E" w14:textId="7794E2C9"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r w:rsidRPr="00EB5E76">
              <w:rPr>
                <w:rFonts w:ascii="Times New Roman" w:eastAsiaTheme="minorHAnsi" w:hAnsi="Times New Roman"/>
                <w:bCs/>
                <w:lang w:val="ro-MD" w:eastAsia="en-US"/>
              </w:rPr>
              <w:t>Nr. 18-69-10069 din 22.10.2025</w:t>
            </w:r>
          </w:p>
        </w:tc>
        <w:tc>
          <w:tcPr>
            <w:tcW w:w="567" w:type="dxa"/>
          </w:tcPr>
          <w:p w14:paraId="0F272A74" w14:textId="7F74B80E"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22</w:t>
            </w:r>
          </w:p>
        </w:tc>
        <w:tc>
          <w:tcPr>
            <w:tcW w:w="7230" w:type="dxa"/>
          </w:tcPr>
          <w:p w14:paraId="6C944F5F" w14:textId="7A6E2091" w:rsidR="00F65C4D" w:rsidRPr="00EB5E76" w:rsidRDefault="00F65C4D" w:rsidP="00F65C4D">
            <w:pPr>
              <w:tabs>
                <w:tab w:val="left" w:pos="884"/>
                <w:tab w:val="left" w:pos="1196"/>
              </w:tabs>
              <w:spacing w:after="0" w:line="240" w:lineRule="auto"/>
              <w:jc w:val="both"/>
              <w:rPr>
                <w:rFonts w:ascii="Times New Roman" w:hAnsi="Times New Roman"/>
                <w:lang w:val="pt-BR"/>
              </w:rPr>
            </w:pPr>
            <w:r w:rsidRPr="00EB5E76">
              <w:rPr>
                <w:rFonts w:ascii="Times New Roman" w:hAnsi="Times New Roman"/>
                <w:lang w:val="pt-BR"/>
              </w:rPr>
              <w:t>În punctul 5 al proiectului de hotărâre se preconizează majorarea numărului de unități al IP ,,Centrul Național pentru Energie Durabilă” (IP CNED) cu 8 unități, ceea ce conform Capitolului 4.2 din Nota de fundamentare doar pentru cheltuieli de personal va necesita alocarea sumei suplimentare de circa 4,0 mil.lei, anual. În acest caz, autorul urmează să estimeze costul total întreținerii unităților respective și completarea Notei cu explicațiile de rigoare. Totodată, orice majorare de personal a unităților/instituțiilor bugetare sau publice urmează a fi examinate și coordonate în cadrul ședinței Grupului de lucru privind examinarea inițiativelor de instituire/reorganizare a autorităților administrative și a structurilor organizaționale din sfera lor de competență. Concomitent informăm, că în cazul acceptului Grupului respectiv, întreținerea unităților de personal urmează a fi efectuată în limita alocațiilor prevăzute IP CNED, fără a fi solicitate mijloace financiare suplimentare din bugetul de stat.</w:t>
            </w:r>
          </w:p>
        </w:tc>
        <w:tc>
          <w:tcPr>
            <w:tcW w:w="4268" w:type="dxa"/>
            <w:shd w:val="clear" w:color="auto" w:fill="FFFFFF" w:themeFill="background1"/>
          </w:tcPr>
          <w:p w14:paraId="1CC4234A" w14:textId="77777777" w:rsidR="00F65C4D" w:rsidRPr="00EB5E76" w:rsidRDefault="004001AA"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Se acceptă.</w:t>
            </w:r>
          </w:p>
          <w:p w14:paraId="369F8CB9" w14:textId="32082DD8" w:rsidR="004001AA" w:rsidRPr="00EB5E76" w:rsidRDefault="004001AA"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Nota informativă a fost completată</w:t>
            </w:r>
            <w:r w:rsidR="00A517EF" w:rsidRPr="00EB5E76">
              <w:rPr>
                <w:rFonts w:ascii="Times New Roman" w:hAnsi="Times New Roman"/>
                <w:lang w:val="ro-RO"/>
              </w:rPr>
              <w:t xml:space="preserve"> cu detalierea și a cheltuielilor de întreținere a unităților completate</w:t>
            </w:r>
            <w:r w:rsidRPr="00EB5E76">
              <w:rPr>
                <w:rFonts w:ascii="Times New Roman" w:hAnsi="Times New Roman"/>
                <w:lang w:val="ro-RO"/>
              </w:rPr>
              <w:t>.</w:t>
            </w:r>
          </w:p>
          <w:p w14:paraId="10B5E84D" w14:textId="3E591032" w:rsidR="004001AA" w:rsidRPr="00EB5E76" w:rsidRDefault="004001AA"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 xml:space="preserve">Ședința Grupului de lucru </w:t>
            </w:r>
            <w:r w:rsidRPr="00EB5E76">
              <w:rPr>
                <w:rFonts w:ascii="Times New Roman" w:hAnsi="Times New Roman"/>
                <w:lang w:val="pt-BR"/>
              </w:rPr>
              <w:t xml:space="preserve">privind examinarea inițiativelor de instituire/reorganizare a autorităților administrative și a structurilor organizaționale din sfera lor de competență a avut loc la 9 septembrie 2025. Grupul de lucru a recomandat ajustări a Notei informative. </w:t>
            </w:r>
            <w:r w:rsidR="009B2D30">
              <w:rPr>
                <w:rFonts w:ascii="Times New Roman" w:hAnsi="Times New Roman"/>
                <w:lang w:val="pt-BR"/>
              </w:rPr>
              <w:t xml:space="preserve">Nota de </w:t>
            </w:r>
            <w:r w:rsidR="009B2D30" w:rsidRPr="00737BE3">
              <w:rPr>
                <w:rFonts w:ascii="Times New Roman" w:hAnsi="Times New Roman"/>
                <w:lang w:val="ro-RO"/>
              </w:rPr>
              <w:t>fundamentare</w:t>
            </w:r>
            <w:r w:rsidRPr="00EB5E76">
              <w:rPr>
                <w:rFonts w:ascii="Times New Roman" w:hAnsi="Times New Roman"/>
                <w:lang w:val="pt-BR"/>
              </w:rPr>
              <w:t xml:space="preserve"> a fost modificată conform solicitării Grupului de lucru, fapt confirmat și de avizul Cancelariei de Stat la prezentul proiect (vezi pct.9 din avizul Cancelariei de Stat).</w:t>
            </w:r>
          </w:p>
        </w:tc>
      </w:tr>
      <w:tr w:rsidR="00F65C4D" w:rsidRPr="00E546E1" w14:paraId="71E20189" w14:textId="77777777" w:rsidTr="00455587">
        <w:trPr>
          <w:trHeight w:val="620"/>
        </w:trPr>
        <w:tc>
          <w:tcPr>
            <w:tcW w:w="2263" w:type="dxa"/>
            <w:vMerge/>
          </w:tcPr>
          <w:p w14:paraId="5CAEBF9F" w14:textId="77777777" w:rsidR="00F65C4D" w:rsidRPr="00EB5E76" w:rsidRDefault="00F65C4D"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36FA2F3F" w14:textId="321E6BF6" w:rsidR="00F65C4D" w:rsidRPr="00EB5E76" w:rsidRDefault="00F65C4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5E76">
              <w:rPr>
                <w:rFonts w:ascii="Times New Roman" w:eastAsiaTheme="minorHAnsi" w:hAnsi="Times New Roman"/>
                <w:bCs/>
                <w:sz w:val="24"/>
                <w:szCs w:val="24"/>
                <w:lang w:val="ro-MD" w:eastAsia="en-US"/>
              </w:rPr>
              <w:t>23</w:t>
            </w:r>
          </w:p>
        </w:tc>
        <w:tc>
          <w:tcPr>
            <w:tcW w:w="7230" w:type="dxa"/>
          </w:tcPr>
          <w:p w14:paraId="36F360B9" w14:textId="176B1586" w:rsidR="00F65C4D" w:rsidRPr="00EB5E76" w:rsidRDefault="00F65C4D" w:rsidP="00F65C4D">
            <w:pPr>
              <w:tabs>
                <w:tab w:val="left" w:pos="884"/>
                <w:tab w:val="left" w:pos="1196"/>
              </w:tabs>
              <w:spacing w:after="0" w:line="240" w:lineRule="auto"/>
              <w:jc w:val="both"/>
              <w:rPr>
                <w:rFonts w:ascii="Times New Roman" w:hAnsi="Times New Roman"/>
                <w:lang w:val="ro-MD"/>
              </w:rPr>
            </w:pPr>
            <w:r w:rsidRPr="00EB5E76">
              <w:rPr>
                <w:rFonts w:ascii="Times New Roman" w:hAnsi="Times New Roman"/>
                <w:lang w:val="ro-MD"/>
              </w:rPr>
              <w:t>Punctul 68 se propune de modificat cu un nou subpunct care prevede că o sursă adițională de finanțare a IP CNED vor fi și veniturile financiare obținute ca urmare a administrării mijloacelor financiare și a finanțărilor acordate, ceea ce contravine prevederilor alin. (3), art.11 din Legea nr. 139/2018 cu privire la eficiență energetică, cu modificările și completările ulterioare.</w:t>
            </w:r>
          </w:p>
        </w:tc>
        <w:tc>
          <w:tcPr>
            <w:tcW w:w="4268" w:type="dxa"/>
            <w:shd w:val="clear" w:color="auto" w:fill="FFFFFF" w:themeFill="background1"/>
          </w:tcPr>
          <w:p w14:paraId="5D5AE587" w14:textId="77777777" w:rsidR="00F65C4D" w:rsidRPr="00EB5E76" w:rsidRDefault="00913D34" w:rsidP="00F65C4D">
            <w:pPr>
              <w:tabs>
                <w:tab w:val="left" w:pos="884"/>
                <w:tab w:val="left" w:pos="1196"/>
              </w:tabs>
              <w:spacing w:after="0" w:line="240" w:lineRule="auto"/>
              <w:jc w:val="both"/>
              <w:rPr>
                <w:rFonts w:ascii="Times New Roman" w:hAnsi="Times New Roman"/>
                <w:b/>
                <w:bCs/>
                <w:lang w:val="ro-RO"/>
              </w:rPr>
            </w:pPr>
            <w:r w:rsidRPr="00EB5E76">
              <w:rPr>
                <w:rFonts w:ascii="Times New Roman" w:hAnsi="Times New Roman"/>
                <w:b/>
                <w:bCs/>
                <w:lang w:val="ro-RO"/>
              </w:rPr>
              <w:t>Nu se acceptă.</w:t>
            </w:r>
          </w:p>
          <w:p w14:paraId="31D27512" w14:textId="07BB6324" w:rsidR="00913D34" w:rsidRPr="00EB5E76" w:rsidRDefault="00913D34" w:rsidP="00F65C4D">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 xml:space="preserve">Art.11, alin.(3) din Legea nr.139/2018 prevede că bugetul IP CNED se formează din diverse surse (prevăzute expres la acest aliniat în Lege), inclusiv din alte surse neinterzise de lege, prevăzute în Statutul IP CNED. Pct.68 din HG nr.1060/2023 este o normă generală care se referă la sursele totale de finanțare a activității IP CNED. Completarea pct.68 cu o nouă sursă de finanțare a activității IP CNED </w:t>
            </w:r>
            <w:r w:rsidRPr="00EB5E76">
              <w:rPr>
                <w:rFonts w:ascii="Times New Roman" w:hAnsi="Times New Roman"/>
                <w:lang w:val="ro-RO"/>
              </w:rPr>
              <w:lastRenderedPageBreak/>
              <w:t>este impusă de necesitatea ajustării Statutului pentru punerea în aplicare a prevederilor art.23</w:t>
            </w:r>
            <w:r w:rsidRPr="00EB5E76">
              <w:rPr>
                <w:rFonts w:ascii="Times New Roman" w:hAnsi="Times New Roman"/>
                <w:vertAlign w:val="superscript"/>
                <w:lang w:val="ro-RO"/>
              </w:rPr>
              <w:t>1</w:t>
            </w:r>
            <w:r w:rsidRPr="00EB5E76">
              <w:rPr>
                <w:rFonts w:ascii="Times New Roman" w:hAnsi="Times New Roman"/>
                <w:lang w:val="ro-RO"/>
              </w:rPr>
              <w:t>, alin.(4)</w:t>
            </w:r>
            <w:r w:rsidR="004E4C85" w:rsidRPr="00EB5E76">
              <w:rPr>
                <w:rFonts w:ascii="Times New Roman" w:hAnsi="Times New Roman"/>
                <w:lang w:val="ro-RO"/>
              </w:rPr>
              <w:t>, lit.c)</w:t>
            </w:r>
            <w:r w:rsidRPr="00EB5E76">
              <w:rPr>
                <w:rFonts w:ascii="Times New Roman" w:hAnsi="Times New Roman"/>
                <w:lang w:val="ro-RO"/>
              </w:rPr>
              <w:t xml:space="preserve"> din Legea 139/2018</w:t>
            </w:r>
            <w:r w:rsidR="004E4C85" w:rsidRPr="00EB5E76">
              <w:rPr>
                <w:rFonts w:ascii="Times New Roman" w:hAnsi="Times New Roman"/>
                <w:lang w:val="ro-RO"/>
              </w:rPr>
              <w:t xml:space="preserve"> în contextul administrării Fondului pentru eficiență energetică (FEE). De asemenea, acest mecanism de finanțare este în conformitate și cu prevederile art.23</w:t>
            </w:r>
            <w:r w:rsidR="004E4C85" w:rsidRPr="00EB5E76">
              <w:rPr>
                <w:rFonts w:ascii="Times New Roman" w:hAnsi="Times New Roman"/>
                <w:vertAlign w:val="superscript"/>
                <w:lang w:val="ro-RO"/>
              </w:rPr>
              <w:t>2</w:t>
            </w:r>
            <w:r w:rsidR="004E4C85" w:rsidRPr="00EB5E76">
              <w:rPr>
                <w:rFonts w:ascii="Times New Roman" w:hAnsi="Times New Roman"/>
                <w:lang w:val="ro-RO"/>
              </w:rPr>
              <w:t xml:space="preserve"> , alin.(1) din aceeași lege, prin care se prevede că finanțarea programelor/măsurilor de eficiență energetică și/sau de valorificare a surselor regenerabile de energie poate fi realizate și din alte surse decât cele acumulate în cadrul FEE.</w:t>
            </w:r>
          </w:p>
        </w:tc>
      </w:tr>
      <w:tr w:rsidR="00EB285D" w:rsidRPr="00E546E1" w14:paraId="75A83E69" w14:textId="77777777" w:rsidTr="00455587">
        <w:trPr>
          <w:trHeight w:val="620"/>
        </w:trPr>
        <w:tc>
          <w:tcPr>
            <w:tcW w:w="2263" w:type="dxa"/>
          </w:tcPr>
          <w:p w14:paraId="460CEF80" w14:textId="77777777" w:rsidR="00EB285D" w:rsidRDefault="00EB285D" w:rsidP="00F65C4D">
            <w:pPr>
              <w:tabs>
                <w:tab w:val="left" w:pos="884"/>
                <w:tab w:val="left" w:pos="1196"/>
              </w:tabs>
              <w:spacing w:after="0" w:line="240" w:lineRule="auto"/>
              <w:rPr>
                <w:rFonts w:ascii="Times New Roman" w:eastAsiaTheme="minorHAnsi" w:hAnsi="Times New Roman"/>
                <w:b/>
                <w:sz w:val="24"/>
                <w:szCs w:val="24"/>
                <w:lang w:val="ro-MD" w:eastAsia="en-US"/>
              </w:rPr>
            </w:pPr>
            <w:r>
              <w:rPr>
                <w:rFonts w:ascii="Times New Roman" w:eastAsiaTheme="minorHAnsi" w:hAnsi="Times New Roman"/>
                <w:b/>
                <w:sz w:val="24"/>
                <w:szCs w:val="24"/>
                <w:lang w:val="en-US" w:eastAsia="en-US"/>
              </w:rPr>
              <w:lastRenderedPageBreak/>
              <w:t>Centrul Na</w:t>
            </w:r>
            <w:r>
              <w:rPr>
                <w:rFonts w:ascii="Times New Roman" w:eastAsiaTheme="minorHAnsi" w:hAnsi="Times New Roman"/>
                <w:b/>
                <w:sz w:val="24"/>
                <w:szCs w:val="24"/>
                <w:lang w:val="ro-MD" w:eastAsia="en-US"/>
              </w:rPr>
              <w:t>țional Anticorupție</w:t>
            </w:r>
          </w:p>
          <w:p w14:paraId="06907952" w14:textId="7CC8A87C" w:rsidR="00EB285D" w:rsidRPr="00EB285D" w:rsidRDefault="00EB285D" w:rsidP="00F65C4D">
            <w:pPr>
              <w:tabs>
                <w:tab w:val="left" w:pos="884"/>
                <w:tab w:val="left" w:pos="1196"/>
              </w:tabs>
              <w:spacing w:after="0" w:line="240" w:lineRule="auto"/>
              <w:rPr>
                <w:rFonts w:ascii="Times New Roman" w:eastAsiaTheme="minorHAnsi" w:hAnsi="Times New Roman"/>
                <w:bCs/>
                <w:sz w:val="24"/>
                <w:szCs w:val="24"/>
                <w:lang w:val="ro-MD" w:eastAsia="en-US"/>
              </w:rPr>
            </w:pPr>
            <w:r w:rsidRPr="00EB285D">
              <w:rPr>
                <w:rFonts w:ascii="Times New Roman" w:eastAsiaTheme="minorHAnsi" w:hAnsi="Times New Roman"/>
                <w:bCs/>
                <w:sz w:val="24"/>
                <w:szCs w:val="24"/>
                <w:lang w:val="ro-MD" w:eastAsia="en-US"/>
              </w:rPr>
              <w:t xml:space="preserve">Raport de expertiză anticorupție nr. </w:t>
            </w:r>
            <w:r w:rsidRPr="00EB285D">
              <w:rPr>
                <w:rFonts w:ascii="Times New Roman" w:eastAsiaTheme="minorHAnsi" w:hAnsi="Times New Roman"/>
                <w:bCs/>
                <w:sz w:val="24"/>
                <w:szCs w:val="24"/>
                <w:lang w:val="en-US" w:eastAsia="en-US"/>
              </w:rPr>
              <w:t>EHG25/10947 din 13.11.2025</w:t>
            </w:r>
          </w:p>
        </w:tc>
        <w:tc>
          <w:tcPr>
            <w:tcW w:w="567" w:type="dxa"/>
          </w:tcPr>
          <w:p w14:paraId="6F8B00F3" w14:textId="1BEE0E25" w:rsidR="00EB285D" w:rsidRPr="00EB5E76" w:rsidRDefault="00EB285D"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24</w:t>
            </w:r>
          </w:p>
        </w:tc>
        <w:tc>
          <w:tcPr>
            <w:tcW w:w="7230" w:type="dxa"/>
          </w:tcPr>
          <w:p w14:paraId="5AE589A5" w14:textId="5DE31934" w:rsidR="00EB285D" w:rsidRPr="00EB285D" w:rsidRDefault="00EB285D"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Proiectul a fost elaborat de către Ministerul Energiei și sunt determinate de necesitatea asigurării cadrului de reglementare pentru implementarea proiectelor/măsurilor de eficiență energetică, care derivă, în special, din amendamentele realizate la Legea nr.139/2018 prin Legea nr.111/2025 pentru modificarea Legii nr.139/2018 cu privire la eficiență energetică.</w:t>
            </w:r>
          </w:p>
          <w:p w14:paraId="0C257131" w14:textId="77777777" w:rsidR="00EB285D" w:rsidRPr="00EB285D" w:rsidRDefault="00EB285D"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Prin proiect se propune modificarea Hotărârii Guvernului nr.1060/2023 cu privire la organizarea și funcționarea Instituției Publice Centrul Național pentru Energie Durabilă, prin majorarea efectivului limită de personal cu 8 unități și alinierea statutului Centrului la noile modificări ale Legii nr.139/2018, realizate prin Legea nr.111/2025, care asigură platforma pentru realizarea Agendei de reforme aferentă Planului de creștere economică 2025-2027. Potrivit autorului: ”Modificări realizate pentru fortificarea capacității instituționale în vederea asigurării fundamentării platformei pentru acordarea suportului în transpunerea actelor juridice UE (Directivei UE 2023/1791 privind eficiența energetică) și realizarea obiectivelor cantitative din Planul de creștere economică 2025-2027, prin crearea și implementarea de noi instrumente de eficiență energetică și valorificare a surselor de energie regenerabilă, prevăzute de modificările la Legea nr.139/2018, precum și creșterii capacităților de valorificare a celor existente”.</w:t>
            </w:r>
          </w:p>
          <w:p w14:paraId="42B05307" w14:textId="511D5578" w:rsidR="00EB285D" w:rsidRPr="00EB285D" w:rsidRDefault="00EB285D"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 xml:space="preserve">Proiectul promovează interesul public privind alinierea cadrului normativ instituțional la modificările legislației din domeniul eficienței energetice necesar pentru implementarea legislației UE, reformelor prevăzute în Agenda de reforme aferentă Planului de creștere economică 2025- 2027, precum și implementarea </w:t>
            </w:r>
            <w:r w:rsidRPr="00EB285D">
              <w:rPr>
                <w:rFonts w:ascii="Times New Roman" w:hAnsi="Times New Roman"/>
                <w:lang w:val="ro-RO"/>
              </w:rPr>
              <w:lastRenderedPageBreak/>
              <w:t>programelor/produselor de eficiență energetică și valorificare a surselor de energie regenerabilă, prin prisma cadrului de guvernanță corporativă curentă și fortificarea capacității instituționale a Instituției Publice Centrul Național pentru Energie Durabilă în domeniul eficienței energetice și al surselor de energie regenerabilă.</w:t>
            </w:r>
          </w:p>
        </w:tc>
        <w:tc>
          <w:tcPr>
            <w:tcW w:w="4268" w:type="dxa"/>
            <w:shd w:val="clear" w:color="auto" w:fill="FFFFFF" w:themeFill="background1"/>
          </w:tcPr>
          <w:p w14:paraId="016E0AFD" w14:textId="09D66F38" w:rsidR="00EB285D" w:rsidRPr="00EB5E76" w:rsidRDefault="00EB285D"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lastRenderedPageBreak/>
              <w:t>Se ia act de informare</w:t>
            </w:r>
            <w:r w:rsidR="0036342B">
              <w:rPr>
                <w:rFonts w:ascii="Times New Roman" w:hAnsi="Times New Roman"/>
                <w:b/>
                <w:bCs/>
                <w:lang w:val="ro-RO"/>
              </w:rPr>
              <w:t>.</w:t>
            </w:r>
          </w:p>
        </w:tc>
      </w:tr>
      <w:tr w:rsidR="00E016B1" w:rsidRPr="00E546E1" w14:paraId="719D61EE" w14:textId="77777777" w:rsidTr="00455587">
        <w:trPr>
          <w:trHeight w:val="620"/>
        </w:trPr>
        <w:tc>
          <w:tcPr>
            <w:tcW w:w="2263" w:type="dxa"/>
            <w:vMerge w:val="restart"/>
          </w:tcPr>
          <w:p w14:paraId="1F87060D" w14:textId="77777777" w:rsidR="00E016B1" w:rsidRDefault="00E016B1" w:rsidP="00F65C4D">
            <w:pPr>
              <w:tabs>
                <w:tab w:val="left" w:pos="884"/>
                <w:tab w:val="left" w:pos="1196"/>
              </w:tabs>
              <w:spacing w:after="0" w:line="240" w:lineRule="auto"/>
              <w:rPr>
                <w:rFonts w:ascii="Times New Roman" w:eastAsiaTheme="minorHAnsi" w:hAnsi="Times New Roman"/>
                <w:b/>
                <w:sz w:val="24"/>
                <w:szCs w:val="24"/>
                <w:lang w:val="en-US" w:eastAsia="en-US"/>
              </w:rPr>
            </w:pPr>
            <w:r>
              <w:rPr>
                <w:rFonts w:ascii="Times New Roman" w:eastAsiaTheme="minorHAnsi" w:hAnsi="Times New Roman"/>
                <w:b/>
                <w:sz w:val="24"/>
                <w:szCs w:val="24"/>
                <w:lang w:val="en-US" w:eastAsia="en-US"/>
              </w:rPr>
              <w:t>Ministerul Justiției</w:t>
            </w:r>
          </w:p>
          <w:p w14:paraId="5CE7BB5B" w14:textId="2C1319BF" w:rsidR="00E016B1" w:rsidRPr="00EB285D" w:rsidRDefault="00E016B1" w:rsidP="00EB285D">
            <w:pPr>
              <w:tabs>
                <w:tab w:val="left" w:pos="884"/>
                <w:tab w:val="left" w:pos="1196"/>
              </w:tabs>
              <w:spacing w:after="0" w:line="240" w:lineRule="auto"/>
              <w:rPr>
                <w:rFonts w:ascii="Times New Roman" w:eastAsiaTheme="minorHAnsi" w:hAnsi="Times New Roman"/>
                <w:bCs/>
                <w:sz w:val="24"/>
                <w:szCs w:val="24"/>
                <w:lang w:val="en-US" w:eastAsia="en-US"/>
              </w:rPr>
            </w:pPr>
            <w:r w:rsidRPr="00EB285D">
              <w:rPr>
                <w:rFonts w:ascii="Times New Roman" w:eastAsiaTheme="minorHAnsi" w:hAnsi="Times New Roman"/>
                <w:bCs/>
                <w:sz w:val="24"/>
                <w:szCs w:val="24"/>
                <w:lang w:val="en-US" w:eastAsia="en-US"/>
              </w:rPr>
              <w:t>Nr. 04/1-11288 din 18.11.2025</w:t>
            </w:r>
          </w:p>
        </w:tc>
        <w:tc>
          <w:tcPr>
            <w:tcW w:w="567" w:type="dxa"/>
          </w:tcPr>
          <w:p w14:paraId="410B75CA" w14:textId="7A7C50AA"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25</w:t>
            </w:r>
          </w:p>
        </w:tc>
        <w:tc>
          <w:tcPr>
            <w:tcW w:w="7230" w:type="dxa"/>
          </w:tcPr>
          <w:p w14:paraId="7A5D0C54" w14:textId="77777777" w:rsidR="00E016B1"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Cu referire la proiectul hotărârii Guvernului pentru modificarea Hotărârii Guvernului nr. 1060/2023 cu privire la organizarea și funcționarea Instituției Publice Centrul Național pentru Energie Durabilă (număr unic 756/MEn/2025), comunicăm următoarele.</w:t>
            </w:r>
          </w:p>
          <w:p w14:paraId="164C39E4" w14:textId="77777777" w:rsidR="00E016B1"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Potrivit notei de fundamentare, principalele obiective ale proiectului se referă la (i) fortificarea instituțională prin creșterea efectivului de personal și ajustarea structurii și organigramei, (ii) alinierea funcțiilor și proceselor instituționale ale IP CNED la noul cadru normativ național cu privire la eficiența energetică (modificări operate prin Legea nr. 111/2025 pentru modificarea Legii nr. 139/2018 cu privire la eficiență energetică), (iii) creșterea capacității instituționale în vederea dezvoltării și implementării de noi programe/proiecte/instrumente financiare, preconizate de implementat în domeniu eficienței energetice și valorificării surselor de energie regenerabilă care ar asigura realizarea obiectivelor cantitative din Planul de creștere economică 2025-2027.</w:t>
            </w:r>
          </w:p>
          <w:p w14:paraId="4904B3CF" w14:textId="77777777" w:rsidR="00E016B1"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forma actuală a proiectului, se înaintează unele propuneri de îmbunătățire a calității proiectului de act normativ.</w:t>
            </w:r>
          </w:p>
          <w:p w14:paraId="6FB29727" w14:textId="5FE0D619"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În clauza de adoptare, textul „art. 9 alin. (1) lit. h)” se recomandă a fi completat cu trimiterea la art. 11 alin. (51) din Legea nr. 139/2018 cu privire la eficiență energetică, care stabilește că „Organele de conducere ale CNED sunt reprezentate de directorul instituției publice, în calitate de organ executiv, și de un consiliu, în calitate de organ colegial superior de conducere. Consiliul CNED îndeplinește rolul de supraveghere și monitorizare a procesului decizional de conducere, fiind responsabil de activitatea instituției în ansamblu, de soliditatea financiară a acesteia, de deciziile cu privire la finanțarea proiectelor în domeniul eficienței energetice și al valorificării surselor regenerabile de energie, de asemenea îndeplinește alte funcții și atribuții stabilite în statutul CNED, aprobat de Guvern.” (sublinierea ne aparține).</w:t>
            </w:r>
          </w:p>
        </w:tc>
        <w:tc>
          <w:tcPr>
            <w:tcW w:w="4268" w:type="dxa"/>
            <w:shd w:val="clear" w:color="auto" w:fill="FFFFFF" w:themeFill="background1"/>
          </w:tcPr>
          <w:p w14:paraId="3A3A60C0" w14:textId="77777777" w:rsidR="00E016B1" w:rsidRDefault="00E016B1" w:rsidP="00F65C4D">
            <w:pPr>
              <w:tabs>
                <w:tab w:val="left" w:pos="884"/>
                <w:tab w:val="left" w:pos="1196"/>
              </w:tabs>
              <w:spacing w:after="0" w:line="240" w:lineRule="auto"/>
              <w:jc w:val="both"/>
              <w:rPr>
                <w:rFonts w:ascii="Times New Roman" w:hAnsi="Times New Roman"/>
                <w:b/>
                <w:bCs/>
                <w:lang w:val="ro-RO"/>
              </w:rPr>
            </w:pPr>
          </w:p>
          <w:p w14:paraId="49AB4DCA"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29DE05CA"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1029CEF4"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4CCB154B"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4C17DBB3"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63EA59B2"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1CFD7949"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1B84CC69"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2DCE2A2A"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1818279C"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2CAD0253"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7B478069"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41F25986"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519D2B16"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4CE6FD7E"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3E6FBF09"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0A07B347" w14:textId="77777777" w:rsidR="00521D07" w:rsidRDefault="00521D07" w:rsidP="00F65C4D">
            <w:pPr>
              <w:tabs>
                <w:tab w:val="left" w:pos="884"/>
                <w:tab w:val="left" w:pos="1196"/>
              </w:tabs>
              <w:spacing w:after="0" w:line="240" w:lineRule="auto"/>
              <w:jc w:val="both"/>
              <w:rPr>
                <w:rFonts w:ascii="Times New Roman" w:hAnsi="Times New Roman"/>
                <w:b/>
                <w:bCs/>
                <w:lang w:val="ro-RO"/>
              </w:rPr>
            </w:pPr>
          </w:p>
          <w:p w14:paraId="39AAA340" w14:textId="77777777" w:rsidR="00C61684" w:rsidRDefault="00C61684" w:rsidP="00F65C4D">
            <w:pPr>
              <w:tabs>
                <w:tab w:val="left" w:pos="884"/>
                <w:tab w:val="left" w:pos="1196"/>
              </w:tabs>
              <w:spacing w:after="0" w:line="240" w:lineRule="auto"/>
              <w:jc w:val="both"/>
              <w:rPr>
                <w:rFonts w:ascii="Times New Roman" w:hAnsi="Times New Roman"/>
                <w:b/>
                <w:bCs/>
                <w:lang w:val="ro-RO"/>
              </w:rPr>
            </w:pPr>
          </w:p>
          <w:p w14:paraId="483EABD3" w14:textId="77777777" w:rsidR="00521D07" w:rsidRDefault="00245528"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Nu s</w:t>
            </w:r>
            <w:r w:rsidR="00521D07">
              <w:rPr>
                <w:rFonts w:ascii="Times New Roman" w:hAnsi="Times New Roman"/>
                <w:b/>
                <w:bCs/>
                <w:lang w:val="ro-RO"/>
              </w:rPr>
              <w:t>e acceptă</w:t>
            </w:r>
            <w:r>
              <w:rPr>
                <w:rFonts w:ascii="Times New Roman" w:hAnsi="Times New Roman"/>
                <w:b/>
                <w:bCs/>
                <w:lang w:val="ro-RO"/>
              </w:rPr>
              <w:t>.</w:t>
            </w:r>
          </w:p>
          <w:p w14:paraId="315DAC07" w14:textId="5E1B8793" w:rsidR="00245528" w:rsidRPr="00C67BBA" w:rsidRDefault="00245528" w:rsidP="00F65C4D">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Conform art.16, alin.(2) din legea nr.100/2017 cu privire la actele normative, î</w:t>
            </w:r>
            <w:r w:rsidRPr="00245528">
              <w:rPr>
                <w:rFonts w:ascii="Times New Roman" w:hAnsi="Times New Roman"/>
                <w:lang w:val="ro-RO"/>
              </w:rPr>
              <w:t>n clauza de adoptare a actelor normative ale autorităţilor administraţiei publice centrale de specialitate şi ale autorităţilor publice autonome se indică expres actul normativ superior în temeiul căruia acestea sunt emise sau aprobate</w:t>
            </w:r>
            <w:r>
              <w:rPr>
                <w:rFonts w:ascii="Times New Roman" w:hAnsi="Times New Roman"/>
                <w:lang w:val="ro-RO"/>
              </w:rPr>
              <w:t>. Prevederile art.11, alin. (5</w:t>
            </w:r>
            <w:r w:rsidRPr="00C67BBA">
              <w:rPr>
                <w:rFonts w:ascii="Times New Roman" w:hAnsi="Times New Roman"/>
                <w:vertAlign w:val="superscript"/>
                <w:lang w:val="ro-RO"/>
              </w:rPr>
              <w:t>1</w:t>
            </w:r>
            <w:r>
              <w:rPr>
                <w:rFonts w:ascii="Times New Roman" w:hAnsi="Times New Roman"/>
                <w:lang w:val="ro-RO"/>
              </w:rPr>
              <w:t>) din Legea nr.</w:t>
            </w:r>
            <w:r w:rsidRPr="00C67BBA">
              <w:rPr>
                <w:lang w:val="ro-RO"/>
              </w:rPr>
              <w:t xml:space="preserve"> </w:t>
            </w:r>
            <w:r w:rsidRPr="00245528">
              <w:rPr>
                <w:rFonts w:ascii="Times New Roman" w:hAnsi="Times New Roman"/>
                <w:lang w:val="ro-RO"/>
              </w:rPr>
              <w:t>139/2018 privind eficiența energetică</w:t>
            </w:r>
            <w:r>
              <w:rPr>
                <w:rFonts w:ascii="Times New Roman" w:hAnsi="Times New Roman"/>
                <w:lang w:val="ro-RO"/>
              </w:rPr>
              <w:t xml:space="preserve"> nu reprezintă temei pentru emiterea sau aprobarea proiectului de hotărâre de Guvern, </w:t>
            </w:r>
            <w:r>
              <w:rPr>
                <w:rFonts w:ascii="Times New Roman" w:hAnsi="Times New Roman"/>
                <w:lang w:val="ro-RO"/>
              </w:rPr>
              <w:lastRenderedPageBreak/>
              <w:t xml:space="preserve">dar reglementează organele de conducere ale IP CNED care sunt deja prevăzute de HG nr.1060/2022 și nu reprezintă temei de emitere a proiectului. </w:t>
            </w:r>
            <w:r w:rsidR="00D20AF6">
              <w:rPr>
                <w:rFonts w:ascii="Times New Roman" w:hAnsi="Times New Roman"/>
                <w:lang w:val="ro-RO"/>
              </w:rPr>
              <w:t>Mai mult, nici o prevedere a proiectului nu este determinată de reglementat ca efect a art.11, alin.(5</w:t>
            </w:r>
            <w:r w:rsidR="00D20AF6" w:rsidRPr="00C67BBA">
              <w:rPr>
                <w:rFonts w:ascii="Times New Roman" w:hAnsi="Times New Roman"/>
                <w:vertAlign w:val="superscript"/>
                <w:lang w:val="ro-RO"/>
              </w:rPr>
              <w:t>1</w:t>
            </w:r>
            <w:r w:rsidR="00D20AF6">
              <w:rPr>
                <w:rFonts w:ascii="Times New Roman" w:hAnsi="Times New Roman"/>
                <w:lang w:val="ro-RO"/>
              </w:rPr>
              <w:t>) din Legea nr.</w:t>
            </w:r>
            <w:r w:rsidR="00D20AF6" w:rsidRPr="00DC68E5">
              <w:rPr>
                <w:lang w:val="en-US"/>
              </w:rPr>
              <w:t xml:space="preserve"> </w:t>
            </w:r>
            <w:r w:rsidR="00D20AF6" w:rsidRPr="00245528">
              <w:rPr>
                <w:rFonts w:ascii="Times New Roman" w:hAnsi="Times New Roman"/>
                <w:lang w:val="ro-RO"/>
              </w:rPr>
              <w:t>139/2018</w:t>
            </w:r>
            <w:r w:rsidR="00D20AF6">
              <w:rPr>
                <w:rFonts w:ascii="Times New Roman" w:hAnsi="Times New Roman"/>
                <w:lang w:val="ro-RO"/>
              </w:rPr>
              <w:t>.</w:t>
            </w:r>
          </w:p>
        </w:tc>
      </w:tr>
      <w:tr w:rsidR="00E016B1" w:rsidRPr="00521D07" w14:paraId="075528F9" w14:textId="77777777" w:rsidTr="00455587">
        <w:trPr>
          <w:trHeight w:val="620"/>
        </w:trPr>
        <w:tc>
          <w:tcPr>
            <w:tcW w:w="2263" w:type="dxa"/>
            <w:vMerge/>
          </w:tcPr>
          <w:p w14:paraId="54D7D839" w14:textId="77777777" w:rsidR="00E016B1" w:rsidRPr="00EB285D" w:rsidRDefault="00E016B1"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78ED62D" w14:textId="542D0DE1"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26</w:t>
            </w:r>
          </w:p>
        </w:tc>
        <w:tc>
          <w:tcPr>
            <w:tcW w:w="7230" w:type="dxa"/>
          </w:tcPr>
          <w:p w14:paraId="3DBB6386" w14:textId="5D391632"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 conform regulilor de tehnică legislativă, textul „Anexa nr. 1 „Statutul Instituției Publice Centrul Național pentru Energie Durabilă” se modifică după cum urmează” se va substitui cu textul „La anexa nr. 1.</w:t>
            </w:r>
          </w:p>
        </w:tc>
        <w:tc>
          <w:tcPr>
            <w:tcW w:w="4268" w:type="dxa"/>
            <w:shd w:val="clear" w:color="auto" w:fill="FFFFFF" w:themeFill="background1"/>
          </w:tcPr>
          <w:p w14:paraId="58E5EA2A" w14:textId="51B03809" w:rsidR="00E016B1" w:rsidRDefault="00D20AF6"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p>
        </w:tc>
      </w:tr>
      <w:tr w:rsidR="00E016B1" w:rsidRPr="00E546E1" w14:paraId="0ACE8949" w14:textId="77777777" w:rsidTr="00455587">
        <w:trPr>
          <w:trHeight w:val="620"/>
        </w:trPr>
        <w:tc>
          <w:tcPr>
            <w:tcW w:w="2263" w:type="dxa"/>
            <w:vMerge/>
          </w:tcPr>
          <w:p w14:paraId="0C4322D7" w14:textId="77777777" w:rsidR="00E016B1" w:rsidRPr="00EB285D" w:rsidRDefault="00E016B1"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069C5505" w14:textId="723B398C"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27</w:t>
            </w:r>
          </w:p>
        </w:tc>
        <w:tc>
          <w:tcPr>
            <w:tcW w:w="7230" w:type="dxa"/>
          </w:tcPr>
          <w:p w14:paraId="502047BA" w14:textId="77777777"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1.2.5.1.4, raționamentul abrogării lit. i) și k) din pct. 9 sbp. 1) din Statutul Instituției Publice Centrul Național pentru Energie Durabilă (CNED) nu poate fi reținut</w:t>
            </w:r>
            <w:r>
              <w:rPr>
                <w:rFonts w:ascii="Times New Roman" w:hAnsi="Times New Roman"/>
                <w:lang w:val="ro-RO"/>
              </w:rPr>
              <w:t xml:space="preserve"> </w:t>
            </w:r>
            <w:r w:rsidRPr="00EB285D">
              <w:rPr>
                <w:rFonts w:ascii="Times New Roman" w:hAnsi="Times New Roman"/>
                <w:lang w:val="ro-RO"/>
              </w:rPr>
              <w:t>și nici nota de fundamentare nu vine cu careva clarificări în acest sens, în contextul în care art. 12 alin. (1) lit. n) din Legea nr. 139/2018 cu privire la eficiență energetică menține atribuția CNED-ului de a institui și ține Registrul electronic al auditorilor energetici și Registrul electronic al auditului energetic în conformitate cu respectiva lege, Legea nr. 71/2007 cu privire la registre și Regulamentul cu privire la auditorii energetici și auditul energetic, iar potrivit art. 8 alin. (1) din Legea nr. 282/2023 privind performanța energetică a clădirilor, în domeniul performanței energetice a clădirilor, instituția publică de suport exercită următoarele atribuții de bază:</w:t>
            </w:r>
          </w:p>
          <w:p w14:paraId="016C8FCD" w14:textId="77777777"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„g) instituie și ține Registrul electronic al evaluatorilor energetici și Registrul electronic al certificatelor de performanță energetică, în conformitate cu respectiva lege, cu Legea nr. 71/2007 cu privire la registre și cu regulamentele aprobate de Guvern în temeiul art. 5 alin. (1);</w:t>
            </w:r>
          </w:p>
          <w:p w14:paraId="3CD56E29" w14:textId="77777777"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h) instituie și ține Registrul electronic al inspectorilor sistemelor de încălzire și Registrul electronic al rapoartelor de inspecție a sistemelor de încălzire, în conformitate cu respectiva lege, cu Legea nr. 71/2007 cu privire la registre și cu regulamentele aprobate de Guvern în temeiul art. 5 alin. (1);</w:t>
            </w:r>
          </w:p>
          <w:p w14:paraId="36765C29" w14:textId="62EFE7B2"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 xml:space="preserve">i) instituie și ține Registrul electronic al inspectorilor sistemelor de ventilare și condiționare și Registrul electronic al rapoartelor de inspecție a sistemelor de ventilare și condiționare, în conformitate cu respectiva lege, cu Legea nr. </w:t>
            </w:r>
            <w:r w:rsidRPr="00EB285D">
              <w:rPr>
                <w:rFonts w:ascii="Times New Roman" w:hAnsi="Times New Roman"/>
                <w:lang w:val="ro-RO"/>
              </w:rPr>
              <w:lastRenderedPageBreak/>
              <w:t>71/2007 cu privire la registre și cu regulamentele aprobate de Guvern în temeiul art. 5 alin. (1);”.</w:t>
            </w:r>
          </w:p>
        </w:tc>
        <w:tc>
          <w:tcPr>
            <w:tcW w:w="4268" w:type="dxa"/>
            <w:shd w:val="clear" w:color="auto" w:fill="FFFFFF" w:themeFill="background1"/>
          </w:tcPr>
          <w:p w14:paraId="5D869083" w14:textId="2868715F" w:rsidR="008F1465" w:rsidRPr="00455587" w:rsidRDefault="003354FC" w:rsidP="008F1465">
            <w:pPr>
              <w:tabs>
                <w:tab w:val="left" w:pos="884"/>
                <w:tab w:val="left" w:pos="1196"/>
              </w:tabs>
              <w:spacing w:after="0" w:line="240" w:lineRule="auto"/>
              <w:jc w:val="both"/>
              <w:rPr>
                <w:rFonts w:ascii="Times New Roman" w:hAnsi="Times New Roman"/>
                <w:b/>
                <w:bCs/>
                <w:lang w:val="ro-MD"/>
              </w:rPr>
            </w:pPr>
            <w:r>
              <w:rPr>
                <w:rFonts w:ascii="Times New Roman" w:hAnsi="Times New Roman"/>
                <w:b/>
                <w:bCs/>
                <w:lang w:val="ro-RO"/>
              </w:rPr>
              <w:lastRenderedPageBreak/>
              <w:t>Se accept</w:t>
            </w:r>
            <w:r>
              <w:rPr>
                <w:rFonts w:ascii="Times New Roman" w:hAnsi="Times New Roman"/>
                <w:b/>
                <w:bCs/>
                <w:lang w:val="ro-MD"/>
              </w:rPr>
              <w:t>ă parțial</w:t>
            </w:r>
          </w:p>
          <w:p w14:paraId="1778F8FD" w14:textId="77777777" w:rsidR="008F1465" w:rsidRDefault="008F1465" w:rsidP="008F1465">
            <w:pPr>
              <w:tabs>
                <w:tab w:val="left" w:pos="884"/>
                <w:tab w:val="left" w:pos="1196"/>
              </w:tabs>
              <w:spacing w:after="0" w:line="240" w:lineRule="auto"/>
              <w:jc w:val="both"/>
              <w:rPr>
                <w:rFonts w:ascii="Times New Roman" w:hAnsi="Times New Roman"/>
                <w:lang w:val="ro-RO"/>
              </w:rPr>
            </w:pPr>
            <w:r w:rsidRPr="00EB5E76">
              <w:rPr>
                <w:rFonts w:ascii="Times New Roman" w:hAnsi="Times New Roman"/>
                <w:lang w:val="ro-RO"/>
              </w:rPr>
              <w:t>Expunerea literei g) într-un nou cuprins clarifică asigurarea continuității creării și administrării registrelor menționate. Prin urmare, registrele prevăzute la lit.i) și k) din redacția curentă a HG nr.1060/2023 sunt cuprinse de Sistemului informațional național în domeniul eficienței energetice, reglementat prin HG nr.144/2025</w:t>
            </w:r>
            <w:r w:rsidRPr="00EB5E76">
              <w:rPr>
                <w:lang w:val="ro-RO"/>
              </w:rPr>
              <w:t xml:space="preserve"> </w:t>
            </w:r>
            <w:r w:rsidRPr="00EB5E76">
              <w:rPr>
                <w:rFonts w:ascii="Times New Roman" w:hAnsi="Times New Roman"/>
                <w:lang w:val="ro-RO"/>
              </w:rPr>
              <w:t xml:space="preserve">cu privire la aprobarea Conceptul Sistemului informațional național în domeniul eficienței energetice, care asigură normele exhaustive privind crearea, administrarea, dezvoltarea și realizarea mentenanței acestora. </w:t>
            </w:r>
          </w:p>
          <w:p w14:paraId="75BA6556" w14:textId="49D20FCB" w:rsidR="003770A6" w:rsidRPr="00C67BBA" w:rsidRDefault="003770A6" w:rsidP="008F1465">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Nota informativă a fost completată cu comentariile care clarifică aceste aspecte (</w:t>
            </w:r>
            <w:r w:rsidR="003354FC">
              <w:rPr>
                <w:rFonts w:ascii="Times New Roman" w:hAnsi="Times New Roman"/>
                <w:lang w:val="ro-RO"/>
              </w:rPr>
              <w:t xml:space="preserve">subcapitolul 3.1., </w:t>
            </w:r>
            <w:r>
              <w:rPr>
                <w:rFonts w:ascii="Times New Roman" w:hAnsi="Times New Roman"/>
                <w:lang w:val="ro-RO"/>
              </w:rPr>
              <w:t>pct. 2), lit.d), subpct.1)).</w:t>
            </w:r>
          </w:p>
        </w:tc>
      </w:tr>
      <w:tr w:rsidR="00E016B1" w:rsidRPr="00521D07" w14:paraId="0CF797BC" w14:textId="77777777" w:rsidTr="00455587">
        <w:trPr>
          <w:trHeight w:val="620"/>
        </w:trPr>
        <w:tc>
          <w:tcPr>
            <w:tcW w:w="2263" w:type="dxa"/>
            <w:vMerge/>
          </w:tcPr>
          <w:p w14:paraId="66B35031" w14:textId="77777777" w:rsidR="00E016B1" w:rsidRPr="00EB285D" w:rsidRDefault="00E016B1"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08185ABF" w14:textId="6EFF6D02"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28</w:t>
            </w:r>
          </w:p>
        </w:tc>
        <w:tc>
          <w:tcPr>
            <w:tcW w:w="7230" w:type="dxa"/>
          </w:tcPr>
          <w:p w14:paraId="295DF6ED" w14:textId="411F7283"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1.2.5.1.5 textul „literele t), u) și v)” se va substitui cu textul „literele t)-v)”, or, enumerarea a mai mult de două elemente structurale consecutive se redă prin cratimă.</w:t>
            </w:r>
          </w:p>
        </w:tc>
        <w:tc>
          <w:tcPr>
            <w:tcW w:w="4268" w:type="dxa"/>
            <w:shd w:val="clear" w:color="auto" w:fill="FFFFFF" w:themeFill="background1"/>
          </w:tcPr>
          <w:p w14:paraId="14D6BC04" w14:textId="47A00E3D" w:rsidR="00E016B1" w:rsidRDefault="00E11748"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p>
        </w:tc>
      </w:tr>
      <w:tr w:rsidR="009D49F8" w:rsidRPr="00E546E1" w14:paraId="160DB17F" w14:textId="77777777" w:rsidTr="00455587">
        <w:trPr>
          <w:trHeight w:val="6196"/>
        </w:trPr>
        <w:tc>
          <w:tcPr>
            <w:tcW w:w="2263" w:type="dxa"/>
            <w:vMerge/>
          </w:tcPr>
          <w:p w14:paraId="69A0A8D4" w14:textId="77777777" w:rsidR="009D49F8" w:rsidRPr="00EB285D" w:rsidRDefault="009D49F8"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351D67DF" w14:textId="77777777" w:rsidR="009D49F8" w:rsidRDefault="009D49F8"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29</w:t>
            </w:r>
          </w:p>
          <w:p w14:paraId="5379BCE2" w14:textId="63BADBCB" w:rsidR="009D49F8" w:rsidRDefault="009D49F8" w:rsidP="00F65C4D">
            <w:pPr>
              <w:tabs>
                <w:tab w:val="left" w:pos="884"/>
                <w:tab w:val="left" w:pos="1196"/>
              </w:tabs>
              <w:spacing w:after="0" w:line="240" w:lineRule="auto"/>
              <w:rPr>
                <w:rFonts w:ascii="Times New Roman" w:eastAsiaTheme="minorHAnsi" w:hAnsi="Times New Roman"/>
                <w:bCs/>
                <w:sz w:val="24"/>
                <w:szCs w:val="24"/>
                <w:lang w:val="ro-MD" w:eastAsia="en-US"/>
              </w:rPr>
            </w:pPr>
          </w:p>
        </w:tc>
        <w:tc>
          <w:tcPr>
            <w:tcW w:w="7230" w:type="dxa"/>
          </w:tcPr>
          <w:p w14:paraId="7FEAFD3A" w14:textId="77777777" w:rsidR="009D49F8" w:rsidRDefault="009D49F8"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1.2.8.1, potrivit autorului, modificarea a fost realizată pentru alinierea la noile modificări ale Legii nr. 139/2018 cu privire la eficiența energetică. Din analiza modificărilor aprobate prin Legea nr. 111/2025 pentru modificarea Legii nr. 139/2018 cu privire la eficiența energetică (facilitarea implementării proiectelor de eficiență energetică) constatăm că a fost introdusă noțiunea de „produs de garantare – schemă de garantare care include totalitatea condițiilor specifice de acordare a garanțiilor financiare, aprobate de către CNED și elaborate în conformitate cu politicile Guvernului, în baza cărora creditorii acordă credite garantate;”</w:t>
            </w:r>
          </w:p>
          <w:p w14:paraId="3AB0F7B3" w14:textId="77777777" w:rsidR="009D49F8" w:rsidRPr="00EB285D" w:rsidRDefault="009D49F8"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În acest context, în scopul asigurării clarității și coerenței normative, opinăm asupra substituirii cuvintelor „produselor de finanțare” cu cuvintele „produselor de garantare”. Totodată, constatăm lipsa utilizării noțiunii „produse de finanțare” în textul Legii nr. 139/2018 (obiecție valabilă și pentru sbp. 1.2.9).</w:t>
            </w:r>
          </w:p>
          <w:p w14:paraId="00500B36" w14:textId="11AB748C" w:rsidR="009D49F8" w:rsidRPr="00EB285D" w:rsidRDefault="009D49F8" w:rsidP="00EB285D">
            <w:pPr>
              <w:tabs>
                <w:tab w:val="left" w:pos="884"/>
                <w:tab w:val="left" w:pos="1196"/>
              </w:tabs>
              <w:spacing w:before="120" w:after="120" w:line="240" w:lineRule="auto"/>
              <w:jc w:val="both"/>
              <w:rPr>
                <w:rFonts w:ascii="Times New Roman" w:hAnsi="Times New Roman"/>
                <w:lang w:val="ro-RO"/>
              </w:rPr>
            </w:pPr>
          </w:p>
        </w:tc>
        <w:tc>
          <w:tcPr>
            <w:tcW w:w="4268" w:type="dxa"/>
            <w:shd w:val="clear" w:color="auto" w:fill="FFFFFF" w:themeFill="background1"/>
          </w:tcPr>
          <w:p w14:paraId="76420CD8" w14:textId="02DED132" w:rsidR="009D49F8" w:rsidRDefault="009D49F8"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Nu se acceptă.</w:t>
            </w:r>
          </w:p>
          <w:p w14:paraId="19CAD9AE" w14:textId="44EA697E" w:rsidR="009D49F8" w:rsidRPr="00C67BBA" w:rsidRDefault="009D49F8" w:rsidP="00F65C4D">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Pct.39, subpct.7) a fost modificat în conformitate cu modificările Legii nr.139/2018 realizate prin Legea nr.111/2025, prin care se reglementează garanțiile financiare, compensațiile financiare, au fost ajustate aspecte legate de granturile oferite de IP CNED, modul de acordare a suportului financiar, etc, Prin urmare, toate produsele IP CNED sunt considerate generic produse de finanțare, iar produsele specifice, ca de ex., de garantare sau de compensare, sunt produse cu caracter special, care vor fi aprobate de IP CNED special pentru schemele de garantare sau/și de compensare. Similar, vor fi emise și alte produse de finanțare, cu denumiri specifice obiectului de reglementare a acestora și în dependență de scopul suportului financiar (pentru măsuri de eficiența energetică în sectorul rezidențial, public, etc.)</w:t>
            </w:r>
          </w:p>
        </w:tc>
      </w:tr>
      <w:tr w:rsidR="00E016B1" w:rsidRPr="00E546E1" w14:paraId="1BDF9A0F" w14:textId="77777777" w:rsidTr="00455587">
        <w:trPr>
          <w:trHeight w:val="620"/>
        </w:trPr>
        <w:tc>
          <w:tcPr>
            <w:tcW w:w="2263" w:type="dxa"/>
            <w:vMerge/>
          </w:tcPr>
          <w:p w14:paraId="5C6AFD49" w14:textId="77777777" w:rsidR="00E016B1" w:rsidRPr="00EB285D" w:rsidRDefault="00E016B1"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0F83D00F" w14:textId="79A2E43D"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w:t>
            </w:r>
            <w:r w:rsidR="00681376">
              <w:rPr>
                <w:rFonts w:ascii="Times New Roman" w:eastAsiaTheme="minorHAnsi" w:hAnsi="Times New Roman"/>
                <w:bCs/>
                <w:sz w:val="24"/>
                <w:szCs w:val="24"/>
                <w:lang w:val="ro-MD" w:eastAsia="en-US"/>
              </w:rPr>
              <w:t>0</w:t>
            </w:r>
          </w:p>
        </w:tc>
        <w:tc>
          <w:tcPr>
            <w:tcW w:w="7230" w:type="dxa"/>
          </w:tcPr>
          <w:p w14:paraId="4ED19090" w14:textId="5BC14399"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1.2.17, aferent expresiei „la informația respectivă” din alineatul introductiv al pct. 77, se recomandă autorului de a indica informația avută în vedere pentru a conferi normei previzibilitate și o claritate.</w:t>
            </w:r>
          </w:p>
        </w:tc>
        <w:tc>
          <w:tcPr>
            <w:tcW w:w="4268" w:type="dxa"/>
            <w:shd w:val="clear" w:color="auto" w:fill="FFFFFF" w:themeFill="background1"/>
          </w:tcPr>
          <w:p w14:paraId="1E62CED4" w14:textId="22D6722C" w:rsidR="00E016B1" w:rsidRDefault="00681376"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r w:rsidR="00A879BD">
              <w:rPr>
                <w:rFonts w:ascii="Times New Roman" w:hAnsi="Times New Roman"/>
                <w:b/>
                <w:bCs/>
                <w:lang w:val="ro-RO"/>
              </w:rPr>
              <w:t>.</w:t>
            </w:r>
          </w:p>
          <w:p w14:paraId="58A3B83B" w14:textId="37E5E182" w:rsidR="00681376" w:rsidRDefault="00A879BD"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lang w:val="ro-RO"/>
              </w:rPr>
              <w:t xml:space="preserve">Subpunctul 1.2.17. a devenit subpunctul 1.2.18., datorită completărilor efectuate asupra proiectului de Hotărâre în procesul de definitivare a acestuia. </w:t>
            </w:r>
            <w:r w:rsidR="00681376" w:rsidRPr="00C67BBA">
              <w:rPr>
                <w:rFonts w:ascii="Times New Roman" w:hAnsi="Times New Roman"/>
                <w:lang w:val="ro-RO"/>
              </w:rPr>
              <w:t xml:space="preserve">Cuvintele „informația </w:t>
            </w:r>
            <w:r w:rsidR="00681376" w:rsidRPr="00C67BBA">
              <w:rPr>
                <w:rFonts w:ascii="Times New Roman" w:hAnsi="Times New Roman"/>
                <w:lang w:val="ro-RO"/>
              </w:rPr>
              <w:lastRenderedPageBreak/>
              <w:t>respectivă” au fost substituite cu „această informație”. Pct.77 reglementează lista acestei informații.</w:t>
            </w:r>
          </w:p>
        </w:tc>
      </w:tr>
      <w:tr w:rsidR="00E016B1" w:rsidRPr="00E546E1" w14:paraId="3C546369" w14:textId="77777777" w:rsidTr="00455587">
        <w:trPr>
          <w:trHeight w:val="620"/>
        </w:trPr>
        <w:tc>
          <w:tcPr>
            <w:tcW w:w="2263" w:type="dxa"/>
            <w:vMerge/>
          </w:tcPr>
          <w:p w14:paraId="5339DA04" w14:textId="77777777" w:rsidR="00E016B1" w:rsidRPr="00EB285D" w:rsidRDefault="00E016B1"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6D6DA750" w14:textId="791B0001" w:rsidR="00E016B1" w:rsidRDefault="00E016B1"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w:t>
            </w:r>
            <w:r w:rsidR="00681376">
              <w:rPr>
                <w:rFonts w:ascii="Times New Roman" w:eastAsiaTheme="minorHAnsi" w:hAnsi="Times New Roman"/>
                <w:bCs/>
                <w:sz w:val="24"/>
                <w:szCs w:val="24"/>
                <w:lang w:val="ro-MD" w:eastAsia="en-US"/>
              </w:rPr>
              <w:t>1</w:t>
            </w:r>
          </w:p>
        </w:tc>
        <w:tc>
          <w:tcPr>
            <w:tcW w:w="7230" w:type="dxa"/>
          </w:tcPr>
          <w:p w14:paraId="22B89C6E" w14:textId="7245173B" w:rsidR="00E016B1" w:rsidRPr="00EB285D" w:rsidRDefault="00E016B1"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1.2.17.2 se va face distincția dintre număr și cifră. Potrivit regulilor tehnicii legislative, dacă un număr este format din două sau mai multe cifre, pentru identificarea acestuia, se folosește cuvântul „numărul” sau „cifrele” şi nu „cifra”.</w:t>
            </w:r>
          </w:p>
        </w:tc>
        <w:tc>
          <w:tcPr>
            <w:tcW w:w="4268" w:type="dxa"/>
            <w:shd w:val="clear" w:color="auto" w:fill="FFFFFF" w:themeFill="background1"/>
          </w:tcPr>
          <w:p w14:paraId="5F2CBEDE" w14:textId="77777777" w:rsidR="00C61684" w:rsidRDefault="001D6E45"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r w:rsidR="00A879BD">
              <w:rPr>
                <w:rFonts w:ascii="Times New Roman" w:hAnsi="Times New Roman"/>
                <w:b/>
                <w:bCs/>
                <w:lang w:val="ro-RO"/>
              </w:rPr>
              <w:t xml:space="preserve">. </w:t>
            </w:r>
          </w:p>
          <w:p w14:paraId="1F55DEE3" w14:textId="46F5CFAB" w:rsidR="00E016B1" w:rsidRDefault="00A879BD"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lang w:val="ro-RO"/>
              </w:rPr>
              <w:t>Subpunctul 1.2.17.2. a devenit subpunctul 1.2.18.2. , datorită completărilor efectuate asupra proiectului de Hotărâre în procesul de definitivare a acestuia.</w:t>
            </w:r>
          </w:p>
        </w:tc>
      </w:tr>
      <w:tr w:rsidR="009D49F8" w:rsidRPr="00E546E1" w14:paraId="4953BC11" w14:textId="77777777" w:rsidTr="00455587">
        <w:trPr>
          <w:trHeight w:val="2251"/>
        </w:trPr>
        <w:tc>
          <w:tcPr>
            <w:tcW w:w="2263" w:type="dxa"/>
            <w:vMerge/>
          </w:tcPr>
          <w:p w14:paraId="3B47C73D" w14:textId="77777777" w:rsidR="009D49F8" w:rsidRPr="00EB285D" w:rsidRDefault="009D49F8" w:rsidP="00F65C4D">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BF73B87" w14:textId="1BDC0C58" w:rsidR="009D49F8" w:rsidRDefault="009D49F8" w:rsidP="00F65C4D">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32</w:t>
            </w:r>
          </w:p>
          <w:p w14:paraId="4BB35031" w14:textId="1514FBDD" w:rsidR="009D49F8" w:rsidRDefault="009D49F8" w:rsidP="00F65C4D">
            <w:pPr>
              <w:tabs>
                <w:tab w:val="left" w:pos="884"/>
                <w:tab w:val="left" w:pos="1196"/>
              </w:tabs>
              <w:spacing w:after="0" w:line="240" w:lineRule="auto"/>
              <w:rPr>
                <w:rFonts w:ascii="Times New Roman" w:eastAsiaTheme="minorHAnsi" w:hAnsi="Times New Roman"/>
                <w:bCs/>
                <w:sz w:val="24"/>
                <w:szCs w:val="24"/>
                <w:lang w:val="ro-MD" w:eastAsia="en-US"/>
              </w:rPr>
            </w:pPr>
          </w:p>
        </w:tc>
        <w:tc>
          <w:tcPr>
            <w:tcW w:w="7230" w:type="dxa"/>
          </w:tcPr>
          <w:p w14:paraId="34B3C4E2" w14:textId="77777777" w:rsidR="009D49F8" w:rsidRDefault="009D49F8"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1.2.19, sugerăm expunerea modificărilor prin redarea normei juridice în redacție nouă, deoarece în forma expusă de către autor poate genera neclarități în privința integrării modificărilor în actul normativ.</w:t>
            </w:r>
          </w:p>
          <w:p w14:paraId="6386611C" w14:textId="3046B26E" w:rsidR="009D49F8" w:rsidRPr="00EB285D" w:rsidRDefault="009D49F8"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Amendamentul prevăzut la sbp. 1.2.19.1 creează confuzie, deoarece nu derivă cu exactitate intenția autorului fie de a substitui sau a completa, motiv pentru care se va revizui</w:t>
            </w:r>
            <w:r>
              <w:rPr>
                <w:rFonts w:ascii="Times New Roman" w:hAnsi="Times New Roman"/>
                <w:lang w:val="ro-RO"/>
              </w:rPr>
              <w:t>.</w:t>
            </w:r>
          </w:p>
          <w:p w14:paraId="39184A42" w14:textId="610F075A" w:rsidR="009D49F8" w:rsidRPr="00EB285D" w:rsidRDefault="009D49F8" w:rsidP="00EB285D">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w:t>
            </w:r>
          </w:p>
        </w:tc>
        <w:tc>
          <w:tcPr>
            <w:tcW w:w="4268" w:type="dxa"/>
            <w:shd w:val="clear" w:color="auto" w:fill="FFFFFF" w:themeFill="background1"/>
          </w:tcPr>
          <w:p w14:paraId="292FCB10" w14:textId="77777777" w:rsidR="009D49F8" w:rsidRDefault="009D49F8" w:rsidP="00F65C4D">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p>
          <w:p w14:paraId="73E59360" w14:textId="3E91359F" w:rsidR="009D49F8" w:rsidRDefault="009D49F8" w:rsidP="00F65C4D">
            <w:pPr>
              <w:tabs>
                <w:tab w:val="left" w:pos="884"/>
                <w:tab w:val="left" w:pos="1196"/>
              </w:tabs>
              <w:spacing w:after="0" w:line="240" w:lineRule="auto"/>
              <w:jc w:val="both"/>
              <w:rPr>
                <w:rFonts w:ascii="Times New Roman" w:hAnsi="Times New Roman"/>
                <w:b/>
                <w:bCs/>
                <w:lang w:val="ro-RO"/>
              </w:rPr>
            </w:pPr>
            <w:r w:rsidRPr="00C67BBA">
              <w:rPr>
                <w:rFonts w:ascii="Times New Roman" w:hAnsi="Times New Roman"/>
                <w:lang w:val="ro-RO"/>
              </w:rPr>
              <w:t>Pct.83 din HG nr.1060/2023 a fost expus în redacție nouă</w:t>
            </w:r>
            <w:r>
              <w:rPr>
                <w:rFonts w:ascii="Times New Roman" w:hAnsi="Times New Roman"/>
                <w:b/>
                <w:bCs/>
                <w:lang w:val="ro-RO"/>
              </w:rPr>
              <w:t>.</w:t>
            </w:r>
          </w:p>
        </w:tc>
      </w:tr>
      <w:tr w:rsidR="00A3439F" w:rsidRPr="00E546E1" w14:paraId="22FFD2F1" w14:textId="77777777" w:rsidTr="00455587">
        <w:trPr>
          <w:trHeight w:val="620"/>
        </w:trPr>
        <w:tc>
          <w:tcPr>
            <w:tcW w:w="2263" w:type="dxa"/>
            <w:vMerge/>
          </w:tcPr>
          <w:p w14:paraId="4B7A0C97" w14:textId="77777777" w:rsidR="00A3439F" w:rsidRPr="00EB285D" w:rsidRDefault="00A3439F" w:rsidP="00A3439F">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2441D2F3" w14:textId="1899FF22" w:rsidR="00A3439F" w:rsidRDefault="00A3439F" w:rsidP="00A3439F">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34</w:t>
            </w:r>
          </w:p>
        </w:tc>
        <w:tc>
          <w:tcPr>
            <w:tcW w:w="7230" w:type="dxa"/>
          </w:tcPr>
          <w:p w14:paraId="0C4682CE" w14:textId="08B31DE2"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Se va ține cont că „Nota” nu reprezintă element structural al actului normativ, motiv pentru care textul „Notă:” se va exclude.</w:t>
            </w:r>
          </w:p>
        </w:tc>
        <w:tc>
          <w:tcPr>
            <w:tcW w:w="4268" w:type="dxa"/>
            <w:shd w:val="clear" w:color="auto" w:fill="FFFFFF" w:themeFill="background1"/>
          </w:tcPr>
          <w:p w14:paraId="0FBE4845" w14:textId="77777777" w:rsidR="00A3439F" w:rsidRDefault="00A3439F" w:rsidP="00A3439F">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acceptă.</w:t>
            </w:r>
          </w:p>
          <w:p w14:paraId="0814DA1A" w14:textId="423AD16A" w:rsidR="00A3439F" w:rsidRPr="00C67BBA" w:rsidRDefault="00A3439F" w:rsidP="00A3439F">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În scopul încadrării prevederilor din Not</w:t>
            </w:r>
            <w:r w:rsidR="00F508C9">
              <w:rPr>
                <w:rFonts w:ascii="Times New Roman" w:hAnsi="Times New Roman"/>
                <w:lang w:val="ro-RO"/>
              </w:rPr>
              <w:t>ă (la tabelul din anexă la Statut)</w:t>
            </w:r>
            <w:r>
              <w:rPr>
                <w:rFonts w:ascii="Times New Roman" w:hAnsi="Times New Roman"/>
                <w:lang w:val="ro-RO"/>
              </w:rPr>
              <w:t xml:space="preserve"> în prevederile actului normativ, a fost completat proiectul cu pct.1.2.8.</w:t>
            </w:r>
          </w:p>
        </w:tc>
      </w:tr>
      <w:tr w:rsidR="00A3439F" w:rsidRPr="00521D07" w14:paraId="5886EF36" w14:textId="77777777" w:rsidTr="00455587">
        <w:trPr>
          <w:trHeight w:val="620"/>
        </w:trPr>
        <w:tc>
          <w:tcPr>
            <w:tcW w:w="2263" w:type="dxa"/>
            <w:vMerge/>
          </w:tcPr>
          <w:p w14:paraId="52B756E8" w14:textId="77777777" w:rsidR="00A3439F" w:rsidRPr="00EB285D" w:rsidRDefault="00A3439F" w:rsidP="00A3439F">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5E8DE1AA" w14:textId="48DA3A50" w:rsidR="00A3439F" w:rsidRDefault="00A3439F" w:rsidP="00A3439F">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36</w:t>
            </w:r>
          </w:p>
        </w:tc>
        <w:tc>
          <w:tcPr>
            <w:tcW w:w="7230" w:type="dxa"/>
          </w:tcPr>
          <w:p w14:paraId="0417195E" w14:textId="2F78EF39"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La sbp 1.3, redacția nouă a Structurii Instituției Publice Centrul Național pentru Energie Durabilă se va completa cu parafa de aprobare a anexei nr. 2.</w:t>
            </w:r>
          </w:p>
        </w:tc>
        <w:tc>
          <w:tcPr>
            <w:tcW w:w="4268" w:type="dxa"/>
            <w:shd w:val="clear" w:color="auto" w:fill="FFFFFF" w:themeFill="background1"/>
          </w:tcPr>
          <w:p w14:paraId="0534E020" w14:textId="55D06748" w:rsidR="00A3439F" w:rsidRPr="0098719F" w:rsidRDefault="0098719F" w:rsidP="00A3439F">
            <w:pPr>
              <w:tabs>
                <w:tab w:val="left" w:pos="884"/>
                <w:tab w:val="left" w:pos="1196"/>
              </w:tabs>
              <w:spacing w:after="0" w:line="240" w:lineRule="auto"/>
              <w:jc w:val="both"/>
              <w:rPr>
                <w:rFonts w:ascii="Times New Roman" w:hAnsi="Times New Roman"/>
                <w:b/>
                <w:bCs/>
                <w:lang w:val="ro-RO"/>
              </w:rPr>
            </w:pPr>
            <w:r w:rsidRPr="00C67BBA">
              <w:rPr>
                <w:rFonts w:ascii="Times New Roman" w:hAnsi="Times New Roman"/>
                <w:b/>
                <w:bCs/>
                <w:lang w:val="ro-RO"/>
              </w:rPr>
              <w:t>Se acceptă.</w:t>
            </w:r>
          </w:p>
        </w:tc>
      </w:tr>
      <w:tr w:rsidR="00A3439F" w:rsidRPr="00E546E1" w14:paraId="02B06B41" w14:textId="77777777" w:rsidTr="00455587">
        <w:trPr>
          <w:trHeight w:val="620"/>
        </w:trPr>
        <w:tc>
          <w:tcPr>
            <w:tcW w:w="2263" w:type="dxa"/>
            <w:vMerge/>
          </w:tcPr>
          <w:p w14:paraId="77177F59" w14:textId="77777777" w:rsidR="00A3439F" w:rsidRPr="00EB285D" w:rsidRDefault="00A3439F" w:rsidP="00A3439F">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5B7D6CF2" w14:textId="376DCB40" w:rsidR="00A3439F" w:rsidRDefault="00A3439F" w:rsidP="00A3439F">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37</w:t>
            </w:r>
          </w:p>
        </w:tc>
        <w:tc>
          <w:tcPr>
            <w:tcW w:w="7230" w:type="dxa"/>
          </w:tcPr>
          <w:p w14:paraId="7B910350" w14:textId="77777777"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Cu referire la sbp. 1.4, în partea ce vizează aprobarea organigramei instituției publice prin hotărâre de Guvern:</w:t>
            </w:r>
          </w:p>
          <w:p w14:paraId="05391ED5" w14:textId="77777777"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Prevederile sbp. 10.5 din Structura-tip a Regulamentului privind organizarea și funcționarea ministerului, aprobat prin Hotărârea Guvernului nr. 284/2025 dispun aprobarea organigramei ministerului de către ministru.</w:t>
            </w:r>
          </w:p>
          <w:p w14:paraId="7B609423" w14:textId="77777777"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 xml:space="preserve">Organigrama autorității administrative centrale, în temeiul sbp. 10.10 din Structura-tip a Regulamentului privind organizarea și funcționarea autorității administrative centrale din subordinea Guvernului, se aprobă de către directorul general, iar în cazul autorității administrative din subordinea ministerului, organigrama se aprobă de către conducătorul autorității administrative (sbp. 11.5 </w:t>
            </w:r>
            <w:r w:rsidRPr="00EB285D">
              <w:rPr>
                <w:rFonts w:ascii="Times New Roman" w:hAnsi="Times New Roman"/>
                <w:lang w:val="ro-RO"/>
              </w:rPr>
              <w:lastRenderedPageBreak/>
              <w:t>din Structura-tip a Regulamentului privind organizarea și funcționarea autorității administrative din subordinea ministerului).</w:t>
            </w:r>
          </w:p>
          <w:p w14:paraId="75C9643D" w14:textId="431FFCD9"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Astfel, urmărind logica reglementărilor expuse supra, se va examina oportunitatea aprobării organigramei Instituției Publice Centrul Național pentru Energie Durabilă de către directorul instituției publice.</w:t>
            </w:r>
          </w:p>
        </w:tc>
        <w:tc>
          <w:tcPr>
            <w:tcW w:w="4268" w:type="dxa"/>
            <w:shd w:val="clear" w:color="auto" w:fill="FFFFFF" w:themeFill="background1"/>
          </w:tcPr>
          <w:p w14:paraId="2EEE76A0" w14:textId="77777777" w:rsidR="00A3439F" w:rsidRDefault="004826C9" w:rsidP="00A3439F">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lastRenderedPageBreak/>
              <w:t>Nu se a</w:t>
            </w:r>
            <w:r w:rsidR="006D5205">
              <w:rPr>
                <w:rFonts w:ascii="Times New Roman" w:hAnsi="Times New Roman"/>
                <w:b/>
                <w:bCs/>
                <w:lang w:val="ro-RO"/>
              </w:rPr>
              <w:t>cceptă.</w:t>
            </w:r>
          </w:p>
          <w:p w14:paraId="4A1780AE" w14:textId="1AB4C720" w:rsidR="00D55323" w:rsidRPr="00C67BBA" w:rsidRDefault="00B158CA" w:rsidP="00A3439F">
            <w:pPr>
              <w:tabs>
                <w:tab w:val="left" w:pos="884"/>
                <w:tab w:val="left" w:pos="1196"/>
              </w:tabs>
              <w:spacing w:after="0" w:line="240" w:lineRule="auto"/>
              <w:jc w:val="both"/>
              <w:rPr>
                <w:rFonts w:ascii="Times New Roman" w:hAnsi="Times New Roman"/>
                <w:lang w:val="ro-RO"/>
              </w:rPr>
            </w:pPr>
            <w:r w:rsidRPr="00C67BBA">
              <w:rPr>
                <w:rFonts w:ascii="Times New Roman" w:hAnsi="Times New Roman"/>
                <w:lang w:val="ro-RO"/>
              </w:rPr>
              <w:t xml:space="preserve">Organigrama instituției publice este reprezentarea grafică a ierarhiei subordonării organelor de conducere, directorilor adjuncți și subdiviziunilor structurale ale </w:t>
            </w:r>
            <w:r w:rsidR="00B64957">
              <w:rPr>
                <w:rFonts w:ascii="Times New Roman" w:hAnsi="Times New Roman"/>
                <w:lang w:val="ro-RO"/>
              </w:rPr>
              <w:t>instituției</w:t>
            </w:r>
            <w:r w:rsidR="00B64957" w:rsidRPr="00C67BBA">
              <w:rPr>
                <w:rFonts w:ascii="Times New Roman" w:hAnsi="Times New Roman"/>
                <w:lang w:val="ro-RO"/>
              </w:rPr>
              <w:t xml:space="preserve"> </w:t>
            </w:r>
            <w:r w:rsidRPr="00C67BBA">
              <w:rPr>
                <w:rFonts w:ascii="Times New Roman" w:hAnsi="Times New Roman"/>
                <w:lang w:val="ro-RO"/>
              </w:rPr>
              <w:t xml:space="preserve">publice. Prin urmare, organigrama este necesar să respecte spiritul structurii organizatorice a instituției publice. Stabilirea structurii este stric corelată cu modul de subordonare ierarhică a sistemului de guvernanță a instituției. Prin urmare, aceste </w:t>
            </w:r>
            <w:r w:rsidRPr="00C67BBA">
              <w:rPr>
                <w:rFonts w:ascii="Times New Roman" w:hAnsi="Times New Roman"/>
                <w:lang w:val="ro-RO"/>
              </w:rPr>
              <w:lastRenderedPageBreak/>
              <w:t xml:space="preserve">aspecte sunt indispensabile în procesul de reglementare a guvernanței unei instituții publice. Similitudinea cu procesul de aprobare a organigramei de către autoritățile administrative centrale, de asemenea, nu este relevantă,  dacă ar fi că se aprobă de instituția publică. Dacă aceste documente (structura și organigrama) s-ar aproba la nivel de instituție publică, atunci ar urma să fie aprobată de organul de conducere superior, care în cazul IP CNED este Consiliul și nu directorul, care este organul executiv. Or, în cazul </w:t>
            </w:r>
            <w:r w:rsidR="00D55323" w:rsidRPr="00D55323">
              <w:rPr>
                <w:rFonts w:ascii="Times New Roman" w:hAnsi="Times New Roman"/>
                <w:lang w:val="ro-RO"/>
              </w:rPr>
              <w:t>autorităților</w:t>
            </w:r>
            <w:r w:rsidRPr="00C67BBA">
              <w:rPr>
                <w:rFonts w:ascii="Times New Roman" w:hAnsi="Times New Roman"/>
                <w:lang w:val="ro-RO"/>
              </w:rPr>
              <w:t xml:space="preserve"> administrative nu există un alt organ de conducere superior decât directorul autorității corespunzătoare. Pornind de</w:t>
            </w:r>
            <w:r w:rsidR="00D55323" w:rsidRPr="00C67BBA">
              <w:rPr>
                <w:rFonts w:ascii="Times New Roman" w:hAnsi="Times New Roman"/>
                <w:lang w:val="ro-RO"/>
              </w:rPr>
              <w:t xml:space="preserve"> </w:t>
            </w:r>
            <w:r w:rsidRPr="00C67BBA">
              <w:rPr>
                <w:rFonts w:ascii="Times New Roman" w:hAnsi="Times New Roman"/>
                <w:lang w:val="ro-RO"/>
              </w:rPr>
              <w:t xml:space="preserve">la faptul că structura nu poate fi aprobată de </w:t>
            </w:r>
            <w:r w:rsidR="00D55323" w:rsidRPr="00C67BBA">
              <w:rPr>
                <w:rFonts w:ascii="Times New Roman" w:hAnsi="Times New Roman"/>
                <w:lang w:val="ro-RO"/>
              </w:rPr>
              <w:t>Consiliul IP CNED</w:t>
            </w:r>
            <w:r w:rsidRPr="00C67BBA">
              <w:rPr>
                <w:rFonts w:ascii="Times New Roman" w:hAnsi="Times New Roman"/>
                <w:lang w:val="ro-RO"/>
              </w:rPr>
              <w:t xml:space="preserve">, fiind </w:t>
            </w:r>
            <w:r w:rsidR="00D55323" w:rsidRPr="00C67BBA">
              <w:rPr>
                <w:rFonts w:ascii="Times New Roman" w:hAnsi="Times New Roman"/>
                <w:lang w:val="ro-RO"/>
              </w:rPr>
              <w:t xml:space="preserve">de </w:t>
            </w:r>
            <w:r w:rsidRPr="00C67BBA">
              <w:rPr>
                <w:rFonts w:ascii="Times New Roman" w:hAnsi="Times New Roman"/>
                <w:lang w:val="ro-RO"/>
              </w:rPr>
              <w:t xml:space="preserve">responsabilitatea Guvernului (art.7, </w:t>
            </w:r>
            <w:r w:rsidR="00D55323" w:rsidRPr="00C67BBA">
              <w:rPr>
                <w:rFonts w:ascii="Times New Roman" w:hAnsi="Times New Roman"/>
                <w:lang w:val="ro-RO"/>
              </w:rPr>
              <w:t>lit.b)</w:t>
            </w:r>
            <w:r w:rsidR="00F508C9">
              <w:rPr>
                <w:rFonts w:ascii="Times New Roman" w:hAnsi="Times New Roman"/>
                <w:lang w:val="ro-RO"/>
              </w:rPr>
              <w:t>)</w:t>
            </w:r>
            <w:r w:rsidR="00D55323" w:rsidRPr="00C67BBA">
              <w:rPr>
                <w:rFonts w:ascii="Times New Roman" w:hAnsi="Times New Roman"/>
                <w:lang w:val="ro-RO"/>
              </w:rPr>
              <w:t xml:space="preserve"> din Legea nr.136/2017 cu privire la Guvern), și considerând argumentele de mai sus, organigrama la fel este potrivit să fie aprobată de Guvern.</w:t>
            </w:r>
          </w:p>
        </w:tc>
      </w:tr>
      <w:tr w:rsidR="00A3439F" w:rsidRPr="00521D07" w14:paraId="325E17A7" w14:textId="77777777" w:rsidTr="00455587">
        <w:trPr>
          <w:trHeight w:val="620"/>
        </w:trPr>
        <w:tc>
          <w:tcPr>
            <w:tcW w:w="2263" w:type="dxa"/>
            <w:vMerge/>
          </w:tcPr>
          <w:p w14:paraId="70C963D4" w14:textId="77777777" w:rsidR="00A3439F" w:rsidRPr="00EB285D" w:rsidRDefault="00A3439F" w:rsidP="00A3439F">
            <w:pPr>
              <w:tabs>
                <w:tab w:val="left" w:pos="884"/>
                <w:tab w:val="left" w:pos="1196"/>
              </w:tabs>
              <w:spacing w:after="0" w:line="240" w:lineRule="auto"/>
              <w:rPr>
                <w:rFonts w:ascii="Times New Roman" w:eastAsiaTheme="minorHAnsi" w:hAnsi="Times New Roman"/>
                <w:b/>
                <w:sz w:val="24"/>
                <w:szCs w:val="24"/>
                <w:lang w:val="ro-MD" w:eastAsia="en-US"/>
              </w:rPr>
            </w:pPr>
          </w:p>
        </w:tc>
        <w:tc>
          <w:tcPr>
            <w:tcW w:w="567" w:type="dxa"/>
          </w:tcPr>
          <w:p w14:paraId="7907A67C" w14:textId="4C286108" w:rsidR="00A3439F" w:rsidRDefault="00A3439F" w:rsidP="00A3439F">
            <w:pPr>
              <w:tabs>
                <w:tab w:val="left" w:pos="884"/>
                <w:tab w:val="left" w:pos="1196"/>
              </w:tabs>
              <w:spacing w:after="0" w:line="240" w:lineRule="auto"/>
              <w:rPr>
                <w:rFonts w:ascii="Times New Roman" w:eastAsiaTheme="minorHAnsi" w:hAnsi="Times New Roman"/>
                <w:bCs/>
                <w:sz w:val="24"/>
                <w:szCs w:val="24"/>
                <w:lang w:val="ro-MD" w:eastAsia="en-US"/>
              </w:rPr>
            </w:pPr>
            <w:r>
              <w:rPr>
                <w:rFonts w:ascii="Times New Roman" w:eastAsiaTheme="minorHAnsi" w:hAnsi="Times New Roman"/>
                <w:bCs/>
                <w:sz w:val="24"/>
                <w:szCs w:val="24"/>
                <w:lang w:val="ro-MD" w:eastAsia="en-US"/>
              </w:rPr>
              <w:t>38</w:t>
            </w:r>
          </w:p>
        </w:tc>
        <w:tc>
          <w:tcPr>
            <w:tcW w:w="7230" w:type="dxa"/>
          </w:tcPr>
          <w:p w14:paraId="358AE799" w14:textId="43DB413C" w:rsidR="00A3439F" w:rsidRPr="00EB285D" w:rsidRDefault="00A3439F" w:rsidP="00A3439F">
            <w:pPr>
              <w:tabs>
                <w:tab w:val="left" w:pos="884"/>
                <w:tab w:val="left" w:pos="1196"/>
              </w:tabs>
              <w:spacing w:before="120" w:after="120" w:line="240" w:lineRule="auto"/>
              <w:jc w:val="both"/>
              <w:rPr>
                <w:rFonts w:ascii="Times New Roman" w:hAnsi="Times New Roman"/>
                <w:lang w:val="ro-RO"/>
              </w:rPr>
            </w:pPr>
            <w:r w:rsidRPr="00EB285D">
              <w:rPr>
                <w:rFonts w:ascii="Times New Roman" w:hAnsi="Times New Roman"/>
                <w:lang w:val="ro-RO"/>
              </w:rPr>
              <w:t>Totodată, ținem să comunicăm că pe platforma parlamentară a fost înregistrat proiectul legii privind instituțiile publice (nr. 165 din 14.05.2025), adoptat în prima lectură la 22.05.2025. În conformitate cu art. 12 alin. (9) lit. h) din proiectul actului normativ nominalizat, directorul este persoana care aprobă organigrama instituției publice și regulamentele subdiviziunilor interne ale instituției publice.</w:t>
            </w:r>
          </w:p>
        </w:tc>
        <w:tc>
          <w:tcPr>
            <w:tcW w:w="4268" w:type="dxa"/>
            <w:shd w:val="clear" w:color="auto" w:fill="FFFFFF" w:themeFill="background1"/>
          </w:tcPr>
          <w:p w14:paraId="2CE3987F" w14:textId="6760CB7A" w:rsidR="00A3439F" w:rsidRDefault="003E089C" w:rsidP="00A3439F">
            <w:pPr>
              <w:tabs>
                <w:tab w:val="left" w:pos="884"/>
                <w:tab w:val="left" w:pos="1196"/>
              </w:tabs>
              <w:spacing w:after="0" w:line="240" w:lineRule="auto"/>
              <w:jc w:val="both"/>
              <w:rPr>
                <w:rFonts w:ascii="Times New Roman" w:hAnsi="Times New Roman"/>
                <w:b/>
                <w:bCs/>
                <w:lang w:val="ro-RO"/>
              </w:rPr>
            </w:pPr>
            <w:r>
              <w:rPr>
                <w:rFonts w:ascii="Times New Roman" w:hAnsi="Times New Roman"/>
                <w:b/>
                <w:bCs/>
                <w:lang w:val="ro-RO"/>
              </w:rPr>
              <w:t>Se ia act.</w:t>
            </w:r>
          </w:p>
        </w:tc>
      </w:tr>
    </w:tbl>
    <w:p w14:paraId="0AE4E705" w14:textId="77777777" w:rsidR="00C61684" w:rsidRDefault="00C61684" w:rsidP="00BD44CA">
      <w:pPr>
        <w:autoSpaceDE w:val="0"/>
        <w:autoSpaceDN w:val="0"/>
        <w:adjustRightInd w:val="0"/>
        <w:spacing w:line="360" w:lineRule="auto"/>
        <w:jc w:val="center"/>
        <w:rPr>
          <w:rFonts w:ascii="Times New Roman" w:hAnsi="Times New Roman"/>
          <w:b/>
          <w:bCs/>
          <w:sz w:val="28"/>
          <w:szCs w:val="28"/>
          <w:lang w:val="ro-MD"/>
        </w:rPr>
      </w:pPr>
    </w:p>
    <w:p w14:paraId="01C62236" w14:textId="2225FE34" w:rsidR="00C36D61" w:rsidRPr="00BD44CA" w:rsidRDefault="00455587" w:rsidP="00BD44CA">
      <w:pPr>
        <w:autoSpaceDE w:val="0"/>
        <w:autoSpaceDN w:val="0"/>
        <w:adjustRightInd w:val="0"/>
        <w:spacing w:line="360" w:lineRule="auto"/>
        <w:jc w:val="center"/>
        <w:rPr>
          <w:rFonts w:ascii="Times New Roman" w:hAnsi="Times New Roman"/>
          <w:i/>
          <w:iCs/>
          <w:lang w:val="ro-MD"/>
        </w:rPr>
      </w:pPr>
      <w:r>
        <w:rPr>
          <w:rFonts w:ascii="Times New Roman" w:hAnsi="Times New Roman"/>
          <w:b/>
          <w:bCs/>
          <w:sz w:val="28"/>
          <w:szCs w:val="28"/>
          <w:lang w:val="ro-MD"/>
        </w:rPr>
        <w:t xml:space="preserve">Ministrul </w:t>
      </w:r>
      <w:r w:rsidR="00E546E1">
        <w:rPr>
          <w:rFonts w:ascii="Times New Roman" w:hAnsi="Times New Roman"/>
          <w:b/>
          <w:bCs/>
          <w:sz w:val="28"/>
          <w:szCs w:val="28"/>
          <w:lang w:val="ro-MD"/>
        </w:rPr>
        <w:t>e</w:t>
      </w:r>
      <w:r>
        <w:rPr>
          <w:rFonts w:ascii="Times New Roman" w:hAnsi="Times New Roman"/>
          <w:b/>
          <w:bCs/>
          <w:sz w:val="28"/>
          <w:szCs w:val="28"/>
          <w:lang w:val="ro-MD"/>
        </w:rPr>
        <w:t>nergiei</w:t>
      </w:r>
      <w:r w:rsidR="00043CEC">
        <w:rPr>
          <w:rFonts w:ascii="Times New Roman" w:hAnsi="Times New Roman"/>
          <w:b/>
          <w:bCs/>
          <w:sz w:val="28"/>
          <w:szCs w:val="28"/>
          <w:lang w:val="ro-MD"/>
        </w:rPr>
        <w:t xml:space="preserve">                                                         </w:t>
      </w:r>
      <w:r w:rsidR="00BD44CA" w:rsidRPr="00EB5E76">
        <w:rPr>
          <w:rFonts w:ascii="Times New Roman" w:hAnsi="Times New Roman"/>
          <w:i/>
          <w:iCs/>
          <w:lang w:val="ro-MD"/>
        </w:rPr>
        <w:t xml:space="preserve">/semnat electronic/                                                  </w:t>
      </w:r>
      <w:r>
        <w:rPr>
          <w:rFonts w:ascii="Times New Roman" w:hAnsi="Times New Roman"/>
          <w:b/>
          <w:bCs/>
          <w:sz w:val="28"/>
          <w:szCs w:val="28"/>
          <w:lang w:val="ro-MD"/>
        </w:rPr>
        <w:t>Dorin</w:t>
      </w:r>
      <w:r w:rsidR="00043CEC" w:rsidRPr="00EB5E76">
        <w:rPr>
          <w:rFonts w:ascii="Times New Roman" w:hAnsi="Times New Roman"/>
          <w:b/>
          <w:bCs/>
          <w:sz w:val="28"/>
          <w:szCs w:val="28"/>
          <w:lang w:val="ro-MD"/>
        </w:rPr>
        <w:t xml:space="preserve"> </w:t>
      </w:r>
      <w:r>
        <w:rPr>
          <w:rFonts w:ascii="Times New Roman" w:hAnsi="Times New Roman"/>
          <w:b/>
          <w:bCs/>
          <w:sz w:val="28"/>
          <w:szCs w:val="28"/>
          <w:lang w:val="ro-MD"/>
        </w:rPr>
        <w:t>JUNGHIETU</w:t>
      </w:r>
    </w:p>
    <w:sectPr w:rsidR="00C36D61" w:rsidRPr="00BD44CA" w:rsidSect="00295E6A">
      <w:pgSz w:w="16838" w:h="11906" w:orient="landscape"/>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067"/>
    <w:multiLevelType w:val="hybridMultilevel"/>
    <w:tmpl w:val="ABEC30EC"/>
    <w:lvl w:ilvl="0" w:tplc="65E808B0">
      <w:start w:val="1"/>
      <w:numFmt w:val="decimal"/>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00AA1C5C"/>
    <w:multiLevelType w:val="hybridMultilevel"/>
    <w:tmpl w:val="432696D6"/>
    <w:lvl w:ilvl="0" w:tplc="95A09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B2281"/>
    <w:multiLevelType w:val="hybridMultilevel"/>
    <w:tmpl w:val="AAE0CB5A"/>
    <w:lvl w:ilvl="0" w:tplc="D8A619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526C2"/>
    <w:multiLevelType w:val="hybridMultilevel"/>
    <w:tmpl w:val="DB0CFCAE"/>
    <w:lvl w:ilvl="0" w:tplc="608C7460">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07E39"/>
    <w:multiLevelType w:val="hybridMultilevel"/>
    <w:tmpl w:val="F1A4AF9A"/>
    <w:lvl w:ilvl="0" w:tplc="25C07C1C">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475BBE"/>
    <w:multiLevelType w:val="hybridMultilevel"/>
    <w:tmpl w:val="C9E4D58E"/>
    <w:lvl w:ilvl="0" w:tplc="7D5CC7E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15:restartNumberingAfterBreak="0">
    <w:nsid w:val="3694160C"/>
    <w:multiLevelType w:val="hybridMultilevel"/>
    <w:tmpl w:val="5E2AEE0C"/>
    <w:lvl w:ilvl="0" w:tplc="EB06F46C">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E03788"/>
    <w:multiLevelType w:val="hybridMultilevel"/>
    <w:tmpl w:val="D0AC0BBE"/>
    <w:lvl w:ilvl="0" w:tplc="BCE098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0D18A9"/>
    <w:multiLevelType w:val="hybridMultilevel"/>
    <w:tmpl w:val="CD84CD7C"/>
    <w:lvl w:ilvl="0" w:tplc="38EC42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C7FBF"/>
    <w:multiLevelType w:val="multilevel"/>
    <w:tmpl w:val="5114D9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EC6180"/>
    <w:multiLevelType w:val="hybridMultilevel"/>
    <w:tmpl w:val="85DCCD1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C8E5127"/>
    <w:multiLevelType w:val="hybridMultilevel"/>
    <w:tmpl w:val="1E62D692"/>
    <w:lvl w:ilvl="0" w:tplc="A32A20DC">
      <w:start w:val="1"/>
      <w:numFmt w:val="upperRoman"/>
      <w:lvlText w:val="%1."/>
      <w:lvlJc w:val="left"/>
      <w:pPr>
        <w:ind w:left="2862" w:hanging="720"/>
      </w:pPr>
      <w:rPr>
        <w:rFonts w:hint="default"/>
      </w:rPr>
    </w:lvl>
    <w:lvl w:ilvl="1" w:tplc="04090019" w:tentative="1">
      <w:start w:val="1"/>
      <w:numFmt w:val="lowerLetter"/>
      <w:lvlText w:val="%2."/>
      <w:lvlJc w:val="left"/>
      <w:pPr>
        <w:ind w:left="3222" w:hanging="360"/>
      </w:pPr>
    </w:lvl>
    <w:lvl w:ilvl="2" w:tplc="0409001B" w:tentative="1">
      <w:start w:val="1"/>
      <w:numFmt w:val="lowerRoman"/>
      <w:lvlText w:val="%3."/>
      <w:lvlJc w:val="right"/>
      <w:pPr>
        <w:ind w:left="3942" w:hanging="180"/>
      </w:pPr>
    </w:lvl>
    <w:lvl w:ilvl="3" w:tplc="0409000F" w:tentative="1">
      <w:start w:val="1"/>
      <w:numFmt w:val="decimal"/>
      <w:lvlText w:val="%4."/>
      <w:lvlJc w:val="left"/>
      <w:pPr>
        <w:ind w:left="4662" w:hanging="360"/>
      </w:pPr>
    </w:lvl>
    <w:lvl w:ilvl="4" w:tplc="04090019" w:tentative="1">
      <w:start w:val="1"/>
      <w:numFmt w:val="lowerLetter"/>
      <w:lvlText w:val="%5."/>
      <w:lvlJc w:val="left"/>
      <w:pPr>
        <w:ind w:left="5382" w:hanging="360"/>
      </w:pPr>
    </w:lvl>
    <w:lvl w:ilvl="5" w:tplc="0409001B" w:tentative="1">
      <w:start w:val="1"/>
      <w:numFmt w:val="lowerRoman"/>
      <w:lvlText w:val="%6."/>
      <w:lvlJc w:val="right"/>
      <w:pPr>
        <w:ind w:left="6102" w:hanging="180"/>
      </w:pPr>
    </w:lvl>
    <w:lvl w:ilvl="6" w:tplc="0409000F" w:tentative="1">
      <w:start w:val="1"/>
      <w:numFmt w:val="decimal"/>
      <w:lvlText w:val="%7."/>
      <w:lvlJc w:val="left"/>
      <w:pPr>
        <w:ind w:left="6822" w:hanging="360"/>
      </w:pPr>
    </w:lvl>
    <w:lvl w:ilvl="7" w:tplc="04090019" w:tentative="1">
      <w:start w:val="1"/>
      <w:numFmt w:val="lowerLetter"/>
      <w:lvlText w:val="%8."/>
      <w:lvlJc w:val="left"/>
      <w:pPr>
        <w:ind w:left="7542" w:hanging="360"/>
      </w:pPr>
    </w:lvl>
    <w:lvl w:ilvl="8" w:tplc="0409001B" w:tentative="1">
      <w:start w:val="1"/>
      <w:numFmt w:val="lowerRoman"/>
      <w:lvlText w:val="%9."/>
      <w:lvlJc w:val="right"/>
      <w:pPr>
        <w:ind w:left="8262" w:hanging="180"/>
      </w:pPr>
    </w:lvl>
  </w:abstractNum>
  <w:abstractNum w:abstractNumId="12" w15:restartNumberingAfterBreak="0">
    <w:nsid w:val="7AF0269C"/>
    <w:multiLevelType w:val="hybridMultilevel"/>
    <w:tmpl w:val="3FBC947E"/>
    <w:lvl w:ilvl="0" w:tplc="D88C0B98">
      <w:start w:val="1"/>
      <w:numFmt w:val="upperRoman"/>
      <w:lvlText w:val="%1."/>
      <w:lvlJc w:val="left"/>
      <w:pPr>
        <w:ind w:left="2142" w:hanging="720"/>
      </w:pPr>
      <w:rPr>
        <w:rFonts w:hint="default"/>
      </w:rPr>
    </w:lvl>
    <w:lvl w:ilvl="1" w:tplc="08090019" w:tentative="1">
      <w:start w:val="1"/>
      <w:numFmt w:val="lowerLetter"/>
      <w:lvlText w:val="%2."/>
      <w:lvlJc w:val="left"/>
      <w:pPr>
        <w:ind w:left="2502" w:hanging="360"/>
      </w:pPr>
    </w:lvl>
    <w:lvl w:ilvl="2" w:tplc="0809001B" w:tentative="1">
      <w:start w:val="1"/>
      <w:numFmt w:val="lowerRoman"/>
      <w:lvlText w:val="%3."/>
      <w:lvlJc w:val="right"/>
      <w:pPr>
        <w:ind w:left="3222" w:hanging="180"/>
      </w:pPr>
    </w:lvl>
    <w:lvl w:ilvl="3" w:tplc="0809000F" w:tentative="1">
      <w:start w:val="1"/>
      <w:numFmt w:val="decimal"/>
      <w:lvlText w:val="%4."/>
      <w:lvlJc w:val="left"/>
      <w:pPr>
        <w:ind w:left="3942" w:hanging="360"/>
      </w:pPr>
    </w:lvl>
    <w:lvl w:ilvl="4" w:tplc="08090019" w:tentative="1">
      <w:start w:val="1"/>
      <w:numFmt w:val="lowerLetter"/>
      <w:lvlText w:val="%5."/>
      <w:lvlJc w:val="left"/>
      <w:pPr>
        <w:ind w:left="4662" w:hanging="360"/>
      </w:pPr>
    </w:lvl>
    <w:lvl w:ilvl="5" w:tplc="0809001B" w:tentative="1">
      <w:start w:val="1"/>
      <w:numFmt w:val="lowerRoman"/>
      <w:lvlText w:val="%6."/>
      <w:lvlJc w:val="right"/>
      <w:pPr>
        <w:ind w:left="5382" w:hanging="180"/>
      </w:pPr>
    </w:lvl>
    <w:lvl w:ilvl="6" w:tplc="0809000F" w:tentative="1">
      <w:start w:val="1"/>
      <w:numFmt w:val="decimal"/>
      <w:lvlText w:val="%7."/>
      <w:lvlJc w:val="left"/>
      <w:pPr>
        <w:ind w:left="6102" w:hanging="360"/>
      </w:pPr>
    </w:lvl>
    <w:lvl w:ilvl="7" w:tplc="08090019" w:tentative="1">
      <w:start w:val="1"/>
      <w:numFmt w:val="lowerLetter"/>
      <w:lvlText w:val="%8."/>
      <w:lvlJc w:val="left"/>
      <w:pPr>
        <w:ind w:left="6822" w:hanging="360"/>
      </w:pPr>
    </w:lvl>
    <w:lvl w:ilvl="8" w:tplc="0809001B" w:tentative="1">
      <w:start w:val="1"/>
      <w:numFmt w:val="lowerRoman"/>
      <w:lvlText w:val="%9."/>
      <w:lvlJc w:val="right"/>
      <w:pPr>
        <w:ind w:left="7542" w:hanging="180"/>
      </w:pPr>
    </w:lvl>
  </w:abstractNum>
  <w:abstractNum w:abstractNumId="13" w15:restartNumberingAfterBreak="0">
    <w:nsid w:val="7BDF5F3E"/>
    <w:multiLevelType w:val="hybridMultilevel"/>
    <w:tmpl w:val="00BCA338"/>
    <w:lvl w:ilvl="0" w:tplc="2EAAAFCE">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29879472">
    <w:abstractNumId w:val="10"/>
  </w:num>
  <w:num w:numId="2" w16cid:durableId="1355956885">
    <w:abstractNumId w:val="2"/>
  </w:num>
  <w:num w:numId="3" w16cid:durableId="140706143">
    <w:abstractNumId w:val="8"/>
  </w:num>
  <w:num w:numId="4" w16cid:durableId="1126893786">
    <w:abstractNumId w:val="1"/>
  </w:num>
  <w:num w:numId="5" w16cid:durableId="1336691375">
    <w:abstractNumId w:val="7"/>
  </w:num>
  <w:num w:numId="6" w16cid:durableId="225148892">
    <w:abstractNumId w:val="13"/>
  </w:num>
  <w:num w:numId="7" w16cid:durableId="13919539">
    <w:abstractNumId w:val="4"/>
  </w:num>
  <w:num w:numId="8" w16cid:durableId="1631399693">
    <w:abstractNumId w:val="9"/>
  </w:num>
  <w:num w:numId="9" w16cid:durableId="610938634">
    <w:abstractNumId w:val="3"/>
  </w:num>
  <w:num w:numId="10" w16cid:durableId="574783087">
    <w:abstractNumId w:val="12"/>
  </w:num>
  <w:num w:numId="11" w16cid:durableId="1666860236">
    <w:abstractNumId w:val="11"/>
  </w:num>
  <w:num w:numId="12" w16cid:durableId="2088765332">
    <w:abstractNumId w:val="0"/>
  </w:num>
  <w:num w:numId="13" w16cid:durableId="184172028">
    <w:abstractNumId w:val="5"/>
  </w:num>
  <w:num w:numId="14" w16cid:durableId="2140682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pt-BR" w:vendorID="64" w:dllVersion="4096"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21"/>
    <w:rsid w:val="00001C42"/>
    <w:rsid w:val="000023D0"/>
    <w:rsid w:val="0000374E"/>
    <w:rsid w:val="00006A47"/>
    <w:rsid w:val="00006D57"/>
    <w:rsid w:val="00007A09"/>
    <w:rsid w:val="00010CB5"/>
    <w:rsid w:val="00010EC8"/>
    <w:rsid w:val="000151A2"/>
    <w:rsid w:val="00016419"/>
    <w:rsid w:val="00016B38"/>
    <w:rsid w:val="00016C0F"/>
    <w:rsid w:val="00017EB8"/>
    <w:rsid w:val="00022AFB"/>
    <w:rsid w:val="000242E3"/>
    <w:rsid w:val="0002785E"/>
    <w:rsid w:val="00032E4D"/>
    <w:rsid w:val="00033AC0"/>
    <w:rsid w:val="00033BEC"/>
    <w:rsid w:val="0003417D"/>
    <w:rsid w:val="000343DE"/>
    <w:rsid w:val="00034D8C"/>
    <w:rsid w:val="00036C89"/>
    <w:rsid w:val="000375E5"/>
    <w:rsid w:val="000376AE"/>
    <w:rsid w:val="00040607"/>
    <w:rsid w:val="00043CEC"/>
    <w:rsid w:val="000441FA"/>
    <w:rsid w:val="000449C4"/>
    <w:rsid w:val="000471DE"/>
    <w:rsid w:val="00047481"/>
    <w:rsid w:val="00047CE0"/>
    <w:rsid w:val="00051232"/>
    <w:rsid w:val="00051CB3"/>
    <w:rsid w:val="00054E5B"/>
    <w:rsid w:val="00055E7C"/>
    <w:rsid w:val="000563EA"/>
    <w:rsid w:val="00056B63"/>
    <w:rsid w:val="00057732"/>
    <w:rsid w:val="0006100C"/>
    <w:rsid w:val="000618B0"/>
    <w:rsid w:val="00061EBD"/>
    <w:rsid w:val="00062C3F"/>
    <w:rsid w:val="00064E50"/>
    <w:rsid w:val="0006503F"/>
    <w:rsid w:val="00065B7F"/>
    <w:rsid w:val="00066480"/>
    <w:rsid w:val="000664E1"/>
    <w:rsid w:val="000710F3"/>
    <w:rsid w:val="000712D0"/>
    <w:rsid w:val="000740B5"/>
    <w:rsid w:val="00075147"/>
    <w:rsid w:val="00081236"/>
    <w:rsid w:val="000812E8"/>
    <w:rsid w:val="00083BEF"/>
    <w:rsid w:val="00083C84"/>
    <w:rsid w:val="000855FD"/>
    <w:rsid w:val="00085D9F"/>
    <w:rsid w:val="0008622F"/>
    <w:rsid w:val="000863A0"/>
    <w:rsid w:val="00087550"/>
    <w:rsid w:val="00090157"/>
    <w:rsid w:val="000901FC"/>
    <w:rsid w:val="00091A40"/>
    <w:rsid w:val="000932BD"/>
    <w:rsid w:val="0009358F"/>
    <w:rsid w:val="0009645E"/>
    <w:rsid w:val="000A17A1"/>
    <w:rsid w:val="000A1A85"/>
    <w:rsid w:val="000A218A"/>
    <w:rsid w:val="000A4B77"/>
    <w:rsid w:val="000A5236"/>
    <w:rsid w:val="000A53C1"/>
    <w:rsid w:val="000A68B3"/>
    <w:rsid w:val="000A6967"/>
    <w:rsid w:val="000B1329"/>
    <w:rsid w:val="000B17BF"/>
    <w:rsid w:val="000B189D"/>
    <w:rsid w:val="000B2C81"/>
    <w:rsid w:val="000B2EF1"/>
    <w:rsid w:val="000B35EB"/>
    <w:rsid w:val="000B397C"/>
    <w:rsid w:val="000B3B2D"/>
    <w:rsid w:val="000B54CB"/>
    <w:rsid w:val="000B7277"/>
    <w:rsid w:val="000B7881"/>
    <w:rsid w:val="000B7E30"/>
    <w:rsid w:val="000C0C2A"/>
    <w:rsid w:val="000C15EA"/>
    <w:rsid w:val="000C232D"/>
    <w:rsid w:val="000C2B40"/>
    <w:rsid w:val="000D03C9"/>
    <w:rsid w:val="000D1520"/>
    <w:rsid w:val="000D36E3"/>
    <w:rsid w:val="000D3E0C"/>
    <w:rsid w:val="000D4D60"/>
    <w:rsid w:val="000D5252"/>
    <w:rsid w:val="000D5405"/>
    <w:rsid w:val="000D5836"/>
    <w:rsid w:val="000D5C10"/>
    <w:rsid w:val="000D67BC"/>
    <w:rsid w:val="000D6F54"/>
    <w:rsid w:val="000D7976"/>
    <w:rsid w:val="000E0884"/>
    <w:rsid w:val="000E261A"/>
    <w:rsid w:val="000E272C"/>
    <w:rsid w:val="000E4FD3"/>
    <w:rsid w:val="000E599D"/>
    <w:rsid w:val="000E5C91"/>
    <w:rsid w:val="000E7553"/>
    <w:rsid w:val="000F0197"/>
    <w:rsid w:val="000F06EC"/>
    <w:rsid w:val="000F3474"/>
    <w:rsid w:val="000F633B"/>
    <w:rsid w:val="000F6B5D"/>
    <w:rsid w:val="0010405F"/>
    <w:rsid w:val="00105E1C"/>
    <w:rsid w:val="00106D15"/>
    <w:rsid w:val="0011037E"/>
    <w:rsid w:val="00111EAA"/>
    <w:rsid w:val="001143D4"/>
    <w:rsid w:val="001147B6"/>
    <w:rsid w:val="00127719"/>
    <w:rsid w:val="00127BB0"/>
    <w:rsid w:val="00130025"/>
    <w:rsid w:val="001317EE"/>
    <w:rsid w:val="001321F6"/>
    <w:rsid w:val="00132B79"/>
    <w:rsid w:val="0013366B"/>
    <w:rsid w:val="001353CC"/>
    <w:rsid w:val="00135644"/>
    <w:rsid w:val="00137974"/>
    <w:rsid w:val="00140E5A"/>
    <w:rsid w:val="00141B6B"/>
    <w:rsid w:val="00143C9E"/>
    <w:rsid w:val="001466CB"/>
    <w:rsid w:val="00146975"/>
    <w:rsid w:val="001507EC"/>
    <w:rsid w:val="00153CEE"/>
    <w:rsid w:val="0016128B"/>
    <w:rsid w:val="00162FEB"/>
    <w:rsid w:val="0016345A"/>
    <w:rsid w:val="00164E6D"/>
    <w:rsid w:val="00167069"/>
    <w:rsid w:val="0016753E"/>
    <w:rsid w:val="001714CE"/>
    <w:rsid w:val="00171E40"/>
    <w:rsid w:val="00172E1F"/>
    <w:rsid w:val="0017434B"/>
    <w:rsid w:val="00174380"/>
    <w:rsid w:val="00174DBE"/>
    <w:rsid w:val="00177451"/>
    <w:rsid w:val="001777A2"/>
    <w:rsid w:val="001804BB"/>
    <w:rsid w:val="00180B4F"/>
    <w:rsid w:val="00183010"/>
    <w:rsid w:val="00187924"/>
    <w:rsid w:val="00187A9B"/>
    <w:rsid w:val="00191DFA"/>
    <w:rsid w:val="001930C8"/>
    <w:rsid w:val="00193B27"/>
    <w:rsid w:val="00195215"/>
    <w:rsid w:val="00195F20"/>
    <w:rsid w:val="00195F4D"/>
    <w:rsid w:val="001968C1"/>
    <w:rsid w:val="001971DC"/>
    <w:rsid w:val="0019792B"/>
    <w:rsid w:val="001A164C"/>
    <w:rsid w:val="001A1E60"/>
    <w:rsid w:val="001A41A4"/>
    <w:rsid w:val="001A542E"/>
    <w:rsid w:val="001A6B17"/>
    <w:rsid w:val="001A6B5B"/>
    <w:rsid w:val="001A7335"/>
    <w:rsid w:val="001B0FF4"/>
    <w:rsid w:val="001B2D0F"/>
    <w:rsid w:val="001B300B"/>
    <w:rsid w:val="001B330F"/>
    <w:rsid w:val="001B4366"/>
    <w:rsid w:val="001B54BC"/>
    <w:rsid w:val="001B6832"/>
    <w:rsid w:val="001C1713"/>
    <w:rsid w:val="001C1CC9"/>
    <w:rsid w:val="001C27EC"/>
    <w:rsid w:val="001C3774"/>
    <w:rsid w:val="001C37FF"/>
    <w:rsid w:val="001C430D"/>
    <w:rsid w:val="001C59AA"/>
    <w:rsid w:val="001C61D3"/>
    <w:rsid w:val="001C6435"/>
    <w:rsid w:val="001C6912"/>
    <w:rsid w:val="001C6F14"/>
    <w:rsid w:val="001C7F91"/>
    <w:rsid w:val="001D1005"/>
    <w:rsid w:val="001D18F1"/>
    <w:rsid w:val="001D278A"/>
    <w:rsid w:val="001D3E51"/>
    <w:rsid w:val="001D56CD"/>
    <w:rsid w:val="001D5728"/>
    <w:rsid w:val="001D5FE3"/>
    <w:rsid w:val="001D6E45"/>
    <w:rsid w:val="001D7277"/>
    <w:rsid w:val="001E0E99"/>
    <w:rsid w:val="001E22AA"/>
    <w:rsid w:val="001E5A53"/>
    <w:rsid w:val="001F005C"/>
    <w:rsid w:val="001F2111"/>
    <w:rsid w:val="001F3272"/>
    <w:rsid w:val="001F4F98"/>
    <w:rsid w:val="001F7B6E"/>
    <w:rsid w:val="001F7E90"/>
    <w:rsid w:val="002004BC"/>
    <w:rsid w:val="00201AFF"/>
    <w:rsid w:val="00203324"/>
    <w:rsid w:val="00203360"/>
    <w:rsid w:val="00206ACE"/>
    <w:rsid w:val="00207F15"/>
    <w:rsid w:val="00210703"/>
    <w:rsid w:val="002114C5"/>
    <w:rsid w:val="00211529"/>
    <w:rsid w:val="002115FC"/>
    <w:rsid w:val="00213CC0"/>
    <w:rsid w:val="00215762"/>
    <w:rsid w:val="00216128"/>
    <w:rsid w:val="002167FF"/>
    <w:rsid w:val="00216F01"/>
    <w:rsid w:val="0021716C"/>
    <w:rsid w:val="0021735B"/>
    <w:rsid w:val="0021763E"/>
    <w:rsid w:val="00217AC5"/>
    <w:rsid w:val="00217F77"/>
    <w:rsid w:val="00221320"/>
    <w:rsid w:val="00223678"/>
    <w:rsid w:val="002324C7"/>
    <w:rsid w:val="00233310"/>
    <w:rsid w:val="0023431F"/>
    <w:rsid w:val="0023774C"/>
    <w:rsid w:val="002412A8"/>
    <w:rsid w:val="00241CA9"/>
    <w:rsid w:val="00241DBE"/>
    <w:rsid w:val="00241DDE"/>
    <w:rsid w:val="00242F79"/>
    <w:rsid w:val="00245528"/>
    <w:rsid w:val="002458E2"/>
    <w:rsid w:val="00247478"/>
    <w:rsid w:val="0024766F"/>
    <w:rsid w:val="00250C8F"/>
    <w:rsid w:val="002543FD"/>
    <w:rsid w:val="00255FEF"/>
    <w:rsid w:val="00256B74"/>
    <w:rsid w:val="00257287"/>
    <w:rsid w:val="0026029D"/>
    <w:rsid w:val="0026125B"/>
    <w:rsid w:val="0026364C"/>
    <w:rsid w:val="00263F5E"/>
    <w:rsid w:val="00265013"/>
    <w:rsid w:val="002674EF"/>
    <w:rsid w:val="00267CC0"/>
    <w:rsid w:val="00267EFB"/>
    <w:rsid w:val="00270580"/>
    <w:rsid w:val="00271943"/>
    <w:rsid w:val="00271B57"/>
    <w:rsid w:val="00271CEA"/>
    <w:rsid w:val="002739AD"/>
    <w:rsid w:val="00275F2A"/>
    <w:rsid w:val="0027727B"/>
    <w:rsid w:val="00280676"/>
    <w:rsid w:val="0028328A"/>
    <w:rsid w:val="0028391A"/>
    <w:rsid w:val="00283C7B"/>
    <w:rsid w:val="00285564"/>
    <w:rsid w:val="00285BD6"/>
    <w:rsid w:val="00287FD9"/>
    <w:rsid w:val="00290837"/>
    <w:rsid w:val="002916B2"/>
    <w:rsid w:val="00291BF7"/>
    <w:rsid w:val="00292B6E"/>
    <w:rsid w:val="00295539"/>
    <w:rsid w:val="00295B2A"/>
    <w:rsid w:val="00295E6A"/>
    <w:rsid w:val="00297872"/>
    <w:rsid w:val="00297AF9"/>
    <w:rsid w:val="002A430F"/>
    <w:rsid w:val="002A560C"/>
    <w:rsid w:val="002A6220"/>
    <w:rsid w:val="002A796D"/>
    <w:rsid w:val="002B0642"/>
    <w:rsid w:val="002B228F"/>
    <w:rsid w:val="002B2788"/>
    <w:rsid w:val="002B2BF3"/>
    <w:rsid w:val="002B4954"/>
    <w:rsid w:val="002B569B"/>
    <w:rsid w:val="002B5B1F"/>
    <w:rsid w:val="002B6232"/>
    <w:rsid w:val="002B70A4"/>
    <w:rsid w:val="002C0810"/>
    <w:rsid w:val="002C0A2D"/>
    <w:rsid w:val="002C1022"/>
    <w:rsid w:val="002C2674"/>
    <w:rsid w:val="002C31EF"/>
    <w:rsid w:val="002C323A"/>
    <w:rsid w:val="002C37A2"/>
    <w:rsid w:val="002C3B43"/>
    <w:rsid w:val="002C5E44"/>
    <w:rsid w:val="002C629F"/>
    <w:rsid w:val="002C75F2"/>
    <w:rsid w:val="002C7E97"/>
    <w:rsid w:val="002D089D"/>
    <w:rsid w:val="002D0C3A"/>
    <w:rsid w:val="002D2E70"/>
    <w:rsid w:val="002D30A7"/>
    <w:rsid w:val="002D614B"/>
    <w:rsid w:val="002D6A6C"/>
    <w:rsid w:val="002E2828"/>
    <w:rsid w:val="002E53F8"/>
    <w:rsid w:val="002F019A"/>
    <w:rsid w:val="002F26C3"/>
    <w:rsid w:val="002F4B8E"/>
    <w:rsid w:val="002F603A"/>
    <w:rsid w:val="002F6E81"/>
    <w:rsid w:val="002F7C9E"/>
    <w:rsid w:val="00301DF6"/>
    <w:rsid w:val="00302BCB"/>
    <w:rsid w:val="003069A3"/>
    <w:rsid w:val="00310195"/>
    <w:rsid w:val="00310A27"/>
    <w:rsid w:val="0031102D"/>
    <w:rsid w:val="00311511"/>
    <w:rsid w:val="00315100"/>
    <w:rsid w:val="003153BF"/>
    <w:rsid w:val="003154DE"/>
    <w:rsid w:val="00315CC9"/>
    <w:rsid w:val="00315F24"/>
    <w:rsid w:val="003163B4"/>
    <w:rsid w:val="003178A0"/>
    <w:rsid w:val="00320522"/>
    <w:rsid w:val="003207E1"/>
    <w:rsid w:val="00321182"/>
    <w:rsid w:val="003240E2"/>
    <w:rsid w:val="00327DE3"/>
    <w:rsid w:val="00330B9E"/>
    <w:rsid w:val="00330D32"/>
    <w:rsid w:val="003310FE"/>
    <w:rsid w:val="00331E83"/>
    <w:rsid w:val="00333C0C"/>
    <w:rsid w:val="00334D5D"/>
    <w:rsid w:val="003354FC"/>
    <w:rsid w:val="00337FEA"/>
    <w:rsid w:val="00340D37"/>
    <w:rsid w:val="00341718"/>
    <w:rsid w:val="00343D7F"/>
    <w:rsid w:val="003442D4"/>
    <w:rsid w:val="003454EA"/>
    <w:rsid w:val="00346BFC"/>
    <w:rsid w:val="003504FF"/>
    <w:rsid w:val="00352835"/>
    <w:rsid w:val="00352DF8"/>
    <w:rsid w:val="00354F24"/>
    <w:rsid w:val="003556C9"/>
    <w:rsid w:val="00355841"/>
    <w:rsid w:val="00360A7B"/>
    <w:rsid w:val="003614DA"/>
    <w:rsid w:val="003617DF"/>
    <w:rsid w:val="0036342B"/>
    <w:rsid w:val="00363CCE"/>
    <w:rsid w:val="00364BD1"/>
    <w:rsid w:val="00365322"/>
    <w:rsid w:val="003656D8"/>
    <w:rsid w:val="00366544"/>
    <w:rsid w:val="00367954"/>
    <w:rsid w:val="00367EA1"/>
    <w:rsid w:val="003727AC"/>
    <w:rsid w:val="00374573"/>
    <w:rsid w:val="003745D7"/>
    <w:rsid w:val="003770A6"/>
    <w:rsid w:val="00382877"/>
    <w:rsid w:val="00382D77"/>
    <w:rsid w:val="00383732"/>
    <w:rsid w:val="00383AD5"/>
    <w:rsid w:val="00383FE0"/>
    <w:rsid w:val="003842DC"/>
    <w:rsid w:val="0038457D"/>
    <w:rsid w:val="00384E19"/>
    <w:rsid w:val="00385929"/>
    <w:rsid w:val="00385E98"/>
    <w:rsid w:val="00386E9A"/>
    <w:rsid w:val="003876EB"/>
    <w:rsid w:val="003909AA"/>
    <w:rsid w:val="00390D10"/>
    <w:rsid w:val="00392BAC"/>
    <w:rsid w:val="00392DA1"/>
    <w:rsid w:val="003938F9"/>
    <w:rsid w:val="00393C3C"/>
    <w:rsid w:val="00394BCB"/>
    <w:rsid w:val="00395AEB"/>
    <w:rsid w:val="003A0215"/>
    <w:rsid w:val="003A2340"/>
    <w:rsid w:val="003A5D95"/>
    <w:rsid w:val="003A6DD2"/>
    <w:rsid w:val="003A7C30"/>
    <w:rsid w:val="003B035B"/>
    <w:rsid w:val="003B0723"/>
    <w:rsid w:val="003B0D8A"/>
    <w:rsid w:val="003B1B75"/>
    <w:rsid w:val="003B6399"/>
    <w:rsid w:val="003B7460"/>
    <w:rsid w:val="003C0CF2"/>
    <w:rsid w:val="003C1F53"/>
    <w:rsid w:val="003C4019"/>
    <w:rsid w:val="003C4BD7"/>
    <w:rsid w:val="003C51FA"/>
    <w:rsid w:val="003C546B"/>
    <w:rsid w:val="003C65EF"/>
    <w:rsid w:val="003C708F"/>
    <w:rsid w:val="003D39F9"/>
    <w:rsid w:val="003D4914"/>
    <w:rsid w:val="003D66D7"/>
    <w:rsid w:val="003E0042"/>
    <w:rsid w:val="003E0700"/>
    <w:rsid w:val="003E089C"/>
    <w:rsid w:val="003E1D4D"/>
    <w:rsid w:val="003E2989"/>
    <w:rsid w:val="003E35AA"/>
    <w:rsid w:val="003E3662"/>
    <w:rsid w:val="003E3E2B"/>
    <w:rsid w:val="003E4239"/>
    <w:rsid w:val="003E5251"/>
    <w:rsid w:val="003E5F6A"/>
    <w:rsid w:val="003E788B"/>
    <w:rsid w:val="003F1B7D"/>
    <w:rsid w:val="003F34E5"/>
    <w:rsid w:val="003F7A4F"/>
    <w:rsid w:val="004001AA"/>
    <w:rsid w:val="0040033D"/>
    <w:rsid w:val="00404D9A"/>
    <w:rsid w:val="00405495"/>
    <w:rsid w:val="0040721C"/>
    <w:rsid w:val="0041007A"/>
    <w:rsid w:val="00410330"/>
    <w:rsid w:val="004113B6"/>
    <w:rsid w:val="00411582"/>
    <w:rsid w:val="0041311B"/>
    <w:rsid w:val="0041550E"/>
    <w:rsid w:val="00415F26"/>
    <w:rsid w:val="00421943"/>
    <w:rsid w:val="0042310B"/>
    <w:rsid w:val="00423B51"/>
    <w:rsid w:val="00423C02"/>
    <w:rsid w:val="004246EA"/>
    <w:rsid w:val="00424BEE"/>
    <w:rsid w:val="00424F1F"/>
    <w:rsid w:val="004250A3"/>
    <w:rsid w:val="00425663"/>
    <w:rsid w:val="00425FC6"/>
    <w:rsid w:val="00426480"/>
    <w:rsid w:val="00426B49"/>
    <w:rsid w:val="0042753C"/>
    <w:rsid w:val="00430E4E"/>
    <w:rsid w:val="00431151"/>
    <w:rsid w:val="00431703"/>
    <w:rsid w:val="00434213"/>
    <w:rsid w:val="004372A1"/>
    <w:rsid w:val="00443600"/>
    <w:rsid w:val="00444A0F"/>
    <w:rsid w:val="00445887"/>
    <w:rsid w:val="0044741B"/>
    <w:rsid w:val="00451450"/>
    <w:rsid w:val="0045340B"/>
    <w:rsid w:val="0045374A"/>
    <w:rsid w:val="00454541"/>
    <w:rsid w:val="00455587"/>
    <w:rsid w:val="004555A2"/>
    <w:rsid w:val="00456F4B"/>
    <w:rsid w:val="0046378F"/>
    <w:rsid w:val="00466323"/>
    <w:rsid w:val="00470C72"/>
    <w:rsid w:val="004721A3"/>
    <w:rsid w:val="0047425B"/>
    <w:rsid w:val="00474ABC"/>
    <w:rsid w:val="00474B60"/>
    <w:rsid w:val="00477F12"/>
    <w:rsid w:val="00481F2E"/>
    <w:rsid w:val="00482259"/>
    <w:rsid w:val="004826C9"/>
    <w:rsid w:val="0048289A"/>
    <w:rsid w:val="0048799B"/>
    <w:rsid w:val="00487B76"/>
    <w:rsid w:val="004917CA"/>
    <w:rsid w:val="004946D5"/>
    <w:rsid w:val="00494B70"/>
    <w:rsid w:val="004950D0"/>
    <w:rsid w:val="00496E6D"/>
    <w:rsid w:val="004975E9"/>
    <w:rsid w:val="004A14F5"/>
    <w:rsid w:val="004A16FB"/>
    <w:rsid w:val="004A262E"/>
    <w:rsid w:val="004A3B6C"/>
    <w:rsid w:val="004A3B9F"/>
    <w:rsid w:val="004A56D7"/>
    <w:rsid w:val="004A5A5D"/>
    <w:rsid w:val="004A7D8B"/>
    <w:rsid w:val="004A7EE3"/>
    <w:rsid w:val="004A7FE7"/>
    <w:rsid w:val="004B039F"/>
    <w:rsid w:val="004B123F"/>
    <w:rsid w:val="004B3D9F"/>
    <w:rsid w:val="004B486A"/>
    <w:rsid w:val="004B6799"/>
    <w:rsid w:val="004B6825"/>
    <w:rsid w:val="004B701A"/>
    <w:rsid w:val="004B7967"/>
    <w:rsid w:val="004C0BF0"/>
    <w:rsid w:val="004C2F40"/>
    <w:rsid w:val="004D0C5B"/>
    <w:rsid w:val="004D3985"/>
    <w:rsid w:val="004D408C"/>
    <w:rsid w:val="004D5EA3"/>
    <w:rsid w:val="004E0557"/>
    <w:rsid w:val="004E4106"/>
    <w:rsid w:val="004E4C85"/>
    <w:rsid w:val="004E54A6"/>
    <w:rsid w:val="004E5DE0"/>
    <w:rsid w:val="004F0569"/>
    <w:rsid w:val="004F2344"/>
    <w:rsid w:val="004F2409"/>
    <w:rsid w:val="004F35C9"/>
    <w:rsid w:val="004F4F14"/>
    <w:rsid w:val="004F5238"/>
    <w:rsid w:val="004F601F"/>
    <w:rsid w:val="00501D52"/>
    <w:rsid w:val="0050764A"/>
    <w:rsid w:val="0050788E"/>
    <w:rsid w:val="00510F45"/>
    <w:rsid w:val="00511A16"/>
    <w:rsid w:val="00512145"/>
    <w:rsid w:val="00512D92"/>
    <w:rsid w:val="00514152"/>
    <w:rsid w:val="005143B9"/>
    <w:rsid w:val="00515AAB"/>
    <w:rsid w:val="00516230"/>
    <w:rsid w:val="005170ED"/>
    <w:rsid w:val="00521D07"/>
    <w:rsid w:val="00521E6C"/>
    <w:rsid w:val="00522356"/>
    <w:rsid w:val="005226D6"/>
    <w:rsid w:val="005246E8"/>
    <w:rsid w:val="00525053"/>
    <w:rsid w:val="00526014"/>
    <w:rsid w:val="00527644"/>
    <w:rsid w:val="00530AE3"/>
    <w:rsid w:val="005346DB"/>
    <w:rsid w:val="005366FF"/>
    <w:rsid w:val="00536BAC"/>
    <w:rsid w:val="005370B1"/>
    <w:rsid w:val="00542461"/>
    <w:rsid w:val="0054298F"/>
    <w:rsid w:val="005429A1"/>
    <w:rsid w:val="00546833"/>
    <w:rsid w:val="00550C37"/>
    <w:rsid w:val="0055316F"/>
    <w:rsid w:val="00553483"/>
    <w:rsid w:val="005553B3"/>
    <w:rsid w:val="00556F0B"/>
    <w:rsid w:val="00560C90"/>
    <w:rsid w:val="00561AD4"/>
    <w:rsid w:val="00561EE2"/>
    <w:rsid w:val="00561F1D"/>
    <w:rsid w:val="0056361C"/>
    <w:rsid w:val="005669E6"/>
    <w:rsid w:val="00566DEA"/>
    <w:rsid w:val="00567406"/>
    <w:rsid w:val="005677E9"/>
    <w:rsid w:val="00567A73"/>
    <w:rsid w:val="005706B9"/>
    <w:rsid w:val="00570B82"/>
    <w:rsid w:val="00573601"/>
    <w:rsid w:val="005736D9"/>
    <w:rsid w:val="0057628E"/>
    <w:rsid w:val="005804D1"/>
    <w:rsid w:val="00580999"/>
    <w:rsid w:val="005813F8"/>
    <w:rsid w:val="00582A2B"/>
    <w:rsid w:val="00582CC5"/>
    <w:rsid w:val="0058383E"/>
    <w:rsid w:val="00586D97"/>
    <w:rsid w:val="00587313"/>
    <w:rsid w:val="00591BB1"/>
    <w:rsid w:val="00593E44"/>
    <w:rsid w:val="00593E74"/>
    <w:rsid w:val="0059494F"/>
    <w:rsid w:val="00597701"/>
    <w:rsid w:val="005A09BF"/>
    <w:rsid w:val="005A2BCC"/>
    <w:rsid w:val="005A2C52"/>
    <w:rsid w:val="005A3263"/>
    <w:rsid w:val="005A50DD"/>
    <w:rsid w:val="005B466B"/>
    <w:rsid w:val="005B496E"/>
    <w:rsid w:val="005B5E44"/>
    <w:rsid w:val="005B5FA9"/>
    <w:rsid w:val="005B660C"/>
    <w:rsid w:val="005C131D"/>
    <w:rsid w:val="005C4A1E"/>
    <w:rsid w:val="005D0066"/>
    <w:rsid w:val="005D0C3F"/>
    <w:rsid w:val="005D3FB6"/>
    <w:rsid w:val="005D5BC9"/>
    <w:rsid w:val="005D5FF9"/>
    <w:rsid w:val="005D7353"/>
    <w:rsid w:val="005E0683"/>
    <w:rsid w:val="005E1F84"/>
    <w:rsid w:val="005E38D2"/>
    <w:rsid w:val="005E4AFE"/>
    <w:rsid w:val="005E69BE"/>
    <w:rsid w:val="005E6C66"/>
    <w:rsid w:val="005F08CC"/>
    <w:rsid w:val="005F0F4C"/>
    <w:rsid w:val="005F0FD6"/>
    <w:rsid w:val="005F179D"/>
    <w:rsid w:val="005F21B0"/>
    <w:rsid w:val="005F3B43"/>
    <w:rsid w:val="005F5046"/>
    <w:rsid w:val="005F6475"/>
    <w:rsid w:val="005F7B00"/>
    <w:rsid w:val="00601EBB"/>
    <w:rsid w:val="00603FB9"/>
    <w:rsid w:val="00604D03"/>
    <w:rsid w:val="0060532B"/>
    <w:rsid w:val="00605874"/>
    <w:rsid w:val="00605B03"/>
    <w:rsid w:val="006100A4"/>
    <w:rsid w:val="0061015D"/>
    <w:rsid w:val="00610DBB"/>
    <w:rsid w:val="006121A4"/>
    <w:rsid w:val="00612380"/>
    <w:rsid w:val="00613338"/>
    <w:rsid w:val="00614C83"/>
    <w:rsid w:val="00614FFE"/>
    <w:rsid w:val="006163FB"/>
    <w:rsid w:val="006171A5"/>
    <w:rsid w:val="00620023"/>
    <w:rsid w:val="00620E87"/>
    <w:rsid w:val="00621BD7"/>
    <w:rsid w:val="00621C54"/>
    <w:rsid w:val="006225D7"/>
    <w:rsid w:val="0063328A"/>
    <w:rsid w:val="00633CC9"/>
    <w:rsid w:val="00634DA4"/>
    <w:rsid w:val="00635BA0"/>
    <w:rsid w:val="00635D11"/>
    <w:rsid w:val="006362A1"/>
    <w:rsid w:val="006378DE"/>
    <w:rsid w:val="006408CE"/>
    <w:rsid w:val="00641A84"/>
    <w:rsid w:val="006459D1"/>
    <w:rsid w:val="00645A3E"/>
    <w:rsid w:val="00646413"/>
    <w:rsid w:val="00646479"/>
    <w:rsid w:val="00650FD5"/>
    <w:rsid w:val="006515CE"/>
    <w:rsid w:val="00651A19"/>
    <w:rsid w:val="00653A6C"/>
    <w:rsid w:val="006550EE"/>
    <w:rsid w:val="00655460"/>
    <w:rsid w:val="00655A81"/>
    <w:rsid w:val="00656891"/>
    <w:rsid w:val="00656A5C"/>
    <w:rsid w:val="00656E40"/>
    <w:rsid w:val="00656EB5"/>
    <w:rsid w:val="006621E0"/>
    <w:rsid w:val="0066247F"/>
    <w:rsid w:val="006647D3"/>
    <w:rsid w:val="00664E0D"/>
    <w:rsid w:val="006708B1"/>
    <w:rsid w:val="006710E2"/>
    <w:rsid w:val="00672398"/>
    <w:rsid w:val="0067267A"/>
    <w:rsid w:val="006756FF"/>
    <w:rsid w:val="006760BB"/>
    <w:rsid w:val="006776F6"/>
    <w:rsid w:val="0068046B"/>
    <w:rsid w:val="00681376"/>
    <w:rsid w:val="00682952"/>
    <w:rsid w:val="00683276"/>
    <w:rsid w:val="006834F0"/>
    <w:rsid w:val="00686128"/>
    <w:rsid w:val="00690A17"/>
    <w:rsid w:val="00691ABA"/>
    <w:rsid w:val="006921F0"/>
    <w:rsid w:val="0069221B"/>
    <w:rsid w:val="0069342A"/>
    <w:rsid w:val="0069375D"/>
    <w:rsid w:val="00693E29"/>
    <w:rsid w:val="00693F9C"/>
    <w:rsid w:val="00694650"/>
    <w:rsid w:val="00694AE4"/>
    <w:rsid w:val="006A101E"/>
    <w:rsid w:val="006A2B37"/>
    <w:rsid w:val="006A2FF8"/>
    <w:rsid w:val="006A3859"/>
    <w:rsid w:val="006A4B2C"/>
    <w:rsid w:val="006A4F58"/>
    <w:rsid w:val="006A628B"/>
    <w:rsid w:val="006B0B4F"/>
    <w:rsid w:val="006B2C9E"/>
    <w:rsid w:val="006B4809"/>
    <w:rsid w:val="006B4836"/>
    <w:rsid w:val="006B4A48"/>
    <w:rsid w:val="006B5FBF"/>
    <w:rsid w:val="006B6BCF"/>
    <w:rsid w:val="006B7324"/>
    <w:rsid w:val="006C1EA9"/>
    <w:rsid w:val="006C1FFD"/>
    <w:rsid w:val="006C3046"/>
    <w:rsid w:val="006C3B5D"/>
    <w:rsid w:val="006C5057"/>
    <w:rsid w:val="006C55C3"/>
    <w:rsid w:val="006D1DFA"/>
    <w:rsid w:val="006D1E5A"/>
    <w:rsid w:val="006D1EA2"/>
    <w:rsid w:val="006D1F61"/>
    <w:rsid w:val="006D320C"/>
    <w:rsid w:val="006D3BBD"/>
    <w:rsid w:val="006D5205"/>
    <w:rsid w:val="006E0E7D"/>
    <w:rsid w:val="006E22C1"/>
    <w:rsid w:val="006E2717"/>
    <w:rsid w:val="006E4F5A"/>
    <w:rsid w:val="006E5190"/>
    <w:rsid w:val="006E533E"/>
    <w:rsid w:val="006E5C1A"/>
    <w:rsid w:val="006E68FD"/>
    <w:rsid w:val="006F0284"/>
    <w:rsid w:val="006F2740"/>
    <w:rsid w:val="006F4902"/>
    <w:rsid w:val="006F5CA0"/>
    <w:rsid w:val="006F5FD6"/>
    <w:rsid w:val="00701F6D"/>
    <w:rsid w:val="00702443"/>
    <w:rsid w:val="00702984"/>
    <w:rsid w:val="00702DA2"/>
    <w:rsid w:val="00704AAD"/>
    <w:rsid w:val="0071127E"/>
    <w:rsid w:val="00711855"/>
    <w:rsid w:val="007133B4"/>
    <w:rsid w:val="00717C40"/>
    <w:rsid w:val="00722361"/>
    <w:rsid w:val="00722AA0"/>
    <w:rsid w:val="00723A6D"/>
    <w:rsid w:val="007244BD"/>
    <w:rsid w:val="007245EE"/>
    <w:rsid w:val="00725320"/>
    <w:rsid w:val="00725589"/>
    <w:rsid w:val="007274AB"/>
    <w:rsid w:val="00732A43"/>
    <w:rsid w:val="007343BA"/>
    <w:rsid w:val="0073478F"/>
    <w:rsid w:val="007350B0"/>
    <w:rsid w:val="00737BE3"/>
    <w:rsid w:val="00740334"/>
    <w:rsid w:val="00740F31"/>
    <w:rsid w:val="00741104"/>
    <w:rsid w:val="007411A5"/>
    <w:rsid w:val="00741795"/>
    <w:rsid w:val="0074480D"/>
    <w:rsid w:val="00744C1F"/>
    <w:rsid w:val="007459E9"/>
    <w:rsid w:val="00746231"/>
    <w:rsid w:val="00747552"/>
    <w:rsid w:val="00750705"/>
    <w:rsid w:val="00750E93"/>
    <w:rsid w:val="007526B7"/>
    <w:rsid w:val="007553FD"/>
    <w:rsid w:val="00755B2D"/>
    <w:rsid w:val="007566BF"/>
    <w:rsid w:val="0075738D"/>
    <w:rsid w:val="007576E1"/>
    <w:rsid w:val="00761A4E"/>
    <w:rsid w:val="00762087"/>
    <w:rsid w:val="00762A4A"/>
    <w:rsid w:val="00762DD0"/>
    <w:rsid w:val="007659D9"/>
    <w:rsid w:val="00767622"/>
    <w:rsid w:val="00770C7D"/>
    <w:rsid w:val="00770D5A"/>
    <w:rsid w:val="00770FC0"/>
    <w:rsid w:val="007736B2"/>
    <w:rsid w:val="0077467A"/>
    <w:rsid w:val="00775063"/>
    <w:rsid w:val="00775A67"/>
    <w:rsid w:val="00776016"/>
    <w:rsid w:val="00783F05"/>
    <w:rsid w:val="007852C7"/>
    <w:rsid w:val="00787072"/>
    <w:rsid w:val="00787DC8"/>
    <w:rsid w:val="00787DF3"/>
    <w:rsid w:val="00791667"/>
    <w:rsid w:val="007917E9"/>
    <w:rsid w:val="0079211D"/>
    <w:rsid w:val="00792FBA"/>
    <w:rsid w:val="007A02C3"/>
    <w:rsid w:val="007A2334"/>
    <w:rsid w:val="007A44CA"/>
    <w:rsid w:val="007B056A"/>
    <w:rsid w:val="007B717E"/>
    <w:rsid w:val="007B796B"/>
    <w:rsid w:val="007C0C91"/>
    <w:rsid w:val="007C2434"/>
    <w:rsid w:val="007C28E4"/>
    <w:rsid w:val="007C2D27"/>
    <w:rsid w:val="007C331C"/>
    <w:rsid w:val="007C6B5B"/>
    <w:rsid w:val="007C74AE"/>
    <w:rsid w:val="007D09AB"/>
    <w:rsid w:val="007D1939"/>
    <w:rsid w:val="007D24CD"/>
    <w:rsid w:val="007D27BE"/>
    <w:rsid w:val="007D37DC"/>
    <w:rsid w:val="007D3A15"/>
    <w:rsid w:val="007D4510"/>
    <w:rsid w:val="007D5F22"/>
    <w:rsid w:val="007D6ABB"/>
    <w:rsid w:val="007D73DF"/>
    <w:rsid w:val="007E15E1"/>
    <w:rsid w:val="007E1749"/>
    <w:rsid w:val="007E341E"/>
    <w:rsid w:val="007E3632"/>
    <w:rsid w:val="007E3D89"/>
    <w:rsid w:val="007E4907"/>
    <w:rsid w:val="007E6185"/>
    <w:rsid w:val="007E636E"/>
    <w:rsid w:val="007E6B77"/>
    <w:rsid w:val="007F2771"/>
    <w:rsid w:val="007F32B0"/>
    <w:rsid w:val="007F3CD5"/>
    <w:rsid w:val="007F3DDC"/>
    <w:rsid w:val="007F4693"/>
    <w:rsid w:val="007F4B3E"/>
    <w:rsid w:val="007F52F0"/>
    <w:rsid w:val="007F5659"/>
    <w:rsid w:val="007F6575"/>
    <w:rsid w:val="007F6F77"/>
    <w:rsid w:val="00802864"/>
    <w:rsid w:val="008036CB"/>
    <w:rsid w:val="00804D73"/>
    <w:rsid w:val="00806607"/>
    <w:rsid w:val="008106FE"/>
    <w:rsid w:val="008136C9"/>
    <w:rsid w:val="008140A2"/>
    <w:rsid w:val="00815158"/>
    <w:rsid w:val="00815FCA"/>
    <w:rsid w:val="008174C6"/>
    <w:rsid w:val="008177B8"/>
    <w:rsid w:val="00817A65"/>
    <w:rsid w:val="008200AE"/>
    <w:rsid w:val="0082430B"/>
    <w:rsid w:val="0082530D"/>
    <w:rsid w:val="008253F7"/>
    <w:rsid w:val="00830956"/>
    <w:rsid w:val="008313C4"/>
    <w:rsid w:val="0083178D"/>
    <w:rsid w:val="00832048"/>
    <w:rsid w:val="00834714"/>
    <w:rsid w:val="0083501C"/>
    <w:rsid w:val="00835DB4"/>
    <w:rsid w:val="00837474"/>
    <w:rsid w:val="00837A4B"/>
    <w:rsid w:val="00842D6E"/>
    <w:rsid w:val="00844EA8"/>
    <w:rsid w:val="008453EA"/>
    <w:rsid w:val="00847437"/>
    <w:rsid w:val="008508B9"/>
    <w:rsid w:val="00850E19"/>
    <w:rsid w:val="0085127C"/>
    <w:rsid w:val="00851CAB"/>
    <w:rsid w:val="00852BDA"/>
    <w:rsid w:val="008532DE"/>
    <w:rsid w:val="00854F08"/>
    <w:rsid w:val="00855692"/>
    <w:rsid w:val="00855B7C"/>
    <w:rsid w:val="008565B6"/>
    <w:rsid w:val="008604BF"/>
    <w:rsid w:val="00860B52"/>
    <w:rsid w:val="00861FDD"/>
    <w:rsid w:val="00863950"/>
    <w:rsid w:val="00863ABB"/>
    <w:rsid w:val="00864889"/>
    <w:rsid w:val="00864AC3"/>
    <w:rsid w:val="00865F9D"/>
    <w:rsid w:val="00867093"/>
    <w:rsid w:val="00867BC0"/>
    <w:rsid w:val="00870FA3"/>
    <w:rsid w:val="00875510"/>
    <w:rsid w:val="00875ED5"/>
    <w:rsid w:val="008773C2"/>
    <w:rsid w:val="00882143"/>
    <w:rsid w:val="00882A89"/>
    <w:rsid w:val="00884867"/>
    <w:rsid w:val="00884E5A"/>
    <w:rsid w:val="0088548B"/>
    <w:rsid w:val="00886B42"/>
    <w:rsid w:val="0089122A"/>
    <w:rsid w:val="00893C77"/>
    <w:rsid w:val="00893DA8"/>
    <w:rsid w:val="008941B0"/>
    <w:rsid w:val="008946AE"/>
    <w:rsid w:val="00894D21"/>
    <w:rsid w:val="00895718"/>
    <w:rsid w:val="00895E6A"/>
    <w:rsid w:val="008965F8"/>
    <w:rsid w:val="0089712B"/>
    <w:rsid w:val="008A1192"/>
    <w:rsid w:val="008A18E3"/>
    <w:rsid w:val="008A5B91"/>
    <w:rsid w:val="008A5FF4"/>
    <w:rsid w:val="008B0BD4"/>
    <w:rsid w:val="008B2C93"/>
    <w:rsid w:val="008B55B3"/>
    <w:rsid w:val="008B739F"/>
    <w:rsid w:val="008B7C8B"/>
    <w:rsid w:val="008C0127"/>
    <w:rsid w:val="008C02C7"/>
    <w:rsid w:val="008C2748"/>
    <w:rsid w:val="008C367A"/>
    <w:rsid w:val="008C3E64"/>
    <w:rsid w:val="008C4145"/>
    <w:rsid w:val="008C56F3"/>
    <w:rsid w:val="008C6E40"/>
    <w:rsid w:val="008D1AD8"/>
    <w:rsid w:val="008D1F02"/>
    <w:rsid w:val="008D2354"/>
    <w:rsid w:val="008D2414"/>
    <w:rsid w:val="008D2945"/>
    <w:rsid w:val="008D3BD3"/>
    <w:rsid w:val="008D4431"/>
    <w:rsid w:val="008D46F0"/>
    <w:rsid w:val="008D4A5D"/>
    <w:rsid w:val="008D4F81"/>
    <w:rsid w:val="008E0925"/>
    <w:rsid w:val="008E0DB2"/>
    <w:rsid w:val="008E0F60"/>
    <w:rsid w:val="008E1235"/>
    <w:rsid w:val="008E3E2C"/>
    <w:rsid w:val="008E53A9"/>
    <w:rsid w:val="008E5BA0"/>
    <w:rsid w:val="008F1465"/>
    <w:rsid w:val="008F1BEA"/>
    <w:rsid w:val="008F1E64"/>
    <w:rsid w:val="008F25BB"/>
    <w:rsid w:val="008F6CC1"/>
    <w:rsid w:val="008F78AE"/>
    <w:rsid w:val="00900D9F"/>
    <w:rsid w:val="00901434"/>
    <w:rsid w:val="00901D7C"/>
    <w:rsid w:val="0090232E"/>
    <w:rsid w:val="0090237D"/>
    <w:rsid w:val="00902B42"/>
    <w:rsid w:val="0090383E"/>
    <w:rsid w:val="00905B82"/>
    <w:rsid w:val="0090714B"/>
    <w:rsid w:val="00907276"/>
    <w:rsid w:val="00907D2B"/>
    <w:rsid w:val="009106C0"/>
    <w:rsid w:val="00910DF5"/>
    <w:rsid w:val="00911578"/>
    <w:rsid w:val="00912496"/>
    <w:rsid w:val="00912DB8"/>
    <w:rsid w:val="00913268"/>
    <w:rsid w:val="00913D34"/>
    <w:rsid w:val="00914736"/>
    <w:rsid w:val="00915F84"/>
    <w:rsid w:val="00916A1B"/>
    <w:rsid w:val="009172F1"/>
    <w:rsid w:val="00922D61"/>
    <w:rsid w:val="00925CC4"/>
    <w:rsid w:val="00925E23"/>
    <w:rsid w:val="0093308E"/>
    <w:rsid w:val="00933379"/>
    <w:rsid w:val="009333FD"/>
    <w:rsid w:val="00934356"/>
    <w:rsid w:val="00935244"/>
    <w:rsid w:val="00936C2A"/>
    <w:rsid w:val="00936E63"/>
    <w:rsid w:val="009417A7"/>
    <w:rsid w:val="009424C4"/>
    <w:rsid w:val="00942EC7"/>
    <w:rsid w:val="00947799"/>
    <w:rsid w:val="0095299A"/>
    <w:rsid w:val="0095502B"/>
    <w:rsid w:val="009569DB"/>
    <w:rsid w:val="00960214"/>
    <w:rsid w:val="009603E3"/>
    <w:rsid w:val="00960C7D"/>
    <w:rsid w:val="009700DC"/>
    <w:rsid w:val="009732D5"/>
    <w:rsid w:val="009735D9"/>
    <w:rsid w:val="009737D3"/>
    <w:rsid w:val="009738C3"/>
    <w:rsid w:val="0097390F"/>
    <w:rsid w:val="00973A15"/>
    <w:rsid w:val="00974981"/>
    <w:rsid w:val="009750DE"/>
    <w:rsid w:val="00976B15"/>
    <w:rsid w:val="00981D87"/>
    <w:rsid w:val="00983030"/>
    <w:rsid w:val="00984499"/>
    <w:rsid w:val="00985083"/>
    <w:rsid w:val="00985169"/>
    <w:rsid w:val="00985BF1"/>
    <w:rsid w:val="0098719F"/>
    <w:rsid w:val="009877B1"/>
    <w:rsid w:val="00987EF8"/>
    <w:rsid w:val="00991421"/>
    <w:rsid w:val="00991A42"/>
    <w:rsid w:val="00992009"/>
    <w:rsid w:val="00992C41"/>
    <w:rsid w:val="00995918"/>
    <w:rsid w:val="009967E4"/>
    <w:rsid w:val="009A2241"/>
    <w:rsid w:val="009A2A51"/>
    <w:rsid w:val="009A4BF2"/>
    <w:rsid w:val="009A4D6D"/>
    <w:rsid w:val="009A6357"/>
    <w:rsid w:val="009A652D"/>
    <w:rsid w:val="009A7AC4"/>
    <w:rsid w:val="009B14AD"/>
    <w:rsid w:val="009B2D30"/>
    <w:rsid w:val="009B4079"/>
    <w:rsid w:val="009B425F"/>
    <w:rsid w:val="009B55A6"/>
    <w:rsid w:val="009B6C03"/>
    <w:rsid w:val="009B71AE"/>
    <w:rsid w:val="009B7E8D"/>
    <w:rsid w:val="009C01E1"/>
    <w:rsid w:val="009C0CC6"/>
    <w:rsid w:val="009C0D96"/>
    <w:rsid w:val="009C2586"/>
    <w:rsid w:val="009C4870"/>
    <w:rsid w:val="009C5333"/>
    <w:rsid w:val="009C5854"/>
    <w:rsid w:val="009C7524"/>
    <w:rsid w:val="009C7EA1"/>
    <w:rsid w:val="009D258C"/>
    <w:rsid w:val="009D49F8"/>
    <w:rsid w:val="009D5076"/>
    <w:rsid w:val="009D7D6C"/>
    <w:rsid w:val="009E03A4"/>
    <w:rsid w:val="009E338A"/>
    <w:rsid w:val="009E66B0"/>
    <w:rsid w:val="009E6B12"/>
    <w:rsid w:val="009E6C4C"/>
    <w:rsid w:val="009F001C"/>
    <w:rsid w:val="009F0BC7"/>
    <w:rsid w:val="009F15E9"/>
    <w:rsid w:val="009F29FF"/>
    <w:rsid w:val="009F38AD"/>
    <w:rsid w:val="009F3CB8"/>
    <w:rsid w:val="009F3FF0"/>
    <w:rsid w:val="009F4B78"/>
    <w:rsid w:val="009F5102"/>
    <w:rsid w:val="009F6C90"/>
    <w:rsid w:val="009F72EC"/>
    <w:rsid w:val="00A004A4"/>
    <w:rsid w:val="00A01426"/>
    <w:rsid w:val="00A02081"/>
    <w:rsid w:val="00A03AA0"/>
    <w:rsid w:val="00A05866"/>
    <w:rsid w:val="00A05E84"/>
    <w:rsid w:val="00A0794A"/>
    <w:rsid w:val="00A100DE"/>
    <w:rsid w:val="00A11209"/>
    <w:rsid w:val="00A13400"/>
    <w:rsid w:val="00A137D3"/>
    <w:rsid w:val="00A13E7E"/>
    <w:rsid w:val="00A156E4"/>
    <w:rsid w:val="00A17C96"/>
    <w:rsid w:val="00A236F1"/>
    <w:rsid w:val="00A23C5B"/>
    <w:rsid w:val="00A241F9"/>
    <w:rsid w:val="00A26A00"/>
    <w:rsid w:val="00A2799F"/>
    <w:rsid w:val="00A30AB0"/>
    <w:rsid w:val="00A312DB"/>
    <w:rsid w:val="00A31C24"/>
    <w:rsid w:val="00A3259C"/>
    <w:rsid w:val="00A32758"/>
    <w:rsid w:val="00A34289"/>
    <w:rsid w:val="00A3439F"/>
    <w:rsid w:val="00A3551E"/>
    <w:rsid w:val="00A35867"/>
    <w:rsid w:val="00A35D9C"/>
    <w:rsid w:val="00A36064"/>
    <w:rsid w:val="00A3610D"/>
    <w:rsid w:val="00A40432"/>
    <w:rsid w:val="00A41716"/>
    <w:rsid w:val="00A449F1"/>
    <w:rsid w:val="00A47B69"/>
    <w:rsid w:val="00A5069D"/>
    <w:rsid w:val="00A517EF"/>
    <w:rsid w:val="00A518F0"/>
    <w:rsid w:val="00A51BA0"/>
    <w:rsid w:val="00A52716"/>
    <w:rsid w:val="00A52CF1"/>
    <w:rsid w:val="00A54584"/>
    <w:rsid w:val="00A6026C"/>
    <w:rsid w:val="00A6159D"/>
    <w:rsid w:val="00A621F3"/>
    <w:rsid w:val="00A6542B"/>
    <w:rsid w:val="00A706DA"/>
    <w:rsid w:val="00A708BD"/>
    <w:rsid w:val="00A71227"/>
    <w:rsid w:val="00A71E97"/>
    <w:rsid w:val="00A7245C"/>
    <w:rsid w:val="00A774EA"/>
    <w:rsid w:val="00A8095E"/>
    <w:rsid w:val="00A809AF"/>
    <w:rsid w:val="00A81A8B"/>
    <w:rsid w:val="00A83832"/>
    <w:rsid w:val="00A85696"/>
    <w:rsid w:val="00A85A60"/>
    <w:rsid w:val="00A879BD"/>
    <w:rsid w:val="00A923C2"/>
    <w:rsid w:val="00A93528"/>
    <w:rsid w:val="00A94B25"/>
    <w:rsid w:val="00A957A7"/>
    <w:rsid w:val="00AA3A90"/>
    <w:rsid w:val="00AA70BF"/>
    <w:rsid w:val="00AB1292"/>
    <w:rsid w:val="00AB1D3A"/>
    <w:rsid w:val="00AB4DB9"/>
    <w:rsid w:val="00AB4DBB"/>
    <w:rsid w:val="00AB661F"/>
    <w:rsid w:val="00AB78E8"/>
    <w:rsid w:val="00AB7BAC"/>
    <w:rsid w:val="00AC0900"/>
    <w:rsid w:val="00AC17B8"/>
    <w:rsid w:val="00AC27FE"/>
    <w:rsid w:val="00AC3A4E"/>
    <w:rsid w:val="00AC3D7D"/>
    <w:rsid w:val="00AC44EF"/>
    <w:rsid w:val="00AC51BE"/>
    <w:rsid w:val="00AC7489"/>
    <w:rsid w:val="00AC756E"/>
    <w:rsid w:val="00AC7CA6"/>
    <w:rsid w:val="00AD525E"/>
    <w:rsid w:val="00AD6945"/>
    <w:rsid w:val="00AD74F9"/>
    <w:rsid w:val="00AE012A"/>
    <w:rsid w:val="00AE05BC"/>
    <w:rsid w:val="00AE099B"/>
    <w:rsid w:val="00AE0F04"/>
    <w:rsid w:val="00AE2D0D"/>
    <w:rsid w:val="00AE3408"/>
    <w:rsid w:val="00AE3921"/>
    <w:rsid w:val="00AE418B"/>
    <w:rsid w:val="00AE53EA"/>
    <w:rsid w:val="00AE5F0A"/>
    <w:rsid w:val="00AE6A36"/>
    <w:rsid w:val="00AE72A9"/>
    <w:rsid w:val="00AF2B4E"/>
    <w:rsid w:val="00AF388D"/>
    <w:rsid w:val="00AF3A76"/>
    <w:rsid w:val="00AF3FA8"/>
    <w:rsid w:val="00AF4BA2"/>
    <w:rsid w:val="00AF57DB"/>
    <w:rsid w:val="00AF5B65"/>
    <w:rsid w:val="00AF679A"/>
    <w:rsid w:val="00B00A68"/>
    <w:rsid w:val="00B02933"/>
    <w:rsid w:val="00B038E3"/>
    <w:rsid w:val="00B045E1"/>
    <w:rsid w:val="00B05E8E"/>
    <w:rsid w:val="00B06A3F"/>
    <w:rsid w:val="00B072C9"/>
    <w:rsid w:val="00B073F1"/>
    <w:rsid w:val="00B10E42"/>
    <w:rsid w:val="00B11E4B"/>
    <w:rsid w:val="00B1257F"/>
    <w:rsid w:val="00B12DB4"/>
    <w:rsid w:val="00B13E5B"/>
    <w:rsid w:val="00B14BAA"/>
    <w:rsid w:val="00B1541F"/>
    <w:rsid w:val="00B158CA"/>
    <w:rsid w:val="00B1671B"/>
    <w:rsid w:val="00B17447"/>
    <w:rsid w:val="00B17AEC"/>
    <w:rsid w:val="00B21B46"/>
    <w:rsid w:val="00B2555B"/>
    <w:rsid w:val="00B257CF"/>
    <w:rsid w:val="00B27395"/>
    <w:rsid w:val="00B3607C"/>
    <w:rsid w:val="00B4001F"/>
    <w:rsid w:val="00B4014B"/>
    <w:rsid w:val="00B402AE"/>
    <w:rsid w:val="00B412AF"/>
    <w:rsid w:val="00B4223D"/>
    <w:rsid w:val="00B43509"/>
    <w:rsid w:val="00B471E9"/>
    <w:rsid w:val="00B471F0"/>
    <w:rsid w:val="00B47A51"/>
    <w:rsid w:val="00B53C0C"/>
    <w:rsid w:val="00B53D02"/>
    <w:rsid w:val="00B540E6"/>
    <w:rsid w:val="00B546F2"/>
    <w:rsid w:val="00B559CB"/>
    <w:rsid w:val="00B61AAB"/>
    <w:rsid w:val="00B646B7"/>
    <w:rsid w:val="00B64957"/>
    <w:rsid w:val="00B65BF3"/>
    <w:rsid w:val="00B65CBE"/>
    <w:rsid w:val="00B7017C"/>
    <w:rsid w:val="00B70952"/>
    <w:rsid w:val="00B71D7A"/>
    <w:rsid w:val="00B75A9C"/>
    <w:rsid w:val="00B81230"/>
    <w:rsid w:val="00B83134"/>
    <w:rsid w:val="00B83AA6"/>
    <w:rsid w:val="00B84BA0"/>
    <w:rsid w:val="00B85860"/>
    <w:rsid w:val="00B866B8"/>
    <w:rsid w:val="00B86933"/>
    <w:rsid w:val="00B86B93"/>
    <w:rsid w:val="00B86EDB"/>
    <w:rsid w:val="00B875DD"/>
    <w:rsid w:val="00B87749"/>
    <w:rsid w:val="00B87C1D"/>
    <w:rsid w:val="00B922AE"/>
    <w:rsid w:val="00B92A21"/>
    <w:rsid w:val="00B93FB2"/>
    <w:rsid w:val="00B95CB3"/>
    <w:rsid w:val="00BA057B"/>
    <w:rsid w:val="00BA1778"/>
    <w:rsid w:val="00BA1AB8"/>
    <w:rsid w:val="00BA265A"/>
    <w:rsid w:val="00BA6933"/>
    <w:rsid w:val="00BB01E7"/>
    <w:rsid w:val="00BB0F71"/>
    <w:rsid w:val="00BB2F26"/>
    <w:rsid w:val="00BB3EA8"/>
    <w:rsid w:val="00BB5298"/>
    <w:rsid w:val="00BC2CCA"/>
    <w:rsid w:val="00BC36C3"/>
    <w:rsid w:val="00BC4141"/>
    <w:rsid w:val="00BD2350"/>
    <w:rsid w:val="00BD34A0"/>
    <w:rsid w:val="00BD35E9"/>
    <w:rsid w:val="00BD44CA"/>
    <w:rsid w:val="00BD5AA4"/>
    <w:rsid w:val="00BE0A38"/>
    <w:rsid w:val="00BE2220"/>
    <w:rsid w:val="00BE261B"/>
    <w:rsid w:val="00BE287B"/>
    <w:rsid w:val="00BE4FD5"/>
    <w:rsid w:val="00BF0109"/>
    <w:rsid w:val="00BF0B9B"/>
    <w:rsid w:val="00BF0C7C"/>
    <w:rsid w:val="00BF26B3"/>
    <w:rsid w:val="00BF2DBF"/>
    <w:rsid w:val="00BF30C1"/>
    <w:rsid w:val="00BF3262"/>
    <w:rsid w:val="00BF32B6"/>
    <w:rsid w:val="00BF6F84"/>
    <w:rsid w:val="00C005E2"/>
    <w:rsid w:val="00C01F7A"/>
    <w:rsid w:val="00C0285B"/>
    <w:rsid w:val="00C0389C"/>
    <w:rsid w:val="00C05801"/>
    <w:rsid w:val="00C10F26"/>
    <w:rsid w:val="00C11856"/>
    <w:rsid w:val="00C119F4"/>
    <w:rsid w:val="00C1485C"/>
    <w:rsid w:val="00C14A89"/>
    <w:rsid w:val="00C20666"/>
    <w:rsid w:val="00C21E60"/>
    <w:rsid w:val="00C22E66"/>
    <w:rsid w:val="00C2582F"/>
    <w:rsid w:val="00C265B7"/>
    <w:rsid w:val="00C271F2"/>
    <w:rsid w:val="00C2757E"/>
    <w:rsid w:val="00C30511"/>
    <w:rsid w:val="00C31CC4"/>
    <w:rsid w:val="00C32901"/>
    <w:rsid w:val="00C33C8A"/>
    <w:rsid w:val="00C33D0D"/>
    <w:rsid w:val="00C35E7C"/>
    <w:rsid w:val="00C35EB3"/>
    <w:rsid w:val="00C36D61"/>
    <w:rsid w:val="00C37E46"/>
    <w:rsid w:val="00C43A6A"/>
    <w:rsid w:val="00C44125"/>
    <w:rsid w:val="00C441B7"/>
    <w:rsid w:val="00C467AE"/>
    <w:rsid w:val="00C510C2"/>
    <w:rsid w:val="00C51F82"/>
    <w:rsid w:val="00C5228D"/>
    <w:rsid w:val="00C52EEA"/>
    <w:rsid w:val="00C5339F"/>
    <w:rsid w:val="00C537EE"/>
    <w:rsid w:val="00C53E3F"/>
    <w:rsid w:val="00C541D4"/>
    <w:rsid w:val="00C55877"/>
    <w:rsid w:val="00C564CB"/>
    <w:rsid w:val="00C61684"/>
    <w:rsid w:val="00C626B5"/>
    <w:rsid w:val="00C62CA0"/>
    <w:rsid w:val="00C6300A"/>
    <w:rsid w:val="00C6558A"/>
    <w:rsid w:val="00C67BBA"/>
    <w:rsid w:val="00C67FE5"/>
    <w:rsid w:val="00C73C23"/>
    <w:rsid w:val="00C73D84"/>
    <w:rsid w:val="00C76196"/>
    <w:rsid w:val="00C76B80"/>
    <w:rsid w:val="00C80F96"/>
    <w:rsid w:val="00C827AC"/>
    <w:rsid w:val="00C85C28"/>
    <w:rsid w:val="00C861B6"/>
    <w:rsid w:val="00C91BD1"/>
    <w:rsid w:val="00C92E48"/>
    <w:rsid w:val="00C9372E"/>
    <w:rsid w:val="00C9395C"/>
    <w:rsid w:val="00C95E52"/>
    <w:rsid w:val="00C97866"/>
    <w:rsid w:val="00CA00EF"/>
    <w:rsid w:val="00CA21C9"/>
    <w:rsid w:val="00CA229B"/>
    <w:rsid w:val="00CA237A"/>
    <w:rsid w:val="00CA4097"/>
    <w:rsid w:val="00CA45A4"/>
    <w:rsid w:val="00CA566C"/>
    <w:rsid w:val="00CA5BAC"/>
    <w:rsid w:val="00CA64A5"/>
    <w:rsid w:val="00CA6827"/>
    <w:rsid w:val="00CA7186"/>
    <w:rsid w:val="00CA7E55"/>
    <w:rsid w:val="00CB0480"/>
    <w:rsid w:val="00CB06E3"/>
    <w:rsid w:val="00CB0E99"/>
    <w:rsid w:val="00CB1AD5"/>
    <w:rsid w:val="00CB1DB4"/>
    <w:rsid w:val="00CB2D72"/>
    <w:rsid w:val="00CB2E90"/>
    <w:rsid w:val="00CB699F"/>
    <w:rsid w:val="00CB6BDE"/>
    <w:rsid w:val="00CC0C65"/>
    <w:rsid w:val="00CC1B45"/>
    <w:rsid w:val="00CC2125"/>
    <w:rsid w:val="00CC2355"/>
    <w:rsid w:val="00CC3176"/>
    <w:rsid w:val="00CC47A5"/>
    <w:rsid w:val="00CC5103"/>
    <w:rsid w:val="00CC6685"/>
    <w:rsid w:val="00CC7D8E"/>
    <w:rsid w:val="00CD03B3"/>
    <w:rsid w:val="00CD0DB6"/>
    <w:rsid w:val="00CD151B"/>
    <w:rsid w:val="00CD1DF9"/>
    <w:rsid w:val="00CD2B25"/>
    <w:rsid w:val="00CD2CFA"/>
    <w:rsid w:val="00CD6CE0"/>
    <w:rsid w:val="00CE0593"/>
    <w:rsid w:val="00CE2B0A"/>
    <w:rsid w:val="00CE2B75"/>
    <w:rsid w:val="00CE4A23"/>
    <w:rsid w:val="00CE545C"/>
    <w:rsid w:val="00CE6206"/>
    <w:rsid w:val="00CE62EB"/>
    <w:rsid w:val="00CE6FEC"/>
    <w:rsid w:val="00CF7CC8"/>
    <w:rsid w:val="00D01734"/>
    <w:rsid w:val="00D0189B"/>
    <w:rsid w:val="00D036EA"/>
    <w:rsid w:val="00D03878"/>
    <w:rsid w:val="00D03D41"/>
    <w:rsid w:val="00D04DBF"/>
    <w:rsid w:val="00D0505A"/>
    <w:rsid w:val="00D05BA1"/>
    <w:rsid w:val="00D07FD9"/>
    <w:rsid w:val="00D10625"/>
    <w:rsid w:val="00D11659"/>
    <w:rsid w:val="00D128A7"/>
    <w:rsid w:val="00D133DF"/>
    <w:rsid w:val="00D13523"/>
    <w:rsid w:val="00D13EA7"/>
    <w:rsid w:val="00D14C46"/>
    <w:rsid w:val="00D15CE9"/>
    <w:rsid w:val="00D15D71"/>
    <w:rsid w:val="00D168C8"/>
    <w:rsid w:val="00D20535"/>
    <w:rsid w:val="00D20AF6"/>
    <w:rsid w:val="00D20CB9"/>
    <w:rsid w:val="00D23D65"/>
    <w:rsid w:val="00D261A4"/>
    <w:rsid w:val="00D261D8"/>
    <w:rsid w:val="00D303F3"/>
    <w:rsid w:val="00D305E4"/>
    <w:rsid w:val="00D33E1C"/>
    <w:rsid w:val="00D33FA5"/>
    <w:rsid w:val="00D36334"/>
    <w:rsid w:val="00D36EE7"/>
    <w:rsid w:val="00D40416"/>
    <w:rsid w:val="00D40EEF"/>
    <w:rsid w:val="00D41E33"/>
    <w:rsid w:val="00D44133"/>
    <w:rsid w:val="00D47A97"/>
    <w:rsid w:val="00D51A2E"/>
    <w:rsid w:val="00D51C7D"/>
    <w:rsid w:val="00D54581"/>
    <w:rsid w:val="00D55323"/>
    <w:rsid w:val="00D55F29"/>
    <w:rsid w:val="00D604B6"/>
    <w:rsid w:val="00D61EE9"/>
    <w:rsid w:val="00D6300F"/>
    <w:rsid w:val="00D64B8C"/>
    <w:rsid w:val="00D656F1"/>
    <w:rsid w:val="00D65A3D"/>
    <w:rsid w:val="00D66520"/>
    <w:rsid w:val="00D705CD"/>
    <w:rsid w:val="00D7078F"/>
    <w:rsid w:val="00D7109B"/>
    <w:rsid w:val="00D714B8"/>
    <w:rsid w:val="00D7161F"/>
    <w:rsid w:val="00D71CED"/>
    <w:rsid w:val="00D71D09"/>
    <w:rsid w:val="00D71D8F"/>
    <w:rsid w:val="00D73FCD"/>
    <w:rsid w:val="00D776A6"/>
    <w:rsid w:val="00D8005B"/>
    <w:rsid w:val="00D8022F"/>
    <w:rsid w:val="00D81559"/>
    <w:rsid w:val="00D85726"/>
    <w:rsid w:val="00D85F9A"/>
    <w:rsid w:val="00D87BFC"/>
    <w:rsid w:val="00D91040"/>
    <w:rsid w:val="00D926BE"/>
    <w:rsid w:val="00D92D5D"/>
    <w:rsid w:val="00D938F4"/>
    <w:rsid w:val="00D945EA"/>
    <w:rsid w:val="00D94695"/>
    <w:rsid w:val="00D95000"/>
    <w:rsid w:val="00D965C8"/>
    <w:rsid w:val="00D973B2"/>
    <w:rsid w:val="00DA004E"/>
    <w:rsid w:val="00DA1655"/>
    <w:rsid w:val="00DA1816"/>
    <w:rsid w:val="00DA1FC8"/>
    <w:rsid w:val="00DA49C3"/>
    <w:rsid w:val="00DA4BFE"/>
    <w:rsid w:val="00DA514B"/>
    <w:rsid w:val="00DA6111"/>
    <w:rsid w:val="00DA77ED"/>
    <w:rsid w:val="00DB0F85"/>
    <w:rsid w:val="00DB3569"/>
    <w:rsid w:val="00DB44A3"/>
    <w:rsid w:val="00DB4728"/>
    <w:rsid w:val="00DB5404"/>
    <w:rsid w:val="00DB6736"/>
    <w:rsid w:val="00DB75CD"/>
    <w:rsid w:val="00DC1C3C"/>
    <w:rsid w:val="00DC1EB2"/>
    <w:rsid w:val="00DC34E4"/>
    <w:rsid w:val="00DC4B03"/>
    <w:rsid w:val="00DC54A0"/>
    <w:rsid w:val="00DC671B"/>
    <w:rsid w:val="00DC7290"/>
    <w:rsid w:val="00DC7DF2"/>
    <w:rsid w:val="00DD02C6"/>
    <w:rsid w:val="00DD0C2E"/>
    <w:rsid w:val="00DD1865"/>
    <w:rsid w:val="00DD1952"/>
    <w:rsid w:val="00DD1A1E"/>
    <w:rsid w:val="00DD568E"/>
    <w:rsid w:val="00DD58EC"/>
    <w:rsid w:val="00DD5FD3"/>
    <w:rsid w:val="00DD7605"/>
    <w:rsid w:val="00DE0623"/>
    <w:rsid w:val="00DE3E20"/>
    <w:rsid w:val="00DE48E3"/>
    <w:rsid w:val="00DE4CC6"/>
    <w:rsid w:val="00DE7029"/>
    <w:rsid w:val="00DF0508"/>
    <w:rsid w:val="00DF2837"/>
    <w:rsid w:val="00DF40B8"/>
    <w:rsid w:val="00DF5AF4"/>
    <w:rsid w:val="00DF7659"/>
    <w:rsid w:val="00DF7E30"/>
    <w:rsid w:val="00E016B1"/>
    <w:rsid w:val="00E01DE6"/>
    <w:rsid w:val="00E03084"/>
    <w:rsid w:val="00E0346B"/>
    <w:rsid w:val="00E034B6"/>
    <w:rsid w:val="00E03881"/>
    <w:rsid w:val="00E03DDC"/>
    <w:rsid w:val="00E0696F"/>
    <w:rsid w:val="00E07444"/>
    <w:rsid w:val="00E11748"/>
    <w:rsid w:val="00E123BE"/>
    <w:rsid w:val="00E15E49"/>
    <w:rsid w:val="00E22243"/>
    <w:rsid w:val="00E226E3"/>
    <w:rsid w:val="00E2355E"/>
    <w:rsid w:val="00E246B4"/>
    <w:rsid w:val="00E25CC4"/>
    <w:rsid w:val="00E2690B"/>
    <w:rsid w:val="00E26E6D"/>
    <w:rsid w:val="00E27CE3"/>
    <w:rsid w:val="00E307CA"/>
    <w:rsid w:val="00E31203"/>
    <w:rsid w:val="00E319BA"/>
    <w:rsid w:val="00E327AE"/>
    <w:rsid w:val="00E32B73"/>
    <w:rsid w:val="00E32EFC"/>
    <w:rsid w:val="00E3357C"/>
    <w:rsid w:val="00E3398B"/>
    <w:rsid w:val="00E34265"/>
    <w:rsid w:val="00E34AEF"/>
    <w:rsid w:val="00E34BC7"/>
    <w:rsid w:val="00E351DB"/>
    <w:rsid w:val="00E36072"/>
    <w:rsid w:val="00E36FC0"/>
    <w:rsid w:val="00E41F7C"/>
    <w:rsid w:val="00E4202B"/>
    <w:rsid w:val="00E43C47"/>
    <w:rsid w:val="00E44298"/>
    <w:rsid w:val="00E4498A"/>
    <w:rsid w:val="00E45AE8"/>
    <w:rsid w:val="00E45EB3"/>
    <w:rsid w:val="00E46833"/>
    <w:rsid w:val="00E46A51"/>
    <w:rsid w:val="00E4756D"/>
    <w:rsid w:val="00E515EB"/>
    <w:rsid w:val="00E546E1"/>
    <w:rsid w:val="00E6044B"/>
    <w:rsid w:val="00E631D3"/>
    <w:rsid w:val="00E65A95"/>
    <w:rsid w:val="00E65CE8"/>
    <w:rsid w:val="00E65EFF"/>
    <w:rsid w:val="00E70863"/>
    <w:rsid w:val="00E70B53"/>
    <w:rsid w:val="00E7153C"/>
    <w:rsid w:val="00E71F7A"/>
    <w:rsid w:val="00E738AD"/>
    <w:rsid w:val="00E73C97"/>
    <w:rsid w:val="00E74491"/>
    <w:rsid w:val="00E74636"/>
    <w:rsid w:val="00E80B9C"/>
    <w:rsid w:val="00E81699"/>
    <w:rsid w:val="00E8233B"/>
    <w:rsid w:val="00E83C71"/>
    <w:rsid w:val="00E84CA7"/>
    <w:rsid w:val="00E913DE"/>
    <w:rsid w:val="00E91439"/>
    <w:rsid w:val="00E92BDD"/>
    <w:rsid w:val="00E931E1"/>
    <w:rsid w:val="00E94123"/>
    <w:rsid w:val="00E9507D"/>
    <w:rsid w:val="00E9568B"/>
    <w:rsid w:val="00EA0F1F"/>
    <w:rsid w:val="00EA2DF2"/>
    <w:rsid w:val="00EA2F7F"/>
    <w:rsid w:val="00EA52A0"/>
    <w:rsid w:val="00EB0E44"/>
    <w:rsid w:val="00EB285D"/>
    <w:rsid w:val="00EB5354"/>
    <w:rsid w:val="00EB5E76"/>
    <w:rsid w:val="00EB6FC1"/>
    <w:rsid w:val="00EB71E5"/>
    <w:rsid w:val="00EC0857"/>
    <w:rsid w:val="00EC1421"/>
    <w:rsid w:val="00EC1909"/>
    <w:rsid w:val="00ED04A4"/>
    <w:rsid w:val="00ED0A42"/>
    <w:rsid w:val="00ED3B4A"/>
    <w:rsid w:val="00ED3E2C"/>
    <w:rsid w:val="00ED5D96"/>
    <w:rsid w:val="00ED7AF9"/>
    <w:rsid w:val="00EE0A1C"/>
    <w:rsid w:val="00EE2519"/>
    <w:rsid w:val="00EE2647"/>
    <w:rsid w:val="00EE2D44"/>
    <w:rsid w:val="00EE675C"/>
    <w:rsid w:val="00EE78F5"/>
    <w:rsid w:val="00EF0837"/>
    <w:rsid w:val="00EF09AE"/>
    <w:rsid w:val="00EF09DA"/>
    <w:rsid w:val="00EF216B"/>
    <w:rsid w:val="00EF6100"/>
    <w:rsid w:val="00EF6A36"/>
    <w:rsid w:val="00EF7384"/>
    <w:rsid w:val="00EF78B6"/>
    <w:rsid w:val="00F000DD"/>
    <w:rsid w:val="00F00F49"/>
    <w:rsid w:val="00F0332F"/>
    <w:rsid w:val="00F037FA"/>
    <w:rsid w:val="00F054B0"/>
    <w:rsid w:val="00F05DDC"/>
    <w:rsid w:val="00F06135"/>
    <w:rsid w:val="00F063EC"/>
    <w:rsid w:val="00F10A86"/>
    <w:rsid w:val="00F13C61"/>
    <w:rsid w:val="00F16512"/>
    <w:rsid w:val="00F21DD1"/>
    <w:rsid w:val="00F2293F"/>
    <w:rsid w:val="00F24DCF"/>
    <w:rsid w:val="00F2619D"/>
    <w:rsid w:val="00F26FEA"/>
    <w:rsid w:val="00F31827"/>
    <w:rsid w:val="00F3474C"/>
    <w:rsid w:val="00F347B0"/>
    <w:rsid w:val="00F36BD3"/>
    <w:rsid w:val="00F36C5B"/>
    <w:rsid w:val="00F4009C"/>
    <w:rsid w:val="00F401E7"/>
    <w:rsid w:val="00F43052"/>
    <w:rsid w:val="00F47B85"/>
    <w:rsid w:val="00F50786"/>
    <w:rsid w:val="00F5089C"/>
    <w:rsid w:val="00F508C9"/>
    <w:rsid w:val="00F53DDA"/>
    <w:rsid w:val="00F54129"/>
    <w:rsid w:val="00F549F4"/>
    <w:rsid w:val="00F54F6D"/>
    <w:rsid w:val="00F55D9A"/>
    <w:rsid w:val="00F567F5"/>
    <w:rsid w:val="00F63C41"/>
    <w:rsid w:val="00F640DC"/>
    <w:rsid w:val="00F64B14"/>
    <w:rsid w:val="00F65084"/>
    <w:rsid w:val="00F65C4D"/>
    <w:rsid w:val="00F6680D"/>
    <w:rsid w:val="00F66B30"/>
    <w:rsid w:val="00F677A7"/>
    <w:rsid w:val="00F67CB6"/>
    <w:rsid w:val="00F701AB"/>
    <w:rsid w:val="00F72CCF"/>
    <w:rsid w:val="00F7462F"/>
    <w:rsid w:val="00F75ABC"/>
    <w:rsid w:val="00F80E16"/>
    <w:rsid w:val="00F8291E"/>
    <w:rsid w:val="00F85164"/>
    <w:rsid w:val="00F85BBE"/>
    <w:rsid w:val="00F8625F"/>
    <w:rsid w:val="00F868B0"/>
    <w:rsid w:val="00F901DA"/>
    <w:rsid w:val="00F92ED4"/>
    <w:rsid w:val="00F936E4"/>
    <w:rsid w:val="00F93759"/>
    <w:rsid w:val="00F93ECB"/>
    <w:rsid w:val="00FA201B"/>
    <w:rsid w:val="00FA2568"/>
    <w:rsid w:val="00FA3BE4"/>
    <w:rsid w:val="00FA600A"/>
    <w:rsid w:val="00FB03CA"/>
    <w:rsid w:val="00FB0962"/>
    <w:rsid w:val="00FB103B"/>
    <w:rsid w:val="00FB117D"/>
    <w:rsid w:val="00FB2765"/>
    <w:rsid w:val="00FB3453"/>
    <w:rsid w:val="00FB6393"/>
    <w:rsid w:val="00FC0355"/>
    <w:rsid w:val="00FC22F5"/>
    <w:rsid w:val="00FC299C"/>
    <w:rsid w:val="00FC6134"/>
    <w:rsid w:val="00FC694B"/>
    <w:rsid w:val="00FC6D2D"/>
    <w:rsid w:val="00FC7987"/>
    <w:rsid w:val="00FC7A56"/>
    <w:rsid w:val="00FC7AF7"/>
    <w:rsid w:val="00FD153C"/>
    <w:rsid w:val="00FD1778"/>
    <w:rsid w:val="00FD17D3"/>
    <w:rsid w:val="00FD196B"/>
    <w:rsid w:val="00FD20C0"/>
    <w:rsid w:val="00FD5CD0"/>
    <w:rsid w:val="00FD662A"/>
    <w:rsid w:val="00FD66E1"/>
    <w:rsid w:val="00FD7B92"/>
    <w:rsid w:val="00FE2505"/>
    <w:rsid w:val="00FE286C"/>
    <w:rsid w:val="00FE2D63"/>
    <w:rsid w:val="00FE3B66"/>
    <w:rsid w:val="00FE43D2"/>
    <w:rsid w:val="00FE444E"/>
    <w:rsid w:val="00FE541E"/>
    <w:rsid w:val="00FE553D"/>
    <w:rsid w:val="00FE7C06"/>
    <w:rsid w:val="00FF10A9"/>
    <w:rsid w:val="00FF1B56"/>
    <w:rsid w:val="00FF4B20"/>
    <w:rsid w:val="00FF69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F335"/>
  <w15:docId w15:val="{DD482E14-E968-4FD5-9257-206AC2BD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21"/>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Scriptoria bullet points,HotarirePunct1,List Paragraph 1,Bullets,List Paragraph (numbered (a)),Numbered Paragraph,Main numbered paragraph,Akapit z listą BS,Lettre d'introduction,List Paragraph11"/>
    <w:basedOn w:val="Normal"/>
    <w:link w:val="ListparagrafCaracter"/>
    <w:uiPriority w:val="34"/>
    <w:qFormat/>
    <w:rsid w:val="00B92A21"/>
    <w:pPr>
      <w:ind w:left="720"/>
      <w:contextualSpacing/>
    </w:pPr>
    <w:rPr>
      <w:rFonts w:ascii="Times New Roman" w:hAnsi="Times New Roman"/>
      <w:szCs w:val="20"/>
    </w:rPr>
  </w:style>
  <w:style w:type="paragraph" w:customStyle="1" w:styleId="Default">
    <w:name w:val="Default"/>
    <w:rsid w:val="007343B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Fontdeparagrafimplicit"/>
    <w:uiPriority w:val="99"/>
    <w:unhideWhenUsed/>
    <w:rsid w:val="00CB0E99"/>
    <w:rPr>
      <w:color w:val="0000FF" w:themeColor="hyperlink"/>
      <w:u w:val="single"/>
    </w:rPr>
  </w:style>
  <w:style w:type="character" w:customStyle="1" w:styleId="UnresolvedMention1">
    <w:name w:val="Unresolved Mention1"/>
    <w:basedOn w:val="Fontdeparagrafimplicit"/>
    <w:uiPriority w:val="99"/>
    <w:semiHidden/>
    <w:unhideWhenUsed/>
    <w:rsid w:val="00CB0E99"/>
    <w:rPr>
      <w:color w:val="605E5C"/>
      <w:shd w:val="clear" w:color="auto" w:fill="E1DFDD"/>
    </w:rPr>
  </w:style>
  <w:style w:type="character" w:styleId="Robust">
    <w:name w:val="Strong"/>
    <w:basedOn w:val="Fontdeparagrafimplicit"/>
    <w:uiPriority w:val="22"/>
    <w:qFormat/>
    <w:rsid w:val="00DF40B8"/>
    <w:rPr>
      <w:b/>
      <w:bCs/>
    </w:rPr>
  </w:style>
  <w:style w:type="paragraph" w:styleId="TextnBalon">
    <w:name w:val="Balloon Text"/>
    <w:basedOn w:val="Normal"/>
    <w:link w:val="TextnBalonCaracter"/>
    <w:uiPriority w:val="99"/>
    <w:semiHidden/>
    <w:unhideWhenUsed/>
    <w:rsid w:val="004E5DE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E5DE0"/>
    <w:rPr>
      <w:rFonts w:ascii="Segoe UI" w:eastAsia="Times New Roman" w:hAnsi="Segoe UI" w:cs="Segoe UI"/>
      <w:sz w:val="18"/>
      <w:szCs w:val="18"/>
      <w:lang w:val="ru-RU" w:eastAsia="ru-RU"/>
    </w:rPr>
  </w:style>
  <w:style w:type="paragraph" w:styleId="NormalWeb">
    <w:name w:val="Normal (Web)"/>
    <w:basedOn w:val="Normal"/>
    <w:uiPriority w:val="99"/>
    <w:unhideWhenUsed/>
    <w:rsid w:val="000B7881"/>
    <w:pPr>
      <w:spacing w:before="100" w:beforeAutospacing="1" w:after="100" w:afterAutospacing="1" w:line="240" w:lineRule="auto"/>
    </w:pPr>
    <w:rPr>
      <w:rFonts w:ascii="Times New Roman" w:hAnsi="Times New Roman"/>
      <w:sz w:val="24"/>
      <w:szCs w:val="24"/>
      <w:lang w:val="en-US" w:eastAsia="en-US"/>
    </w:rPr>
  </w:style>
  <w:style w:type="table" w:styleId="Tabelgril">
    <w:name w:val="Table Grid"/>
    <w:basedOn w:val="TabelNormal"/>
    <w:uiPriority w:val="59"/>
    <w:rsid w:val="0065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Scriptoria bullet points Caracter,HotarirePunct1 Caracter,List Paragraph 1 Caracter,Bullets Caracter,List Paragraph (numbered (a)) Caracter,Numbered Paragraph Caracter,Main numbered paragraph Caracter,Akapit z listą BS Caracter"/>
    <w:link w:val="Listparagraf"/>
    <w:uiPriority w:val="34"/>
    <w:locked/>
    <w:rsid w:val="000B3B2D"/>
    <w:rPr>
      <w:rFonts w:ascii="Times New Roman" w:eastAsia="Times New Roman" w:hAnsi="Times New Roman" w:cs="Times New Roman"/>
      <w:szCs w:val="20"/>
      <w:lang w:val="ru-RU" w:eastAsia="ru-RU"/>
    </w:rPr>
  </w:style>
  <w:style w:type="character" w:styleId="Referincomentariu">
    <w:name w:val="annotation reference"/>
    <w:basedOn w:val="Fontdeparagrafimplicit"/>
    <w:uiPriority w:val="99"/>
    <w:semiHidden/>
    <w:unhideWhenUsed/>
    <w:rsid w:val="00CC7D8E"/>
    <w:rPr>
      <w:sz w:val="16"/>
      <w:szCs w:val="16"/>
    </w:rPr>
  </w:style>
  <w:style w:type="paragraph" w:styleId="Textcomentariu">
    <w:name w:val="annotation text"/>
    <w:basedOn w:val="Normal"/>
    <w:link w:val="TextcomentariuCaracter"/>
    <w:uiPriority w:val="99"/>
    <w:unhideWhenUsed/>
    <w:rsid w:val="00CC7D8E"/>
    <w:pPr>
      <w:spacing w:line="240" w:lineRule="auto"/>
    </w:pPr>
    <w:rPr>
      <w:sz w:val="20"/>
      <w:szCs w:val="20"/>
    </w:rPr>
  </w:style>
  <w:style w:type="character" w:customStyle="1" w:styleId="TextcomentariuCaracter">
    <w:name w:val="Text comentariu Caracter"/>
    <w:basedOn w:val="Fontdeparagrafimplicit"/>
    <w:link w:val="Textcomentariu"/>
    <w:uiPriority w:val="99"/>
    <w:rsid w:val="00CC7D8E"/>
    <w:rPr>
      <w:rFonts w:ascii="Calibri" w:eastAsia="Times New Roman" w:hAnsi="Calibri" w:cs="Times New Roman"/>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CC7D8E"/>
    <w:rPr>
      <w:b/>
      <w:bCs/>
    </w:rPr>
  </w:style>
  <w:style w:type="character" w:customStyle="1" w:styleId="SubiectComentariuCaracter">
    <w:name w:val="Subiect Comentariu Caracter"/>
    <w:basedOn w:val="TextcomentariuCaracter"/>
    <w:link w:val="SubiectComentariu"/>
    <w:uiPriority w:val="99"/>
    <w:semiHidden/>
    <w:rsid w:val="00CC7D8E"/>
    <w:rPr>
      <w:rFonts w:ascii="Calibri" w:eastAsia="Times New Roman" w:hAnsi="Calibri" w:cs="Times New Roman"/>
      <w:b/>
      <w:bCs/>
      <w:sz w:val="20"/>
      <w:szCs w:val="20"/>
      <w:lang w:val="ru-RU" w:eastAsia="ru-RU"/>
    </w:rPr>
  </w:style>
  <w:style w:type="paragraph" w:styleId="Revizuire">
    <w:name w:val="Revision"/>
    <w:hidden/>
    <w:uiPriority w:val="99"/>
    <w:semiHidden/>
    <w:rsid w:val="00E65CE8"/>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3933">
      <w:bodyDiv w:val="1"/>
      <w:marLeft w:val="0"/>
      <w:marRight w:val="0"/>
      <w:marTop w:val="0"/>
      <w:marBottom w:val="0"/>
      <w:divBdr>
        <w:top w:val="none" w:sz="0" w:space="0" w:color="auto"/>
        <w:left w:val="none" w:sz="0" w:space="0" w:color="auto"/>
        <w:bottom w:val="none" w:sz="0" w:space="0" w:color="auto"/>
        <w:right w:val="none" w:sz="0" w:space="0" w:color="auto"/>
      </w:divBdr>
    </w:div>
    <w:div w:id="324867599">
      <w:bodyDiv w:val="1"/>
      <w:marLeft w:val="0"/>
      <w:marRight w:val="0"/>
      <w:marTop w:val="0"/>
      <w:marBottom w:val="0"/>
      <w:divBdr>
        <w:top w:val="none" w:sz="0" w:space="0" w:color="auto"/>
        <w:left w:val="none" w:sz="0" w:space="0" w:color="auto"/>
        <w:bottom w:val="none" w:sz="0" w:space="0" w:color="auto"/>
        <w:right w:val="none" w:sz="0" w:space="0" w:color="auto"/>
      </w:divBdr>
    </w:div>
    <w:div w:id="949314940">
      <w:bodyDiv w:val="1"/>
      <w:marLeft w:val="0"/>
      <w:marRight w:val="0"/>
      <w:marTop w:val="0"/>
      <w:marBottom w:val="0"/>
      <w:divBdr>
        <w:top w:val="none" w:sz="0" w:space="0" w:color="auto"/>
        <w:left w:val="none" w:sz="0" w:space="0" w:color="auto"/>
        <w:bottom w:val="none" w:sz="0" w:space="0" w:color="auto"/>
        <w:right w:val="none" w:sz="0" w:space="0" w:color="auto"/>
      </w:divBdr>
      <w:divsChild>
        <w:div w:id="182670808">
          <w:marLeft w:val="0"/>
          <w:marRight w:val="0"/>
          <w:marTop w:val="0"/>
          <w:marBottom w:val="0"/>
          <w:divBdr>
            <w:top w:val="none" w:sz="0" w:space="0" w:color="auto"/>
            <w:left w:val="none" w:sz="0" w:space="0" w:color="auto"/>
            <w:bottom w:val="none" w:sz="0" w:space="0" w:color="auto"/>
            <w:right w:val="none" w:sz="0" w:space="0" w:color="auto"/>
          </w:divBdr>
        </w:div>
        <w:div w:id="854726928">
          <w:marLeft w:val="0"/>
          <w:marRight w:val="0"/>
          <w:marTop w:val="0"/>
          <w:marBottom w:val="0"/>
          <w:divBdr>
            <w:top w:val="none" w:sz="0" w:space="0" w:color="auto"/>
            <w:left w:val="none" w:sz="0" w:space="0" w:color="auto"/>
            <w:bottom w:val="none" w:sz="0" w:space="0" w:color="auto"/>
            <w:right w:val="none" w:sz="0" w:space="0" w:color="auto"/>
          </w:divBdr>
        </w:div>
        <w:div w:id="1917667111">
          <w:marLeft w:val="0"/>
          <w:marRight w:val="0"/>
          <w:marTop w:val="0"/>
          <w:marBottom w:val="0"/>
          <w:divBdr>
            <w:top w:val="none" w:sz="0" w:space="0" w:color="auto"/>
            <w:left w:val="none" w:sz="0" w:space="0" w:color="auto"/>
            <w:bottom w:val="none" w:sz="0" w:space="0" w:color="auto"/>
            <w:right w:val="none" w:sz="0" w:space="0" w:color="auto"/>
          </w:divBdr>
        </w:div>
      </w:divsChild>
    </w:div>
    <w:div w:id="1345520866">
      <w:bodyDiv w:val="1"/>
      <w:marLeft w:val="0"/>
      <w:marRight w:val="0"/>
      <w:marTop w:val="0"/>
      <w:marBottom w:val="0"/>
      <w:divBdr>
        <w:top w:val="none" w:sz="0" w:space="0" w:color="auto"/>
        <w:left w:val="none" w:sz="0" w:space="0" w:color="auto"/>
        <w:bottom w:val="none" w:sz="0" w:space="0" w:color="auto"/>
        <w:right w:val="none" w:sz="0" w:space="0" w:color="auto"/>
      </w:divBdr>
    </w:div>
    <w:div w:id="1571963953">
      <w:bodyDiv w:val="1"/>
      <w:marLeft w:val="0"/>
      <w:marRight w:val="0"/>
      <w:marTop w:val="0"/>
      <w:marBottom w:val="0"/>
      <w:divBdr>
        <w:top w:val="none" w:sz="0" w:space="0" w:color="auto"/>
        <w:left w:val="none" w:sz="0" w:space="0" w:color="auto"/>
        <w:bottom w:val="none" w:sz="0" w:space="0" w:color="auto"/>
        <w:right w:val="none" w:sz="0" w:space="0" w:color="auto"/>
      </w:divBdr>
    </w:div>
    <w:div w:id="1610965993">
      <w:bodyDiv w:val="1"/>
      <w:marLeft w:val="0"/>
      <w:marRight w:val="0"/>
      <w:marTop w:val="0"/>
      <w:marBottom w:val="0"/>
      <w:divBdr>
        <w:top w:val="none" w:sz="0" w:space="0" w:color="auto"/>
        <w:left w:val="none" w:sz="0" w:space="0" w:color="auto"/>
        <w:bottom w:val="none" w:sz="0" w:space="0" w:color="auto"/>
        <w:right w:val="none" w:sz="0" w:space="0" w:color="auto"/>
      </w:divBdr>
    </w:div>
    <w:div w:id="1798453467">
      <w:bodyDiv w:val="1"/>
      <w:marLeft w:val="0"/>
      <w:marRight w:val="0"/>
      <w:marTop w:val="0"/>
      <w:marBottom w:val="0"/>
      <w:divBdr>
        <w:top w:val="none" w:sz="0" w:space="0" w:color="auto"/>
        <w:left w:val="none" w:sz="0" w:space="0" w:color="auto"/>
        <w:bottom w:val="none" w:sz="0" w:space="0" w:color="auto"/>
        <w:right w:val="none" w:sz="0" w:space="0" w:color="auto"/>
      </w:divBdr>
    </w:div>
    <w:div w:id="20979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75B8-AAB8-4173-B2B1-00E3AD2C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Pages>
  <Words>5022</Words>
  <Characters>28630</Characters>
  <Application>Microsoft Office Word</Application>
  <DocSecurity>0</DocSecurity>
  <Lines>238</Lines>
  <Paragraphs>67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Valerian Colun</cp:lastModifiedBy>
  <cp:revision>64</cp:revision>
  <cp:lastPrinted>2025-11-06T11:29:00Z</cp:lastPrinted>
  <dcterms:created xsi:type="dcterms:W3CDTF">2024-10-16T07:51:00Z</dcterms:created>
  <dcterms:modified xsi:type="dcterms:W3CDTF">2025-11-26T07:41:00Z</dcterms:modified>
</cp:coreProperties>
</file>