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5A4F" w14:textId="77777777" w:rsidR="00A92259" w:rsidRPr="00AA198C" w:rsidRDefault="00A92259" w:rsidP="00015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" w:firstLine="720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i/>
          <w:sz w:val="24"/>
          <w:szCs w:val="24"/>
          <w:lang w:val="ro-MD" w:eastAsia="ro-RO"/>
        </w:rPr>
        <w:t xml:space="preserve">Proiect </w:t>
      </w:r>
    </w:p>
    <w:p w14:paraId="0C6C1AC9" w14:textId="4A2630B9" w:rsidR="00A92259" w:rsidRPr="00AA198C" w:rsidRDefault="00A92259" w:rsidP="00015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70" w:line="240" w:lineRule="auto"/>
        <w:ind w:right="4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GUVERNUL  REPUBLICII  MOLDOVA</w:t>
      </w:r>
    </w:p>
    <w:p w14:paraId="2A4C531C" w14:textId="044AFDEF" w:rsidR="00A92259" w:rsidRPr="00AA198C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4" w:line="240" w:lineRule="auto"/>
        <w:ind w:right="5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HOTĂRÂRE nr. ____</w:t>
      </w:r>
    </w:p>
    <w:p w14:paraId="4D1D1497" w14:textId="68227BA8" w:rsidR="00A92259" w:rsidRPr="00AA198C" w:rsidRDefault="00A92259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884"/>
          <w:tab w:val="center" w:pos="6123"/>
        </w:tabs>
        <w:spacing w:after="111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din </w:t>
      </w:r>
      <w:r w:rsidR="000B7282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____  ___________________</w:t>
      </w:r>
      <w:r w:rsidR="00000E79" w:rsidRPr="00AA19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MD" w:eastAsia="ro-RO"/>
        </w:rPr>
        <w:t>202</w:t>
      </w:r>
      <w:r w:rsidR="00AF7AEA" w:rsidRPr="00AA198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MD" w:eastAsia="ro-RO"/>
        </w:rPr>
        <w:t>5</w:t>
      </w:r>
    </w:p>
    <w:p w14:paraId="6FABC044" w14:textId="77777777" w:rsidR="00A92259" w:rsidRPr="00AA198C" w:rsidRDefault="00A92259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Chișinău</w:t>
      </w:r>
    </w:p>
    <w:p w14:paraId="55FE06FC" w14:textId="77777777" w:rsidR="000157DF" w:rsidRPr="00AA198C" w:rsidRDefault="000157DF" w:rsidP="00CF64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</w:p>
    <w:p w14:paraId="0F527ED9" w14:textId="19F522BA" w:rsidR="00AF7AEA" w:rsidRPr="00AA198C" w:rsidRDefault="00AF7AEA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Pentru modificarea Hotărârii Guvernului nr.</w:t>
      </w:r>
      <w:r w:rsidR="008746B1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</w:t>
      </w: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1060/2023 </w:t>
      </w:r>
      <w:r w:rsidR="00A92259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cu privire la</w:t>
      </w:r>
    </w:p>
    <w:p w14:paraId="2AFBE19F" w14:textId="05364DC7" w:rsidR="00A92259" w:rsidRPr="00AA198C" w:rsidRDefault="00A92259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</w:t>
      </w:r>
      <w:r w:rsidRPr="00AA198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organizarea și funcționarea Instituției Publice</w:t>
      </w:r>
      <w:r w:rsidR="00AF7AEA" w:rsidRPr="00AA198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 xml:space="preserve"> </w:t>
      </w:r>
      <w:bookmarkStart w:id="0" w:name="_Hlk142328626"/>
      <w:r w:rsidR="00963FDC" w:rsidRPr="00AA198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Centrul Național pentru Energie Durabilă</w:t>
      </w:r>
      <w:bookmarkEnd w:id="0"/>
    </w:p>
    <w:p w14:paraId="0086E4E9" w14:textId="3542411E" w:rsidR="00D63359" w:rsidRPr="00AA198C" w:rsidRDefault="00D63359" w:rsidP="00AF7A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----------------------------------------------------------------------------------</w:t>
      </w:r>
    </w:p>
    <w:p w14:paraId="7B7E7934" w14:textId="267CD92E" w:rsidR="00A92259" w:rsidRPr="00AA198C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</w:p>
    <w:p w14:paraId="44761C68" w14:textId="6A5F7451" w:rsidR="00063A9E" w:rsidRPr="00AA198C" w:rsidRDefault="00A92259" w:rsidP="00F00048">
      <w:pPr>
        <w:spacing w:after="0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În temeiul art.7 lit.</w:t>
      </w:r>
      <w:r w:rsidR="005D64BA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b) și e) din Legea nr.136/2017 cu privire la Guvern (Monitorul Oficial al Republicii Moldova, 2017, nr. 252, art. 412), cu modificările ulterioare, 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art. 9 alin. (1) lit. h) din Legea nr. 139/2018 privind eficiența energetică</w:t>
      </w:r>
      <w:r w:rsidR="00623801" w:rsidRPr="00AA198C" w:rsidDel="00623801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(Monitorul Oficial al Republicii Moldova, 201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8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nr. 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309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-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320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art. 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476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), cu modificările ulterioare,</w:t>
      </w:r>
      <w:r w:rsidR="00F0004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Pr="00AA198C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D" w:eastAsia="ro-MD"/>
        </w:rPr>
        <w:t xml:space="preserve">Guvernul </w:t>
      </w:r>
    </w:p>
    <w:p w14:paraId="285AC21D" w14:textId="544A1D41" w:rsidR="00A92259" w:rsidRPr="00AA198C" w:rsidRDefault="00A92259" w:rsidP="00063A9E">
      <w:pPr>
        <w:spacing w:after="0"/>
        <w:ind w:firstLine="567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MD" w:eastAsia="ro-MD"/>
        </w:rPr>
        <w:t>HOTĂRĂȘTE:</w:t>
      </w:r>
    </w:p>
    <w:p w14:paraId="3CD59C31" w14:textId="77777777" w:rsidR="00A92259" w:rsidRPr="00AA198C" w:rsidRDefault="00A92259" w:rsidP="00A92259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54ECC256" w14:textId="67CF43A8" w:rsidR="00D63359" w:rsidRPr="00AA198C" w:rsidRDefault="00D63359" w:rsidP="008D619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Hotărârea Guvernului nr.1060/2023 cu privire la organizarea și funcționarea Instituției Publice Centrul Național pentru Energie Durabilă (Monitorul Oficial al Republicii Moldova, </w:t>
      </w:r>
      <w:r w:rsidRPr="00AA1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 w:eastAsia="ro-MD"/>
        </w:rPr>
        <w:t>2023, nr.</w:t>
      </w:r>
      <w:r w:rsidRPr="00AA198C">
        <w:rPr>
          <w:lang w:val="ro-MD"/>
        </w:rPr>
        <w:t xml:space="preserve"> </w:t>
      </w:r>
      <w:r w:rsidRPr="00AA19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MD" w:eastAsia="ro-MD"/>
        </w:rPr>
        <w:t>515-518, art.1276) se modifică după cum urmează:</w:t>
      </w:r>
    </w:p>
    <w:p w14:paraId="69D5CC7B" w14:textId="387078C4" w:rsidR="00A92259" w:rsidRPr="00AA198C" w:rsidRDefault="00D63359" w:rsidP="002514E5">
      <w:pPr>
        <w:pStyle w:val="Listparagraf"/>
        <w:numPr>
          <w:ilvl w:val="1"/>
          <w:numId w:val="28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5</w:t>
      </w:r>
      <w:r w:rsidR="009232D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numărul</w:t>
      </w:r>
      <w:r w:rsidR="009232D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„50” se substituie cu </w:t>
      </w:r>
      <w:r w:rsidR="0062380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numărul</w:t>
      </w:r>
      <w:r w:rsidR="009232D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</w:t>
      </w:r>
      <w:r w:rsidR="00B95BD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58</w:t>
      </w:r>
      <w:r w:rsidR="009232D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08669BFE" w14:textId="46508340" w:rsidR="009C7FF4" w:rsidRPr="00AA198C" w:rsidRDefault="00BF1BA2" w:rsidP="002514E5">
      <w:pPr>
        <w:pStyle w:val="Listparagraf"/>
        <w:numPr>
          <w:ilvl w:val="1"/>
          <w:numId w:val="28"/>
        </w:numPr>
        <w:tabs>
          <w:tab w:val="left" w:pos="851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a</w:t>
      </w:r>
      <w:r w:rsidR="002514E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nexa nr.1</w:t>
      </w:r>
      <w:r w:rsidR="000A4F0D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„Statutul </w:t>
      </w:r>
      <w:r w:rsidR="00065F73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Instituției</w:t>
      </w:r>
      <w:r w:rsidR="000A4F0D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Publice Centrul </w:t>
      </w:r>
      <w:r w:rsidR="00065F73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Național</w:t>
      </w:r>
      <w:r w:rsidR="000A4F0D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pentru Energie Durabilă”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,</w:t>
      </w:r>
      <w:r w:rsidR="002514E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modifică după cum urmează:</w:t>
      </w:r>
    </w:p>
    <w:p w14:paraId="50920779" w14:textId="55896460" w:rsidR="002514E5" w:rsidRPr="00AA198C" w:rsidRDefault="002514E5" w:rsidP="002514E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Punctul </w:t>
      </w:r>
      <w:r w:rsidR="000C0FE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1 va avea următorul cuprins:</w:t>
      </w:r>
    </w:p>
    <w:p w14:paraId="4EC907B8" w14:textId="7ABB5F4B" w:rsidR="000C0FE6" w:rsidRPr="00AA198C" w:rsidRDefault="000C0FE6" w:rsidP="000C0FE6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„1. Statutul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Instituției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Publice Centrul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Național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pentru Energie Durabilă (în continuare – Statut) reglementează misiunea, domeniile de activitate,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funcțiile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drepturile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Instituției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Publice Centrul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Național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pentru Energie Durabilă (în continuare – Centru), precum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organizarea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activității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finanțarea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patrimoniul acesteia,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evidența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financiară, raportarea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dezvăluirea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informației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confidențialitatea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conflictul de interese, utilizarea instrumentelor financiare, managementul proiectelor/programelor implementate de Centru.”</w:t>
      </w:r>
    </w:p>
    <w:p w14:paraId="592DE884" w14:textId="3C3F27C7" w:rsidR="000C0FE6" w:rsidRPr="00AA198C" w:rsidRDefault="000C0FE6" w:rsidP="002514E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2, cuvântul „statului” se substituie cu cuvântul „Guvernului”;</w:t>
      </w:r>
    </w:p>
    <w:p w14:paraId="37C914C7" w14:textId="32EF5096" w:rsidR="008D1941" w:rsidRPr="00AA198C" w:rsidRDefault="008D1941" w:rsidP="002514E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7, cuv</w:t>
      </w:r>
      <w:r w:rsidR="00567B3D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intele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</w:t>
      </w:r>
      <w:r w:rsidR="00D144A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de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suport” se exclud;</w:t>
      </w:r>
    </w:p>
    <w:p w14:paraId="3A57A5F5" w14:textId="0DDB794C" w:rsidR="000C0FE6" w:rsidRPr="00AA198C" w:rsidRDefault="000C0FE6" w:rsidP="002514E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8 se completează cu subpunctul 4), cu următorul cuprins:</w:t>
      </w:r>
    </w:p>
    <w:p w14:paraId="5C0EC9D2" w14:textId="71DC5CF3" w:rsidR="000C0FE6" w:rsidRPr="00AA198C" w:rsidRDefault="000C0FE6" w:rsidP="000C0FE6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„4) emiterea garanțiilor financiare”;</w:t>
      </w:r>
    </w:p>
    <w:p w14:paraId="12DD3E68" w14:textId="6834B508" w:rsidR="00AF7587" w:rsidRPr="00AA198C" w:rsidRDefault="000C0FE6" w:rsidP="002514E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</w:t>
      </w:r>
      <w:r w:rsidR="003200F2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9</w:t>
      </w:r>
      <w:r w:rsidR="00AF7587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  <w:r w:rsidR="00A4380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</w:p>
    <w:p w14:paraId="1C16CD4B" w14:textId="4B20B04C" w:rsidR="000C0FE6" w:rsidRPr="00AA198C" w:rsidRDefault="00A4380C" w:rsidP="00AF7587">
      <w:pPr>
        <w:pStyle w:val="Listparagraf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subpunctul 1)</w:t>
      </w:r>
      <w:r w:rsidR="003200F2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3BC5C06A" w14:textId="6C62AB7C" w:rsidR="000C0FE6" w:rsidRPr="00AA198C" w:rsidRDefault="00AF7587" w:rsidP="00AF7587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litera d) va avea următorul cuprins:</w:t>
      </w:r>
    </w:p>
    <w:p w14:paraId="0E9910FB" w14:textId="741BF28F" w:rsidR="00AF7587" w:rsidRPr="00AA198C" w:rsidRDefault="00AF7587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„d) acordă asistență fondatorului la elaborarea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monitorizarea aplicării Planului național integrat privind energia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clima, inclusiv prin colectarea în acest sens de informații necesare de la autoritățile administrației publice centrale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locale, precum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la participanții la piețele energetice”;</w:t>
      </w:r>
    </w:p>
    <w:p w14:paraId="28DB55A9" w14:textId="61FE650D" w:rsidR="00AF7587" w:rsidRPr="00AA198C" w:rsidRDefault="00AF7587" w:rsidP="00AF7587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se completează cu liter</w:t>
      </w:r>
      <w:r w:rsidR="00A8043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ele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</w:t>
      </w:r>
      <w:r w:rsidR="00A8043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și d</w:t>
      </w:r>
      <w:r w:rsidR="00A8043C"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2</w:t>
      </w:r>
      <w:r w:rsidR="00A8043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cu următorul cuprins:</w:t>
      </w:r>
    </w:p>
    <w:p w14:paraId="5EBA0A31" w14:textId="77777777" w:rsidR="00A8043C" w:rsidRPr="00AA198C" w:rsidRDefault="00AF7587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) acordă asistență autorităților administrației publice locale cu statut de municipiu la elaborarea planurilor locale integrate privind energia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clima</w:t>
      </w:r>
      <w:r w:rsidR="00A8043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61255B3F" w14:textId="1DFAF31C" w:rsidR="003200F2" w:rsidRPr="00AA198C" w:rsidRDefault="00A8043C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2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) </w:t>
      </w:r>
      <w:r w:rsidR="00E7237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exercită atribuțiile prevăzute la art.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E7237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8 din Legea nr.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E7237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282/2023 privind performanța energetică a clădirilor</w:t>
      </w:r>
      <w:r w:rsidR="00AF7587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7035AF12" w14:textId="1968BE68" w:rsidR="00E7237C" w:rsidRPr="00AA198C" w:rsidRDefault="00182E6C" w:rsidP="00E7237C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litera g) </w:t>
      </w:r>
      <w:r w:rsidR="00E7237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va avea următorul c</w:t>
      </w:r>
      <w:r w:rsidR="00D144A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uprins:</w:t>
      </w:r>
    </w:p>
    <w:p w14:paraId="6A7CEA60" w14:textId="547D71E0" w:rsidR="00182E6C" w:rsidRPr="00AA198C" w:rsidRDefault="00E7237C" w:rsidP="00AB34C4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</w:t>
      </w:r>
      <w:bookmarkStart w:id="1" w:name="_Hlk204342776"/>
      <w:r w:rsidR="001230B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g</w:t>
      </w:r>
      <w:r w:rsidR="008A1F7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)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creează, administrează, dezvoltă și realizează mentenanța Sistemului informațional național în domeniul eficienței energetice, în conformitate cu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lastRenderedPageBreak/>
        <w:t>Hotărârea Guvernului nr. 144/2025 cu privire la aprobarea Conceptul Sistemului informațional național în domeniul eficienței energetice</w:t>
      </w:r>
      <w:bookmarkEnd w:id="1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</w:t>
      </w:r>
      <w:r w:rsidR="00182E6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79E27180" w14:textId="1F63A4A8" w:rsidR="00182E6C" w:rsidRPr="00AA198C" w:rsidRDefault="00182E6C" w:rsidP="00AF7587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literele i) și k) se abrogă;</w:t>
      </w:r>
    </w:p>
    <w:p w14:paraId="7010E195" w14:textId="7ADD9929" w:rsidR="00182E6C" w:rsidRPr="00AA198C" w:rsidRDefault="00182E6C" w:rsidP="00AF7587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literele t)</w:t>
      </w:r>
      <w:r w:rsidR="007D4BE2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-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v) vor avea următorul cuprins:</w:t>
      </w:r>
    </w:p>
    <w:p w14:paraId="6E72392A" w14:textId="15583541" w:rsidR="00182E6C" w:rsidRPr="00AA198C" w:rsidRDefault="00182E6C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„t) încheie contracte de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performanță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energetică cu prestatorii de servicii energetice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/sau cu beneficiarii serviciilor respective în modul stabilit de Guvern;</w:t>
      </w:r>
    </w:p>
    <w:p w14:paraId="3B0860A6" w14:textId="23664046" w:rsidR="00182E6C" w:rsidRPr="00AA198C" w:rsidRDefault="00182E6C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u) contribuie la implementarea schemei de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obligații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în domeniul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eficienței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energetice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valorifică mijloacele financiare colectate în cadrul schemei de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obligații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în domeniul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eficienței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energetice, în conformitate cu prevederile art.8 din Legea nr.139/2018 cu privire la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eficiența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energetică;</w:t>
      </w:r>
    </w:p>
    <w:p w14:paraId="05B1C9C9" w14:textId="4342735A" w:rsidR="00182E6C" w:rsidRPr="00AA198C" w:rsidRDefault="00182E6C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v) promovează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distribuie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informații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cu privire la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eficiența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energetică, inclusiv prin intermediul campaniilor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programelor de informare, prin promovarea măsurilor de proiectare ecologică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etichetare a produselor cu impact energetic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asigură accesul la </w:t>
      </w:r>
      <w:r w:rsidR="001D043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informația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respectivă tuturor persoanelor interesate prin intermediul site-ului web oficial al Centrului”;</w:t>
      </w:r>
    </w:p>
    <w:p w14:paraId="0F3A29D8" w14:textId="0CE916CA" w:rsidR="00182E6C" w:rsidRPr="00AA198C" w:rsidRDefault="00D27F50" w:rsidP="00AF7587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completează cu litera z) cu următorul cuprins:</w:t>
      </w:r>
    </w:p>
    <w:p w14:paraId="7BAE864D" w14:textId="07CEDF57" w:rsidR="00D27F50" w:rsidRPr="00AA198C" w:rsidRDefault="00D27F50" w:rsidP="00AF7587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„z) exercită competențele în domeniul energiei termice și al promovării cogenerării în conformitate cu articolul 11 din Legea nr. 92/2014 cu privire la energia termică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promovarea cogenerării”;</w:t>
      </w:r>
    </w:p>
    <w:p w14:paraId="13385A6C" w14:textId="4E3BF4D0" w:rsidR="00A4380C" w:rsidRPr="00AA198C" w:rsidRDefault="00AF7587" w:rsidP="00AF7587">
      <w:pPr>
        <w:pStyle w:val="Listparagraf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A4380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subpunctul 2), se completează cu litera e</w:t>
      </w:r>
      <w:r w:rsidR="00A4380C"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="00A4380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cu următorul cuprins:</w:t>
      </w:r>
    </w:p>
    <w:p w14:paraId="04A83AA3" w14:textId="7C65CEF1" w:rsidR="00A4380C" w:rsidRPr="00AA198C" w:rsidRDefault="00A4380C" w:rsidP="00AF7587">
      <w:pPr>
        <w:pStyle w:val="Listparagraf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distribuie informații cu privire la valorificarea energiei din surse regenerabile și asigură accesul la informația respectivă tuturor persoanelor interesate prin intermediul site-ului web oficial al Centrului”;</w:t>
      </w:r>
    </w:p>
    <w:p w14:paraId="757CB1CF" w14:textId="77777777" w:rsidR="00A66AE5" w:rsidRPr="00AA198C" w:rsidRDefault="002A0609" w:rsidP="00AF7587">
      <w:pPr>
        <w:pStyle w:val="Listparagraf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B17C6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subpunctul 3)</w:t>
      </w:r>
      <w:r w:rsidR="00A66AE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392FFAF8" w14:textId="5ADB6932" w:rsidR="003D70D5" w:rsidRPr="00AA198C" w:rsidRDefault="003D70D5" w:rsidP="00A66AE5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litera a) va avea urm</w:t>
      </w:r>
      <w:r w:rsidR="002C3A6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torul cuprins:</w:t>
      </w:r>
    </w:p>
    <w:p w14:paraId="44F4FE5C" w14:textId="2EE86DF8" w:rsidR="003D70D5" w:rsidRPr="00AA198C" w:rsidRDefault="003D70D5" w:rsidP="003D70D5">
      <w:pPr>
        <w:pStyle w:val="Listparagraf"/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„a)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finanţează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cu titlu gratuit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/sau oneros, proiectele/programele în domeniul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eficienţei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energetice, valorificării surselor de energie regenerabilă, e-mobilității, inclusiv prin punerea la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dispoziţia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companiilor de servicii energetice a instrumentelor financiare disponibile”;</w:t>
      </w:r>
    </w:p>
    <w:p w14:paraId="20DADAA6" w14:textId="6C7E026D" w:rsidR="00B17C68" w:rsidRPr="00AA198C" w:rsidRDefault="00B17C68" w:rsidP="00A66AE5">
      <w:pPr>
        <w:pStyle w:val="Listparagraf"/>
        <w:numPr>
          <w:ilvl w:val="4"/>
          <w:numId w:val="28"/>
        </w:numPr>
        <w:spacing w:after="0" w:line="240" w:lineRule="auto"/>
        <w:ind w:left="269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se completează cu literele 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și 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2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cu următorul cuprins:</w:t>
      </w:r>
    </w:p>
    <w:p w14:paraId="0BF610E0" w14:textId="7A881406" w:rsidR="003D056B" w:rsidRPr="00AA198C" w:rsidRDefault="003D056B" w:rsidP="00AF7587">
      <w:pPr>
        <w:pStyle w:val="Listparagraf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) acordă granturi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ajutoare financiare pentru eficientizarea consumului de resurse energetice în calitate de stimulente financiare pentru finanțarea proiectelor în domeniul eficienței energetice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/sau valorificării surselor regenerabile de energie;</w:t>
      </w:r>
    </w:p>
    <w:p w14:paraId="4E554E17" w14:textId="6AA1ACD2" w:rsidR="003D056B" w:rsidRPr="00AA198C" w:rsidRDefault="003D056B" w:rsidP="00AF7587">
      <w:pPr>
        <w:pStyle w:val="Listparagraf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2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) emite garanții financiare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acordă compensații financiare în conformitate cu prevederile art.23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3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din Legea nr.139/2018 cu privire la eficiență energetică”;</w:t>
      </w:r>
    </w:p>
    <w:p w14:paraId="699E0CF0" w14:textId="2E5F871F" w:rsidR="003D056B" w:rsidRPr="00AA198C" w:rsidRDefault="00B17C68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la punctul 10, subpunctul 8) va avea următorul </w:t>
      </w:r>
      <w:r w:rsidR="00774F0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cuprins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08811A1A" w14:textId="5CACAAF2" w:rsidR="00B17C68" w:rsidRPr="00AA198C" w:rsidRDefault="00B17C68" w:rsidP="00B17C68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„8) să organizeze achiziții publice, inclusiv cu participare </w:t>
      </w:r>
      <w:r w:rsidR="00975EC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internațională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în conformitate cu actele normative naționale și procedurilor specifice </w:t>
      </w:r>
      <w:r w:rsidR="00975EC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organizației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975EC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internaționale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în cazul în care acest aspect este stipulat expres în acordul de </w:t>
      </w:r>
      <w:r w:rsidR="00975EC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finanțare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39FA9AEA" w14:textId="36E65B7E" w:rsidR="00B17C68" w:rsidRPr="00AA198C" w:rsidRDefault="00B17C68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11, cuvintele „martie a fiecărui an” se substituie cu cuvintele „mai a anului următor perioadei de raportare”;</w:t>
      </w:r>
    </w:p>
    <w:p w14:paraId="61D6314B" w14:textId="5FAD9D7D" w:rsidR="00A65B90" w:rsidRPr="00AA198C" w:rsidRDefault="00A65B90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16, subpunctul 3) va avea următorul c</w:t>
      </w:r>
      <w:r w:rsidR="00372BDB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uprins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639FF4BC" w14:textId="0099DF72" w:rsidR="00A65B90" w:rsidRPr="00AA198C" w:rsidRDefault="00A65B90" w:rsidP="00AA198C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„3) aprobă indicatorii-cheie anuali de </w:t>
      </w:r>
      <w:r w:rsidR="00EE6A8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performanță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valorile-</w:t>
      </w:r>
      <w:r w:rsidR="00EE6A8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țintă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ale acestora, după consultare cu Comitetul, care cuprind domeniile de activitate ale Centrului, conform modelului prevăzut în anexă. 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Lista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și valorile 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indicatorilor-cheie de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performanță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poate fi completată anual de Consiliu, în colaborare </w:t>
      </w:r>
      <w:r w:rsidR="00793677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cu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Comitetul și 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directorul, în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funcție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prioritățile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naționale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oportunitățile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dezvoltare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și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alte</w:t>
      </w:r>
      <w:r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EE6A80" w:rsidRPr="00ED2B8F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documente relevante.”</w:t>
      </w:r>
    </w:p>
    <w:p w14:paraId="60BBFC08" w14:textId="77777777" w:rsidR="00D554C9" w:rsidRPr="00AA198C" w:rsidRDefault="00C875F5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39</w:t>
      </w:r>
      <w:r w:rsidR="00D554C9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37EAC4D5" w14:textId="2DF846E6" w:rsidR="00DA1700" w:rsidRPr="00AA198C" w:rsidRDefault="00C875F5" w:rsidP="00D554C9">
      <w:pPr>
        <w:pStyle w:val="Listparagraf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subpunctul 7) </w:t>
      </w:r>
      <w:r w:rsidR="00DA170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va avea urm</w:t>
      </w:r>
      <w:r w:rsidR="00D144A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ă</w:t>
      </w:r>
      <w:r w:rsidR="00DA170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torul cuprins:</w:t>
      </w:r>
    </w:p>
    <w:p w14:paraId="15EC51B6" w14:textId="0B9C62B3" w:rsidR="002A0609" w:rsidRPr="00AA198C" w:rsidRDefault="00DA1700" w:rsidP="00AB34C4">
      <w:pPr>
        <w:pStyle w:val="Listparagraf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lastRenderedPageBreak/>
        <w:t xml:space="preserve">„7) asigură elaborarea produselor de finanțare și a manualelor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operaţionale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specifice acestora, programelor/proiectelor/mecanismelor de finanțare implementate de Centru”</w:t>
      </w:r>
      <w:r w:rsidR="00C875F5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382D5778" w14:textId="28DC4965" w:rsidR="00D554C9" w:rsidRPr="00AA198C" w:rsidRDefault="00D554C9" w:rsidP="00D554C9">
      <w:pPr>
        <w:pStyle w:val="Listparagraf"/>
        <w:numPr>
          <w:ilvl w:val="3"/>
          <w:numId w:val="28"/>
        </w:numPr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completează cu subpunctul 8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cu următorul cuprins:</w:t>
      </w:r>
    </w:p>
    <w:p w14:paraId="0CF2EB7C" w14:textId="7E23AF76" w:rsidR="00D554C9" w:rsidRPr="00AA198C" w:rsidRDefault="00D554C9" w:rsidP="00D554C9">
      <w:pPr>
        <w:pStyle w:val="Listparagraf"/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„8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aprobă p</w:t>
      </w:r>
      <w:r w:rsidR="0077535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r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oceduri/instrucțiuni interne de punere în aplicare a actelor normative</w:t>
      </w:r>
      <w:r w:rsidR="00604E34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, inclusiv interne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și a documentelor aprobate de Consiliu”;</w:t>
      </w:r>
    </w:p>
    <w:p w14:paraId="18B4C18F" w14:textId="0FD0ABBD" w:rsidR="00C875F5" w:rsidRPr="00AA198C" w:rsidRDefault="00604E34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la punctul 43, subpunctul 9), după cuvântul „politicilor”, se completează cu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textul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„produselor de finanțare, manualelor operaționale”</w:t>
      </w:r>
      <w:r w:rsidR="00C041A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7CC5E9E7" w14:textId="0DAE0CF9" w:rsidR="00C041AB" w:rsidRPr="00AA198C" w:rsidRDefault="00C041AB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la punctul 45, cuvintele „mai multe mandate”, se substituie cu </w:t>
      </w:r>
      <w:r w:rsidR="00DF5FC3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cuvintele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„cel mult două mandate</w:t>
      </w:r>
      <w:r w:rsidR="008E5B72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consecutive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706D95D9" w14:textId="69346879" w:rsidR="0093755D" w:rsidRPr="00AA198C" w:rsidRDefault="0093755D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46, cuvintele</w:t>
      </w:r>
      <w:r w:rsidRPr="00AA198C">
        <w:rPr>
          <w:rFonts w:ascii="Times New Roman" w:hAnsi="Times New Roman" w:cs="Times New Roman"/>
          <w:lang w:val="ro-MD"/>
        </w:rPr>
        <w:t xml:space="preserve"> „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doi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experți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independenți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și persoane fizice” se substituie cu </w:t>
      </w:r>
      <w:r w:rsidR="00DF5FC3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textul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„doi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experți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6B3EB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independenți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- persoane fizice”;</w:t>
      </w:r>
    </w:p>
    <w:p w14:paraId="04C8050B" w14:textId="285B1B74" w:rsidR="008E5B72" w:rsidRPr="00AA198C" w:rsidRDefault="008E5B72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51, subpunctul 3)</w:t>
      </w:r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textul</w:t>
      </w:r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științe </w:t>
      </w:r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economice, juridice sau alte științe exacte (fizică, matematică, inginerie, informatică, energetică)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’’</w:t>
      </w:r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substituie cu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textul </w:t>
      </w:r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domeniul </w:t>
      </w:r>
      <w:proofErr w:type="spellStart"/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economico</w:t>
      </w:r>
      <w:proofErr w:type="spellEnd"/>
      <w:r w:rsidR="0099660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-financiar, energetic sau juridic”;</w:t>
      </w:r>
    </w:p>
    <w:p w14:paraId="1278AFA7" w14:textId="4716113D" w:rsidR="007D5559" w:rsidRPr="00AA198C" w:rsidRDefault="005B44FF" w:rsidP="00E22896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punctul 68</w:t>
      </w:r>
      <w:r w:rsidR="007D5559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7F732E60" w14:textId="5D97CF72" w:rsidR="005B44FF" w:rsidRPr="00AA198C" w:rsidRDefault="005B44FF" w:rsidP="007D5559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bookmarkStart w:id="2" w:name="_Hlk202821180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după cuvântul „Centrului” se completează cu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textul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„și a programelor/produselor/măsurilor implementate de Centru”</w:t>
      </w:r>
      <w:bookmarkEnd w:id="2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10176FD1" w14:textId="1C65D33C" w:rsidR="00516DAB" w:rsidRPr="00AA198C" w:rsidRDefault="00D231E8" w:rsidP="007D5559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516DA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subpunctul 1), după cuvintele „schemei de obligații” se completează cu cuvintele „în domeniul eficienței energetic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</w:t>
      </w:r>
      <w:r w:rsidR="00516DA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6D8DA190" w14:textId="6E296762" w:rsidR="00D231E8" w:rsidRPr="00AA198C" w:rsidRDefault="00516DAB" w:rsidP="007D5559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D231E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subpunctul 3) va avea următorul cuprins:</w:t>
      </w:r>
    </w:p>
    <w:p w14:paraId="5726D183" w14:textId="6CD2F2AA" w:rsidR="00D231E8" w:rsidRPr="00AA198C" w:rsidRDefault="00D231E8" w:rsidP="00D231E8">
      <w:pPr>
        <w:pStyle w:val="Listparagraf"/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„3) sub formă de </w:t>
      </w:r>
      <w:r w:rsidR="00D60F9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donații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, granturi sau alte surse de asistență externă”;</w:t>
      </w:r>
    </w:p>
    <w:p w14:paraId="7E931CB2" w14:textId="3A6874B4" w:rsidR="007D5559" w:rsidRPr="00AA198C" w:rsidRDefault="007D5559" w:rsidP="007D5559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D60F9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se completează cu subpunctul 3</w:t>
      </w:r>
      <w:r w:rsidR="00D60F9C"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="00D60F9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cu următorul cuprins:</w:t>
      </w:r>
    </w:p>
    <w:p w14:paraId="653BFE7C" w14:textId="62DE04B5" w:rsidR="00D60F9C" w:rsidRPr="00AA198C" w:rsidRDefault="00D60F9C" w:rsidP="00D60F9C">
      <w:pPr>
        <w:pStyle w:val="Listparagraf"/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„3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 venituri financiare obținute ca urmare a administrării mijloacelor financiare și a finanțărilor acordate”;</w:t>
      </w:r>
    </w:p>
    <w:p w14:paraId="0256C766" w14:textId="3220AC7D" w:rsidR="00D60F9C" w:rsidRPr="00AA198C" w:rsidRDefault="00D60F9C" w:rsidP="007D5559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subpunctul 7), după cuvintele „ale beneficiarilor în cadrul” se completează cu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textul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„programelor de finanțare, precum și a”;</w:t>
      </w:r>
    </w:p>
    <w:p w14:paraId="6D49D74D" w14:textId="11982F46" w:rsidR="005B44FF" w:rsidRPr="00AA198C" w:rsidRDefault="007D5559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se completează cu punctul 68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="00516DA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)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cu următorul cuprins:</w:t>
      </w:r>
    </w:p>
    <w:p w14:paraId="757CA7A4" w14:textId="5B18D7A4" w:rsidR="007D5559" w:rsidRPr="00AA198C" w:rsidRDefault="007D5559" w:rsidP="007D5559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</w:t>
      </w:r>
      <w:r w:rsidR="008A1F7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68</w:t>
      </w:r>
      <w:r w:rsidR="008A1F76"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="008A1F7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.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Centrul gestionează și utilizează mijloacele financiare ale Fondului pentru eficiență energetică (în continuare – FEE) în conformitate cu prevederile articolului 23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din Legea nr.139/2018 cu privire la eficiența energetică. Finanțarea FEE se realizează din sursele prevăzute la punctul 68</w:t>
      </w:r>
      <w:r w:rsidR="00AA571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3DB29455" w14:textId="35B9036B" w:rsidR="007D5559" w:rsidRPr="00AA198C" w:rsidRDefault="0056653F" w:rsidP="003D056B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69 va avea următorul cuprins:</w:t>
      </w:r>
    </w:p>
    <w:p w14:paraId="4FB17980" w14:textId="3AA2DFC1" w:rsidR="0056653F" w:rsidRPr="00AA198C" w:rsidRDefault="0056653F" w:rsidP="0056653F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„69. Mijloacele financiare indicate la punctul 68 și 68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ro-MD" w:eastAsia="ro-MD"/>
        </w:rPr>
        <w:t>1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primite de la bugetul de stat, se gestionează prin conturile Centrului deschise în contul unic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trezorerial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717AE672" w14:textId="0BFAE6BB" w:rsidR="003B073B" w:rsidRPr="00AA198C" w:rsidRDefault="00736E9A" w:rsidP="00736E9A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la punctele 70 și 71, subpunctul 1) cuvântul „contul” se substituie cu cuvintele „conturile deschise în contul unic</w:t>
      </w:r>
      <w:r w:rsidR="003B073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”;</w:t>
      </w:r>
    </w:p>
    <w:p w14:paraId="01A88734" w14:textId="77777777" w:rsidR="009A0670" w:rsidRPr="00AA198C" w:rsidRDefault="00364B18" w:rsidP="00364B18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77</w:t>
      </w:r>
      <w:r w:rsidR="009A0670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552FE5D7" w14:textId="5EA882A3" w:rsidR="00364B18" w:rsidRPr="00AA198C" w:rsidRDefault="00364B18" w:rsidP="009A0670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 avea următorul cuprins:</w:t>
      </w:r>
    </w:p>
    <w:p w14:paraId="3A77A89F" w14:textId="50C7CFC2" w:rsidR="005B44FF" w:rsidRPr="000C15B5" w:rsidRDefault="009A0670" w:rsidP="005B44FF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</w:t>
      </w:r>
      <w:r w:rsidR="008A1F76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77. 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Centrul </w:t>
      </w:r>
      <w:r w:rsidR="00D069B1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publică 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pe </w:t>
      </w:r>
      <w:r w:rsidR="00F127AD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site-ul</w:t>
      </w:r>
      <w:r w:rsidR="00F127AD" w:rsidRPr="000C15B5" w:rsidDel="00F127AD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D069B1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său 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web oficial și asigură accesul </w:t>
      </w:r>
      <w:r w:rsidR="00D069B1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liber al tuturor 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persoanelor interesate</w:t>
      </w:r>
      <w:r w:rsidR="00D069B1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la </w:t>
      </w:r>
      <w:r w:rsidR="006C6C7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cel puțin </w:t>
      </w:r>
      <w:r w:rsidR="00D069B1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următoarele informații</w:t>
      </w:r>
      <w:r w:rsidR="007A16DB" w:rsidRPr="000C15B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:”</w:t>
      </w:r>
    </w:p>
    <w:p w14:paraId="121FBFDB" w14:textId="3CFCD414" w:rsidR="007A16DB" w:rsidRPr="00AA198C" w:rsidRDefault="007A16DB" w:rsidP="007A16DB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subpunctul 1), </w:t>
      </w:r>
      <w:r w:rsidR="00EC6E4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numărul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„120” se substituie cu </w:t>
      </w:r>
      <w:r w:rsidR="00EC6E4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numărul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„150”;</w:t>
      </w:r>
    </w:p>
    <w:p w14:paraId="59860426" w14:textId="29AEFDF4" w:rsidR="007A16DB" w:rsidRPr="00AA198C" w:rsidRDefault="007A16DB" w:rsidP="007A16DB">
      <w:pPr>
        <w:pStyle w:val="Listparagraf"/>
        <w:numPr>
          <w:ilvl w:val="3"/>
          <w:numId w:val="28"/>
        </w:numPr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completează cu subpunctul 7)</w:t>
      </w:r>
      <w:r w:rsidR="008A1F76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,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cu următorul cuprins:</w:t>
      </w:r>
    </w:p>
    <w:p w14:paraId="32F6705D" w14:textId="1A06DFA3" w:rsidR="007A16DB" w:rsidRPr="00AA198C" w:rsidRDefault="007A16DB" w:rsidP="007A16DB">
      <w:pPr>
        <w:tabs>
          <w:tab w:val="left" w:pos="2410"/>
        </w:tabs>
        <w:spacing w:after="0" w:line="240" w:lineRule="auto"/>
        <w:ind w:left="154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„7) alte informații cu privire la eficiența energetică și valorificarea energiei din surse regenerabile”</w:t>
      </w:r>
      <w:r w:rsidR="00253173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;</w:t>
      </w:r>
    </w:p>
    <w:p w14:paraId="2311E339" w14:textId="16E768D6" w:rsidR="004D0F78" w:rsidRPr="00AA198C" w:rsidRDefault="004D0F78" w:rsidP="004D0F78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8</w:t>
      </w:r>
      <w:r w:rsidR="00DD655B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2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 avea următorul cuprins:</w:t>
      </w:r>
    </w:p>
    <w:p w14:paraId="29A410CC" w14:textId="329AF059" w:rsidR="007A16DB" w:rsidRPr="00AA198C" w:rsidRDefault="004D0F78" w:rsidP="005B44FF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„82. Pentru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finanţarea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proiectelor/programelor în domeniile de activitate, Centrul dezvoltă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pune în aplicare produse care reglementează, cel puțin, instrumentele financiare pentru realizarea economiilor de energie, măsurile de eficiență energetică, măsurile de politică în domeniul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eficienţei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energetice, garanții financiare,</w:t>
      </w:r>
      <w:r w:rsidR="00FF73BF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compensații financiare,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în conformitate cu prevederile Legii nr.139/2018 cu privire la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eficienţa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lastRenderedPageBreak/>
        <w:t xml:space="preserve">energetică, Legii nr.241/2022 privind Fondul de reducere 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vulnerabilităţii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energetice, cu hotărârile de Guvern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acordurile semnate cu partenerii de dezvoltare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donatorii”;</w:t>
      </w:r>
    </w:p>
    <w:p w14:paraId="7200CA74" w14:textId="51965E3A" w:rsidR="00D6037E" w:rsidRPr="00AA198C" w:rsidRDefault="003856D1" w:rsidP="00CA24C9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punctul 83</w:t>
      </w:r>
      <w:r w:rsidR="006675D4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 avea următorul cuprins</w:t>
      </w:r>
      <w:r w:rsidR="00D6037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54F5D05E" w14:textId="1FA8B4E9" w:rsidR="006675D4" w:rsidRPr="00AA198C" w:rsidRDefault="006675D4" w:rsidP="006675D4">
      <w:pPr>
        <w:tabs>
          <w:tab w:val="left" w:pos="2410"/>
        </w:tabs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„83. Principiile, procedurile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regulile ce urmează a fi aplicate la implementarea fiecărui produs </w:t>
      </w:r>
      <w:r w:rsidR="008E065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de fin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an</w:t>
      </w:r>
      <w:r w:rsidR="008E065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țare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se descriu în manualul</w:t>
      </w:r>
      <w:r w:rsidR="00454943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operațional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. </w:t>
      </w:r>
    </w:p>
    <w:p w14:paraId="6BD4CAFD" w14:textId="2A3820FC" w:rsidR="006675D4" w:rsidRPr="00AA198C" w:rsidRDefault="006675D4" w:rsidP="00AA198C">
      <w:pPr>
        <w:tabs>
          <w:tab w:val="left" w:pos="2410"/>
        </w:tabs>
        <w:spacing w:after="0" w:line="240" w:lineRule="auto"/>
        <w:ind w:left="1560" w:firstLine="425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Manualul operațional </w:t>
      </w:r>
      <w:r w:rsidR="00615B28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conține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cel puțin, prevederi cu referire la proiectul/programul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finanțat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către Centru, măsurile eligibile de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eficiență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energetică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valorificare a surselor de energie regenerabilă în cadrul proiectului/programului finanțat, criteriile de eligibilitate aplicate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fa</w:t>
      </w:r>
      <w:r w:rsidR="00885D25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ț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ă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solicitanții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finanțare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termenii,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condițiile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etapele de parcurs pentru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obținerea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finanțării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documentele necesare a fi prezentate de către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solicitanții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de </w:t>
      </w:r>
      <w:r w:rsidR="00615B28" w:rsidRPr="00615B28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finanțare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, bugetele alocate, instrumentele de finanţare aplicabile, aspectele privind implementarea proiectelor/programelor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şi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monitorizarea realizării acestora; monitorizarea </w:t>
      </w:r>
      <w:proofErr w:type="spellStart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postimplementare</w:t>
      </w:r>
      <w:proofErr w:type="spellEnd"/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a proiectelor finanțate.”</w:t>
      </w:r>
    </w:p>
    <w:p w14:paraId="65F4AFE7" w14:textId="28105924" w:rsidR="00D6037E" w:rsidRPr="00AA198C" w:rsidRDefault="00D6037E" w:rsidP="00AA198C">
      <w:pPr>
        <w:pStyle w:val="Listparagraf"/>
        <w:tabs>
          <w:tab w:val="left" w:pos="2410"/>
        </w:tabs>
        <w:spacing w:after="0" w:line="240" w:lineRule="auto"/>
        <w:ind w:left="226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677222E7" w14:textId="35C9688A" w:rsidR="00222A35" w:rsidRPr="00AA198C" w:rsidRDefault="00222A35" w:rsidP="00222A35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la punctul 84, </w:t>
      </w:r>
      <w:r w:rsidR="008746B1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textul 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„instrumente/măsuri de finanțare” se substituie cu cuvântul „produse”;</w:t>
      </w:r>
    </w:p>
    <w:p w14:paraId="606BE70E" w14:textId="46ADAA37" w:rsidR="00D113F3" w:rsidRPr="00AA198C" w:rsidRDefault="00D113F3" w:rsidP="00D113F3">
      <w:pPr>
        <w:pStyle w:val="Listparagraf"/>
        <w:numPr>
          <w:ilvl w:val="2"/>
          <w:numId w:val="28"/>
        </w:numPr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anexa la Statutul Instituției Publice Centrul Național pentru Energie Durabilă va avea următorul </w:t>
      </w:r>
      <w:r w:rsidR="00774F0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cuprins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:</w:t>
      </w:r>
    </w:p>
    <w:p w14:paraId="43636FE6" w14:textId="77777777" w:rsidR="00D113F3" w:rsidRPr="00AA198C" w:rsidRDefault="00D113F3" w:rsidP="00D113F3">
      <w:pPr>
        <w:pStyle w:val="Listparagraf"/>
        <w:spacing w:after="0" w:line="240" w:lineRule="auto"/>
        <w:ind w:left="156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tbl>
      <w:tblPr>
        <w:tblW w:w="481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5131"/>
        <w:gridCol w:w="1955"/>
        <w:gridCol w:w="1119"/>
        <w:gridCol w:w="955"/>
      </w:tblGrid>
      <w:tr w:rsidR="00D113F3" w:rsidRPr="00615B28" w14:paraId="2B15F636" w14:textId="77777777" w:rsidTr="001251C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E709D2" w14:textId="45F1FBAA" w:rsidR="00D113F3" w:rsidRPr="00AA198C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AA198C">
              <w:rPr>
                <w:lang w:val="ro-MD"/>
              </w:rPr>
              <w:t>„</w:t>
            </w:r>
            <w:r w:rsidRPr="00AA198C">
              <w:rPr>
                <w:sz w:val="20"/>
                <w:szCs w:val="20"/>
                <w:lang w:val="ro-MD"/>
              </w:rPr>
              <w:t>Anexă</w:t>
            </w:r>
          </w:p>
          <w:p w14:paraId="17706527" w14:textId="77777777" w:rsidR="00D113F3" w:rsidRPr="00AA198C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AA198C">
              <w:rPr>
                <w:sz w:val="20"/>
                <w:szCs w:val="20"/>
                <w:lang w:val="ro-MD"/>
              </w:rPr>
              <w:t xml:space="preserve">la </w:t>
            </w:r>
            <w:bookmarkStart w:id="3" w:name="_Hlk202826942"/>
            <w:r w:rsidRPr="00AA198C">
              <w:rPr>
                <w:sz w:val="20"/>
                <w:szCs w:val="20"/>
                <w:lang w:val="ro-MD"/>
              </w:rPr>
              <w:t xml:space="preserve">Statutul </w:t>
            </w:r>
            <w:proofErr w:type="spellStart"/>
            <w:r w:rsidRPr="00AA198C">
              <w:rPr>
                <w:sz w:val="20"/>
                <w:szCs w:val="20"/>
                <w:lang w:val="ro-MD"/>
              </w:rPr>
              <w:t>Instituţiei</w:t>
            </w:r>
            <w:proofErr w:type="spellEnd"/>
            <w:r w:rsidRPr="00AA198C">
              <w:rPr>
                <w:sz w:val="20"/>
                <w:szCs w:val="20"/>
                <w:lang w:val="ro-MD"/>
              </w:rPr>
              <w:t xml:space="preserve"> Publice</w:t>
            </w:r>
          </w:p>
          <w:p w14:paraId="4DE554EC" w14:textId="77777777" w:rsidR="00D113F3" w:rsidRPr="00AA198C" w:rsidRDefault="00D113F3" w:rsidP="000E7740">
            <w:pPr>
              <w:pStyle w:val="rg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AA198C">
              <w:rPr>
                <w:sz w:val="20"/>
                <w:szCs w:val="20"/>
                <w:lang w:val="ro-MD"/>
              </w:rPr>
              <w:t xml:space="preserve">Centrul </w:t>
            </w:r>
            <w:proofErr w:type="spellStart"/>
            <w:r w:rsidRPr="00AA198C">
              <w:rPr>
                <w:sz w:val="20"/>
                <w:szCs w:val="20"/>
                <w:lang w:val="ro-MD"/>
              </w:rPr>
              <w:t>Naţional</w:t>
            </w:r>
            <w:proofErr w:type="spellEnd"/>
            <w:r w:rsidRPr="00AA198C">
              <w:rPr>
                <w:sz w:val="20"/>
                <w:szCs w:val="20"/>
                <w:lang w:val="ro-MD"/>
              </w:rPr>
              <w:t xml:space="preserve"> pentru Energie Durabilă</w:t>
            </w:r>
          </w:p>
          <w:bookmarkEnd w:id="3"/>
          <w:p w14:paraId="71F7C4B6" w14:textId="77777777" w:rsidR="00D113F3" w:rsidRPr="00AA198C" w:rsidRDefault="00D113F3" w:rsidP="000E7740">
            <w:pPr>
              <w:pStyle w:val="NormalWeb"/>
              <w:rPr>
                <w:sz w:val="20"/>
                <w:szCs w:val="20"/>
                <w:lang w:val="ro-MD"/>
              </w:rPr>
            </w:pPr>
            <w:r w:rsidRPr="00AA198C">
              <w:rPr>
                <w:sz w:val="20"/>
                <w:szCs w:val="20"/>
                <w:lang w:val="ro-MD"/>
              </w:rPr>
              <w:t> </w:t>
            </w:r>
          </w:p>
          <w:p w14:paraId="4942784C" w14:textId="77777777" w:rsidR="00D113F3" w:rsidRPr="00AA198C" w:rsidRDefault="00D113F3" w:rsidP="000E7740">
            <w:pPr>
              <w:pStyle w:val="cb"/>
              <w:spacing w:before="0" w:beforeAutospacing="0" w:after="0" w:afterAutospacing="0"/>
              <w:rPr>
                <w:sz w:val="20"/>
                <w:szCs w:val="20"/>
                <w:lang w:val="ro-MD"/>
              </w:rPr>
            </w:pPr>
            <w:r w:rsidRPr="00AA198C">
              <w:rPr>
                <w:sz w:val="20"/>
                <w:szCs w:val="20"/>
                <w:lang w:val="ro-MD"/>
              </w:rPr>
              <w:t>INDICATORI-CHEIE DE PERFORMANŢĂ</w:t>
            </w:r>
          </w:p>
          <w:p w14:paraId="160DD0F5" w14:textId="77777777" w:rsidR="00D113F3" w:rsidRPr="00AA198C" w:rsidRDefault="00D113F3" w:rsidP="000E7740">
            <w:pPr>
              <w:pStyle w:val="NormalWeb"/>
              <w:rPr>
                <w:sz w:val="20"/>
                <w:szCs w:val="20"/>
                <w:lang w:val="ro-MD"/>
              </w:rPr>
            </w:pPr>
            <w:r w:rsidRPr="00AA198C">
              <w:rPr>
                <w:sz w:val="20"/>
                <w:szCs w:val="20"/>
                <w:lang w:val="ro-MD"/>
              </w:rPr>
              <w:t> </w:t>
            </w:r>
          </w:p>
        </w:tc>
      </w:tr>
      <w:tr w:rsidR="00D113F3" w:rsidRPr="00615B28" w14:paraId="7AC4A57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9339BB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Nr.</w:t>
            </w: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>crt.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1A72AF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Denumirea indicatorilor-</w:t>
            </w: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  <w:t xml:space="preserve">cheie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performanţă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AE5C72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Sursa de informare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D5615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Valoare de</w:t>
            </w: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</w:r>
            <w:proofErr w:type="spellStart"/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referinţă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7C4735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Valoare-</w:t>
            </w:r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br/>
            </w:r>
            <w:proofErr w:type="spellStart"/>
            <w:r w:rsidRPr="00AA19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MD"/>
              </w:rPr>
              <w:t>ţintă</w:t>
            </w:r>
            <w:proofErr w:type="spellEnd"/>
          </w:p>
        </w:tc>
      </w:tr>
      <w:tr w:rsidR="00D113F3" w:rsidRPr="00615B28" w14:paraId="13AFE7A0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C2DE0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48E961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Gradul de procesare a cererilor de calificare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înregistrare 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specialiştilor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în registrele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deţinute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2E0382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4960D4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146D3E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1FE821D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55A197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2.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6E5EAD" w14:textId="77777777" w:rsidR="001251C7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Implementarea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din Planul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naţional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integrat privind energia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clima, de care este direct responsabil Centrul:</w:t>
            </w:r>
          </w:p>
          <w:p w14:paraId="16250E1A" w14:textId="7DFD6EE3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numărul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activităţi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(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unităţi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)</w:t>
            </w:r>
          </w:p>
          <w:p w14:paraId="269AB2AB" w14:textId="2D056203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gradul de realizare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C51EF1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40CEB5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46B059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413590E2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65533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DF4C30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Numărul de proiecte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eficienţă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energetică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valorificare a surselor de energie regenerabilă aprobate spre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finanţare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(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unităţi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) în:</w:t>
            </w:r>
          </w:p>
          <w:p w14:paraId="607A8BED" w14:textId="1441455F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sectorul public;</w:t>
            </w:r>
          </w:p>
          <w:p w14:paraId="5856EFAB" w14:textId="5DB02781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sectorul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55488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F89DFB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D15EFA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4CE240C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0415E1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/>
              </w:rPr>
              <w:t>1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AC8222C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Valoarea proiectelor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eficienţă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energetică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valorificare a surselor de energie regenerabilă aprobate spre finanţare (lei) în:</w:t>
            </w:r>
          </w:p>
          <w:p w14:paraId="0AD3A5C3" w14:textId="16590A35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sectorul public;</w:t>
            </w:r>
          </w:p>
          <w:p w14:paraId="748AF105" w14:textId="11FCF0BA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sectorul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4D3C17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06E7CA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2F71B62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1EA1136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DB6198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3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/>
              </w:rPr>
              <w:t>2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13BB525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Vouchere pentru electrocasnice valorificat:</w:t>
            </w:r>
          </w:p>
          <w:p w14:paraId="4AA13DBC" w14:textId="35BC88B8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numărul de vouchere valorificate (unități);</w:t>
            </w:r>
          </w:p>
          <w:p w14:paraId="26CA215A" w14:textId="3168BFC9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valoarea voucherelor valorificate (lei).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36E3B2F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14A79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F2D9FA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052EE01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7135A0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4.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2F63F" w14:textId="0306BF8B" w:rsidR="00D113F3" w:rsidRPr="00AA198C" w:rsidRDefault="00D113F3" w:rsidP="001251C7">
            <w:pPr>
              <w:spacing w:after="0"/>
              <w:ind w:left="-6" w:firstLine="6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Gradul de valorificare a mijloacelor financiare alocate proiectelor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eficienţă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energetică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valorificare a surselor regenerabile de energie în (%):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lastRenderedPageBreak/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sectorul public;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sectorul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4D8E6E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lastRenderedPageBreak/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5DC6A4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09A294B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7AEB86B8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69A07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5.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600509" w14:textId="18AA06A5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Implementarea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acţiunilor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/ evenimentelor de promovare 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eficienţei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energetice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utilizarea surselor de energie regenerabilă conform planului anual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acţiuni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al Centrului (seminare,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conferinţe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, mese rotunde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expoziţii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etc.):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numărul de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acţiuni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/evenimente realizate (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unităţi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);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gradul de implementare al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acţiunilor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/evenimentelor (%)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E2C46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E5329A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D30820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1D4BFAF8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9C2B8B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6.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3F4025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Economiile de energie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obţinute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prin programele implementate (separat pe fiecare program),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ktep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(kilotone echivalent petrol)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78CC4AD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1F6A3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FCA99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6C37EC53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E7B618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7.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5D3D4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Volumul de energie regenerabilă produsă ca urmare a implementării programelor aprobate, MWh (Megawatt oră)</w:t>
            </w:r>
            <w:r w:rsidR="00847C6D"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:</w:t>
            </w:r>
          </w:p>
          <w:p w14:paraId="02415A77" w14:textId="1E7C2DCE" w:rsidR="00847C6D" w:rsidRPr="00AA198C" w:rsidRDefault="00847C6D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sectorul public;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br/>
              <w:t xml:space="preserve">        - sectorul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rezidenţial</w:t>
            </w:r>
            <w:proofErr w:type="spellEnd"/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382CFF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22FB19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07AB00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0F4382D2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721760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8.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F79505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Reducerea de CO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MD"/>
              </w:rPr>
              <w:t>2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prin programele implementate, tCO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val="ro-MD"/>
              </w:rPr>
              <w:t>2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(tone bioxid de carbon)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C9DCF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DEE27E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9A3E2E0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2CA2B5AD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FE64CB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9.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6D838E" w14:textId="7BD283C9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Suprafaţa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reabilitată energetic a clădirilor din (m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ro-MD"/>
              </w:rPr>
              <w:t>2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):</w:t>
            </w: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sectorul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rezidenţial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;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br/>
            </w:r>
            <w:r w:rsidR="001251C7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        - 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sectorul public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5CC72F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activităţilor</w:t>
            </w:r>
            <w:proofErr w:type="spellEnd"/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5245CB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4C4FEC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D113F3" w:rsidRPr="00615B28" w14:paraId="6F5CAFE1" w14:textId="77777777" w:rsidTr="007D0A47">
        <w:trPr>
          <w:jc w:val="center"/>
        </w:trPr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9207660" w14:textId="77777777" w:rsidR="00D113F3" w:rsidRPr="00AA198C" w:rsidRDefault="00D113F3" w:rsidP="001251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10.</w:t>
            </w:r>
          </w:p>
        </w:tc>
        <w:tc>
          <w:tcPr>
            <w:tcW w:w="26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D6A3A7B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Gospodării/persoane vulnerabile susținute prin programele de eficiență energetică:</w:t>
            </w:r>
          </w:p>
          <w:p w14:paraId="1F527965" w14:textId="3A172334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numărul de persoane (programul vouchere pentru electrocasnice);</w:t>
            </w:r>
          </w:p>
          <w:p w14:paraId="2128CE75" w14:textId="032148F4" w:rsidR="00D113F3" w:rsidRPr="00AA198C" w:rsidRDefault="00D113F3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numărul de gospodării (alte programe decât programul vouchere pentru electrocasnice)</w:t>
            </w:r>
            <w:r w:rsidR="008D765E"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;</w:t>
            </w:r>
          </w:p>
          <w:p w14:paraId="22351847" w14:textId="79F73D86" w:rsidR="008D765E" w:rsidRPr="00AA198C" w:rsidRDefault="008D765E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 xml:space="preserve">numărul de gospodării </w:t>
            </w:r>
            <w:r w:rsidRPr="00AA198C">
              <w:rPr>
                <w:rFonts w:ascii="Times New Roman" w:hAnsi="Times New Roman"/>
                <w:i/>
                <w:iCs/>
                <w:lang w:val="ro-MD"/>
              </w:rPr>
              <w:t>vulnerabile din punct de vedere energetic care au beneficiat de măsuri de eficiență energetică</w:t>
            </w: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;</w:t>
            </w:r>
          </w:p>
          <w:p w14:paraId="3A07E325" w14:textId="6817271D" w:rsidR="008D765E" w:rsidRPr="00AA198C" w:rsidRDefault="008D765E" w:rsidP="001251C7">
            <w:pPr>
              <w:pStyle w:val="Listparagraf"/>
              <w:numPr>
                <w:ilvl w:val="0"/>
                <w:numId w:val="29"/>
              </w:numPr>
              <w:spacing w:after="0"/>
              <w:ind w:left="561" w:hanging="142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ro-MD"/>
              </w:rPr>
              <w:t>ponderea numărului de gospodăriilor vulnerabile din punct de vedere energetic care au beneficiat de măsuri de eficiență energetică din numărul total de gospodăriilor vulnerabile la nivel național.</w:t>
            </w:r>
          </w:p>
        </w:tc>
        <w:tc>
          <w:tcPr>
            <w:tcW w:w="10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BA1D8E8" w14:textId="0969CA99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Monitorizarea, evaluarea </w:t>
            </w:r>
            <w:proofErr w:type="spellStart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 xml:space="preserve"> raportarea realizării </w:t>
            </w:r>
            <w:r w:rsidR="00142B80" w:rsidRPr="00AA198C"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  <w:t>activităților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B0B2DA5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6E30C54" w14:textId="77777777" w:rsidR="00D113F3" w:rsidRPr="00AA198C" w:rsidRDefault="00D113F3" w:rsidP="001251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0EC41164" w14:textId="77777777" w:rsidR="0092723C" w:rsidRPr="00AA198C" w:rsidRDefault="0092723C" w:rsidP="00AA198C">
      <w:pPr>
        <w:pStyle w:val="Listparagraf"/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3A1D15A5" w14:textId="63F37B0A" w:rsidR="002514E5" w:rsidRPr="00615B28" w:rsidRDefault="002C2562" w:rsidP="009C7FF4">
      <w:pPr>
        <w:pStyle w:val="Listparagraf"/>
        <w:numPr>
          <w:ilvl w:val="1"/>
          <w:numId w:val="28"/>
        </w:numPr>
        <w:tabs>
          <w:tab w:val="left" w:pos="851"/>
        </w:tabs>
        <w:spacing w:after="0" w:line="240" w:lineRule="auto"/>
        <w:ind w:left="127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Anexa nr.2</w:t>
      </w:r>
      <w:r w:rsidRPr="00615B28">
        <w:rPr>
          <w:lang w:val="ro-MD"/>
        </w:rPr>
        <w:t xml:space="preserve">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„Structura Instituției Publice Centrul Național pentru Energie Durabilă” 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va avea următorul </w:t>
      </w:r>
      <w:r w:rsidR="00EF0DBC" w:rsidRPr="00615B28">
        <w:rPr>
          <w:rFonts w:ascii="Times New Roman" w:hAnsi="Times New Roman" w:cs="Times New Roman"/>
          <w:sz w:val="24"/>
          <w:szCs w:val="24"/>
          <w:lang w:val="ro-MD"/>
        </w:rPr>
        <w:t>cuprins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:</w:t>
      </w:r>
    </w:p>
    <w:p w14:paraId="293FFEB7" w14:textId="77777777" w:rsidR="00050C59" w:rsidRPr="00615B28" w:rsidRDefault="00050C59" w:rsidP="009826D9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A35CEC1" w14:textId="1C7A2DDB" w:rsidR="00ED2B8F" w:rsidRPr="00ED2B8F" w:rsidRDefault="009826D9" w:rsidP="000C15B5">
      <w:pPr>
        <w:tabs>
          <w:tab w:val="left" w:pos="851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„</w:t>
      </w:r>
      <w:r w:rsidR="00ED2B8F" w:rsidRPr="00ED2B8F">
        <w:rPr>
          <w:rFonts w:ascii="Times New Roman" w:hAnsi="Times New Roman" w:cs="Times New Roman"/>
          <w:sz w:val="24"/>
          <w:szCs w:val="24"/>
          <w:lang w:val="ro-MD"/>
        </w:rPr>
        <w:t>Anexa nr. 2</w:t>
      </w:r>
    </w:p>
    <w:p w14:paraId="7BF1415D" w14:textId="296FAE27" w:rsidR="00ED2B8F" w:rsidRDefault="00ED2B8F" w:rsidP="000C15B5">
      <w:pPr>
        <w:tabs>
          <w:tab w:val="left" w:pos="851"/>
        </w:tabs>
        <w:spacing w:after="0" w:line="240" w:lineRule="auto"/>
        <w:ind w:left="144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ED2B8F">
        <w:rPr>
          <w:rFonts w:ascii="Times New Roman" w:hAnsi="Times New Roman" w:cs="Times New Roman"/>
          <w:sz w:val="24"/>
          <w:szCs w:val="24"/>
          <w:lang w:val="ro-MD"/>
        </w:rPr>
        <w:t>la Hotărârea Guvernului nr.1060/2023</w:t>
      </w:r>
    </w:p>
    <w:p w14:paraId="2AF85E55" w14:textId="440481B8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Consiliul</w:t>
      </w:r>
    </w:p>
    <w:p w14:paraId="1547A0D9" w14:textId="7632DC96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Comitetul de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finanțare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risc</w:t>
      </w:r>
    </w:p>
    <w:p w14:paraId="77F2609F" w14:textId="77777777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Director</w:t>
      </w:r>
    </w:p>
    <w:p w14:paraId="2871B205" w14:textId="25A6ED1D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Directori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adjuncți</w:t>
      </w:r>
    </w:p>
    <w:p w14:paraId="2CC71FD7" w14:textId="77777777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Serviciul audit intern</w:t>
      </w:r>
    </w:p>
    <w:p w14:paraId="6E1D5385" w14:textId="5EBF7868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Unități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de implementare a programelor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proiectelor</w:t>
      </w:r>
      <w:r w:rsidR="003D61D1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(cu statut de </w:t>
      </w:r>
      <w:r w:rsidR="00893F03" w:rsidRPr="00615B28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3D61D1" w:rsidRPr="00615B28">
        <w:rPr>
          <w:rFonts w:ascii="Times New Roman" w:hAnsi="Times New Roman" w:cs="Times New Roman"/>
          <w:sz w:val="24"/>
          <w:szCs w:val="24"/>
          <w:lang w:val="ro-MD"/>
        </w:rPr>
        <w:t>ecție)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619FC0A" w14:textId="57104D8A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Fondul pentru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eficiență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energetică în sectorul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rezidențial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(cu statut de </w:t>
      </w:r>
      <w:r w:rsidR="00893F03" w:rsidRPr="00615B28">
        <w:rPr>
          <w:rFonts w:ascii="Times New Roman" w:hAnsi="Times New Roman" w:cs="Times New Roman"/>
          <w:sz w:val="24"/>
          <w:szCs w:val="24"/>
          <w:lang w:val="ro-MD"/>
        </w:rPr>
        <w:t>D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irecție)</w:t>
      </w:r>
    </w:p>
    <w:p w14:paraId="5DE70D08" w14:textId="13754FAF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cția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primire și procesare dosare</w:t>
      </w:r>
    </w:p>
    <w:p w14:paraId="03EBE06C" w14:textId="0D6A8326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Secția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evaluare conformitate </w:t>
      </w:r>
      <w:r w:rsidRPr="00AA198C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>i riscuri prefinanţare</w:t>
      </w:r>
    </w:p>
    <w:p w14:paraId="0B0D5406" w14:textId="51F2CDC9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Serviciul monitorizare conformitate </w:t>
      </w:r>
      <w:r w:rsidR="00050C59" w:rsidRPr="00AA198C">
        <w:rPr>
          <w:rFonts w:ascii="Times New Roman" w:hAnsi="Times New Roman" w:cs="Times New Roman"/>
          <w:sz w:val="24"/>
          <w:szCs w:val="24"/>
          <w:lang w:val="ro-MD"/>
        </w:rPr>
        <w:t>ș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riscuri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postfinanțare</w:t>
      </w:r>
    </w:p>
    <w:p w14:paraId="195D13EB" w14:textId="77777777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Serviciul garanții și compensații financiare</w:t>
      </w:r>
    </w:p>
    <w:p w14:paraId="22D1D884" w14:textId="1C955A4D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Direcția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conformitate politici în domeniul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eficiență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energetică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valorificarea surselor de energie regenerabilă</w:t>
      </w:r>
    </w:p>
    <w:p w14:paraId="676C17FE" w14:textId="2A2306E1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lastRenderedPageBreak/>
        <w:t>Secția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calificare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conformitate a implementării politicilor publice de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eficiență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energetică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valorificare a surselor de energie regenerabilă</w:t>
      </w:r>
    </w:p>
    <w:p w14:paraId="38E15586" w14:textId="3FC919A7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bookmarkStart w:id="4" w:name="_Hlk213102056"/>
      <w:r w:rsidRPr="00615B28">
        <w:rPr>
          <w:rFonts w:ascii="Times New Roman" w:hAnsi="Times New Roman" w:cs="Times New Roman"/>
          <w:sz w:val="24"/>
          <w:szCs w:val="24"/>
          <w:lang w:val="ro-MD"/>
        </w:rPr>
        <w:t>Secția atragere fonduri și relații externe</w:t>
      </w:r>
      <w:bookmarkEnd w:id="4"/>
    </w:p>
    <w:p w14:paraId="379ABEE3" w14:textId="7791B251" w:rsidR="009826D9" w:rsidRPr="00615B28" w:rsidRDefault="00050C5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Secția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analiză 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="009826D9"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raportare</w:t>
      </w:r>
    </w:p>
    <w:p w14:paraId="4699CFB3" w14:textId="2617F033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Direcţia juridică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achiziții</w:t>
      </w:r>
    </w:p>
    <w:p w14:paraId="15C1D993" w14:textId="6DA564A3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Secţia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consultanță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, comunicare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informare</w:t>
      </w:r>
    </w:p>
    <w:p w14:paraId="48C4A42F" w14:textId="2A2B7757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Secţia managementul resurselor umane, administrare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managementul documentelor</w:t>
      </w:r>
    </w:p>
    <w:p w14:paraId="3ADB795D" w14:textId="77777777" w:rsidR="009826D9" w:rsidRPr="00615B28" w:rsidRDefault="009826D9" w:rsidP="00F75D6B">
      <w:pPr>
        <w:tabs>
          <w:tab w:val="left" w:pos="851"/>
        </w:tabs>
        <w:spacing w:after="0" w:line="240" w:lineRule="auto"/>
        <w:ind w:left="1437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>Secția contabilitate, raportare și analiză financiară</w:t>
      </w:r>
    </w:p>
    <w:p w14:paraId="6A5BC57D" w14:textId="7B0E7077" w:rsidR="00F31064" w:rsidRPr="00AA198C" w:rsidRDefault="009826D9" w:rsidP="00F75D6B">
      <w:pPr>
        <w:ind w:left="1437"/>
        <w:rPr>
          <w:rFonts w:eastAsia="Calibri"/>
          <w:bCs/>
          <w:iCs/>
          <w:lang w:val="ro-MD" w:eastAsia="ro-MD"/>
        </w:rPr>
      </w:pP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Serviciul sisteme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informaționale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și</w:t>
      </w:r>
      <w:r w:rsidRPr="00615B28">
        <w:rPr>
          <w:rFonts w:ascii="Times New Roman" w:hAnsi="Times New Roman" w:cs="Times New Roman"/>
          <w:sz w:val="24"/>
          <w:szCs w:val="24"/>
          <w:lang w:val="ro-MD"/>
        </w:rPr>
        <w:t xml:space="preserve"> tehnologia </w:t>
      </w:r>
      <w:r w:rsidR="00050C59" w:rsidRPr="00615B28">
        <w:rPr>
          <w:rFonts w:ascii="Times New Roman" w:hAnsi="Times New Roman" w:cs="Times New Roman"/>
          <w:sz w:val="24"/>
          <w:szCs w:val="24"/>
          <w:lang w:val="ro-MD"/>
        </w:rPr>
        <w:t>informației</w:t>
      </w:r>
      <w:r w:rsidR="00F31064" w:rsidRPr="00615B28">
        <w:rPr>
          <w:rFonts w:eastAsia="Calibri"/>
          <w:bCs/>
          <w:iCs/>
          <w:lang w:val="ro-MD" w:eastAsia="ro-MD"/>
        </w:rPr>
        <w:t>”.</w:t>
      </w:r>
    </w:p>
    <w:p w14:paraId="2433D509" w14:textId="4D3A2F19" w:rsidR="00EB32E7" w:rsidRPr="00AA198C" w:rsidRDefault="00EB32E7" w:rsidP="0092723C">
      <w:pPr>
        <w:pStyle w:val="Listparagraf"/>
        <w:numPr>
          <w:ilvl w:val="1"/>
          <w:numId w:val="28"/>
        </w:numPr>
        <w:tabs>
          <w:tab w:val="left" w:pos="851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A198C">
        <w:rPr>
          <w:rFonts w:ascii="Times New Roman" w:hAnsi="Times New Roman" w:cs="Times New Roman"/>
          <w:sz w:val="24"/>
          <w:szCs w:val="24"/>
          <w:lang w:val="ro-MD"/>
        </w:rPr>
        <w:t>Anexa nr.3 „Organigrama Instituției Publice Centrul Național pentru Energie Durabilă” va avea următorul cuprins:</w:t>
      </w:r>
    </w:p>
    <w:p w14:paraId="7839B472" w14:textId="77777777" w:rsidR="0092723C" w:rsidRPr="00AA198C" w:rsidRDefault="0092723C" w:rsidP="0092723C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A198C">
        <w:rPr>
          <w:rFonts w:ascii="Times New Roman" w:hAnsi="Times New Roman" w:cs="Times New Roman"/>
          <w:sz w:val="24"/>
          <w:szCs w:val="24"/>
          <w:lang w:val="ro-MD"/>
        </w:rPr>
        <w:t>„Anexa nr.3</w:t>
      </w:r>
    </w:p>
    <w:p w14:paraId="7AA5C39F" w14:textId="5EA12F42" w:rsidR="0092723C" w:rsidRPr="00AA198C" w:rsidRDefault="0092723C" w:rsidP="00AA198C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 w:rsidRPr="00AA198C">
        <w:rPr>
          <w:rFonts w:ascii="Times New Roman" w:hAnsi="Times New Roman" w:cs="Times New Roman"/>
          <w:sz w:val="24"/>
          <w:szCs w:val="24"/>
          <w:lang w:val="ro-MD"/>
        </w:rPr>
        <w:t xml:space="preserve"> la Hotărârea Guvernului nr.1060</w:t>
      </w:r>
      <w:r w:rsidR="00CF04E6">
        <w:rPr>
          <w:rFonts w:ascii="Times New Roman" w:hAnsi="Times New Roman" w:cs="Times New Roman"/>
          <w:sz w:val="24"/>
          <w:szCs w:val="24"/>
          <w:lang w:val="ro-MD"/>
        </w:rPr>
        <w:t>/</w:t>
      </w:r>
      <w:r w:rsidRPr="00AA198C">
        <w:rPr>
          <w:rFonts w:ascii="Times New Roman" w:hAnsi="Times New Roman" w:cs="Times New Roman"/>
          <w:sz w:val="24"/>
          <w:szCs w:val="24"/>
          <w:lang w:val="ro-MD"/>
        </w:rPr>
        <w:t>2023</w:t>
      </w:r>
    </w:p>
    <w:p w14:paraId="73807157" w14:textId="73FD7C24" w:rsidR="00EB32E7" w:rsidRPr="00AA198C" w:rsidRDefault="00EB32E7" w:rsidP="00AB34C4">
      <w:pPr>
        <w:tabs>
          <w:tab w:val="left" w:pos="851"/>
        </w:tabs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4268B35D" w14:textId="1C7E5338" w:rsidR="00F53C4F" w:rsidRPr="00AA198C" w:rsidRDefault="00F53C4F" w:rsidP="00AA198C">
      <w:pPr>
        <w:tabs>
          <w:tab w:val="left" w:pos="851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noProof/>
          <w:sz w:val="24"/>
          <w:szCs w:val="24"/>
          <w:lang w:val="ro-MD" w:eastAsia="ro-MD"/>
        </w:rPr>
        <w:drawing>
          <wp:inline distT="0" distB="0" distL="0" distR="0" wp14:anchorId="17A9AD14" wp14:editId="64CE8A8A">
            <wp:extent cx="6683375" cy="4463143"/>
            <wp:effectExtent l="0" t="0" r="3175" b="0"/>
            <wp:docPr id="16596886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68860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92504" cy="446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723C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”</w:t>
      </w:r>
    </w:p>
    <w:p w14:paraId="4EFCD339" w14:textId="10C846C7" w:rsidR="00D30916" w:rsidRPr="00AA198C" w:rsidRDefault="00D30916" w:rsidP="00EB32E7">
      <w:pPr>
        <w:tabs>
          <w:tab w:val="left" w:pos="851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29A8B07D" w14:textId="24EFBEA8" w:rsidR="00364DE0" w:rsidRPr="00AA198C" w:rsidRDefault="00364DE0" w:rsidP="000D0F74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Controlul asupra executării prezentei hotărâri se pune în sarcina Ministerului </w:t>
      </w:r>
      <w:r w:rsidR="00000E79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Energiei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.</w:t>
      </w:r>
    </w:p>
    <w:p w14:paraId="2B3581DE" w14:textId="75EBCDD8" w:rsidR="00A92259" w:rsidRPr="00AA198C" w:rsidRDefault="00A92259" w:rsidP="00A61152">
      <w:pPr>
        <w:numPr>
          <w:ilvl w:val="0"/>
          <w:numId w:val="1"/>
        </w:numPr>
        <w:tabs>
          <w:tab w:val="left" w:pos="851"/>
          <w:tab w:val="left" w:pos="993"/>
        </w:tabs>
        <w:spacing w:before="120" w:after="120" w:line="240" w:lineRule="auto"/>
        <w:ind w:left="0" w:firstLine="562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Prezenta hotărâre intră în vigoare la data publicării</w:t>
      </w:r>
      <w:r w:rsidR="00563B4E"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 xml:space="preserve"> în Monitorul Oficial al Republicii Moldova</w:t>
      </w:r>
      <w:r w:rsidRPr="00AA198C"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  <w:t>.</w:t>
      </w:r>
    </w:p>
    <w:p w14:paraId="43A44ABE" w14:textId="77777777" w:rsidR="00FE4815" w:rsidRPr="00AA198C" w:rsidRDefault="00FE4815" w:rsidP="003529A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ro-MD" w:eastAsia="ro-MD"/>
        </w:rPr>
      </w:pPr>
    </w:p>
    <w:p w14:paraId="307D4A7F" w14:textId="5E90551B" w:rsidR="00563A0B" w:rsidRPr="00AA198C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Prim-ministru </w:t>
      </w: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="00BB4A67"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Alexandru Munteanu</w:t>
      </w:r>
    </w:p>
    <w:p w14:paraId="201FB776" w14:textId="77777777" w:rsidR="007D0A47" w:rsidRPr="00AA198C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</w:p>
    <w:p w14:paraId="7CF8DA15" w14:textId="58C53218" w:rsidR="00A92259" w:rsidRPr="00AA198C" w:rsidRDefault="00A92259" w:rsidP="00A922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  <w:r w:rsidRPr="00AA198C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ab/>
      </w:r>
    </w:p>
    <w:p w14:paraId="53591E13" w14:textId="77777777" w:rsidR="00A92259" w:rsidRPr="00AA198C" w:rsidRDefault="00A92259" w:rsidP="008951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  <w:r w:rsidRPr="00AA198C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  <w:t>Contrasemnează:</w:t>
      </w:r>
    </w:p>
    <w:p w14:paraId="64F3CFF2" w14:textId="01014833" w:rsidR="00563A0B" w:rsidRPr="00AA198C" w:rsidRDefault="00563A0B" w:rsidP="008951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o-RO"/>
        </w:rPr>
      </w:pPr>
    </w:p>
    <w:p w14:paraId="5166190D" w14:textId="689EE784" w:rsidR="002E142B" w:rsidRPr="00AA198C" w:rsidRDefault="00000E79" w:rsidP="000C1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M</w:t>
      </w:r>
      <w:r w:rsidR="00A92259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inistrul </w:t>
      </w:r>
      <w:r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energiei  </w:t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ab/>
      </w:r>
      <w:r w:rsidR="00CA04D3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Dorin</w:t>
      </w:r>
      <w:r w:rsidR="0043103A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 </w:t>
      </w:r>
      <w:r w:rsidR="00CA04D3" w:rsidRPr="00AA198C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JUNGHIETU</w:t>
      </w:r>
    </w:p>
    <w:sectPr w:rsidR="002E142B" w:rsidRPr="00AA198C" w:rsidSect="000D0F74">
      <w:footerReference w:type="default" r:id="rId12"/>
      <w:pgSz w:w="11907" w:h="16840" w:code="9"/>
      <w:pgMar w:top="1140" w:right="851" w:bottom="11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54F12" w14:textId="77777777" w:rsidR="007C610A" w:rsidRDefault="007C610A" w:rsidP="00122D6C">
      <w:pPr>
        <w:spacing w:after="0" w:line="240" w:lineRule="auto"/>
      </w:pPr>
      <w:r>
        <w:separator/>
      </w:r>
    </w:p>
  </w:endnote>
  <w:endnote w:type="continuationSeparator" w:id="0">
    <w:p w14:paraId="46F36108" w14:textId="77777777" w:rsidR="007C610A" w:rsidRDefault="007C610A" w:rsidP="0012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997035"/>
      <w:docPartObj>
        <w:docPartGallery w:val="Page Numbers (Bottom of Page)"/>
        <w:docPartUnique/>
      </w:docPartObj>
    </w:sdtPr>
    <w:sdtContent>
      <w:p w14:paraId="66AB6B80" w14:textId="3CEC4569" w:rsidR="00CD599F" w:rsidRDefault="00CD599F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06" w:rsidRPr="00302C06">
          <w:rPr>
            <w:noProof/>
            <w:lang w:val="ro-RO"/>
          </w:rPr>
          <w:t>22</w:t>
        </w:r>
        <w:r>
          <w:fldChar w:fldCharType="end"/>
        </w:r>
      </w:p>
    </w:sdtContent>
  </w:sdt>
  <w:p w14:paraId="7E936545" w14:textId="77777777" w:rsidR="00CD599F" w:rsidRDefault="00CD599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F737" w14:textId="77777777" w:rsidR="007C610A" w:rsidRDefault="007C610A" w:rsidP="00122D6C">
      <w:pPr>
        <w:spacing w:after="0" w:line="240" w:lineRule="auto"/>
      </w:pPr>
      <w:r>
        <w:separator/>
      </w:r>
    </w:p>
  </w:footnote>
  <w:footnote w:type="continuationSeparator" w:id="0">
    <w:p w14:paraId="4F58BD84" w14:textId="77777777" w:rsidR="007C610A" w:rsidRDefault="007C610A" w:rsidP="00122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5FC"/>
    <w:multiLevelType w:val="hybridMultilevel"/>
    <w:tmpl w:val="A4C8FD8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" w15:restartNumberingAfterBreak="0">
    <w:nsid w:val="0C833EE1"/>
    <w:multiLevelType w:val="hybridMultilevel"/>
    <w:tmpl w:val="B0E24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689A470E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9E7"/>
    <w:multiLevelType w:val="hybridMultilevel"/>
    <w:tmpl w:val="7BCEED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B4880"/>
    <w:multiLevelType w:val="hybridMultilevel"/>
    <w:tmpl w:val="16F8923C"/>
    <w:lvl w:ilvl="0" w:tplc="8BC0D27A">
      <w:start w:val="1"/>
      <w:numFmt w:val="decimal"/>
      <w:lvlText w:val="%1."/>
      <w:lvlJc w:val="left"/>
      <w:pPr>
        <w:ind w:left="1680" w:hanging="870"/>
      </w:pPr>
      <w:rPr>
        <w:rFonts w:hint="default"/>
        <w:b w:val="0"/>
        <w:bCs/>
        <w:lang w:val="ro-MD"/>
      </w:rPr>
    </w:lvl>
    <w:lvl w:ilvl="1" w:tplc="F1CCB80A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7C0AEDD2">
      <w:start w:val="1"/>
      <w:numFmt w:val="decimal"/>
      <w:lvlText w:val="%3)"/>
      <w:lvlJc w:val="left"/>
      <w:pPr>
        <w:ind w:left="2547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F05D86"/>
    <w:multiLevelType w:val="hybridMultilevel"/>
    <w:tmpl w:val="650AB5DE"/>
    <w:lvl w:ilvl="0" w:tplc="7C0AEDD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3" w:hanging="360"/>
      </w:pPr>
    </w:lvl>
    <w:lvl w:ilvl="2" w:tplc="0409001B" w:tentative="1">
      <w:start w:val="1"/>
      <w:numFmt w:val="lowerRoman"/>
      <w:lvlText w:val="%3."/>
      <w:lvlJc w:val="right"/>
      <w:pPr>
        <w:ind w:left="2133" w:hanging="180"/>
      </w:pPr>
    </w:lvl>
    <w:lvl w:ilvl="3" w:tplc="0409000F" w:tentative="1">
      <w:start w:val="1"/>
      <w:numFmt w:val="decimal"/>
      <w:lvlText w:val="%4."/>
      <w:lvlJc w:val="left"/>
      <w:pPr>
        <w:ind w:left="2853" w:hanging="360"/>
      </w:pPr>
    </w:lvl>
    <w:lvl w:ilvl="4" w:tplc="04090019" w:tentative="1">
      <w:start w:val="1"/>
      <w:numFmt w:val="lowerLetter"/>
      <w:lvlText w:val="%5."/>
      <w:lvlJc w:val="left"/>
      <w:pPr>
        <w:ind w:left="3573" w:hanging="360"/>
      </w:pPr>
    </w:lvl>
    <w:lvl w:ilvl="5" w:tplc="0409001B" w:tentative="1">
      <w:start w:val="1"/>
      <w:numFmt w:val="lowerRoman"/>
      <w:lvlText w:val="%6."/>
      <w:lvlJc w:val="right"/>
      <w:pPr>
        <w:ind w:left="4293" w:hanging="180"/>
      </w:pPr>
    </w:lvl>
    <w:lvl w:ilvl="6" w:tplc="0409000F" w:tentative="1">
      <w:start w:val="1"/>
      <w:numFmt w:val="decimal"/>
      <w:lvlText w:val="%7."/>
      <w:lvlJc w:val="left"/>
      <w:pPr>
        <w:ind w:left="5013" w:hanging="360"/>
      </w:pPr>
    </w:lvl>
    <w:lvl w:ilvl="7" w:tplc="04090019" w:tentative="1">
      <w:start w:val="1"/>
      <w:numFmt w:val="lowerLetter"/>
      <w:lvlText w:val="%8."/>
      <w:lvlJc w:val="left"/>
      <w:pPr>
        <w:ind w:left="5733" w:hanging="360"/>
      </w:pPr>
    </w:lvl>
    <w:lvl w:ilvl="8" w:tplc="040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5" w15:restartNumberingAfterBreak="0">
    <w:nsid w:val="16AC7F8B"/>
    <w:multiLevelType w:val="hybridMultilevel"/>
    <w:tmpl w:val="7A3AA3F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1D044A81"/>
    <w:multiLevelType w:val="hybridMultilevel"/>
    <w:tmpl w:val="FC34E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9584B"/>
    <w:multiLevelType w:val="hybridMultilevel"/>
    <w:tmpl w:val="017087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18279F"/>
    <w:multiLevelType w:val="hybridMultilevel"/>
    <w:tmpl w:val="67DE1994"/>
    <w:lvl w:ilvl="0" w:tplc="7C0AEDD2">
      <w:start w:val="1"/>
      <w:numFmt w:val="decimal"/>
      <w:lvlText w:val="%1)"/>
      <w:lvlJc w:val="left"/>
      <w:pPr>
        <w:ind w:left="2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56A3"/>
    <w:multiLevelType w:val="hybridMultilevel"/>
    <w:tmpl w:val="54CEBC48"/>
    <w:lvl w:ilvl="0" w:tplc="4028C15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C3A2C002">
      <w:start w:val="1"/>
      <w:numFmt w:val="lowerLetter"/>
      <w:lvlText w:val="%2)"/>
      <w:lvlJc w:val="left"/>
      <w:pPr>
        <w:ind w:left="185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256FAD"/>
    <w:multiLevelType w:val="hybridMultilevel"/>
    <w:tmpl w:val="0F8020C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93E777B"/>
    <w:multiLevelType w:val="hybridMultilevel"/>
    <w:tmpl w:val="EE8291B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E8C5E68">
      <w:start w:val="1"/>
      <w:numFmt w:val="lowerLetter"/>
      <w:lvlText w:val="%2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2" w:tplc="46B05336">
      <w:start w:val="1"/>
      <w:numFmt w:val="upperLetter"/>
      <w:lvlText w:val="%3)"/>
      <w:lvlJc w:val="left"/>
      <w:pPr>
        <w:ind w:left="2907" w:hanging="360"/>
      </w:pPr>
      <w:rPr>
        <w:rFonts w:hint="default"/>
      </w:rPr>
    </w:lvl>
    <w:lvl w:ilvl="3" w:tplc="20A4886C">
      <w:start w:val="26"/>
      <w:numFmt w:val="decimal"/>
      <w:lvlText w:val="%4"/>
      <w:lvlJc w:val="left"/>
      <w:pPr>
        <w:ind w:left="3447" w:hanging="360"/>
      </w:pPr>
      <w:rPr>
        <w:rFonts w:hint="default"/>
      </w:rPr>
    </w:lvl>
    <w:lvl w:ilvl="4" w:tplc="A41C6376">
      <w:start w:val="78"/>
      <w:numFmt w:val="decimal"/>
      <w:lvlText w:val="%5."/>
      <w:lvlJc w:val="left"/>
      <w:pPr>
        <w:ind w:left="416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9577DD"/>
    <w:multiLevelType w:val="hybridMultilevel"/>
    <w:tmpl w:val="892E4F6A"/>
    <w:lvl w:ilvl="0" w:tplc="92BA68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8640C7"/>
    <w:multiLevelType w:val="hybridMultilevel"/>
    <w:tmpl w:val="BFE2B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3E5"/>
    <w:multiLevelType w:val="hybridMultilevel"/>
    <w:tmpl w:val="477A89CA"/>
    <w:lvl w:ilvl="0" w:tplc="9FE8338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4160C"/>
    <w:multiLevelType w:val="hybridMultilevel"/>
    <w:tmpl w:val="5E2AEE0C"/>
    <w:lvl w:ilvl="0" w:tplc="EB06F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452D3"/>
    <w:multiLevelType w:val="hybridMultilevel"/>
    <w:tmpl w:val="4BB82C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FE042A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18" w15:restartNumberingAfterBreak="0">
    <w:nsid w:val="4A031E3B"/>
    <w:multiLevelType w:val="hybridMultilevel"/>
    <w:tmpl w:val="D04A4794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6E3C7F"/>
    <w:multiLevelType w:val="hybridMultilevel"/>
    <w:tmpl w:val="5E02F7F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31F54"/>
    <w:multiLevelType w:val="hybridMultilevel"/>
    <w:tmpl w:val="42DC4E84"/>
    <w:lvl w:ilvl="0" w:tplc="F376A0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5222F"/>
    <w:multiLevelType w:val="hybridMultilevel"/>
    <w:tmpl w:val="3340AE6C"/>
    <w:lvl w:ilvl="0" w:tplc="0FC6A13E">
      <w:start w:val="1"/>
      <w:numFmt w:val="decimal"/>
      <w:lvlText w:val="%1."/>
      <w:lvlJc w:val="left"/>
      <w:pPr>
        <w:ind w:left="1437" w:hanging="87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D04C6D"/>
    <w:multiLevelType w:val="hybridMultilevel"/>
    <w:tmpl w:val="83BAD6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B07C1D"/>
    <w:multiLevelType w:val="hybridMultilevel"/>
    <w:tmpl w:val="6908D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6145"/>
    <w:multiLevelType w:val="hybridMultilevel"/>
    <w:tmpl w:val="E2B8656A"/>
    <w:lvl w:ilvl="0" w:tplc="0E8C5E68">
      <w:start w:val="1"/>
      <w:numFmt w:val="lowerLetter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16284"/>
    <w:multiLevelType w:val="multilevel"/>
    <w:tmpl w:val="B95460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96" w:hanging="1800"/>
      </w:pPr>
      <w:rPr>
        <w:rFonts w:hint="default"/>
      </w:rPr>
    </w:lvl>
  </w:abstractNum>
  <w:abstractNum w:abstractNumId="26" w15:restartNumberingAfterBreak="0">
    <w:nsid w:val="6DAC2675"/>
    <w:multiLevelType w:val="hybridMultilevel"/>
    <w:tmpl w:val="B80C2326"/>
    <w:lvl w:ilvl="0" w:tplc="C32263D0">
      <w:start w:val="1"/>
      <w:numFmt w:val="decimal"/>
      <w:lvlText w:val="%1)"/>
      <w:lvlJc w:val="left"/>
      <w:pPr>
        <w:ind w:left="12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A53CA1"/>
    <w:multiLevelType w:val="hybridMultilevel"/>
    <w:tmpl w:val="303CE5A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5B12D5"/>
    <w:multiLevelType w:val="hybridMultilevel"/>
    <w:tmpl w:val="74C4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6D73BB"/>
    <w:multiLevelType w:val="hybridMultilevel"/>
    <w:tmpl w:val="91A622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04090011">
      <w:start w:val="1"/>
      <w:numFmt w:val="decimal"/>
      <w:lvlText w:val="%3)"/>
      <w:lvlJc w:val="left"/>
      <w:pPr>
        <w:ind w:left="2907" w:hanging="36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67412039">
    <w:abstractNumId w:val="21"/>
  </w:num>
  <w:num w:numId="2" w16cid:durableId="2017414937">
    <w:abstractNumId w:val="12"/>
  </w:num>
  <w:num w:numId="3" w16cid:durableId="598568713">
    <w:abstractNumId w:val="3"/>
  </w:num>
  <w:num w:numId="4" w16cid:durableId="1362052081">
    <w:abstractNumId w:val="9"/>
  </w:num>
  <w:num w:numId="5" w16cid:durableId="1213350418">
    <w:abstractNumId w:val="26"/>
  </w:num>
  <w:num w:numId="6" w16cid:durableId="1508982362">
    <w:abstractNumId w:val="20"/>
  </w:num>
  <w:num w:numId="7" w16cid:durableId="603879029">
    <w:abstractNumId w:val="1"/>
  </w:num>
  <w:num w:numId="8" w16cid:durableId="1897013935">
    <w:abstractNumId w:val="11"/>
  </w:num>
  <w:num w:numId="9" w16cid:durableId="64838258">
    <w:abstractNumId w:val="24"/>
  </w:num>
  <w:num w:numId="10" w16cid:durableId="628899647">
    <w:abstractNumId w:val="16"/>
  </w:num>
  <w:num w:numId="11" w16cid:durableId="1646928444">
    <w:abstractNumId w:val="10"/>
  </w:num>
  <w:num w:numId="12" w16cid:durableId="907543631">
    <w:abstractNumId w:val="2"/>
  </w:num>
  <w:num w:numId="13" w16cid:durableId="440998434">
    <w:abstractNumId w:val="0"/>
  </w:num>
  <w:num w:numId="14" w16cid:durableId="927150837">
    <w:abstractNumId w:val="4"/>
  </w:num>
  <w:num w:numId="15" w16cid:durableId="746848601">
    <w:abstractNumId w:val="8"/>
  </w:num>
  <w:num w:numId="16" w16cid:durableId="1115758817">
    <w:abstractNumId w:val="22"/>
  </w:num>
  <w:num w:numId="17" w16cid:durableId="419909090">
    <w:abstractNumId w:val="27"/>
  </w:num>
  <w:num w:numId="18" w16cid:durableId="652635826">
    <w:abstractNumId w:val="19"/>
  </w:num>
  <w:num w:numId="19" w16cid:durableId="1939292123">
    <w:abstractNumId w:val="14"/>
  </w:num>
  <w:num w:numId="20" w16cid:durableId="396585591">
    <w:abstractNumId w:val="18"/>
  </w:num>
  <w:num w:numId="21" w16cid:durableId="1849438993">
    <w:abstractNumId w:val="29"/>
  </w:num>
  <w:num w:numId="22" w16cid:durableId="981227641">
    <w:abstractNumId w:val="7"/>
  </w:num>
  <w:num w:numId="23" w16cid:durableId="1271625820">
    <w:abstractNumId w:val="5"/>
  </w:num>
  <w:num w:numId="24" w16cid:durableId="336420551">
    <w:abstractNumId w:val="6"/>
  </w:num>
  <w:num w:numId="25" w16cid:durableId="2096441726">
    <w:abstractNumId w:val="28"/>
  </w:num>
  <w:num w:numId="26" w16cid:durableId="1408769728">
    <w:abstractNumId w:val="23"/>
  </w:num>
  <w:num w:numId="27" w16cid:durableId="1598555388">
    <w:abstractNumId w:val="13"/>
  </w:num>
  <w:num w:numId="28" w16cid:durableId="876507374">
    <w:abstractNumId w:val="17"/>
  </w:num>
  <w:num w:numId="29" w16cid:durableId="1927688427">
    <w:abstractNumId w:val="15"/>
  </w:num>
  <w:num w:numId="30" w16cid:durableId="2386821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114"/>
    <w:rsid w:val="00000E79"/>
    <w:rsid w:val="00002086"/>
    <w:rsid w:val="00002347"/>
    <w:rsid w:val="00004DA9"/>
    <w:rsid w:val="00006123"/>
    <w:rsid w:val="00011D09"/>
    <w:rsid w:val="00014EF2"/>
    <w:rsid w:val="000157DF"/>
    <w:rsid w:val="00015B3E"/>
    <w:rsid w:val="00015D75"/>
    <w:rsid w:val="000175B5"/>
    <w:rsid w:val="00022139"/>
    <w:rsid w:val="00022DE8"/>
    <w:rsid w:val="000278D5"/>
    <w:rsid w:val="000430CD"/>
    <w:rsid w:val="000454AD"/>
    <w:rsid w:val="00045C0D"/>
    <w:rsid w:val="000478E1"/>
    <w:rsid w:val="00050A8D"/>
    <w:rsid w:val="00050C59"/>
    <w:rsid w:val="00052965"/>
    <w:rsid w:val="00063919"/>
    <w:rsid w:val="00063A9E"/>
    <w:rsid w:val="00063F93"/>
    <w:rsid w:val="00064AF4"/>
    <w:rsid w:val="00065F73"/>
    <w:rsid w:val="00066399"/>
    <w:rsid w:val="000663D7"/>
    <w:rsid w:val="00067546"/>
    <w:rsid w:val="00071C25"/>
    <w:rsid w:val="00073154"/>
    <w:rsid w:val="00075A5F"/>
    <w:rsid w:val="00076760"/>
    <w:rsid w:val="00087941"/>
    <w:rsid w:val="00095F11"/>
    <w:rsid w:val="00096272"/>
    <w:rsid w:val="000A1D35"/>
    <w:rsid w:val="000A37A5"/>
    <w:rsid w:val="000A4F0D"/>
    <w:rsid w:val="000A53D0"/>
    <w:rsid w:val="000A598B"/>
    <w:rsid w:val="000B0D80"/>
    <w:rsid w:val="000B4256"/>
    <w:rsid w:val="000B7282"/>
    <w:rsid w:val="000C0FE6"/>
    <w:rsid w:val="000C15B5"/>
    <w:rsid w:val="000C68C0"/>
    <w:rsid w:val="000D0F74"/>
    <w:rsid w:val="000D570D"/>
    <w:rsid w:val="000D59C3"/>
    <w:rsid w:val="000E017D"/>
    <w:rsid w:val="000E1413"/>
    <w:rsid w:val="000E171E"/>
    <w:rsid w:val="000E1E6D"/>
    <w:rsid w:val="000E3876"/>
    <w:rsid w:val="000E793F"/>
    <w:rsid w:val="00101BA2"/>
    <w:rsid w:val="0010742F"/>
    <w:rsid w:val="00115B96"/>
    <w:rsid w:val="0011732C"/>
    <w:rsid w:val="00122AD0"/>
    <w:rsid w:val="00122D6C"/>
    <w:rsid w:val="001230B5"/>
    <w:rsid w:val="001251C7"/>
    <w:rsid w:val="001272EE"/>
    <w:rsid w:val="001317EE"/>
    <w:rsid w:val="0013535E"/>
    <w:rsid w:val="00135C13"/>
    <w:rsid w:val="00135E14"/>
    <w:rsid w:val="00142B80"/>
    <w:rsid w:val="0014415D"/>
    <w:rsid w:val="00144C89"/>
    <w:rsid w:val="001473F6"/>
    <w:rsid w:val="00152377"/>
    <w:rsid w:val="001540C5"/>
    <w:rsid w:val="00155B9E"/>
    <w:rsid w:val="001643F0"/>
    <w:rsid w:val="00164EEB"/>
    <w:rsid w:val="00166899"/>
    <w:rsid w:val="0016698E"/>
    <w:rsid w:val="001711EE"/>
    <w:rsid w:val="00174F1F"/>
    <w:rsid w:val="00177A7F"/>
    <w:rsid w:val="001813F3"/>
    <w:rsid w:val="00181A54"/>
    <w:rsid w:val="00182DFB"/>
    <w:rsid w:val="00182E6C"/>
    <w:rsid w:val="0018330C"/>
    <w:rsid w:val="00186B58"/>
    <w:rsid w:val="00190EF8"/>
    <w:rsid w:val="001A5EB2"/>
    <w:rsid w:val="001B2300"/>
    <w:rsid w:val="001B5780"/>
    <w:rsid w:val="001B74F3"/>
    <w:rsid w:val="001C24CD"/>
    <w:rsid w:val="001C6560"/>
    <w:rsid w:val="001C6EDF"/>
    <w:rsid w:val="001C7AF5"/>
    <w:rsid w:val="001C7ED4"/>
    <w:rsid w:val="001D0436"/>
    <w:rsid w:val="001D76B3"/>
    <w:rsid w:val="001E03BC"/>
    <w:rsid w:val="001E0D41"/>
    <w:rsid w:val="001E3A51"/>
    <w:rsid w:val="001E601B"/>
    <w:rsid w:val="001F1A9F"/>
    <w:rsid w:val="001F1B5C"/>
    <w:rsid w:val="001F4840"/>
    <w:rsid w:val="001F53CB"/>
    <w:rsid w:val="001F7CF6"/>
    <w:rsid w:val="002039E0"/>
    <w:rsid w:val="00206932"/>
    <w:rsid w:val="00207581"/>
    <w:rsid w:val="00207DC3"/>
    <w:rsid w:val="00210E4E"/>
    <w:rsid w:val="002118A6"/>
    <w:rsid w:val="00212D8A"/>
    <w:rsid w:val="00215CBA"/>
    <w:rsid w:val="00216B5E"/>
    <w:rsid w:val="00221938"/>
    <w:rsid w:val="00222A35"/>
    <w:rsid w:val="00224C60"/>
    <w:rsid w:val="002361AB"/>
    <w:rsid w:val="00236870"/>
    <w:rsid w:val="00237191"/>
    <w:rsid w:val="00242C4C"/>
    <w:rsid w:val="002463E2"/>
    <w:rsid w:val="00246A0E"/>
    <w:rsid w:val="00246A47"/>
    <w:rsid w:val="002514E5"/>
    <w:rsid w:val="00253173"/>
    <w:rsid w:val="002553F4"/>
    <w:rsid w:val="00255955"/>
    <w:rsid w:val="0025618E"/>
    <w:rsid w:val="002565E2"/>
    <w:rsid w:val="00260709"/>
    <w:rsid w:val="00261564"/>
    <w:rsid w:val="00263AB4"/>
    <w:rsid w:val="00264C19"/>
    <w:rsid w:val="00266328"/>
    <w:rsid w:val="00270B42"/>
    <w:rsid w:val="00273606"/>
    <w:rsid w:val="00276BD1"/>
    <w:rsid w:val="002777C6"/>
    <w:rsid w:val="00283B68"/>
    <w:rsid w:val="00285DC7"/>
    <w:rsid w:val="00285FF5"/>
    <w:rsid w:val="0028674A"/>
    <w:rsid w:val="002A0426"/>
    <w:rsid w:val="002A0609"/>
    <w:rsid w:val="002A68AF"/>
    <w:rsid w:val="002B369D"/>
    <w:rsid w:val="002B3FD3"/>
    <w:rsid w:val="002B6B0F"/>
    <w:rsid w:val="002B7103"/>
    <w:rsid w:val="002C0936"/>
    <w:rsid w:val="002C22B5"/>
    <w:rsid w:val="002C2562"/>
    <w:rsid w:val="002C3823"/>
    <w:rsid w:val="002C3A68"/>
    <w:rsid w:val="002D3285"/>
    <w:rsid w:val="002D328E"/>
    <w:rsid w:val="002E142B"/>
    <w:rsid w:val="002E38C3"/>
    <w:rsid w:val="003003A5"/>
    <w:rsid w:val="00301AC7"/>
    <w:rsid w:val="00302C06"/>
    <w:rsid w:val="00303746"/>
    <w:rsid w:val="00305FA5"/>
    <w:rsid w:val="00306B28"/>
    <w:rsid w:val="003072EA"/>
    <w:rsid w:val="00315802"/>
    <w:rsid w:val="00317760"/>
    <w:rsid w:val="003200F2"/>
    <w:rsid w:val="00320B80"/>
    <w:rsid w:val="00333BD0"/>
    <w:rsid w:val="003359BC"/>
    <w:rsid w:val="00340FE5"/>
    <w:rsid w:val="00345429"/>
    <w:rsid w:val="0034589D"/>
    <w:rsid w:val="00352997"/>
    <w:rsid w:val="003529A7"/>
    <w:rsid w:val="00352DF8"/>
    <w:rsid w:val="00360A16"/>
    <w:rsid w:val="003611D2"/>
    <w:rsid w:val="0036142A"/>
    <w:rsid w:val="00364B18"/>
    <w:rsid w:val="00364DE0"/>
    <w:rsid w:val="003679AE"/>
    <w:rsid w:val="00371F23"/>
    <w:rsid w:val="00372BDB"/>
    <w:rsid w:val="00375EF0"/>
    <w:rsid w:val="00377FB8"/>
    <w:rsid w:val="00385379"/>
    <w:rsid w:val="003856D1"/>
    <w:rsid w:val="003A341B"/>
    <w:rsid w:val="003A3F38"/>
    <w:rsid w:val="003A3F7A"/>
    <w:rsid w:val="003B073B"/>
    <w:rsid w:val="003B3A1C"/>
    <w:rsid w:val="003B56CA"/>
    <w:rsid w:val="003B59B8"/>
    <w:rsid w:val="003B6D20"/>
    <w:rsid w:val="003B793A"/>
    <w:rsid w:val="003C0A02"/>
    <w:rsid w:val="003C0B8A"/>
    <w:rsid w:val="003C3324"/>
    <w:rsid w:val="003C5665"/>
    <w:rsid w:val="003C630A"/>
    <w:rsid w:val="003D056B"/>
    <w:rsid w:val="003D38D9"/>
    <w:rsid w:val="003D61D1"/>
    <w:rsid w:val="003D70D5"/>
    <w:rsid w:val="003E2B5F"/>
    <w:rsid w:val="003E2C57"/>
    <w:rsid w:val="003E3B0F"/>
    <w:rsid w:val="003E7621"/>
    <w:rsid w:val="003F1928"/>
    <w:rsid w:val="003F2F67"/>
    <w:rsid w:val="003F52FC"/>
    <w:rsid w:val="003F5F1E"/>
    <w:rsid w:val="003F6674"/>
    <w:rsid w:val="003F74E9"/>
    <w:rsid w:val="003F7899"/>
    <w:rsid w:val="004006A3"/>
    <w:rsid w:val="00400FC8"/>
    <w:rsid w:val="00405573"/>
    <w:rsid w:val="0040670F"/>
    <w:rsid w:val="004127E5"/>
    <w:rsid w:val="0041324F"/>
    <w:rsid w:val="00414030"/>
    <w:rsid w:val="00415EF0"/>
    <w:rsid w:val="00416A60"/>
    <w:rsid w:val="0042416B"/>
    <w:rsid w:val="004269EC"/>
    <w:rsid w:val="0043103A"/>
    <w:rsid w:val="00447594"/>
    <w:rsid w:val="004500C0"/>
    <w:rsid w:val="00451A02"/>
    <w:rsid w:val="00454943"/>
    <w:rsid w:val="00454A6F"/>
    <w:rsid w:val="00454F0C"/>
    <w:rsid w:val="00455D6E"/>
    <w:rsid w:val="00457D29"/>
    <w:rsid w:val="00460830"/>
    <w:rsid w:val="00462477"/>
    <w:rsid w:val="00463E88"/>
    <w:rsid w:val="0046627C"/>
    <w:rsid w:val="00467B22"/>
    <w:rsid w:val="00476049"/>
    <w:rsid w:val="00476F17"/>
    <w:rsid w:val="004773CE"/>
    <w:rsid w:val="00480AA9"/>
    <w:rsid w:val="0048222B"/>
    <w:rsid w:val="0048278D"/>
    <w:rsid w:val="00490D1A"/>
    <w:rsid w:val="004912D6"/>
    <w:rsid w:val="00492335"/>
    <w:rsid w:val="00495DB9"/>
    <w:rsid w:val="004A06FF"/>
    <w:rsid w:val="004A2819"/>
    <w:rsid w:val="004B2BF9"/>
    <w:rsid w:val="004C64CC"/>
    <w:rsid w:val="004C653D"/>
    <w:rsid w:val="004C6C16"/>
    <w:rsid w:val="004C7537"/>
    <w:rsid w:val="004D0F78"/>
    <w:rsid w:val="004D16C3"/>
    <w:rsid w:val="004D61A0"/>
    <w:rsid w:val="004E0919"/>
    <w:rsid w:val="004E7BC8"/>
    <w:rsid w:val="004F1233"/>
    <w:rsid w:val="004F23FA"/>
    <w:rsid w:val="004F2545"/>
    <w:rsid w:val="004F3862"/>
    <w:rsid w:val="004F4072"/>
    <w:rsid w:val="004F6E74"/>
    <w:rsid w:val="004F791D"/>
    <w:rsid w:val="005020A4"/>
    <w:rsid w:val="00503F5A"/>
    <w:rsid w:val="00506440"/>
    <w:rsid w:val="00510606"/>
    <w:rsid w:val="00510DA3"/>
    <w:rsid w:val="005133A8"/>
    <w:rsid w:val="005135F6"/>
    <w:rsid w:val="00516DAB"/>
    <w:rsid w:val="005205DC"/>
    <w:rsid w:val="00522C4D"/>
    <w:rsid w:val="00524966"/>
    <w:rsid w:val="0053176A"/>
    <w:rsid w:val="00537998"/>
    <w:rsid w:val="00545769"/>
    <w:rsid w:val="00546219"/>
    <w:rsid w:val="00553D31"/>
    <w:rsid w:val="0055698A"/>
    <w:rsid w:val="00557119"/>
    <w:rsid w:val="005612A3"/>
    <w:rsid w:val="00563A0B"/>
    <w:rsid w:val="00563B4E"/>
    <w:rsid w:val="00563BC0"/>
    <w:rsid w:val="0056653F"/>
    <w:rsid w:val="00567B3D"/>
    <w:rsid w:val="0057223D"/>
    <w:rsid w:val="0057235E"/>
    <w:rsid w:val="005727C6"/>
    <w:rsid w:val="00577448"/>
    <w:rsid w:val="005817BE"/>
    <w:rsid w:val="00582339"/>
    <w:rsid w:val="00582A44"/>
    <w:rsid w:val="00584648"/>
    <w:rsid w:val="00587A35"/>
    <w:rsid w:val="00591B1B"/>
    <w:rsid w:val="005961DF"/>
    <w:rsid w:val="0059736E"/>
    <w:rsid w:val="005A4D5F"/>
    <w:rsid w:val="005A5FBA"/>
    <w:rsid w:val="005B3304"/>
    <w:rsid w:val="005B44FF"/>
    <w:rsid w:val="005B6247"/>
    <w:rsid w:val="005D2F8D"/>
    <w:rsid w:val="005D64BA"/>
    <w:rsid w:val="005D71DB"/>
    <w:rsid w:val="005D770A"/>
    <w:rsid w:val="005E026C"/>
    <w:rsid w:val="005E21D9"/>
    <w:rsid w:val="005E2571"/>
    <w:rsid w:val="005E2D06"/>
    <w:rsid w:val="005E48CC"/>
    <w:rsid w:val="005F34B9"/>
    <w:rsid w:val="005F57A0"/>
    <w:rsid w:val="005F5F58"/>
    <w:rsid w:val="006020F8"/>
    <w:rsid w:val="00602383"/>
    <w:rsid w:val="00604E34"/>
    <w:rsid w:val="00604ECC"/>
    <w:rsid w:val="006067AD"/>
    <w:rsid w:val="00610045"/>
    <w:rsid w:val="00615B28"/>
    <w:rsid w:val="00623715"/>
    <w:rsid w:val="00623801"/>
    <w:rsid w:val="00624C49"/>
    <w:rsid w:val="006316EE"/>
    <w:rsid w:val="006358AC"/>
    <w:rsid w:val="00642ECA"/>
    <w:rsid w:val="00643A1A"/>
    <w:rsid w:val="0064546E"/>
    <w:rsid w:val="00651AFA"/>
    <w:rsid w:val="006523AB"/>
    <w:rsid w:val="00652924"/>
    <w:rsid w:val="00653391"/>
    <w:rsid w:val="00654E23"/>
    <w:rsid w:val="00664460"/>
    <w:rsid w:val="006675D4"/>
    <w:rsid w:val="00667E3F"/>
    <w:rsid w:val="00672F5D"/>
    <w:rsid w:val="00681569"/>
    <w:rsid w:val="00682696"/>
    <w:rsid w:val="0068382B"/>
    <w:rsid w:val="00684AC9"/>
    <w:rsid w:val="00684D06"/>
    <w:rsid w:val="00684EEA"/>
    <w:rsid w:val="00692893"/>
    <w:rsid w:val="00694266"/>
    <w:rsid w:val="006943DB"/>
    <w:rsid w:val="006949A8"/>
    <w:rsid w:val="006972D6"/>
    <w:rsid w:val="00697C50"/>
    <w:rsid w:val="006A3207"/>
    <w:rsid w:val="006A7C0F"/>
    <w:rsid w:val="006B01E5"/>
    <w:rsid w:val="006B13FA"/>
    <w:rsid w:val="006B294B"/>
    <w:rsid w:val="006B3EBE"/>
    <w:rsid w:val="006C0F78"/>
    <w:rsid w:val="006C21CA"/>
    <w:rsid w:val="006C25D8"/>
    <w:rsid w:val="006C45F0"/>
    <w:rsid w:val="006C523A"/>
    <w:rsid w:val="006C5F60"/>
    <w:rsid w:val="006C6C7B"/>
    <w:rsid w:val="006D59B7"/>
    <w:rsid w:val="006D5CB9"/>
    <w:rsid w:val="006E0D5F"/>
    <w:rsid w:val="006F02D2"/>
    <w:rsid w:val="006F15DB"/>
    <w:rsid w:val="006F4975"/>
    <w:rsid w:val="006F4ABF"/>
    <w:rsid w:val="006F6FDA"/>
    <w:rsid w:val="00703658"/>
    <w:rsid w:val="00707210"/>
    <w:rsid w:val="007115AE"/>
    <w:rsid w:val="00721966"/>
    <w:rsid w:val="0072661D"/>
    <w:rsid w:val="00727C68"/>
    <w:rsid w:val="00727FF4"/>
    <w:rsid w:val="00733263"/>
    <w:rsid w:val="00734434"/>
    <w:rsid w:val="00736313"/>
    <w:rsid w:val="00736E9A"/>
    <w:rsid w:val="00737714"/>
    <w:rsid w:val="00747B5F"/>
    <w:rsid w:val="007519C0"/>
    <w:rsid w:val="0076069D"/>
    <w:rsid w:val="0076144D"/>
    <w:rsid w:val="00767754"/>
    <w:rsid w:val="0077290F"/>
    <w:rsid w:val="00772B0F"/>
    <w:rsid w:val="007745C1"/>
    <w:rsid w:val="00774F0E"/>
    <w:rsid w:val="00775358"/>
    <w:rsid w:val="007765AA"/>
    <w:rsid w:val="00782E97"/>
    <w:rsid w:val="00785025"/>
    <w:rsid w:val="0078765F"/>
    <w:rsid w:val="00790298"/>
    <w:rsid w:val="00793677"/>
    <w:rsid w:val="007A1168"/>
    <w:rsid w:val="007A12E4"/>
    <w:rsid w:val="007A16DB"/>
    <w:rsid w:val="007A3658"/>
    <w:rsid w:val="007A4D3E"/>
    <w:rsid w:val="007A6BDC"/>
    <w:rsid w:val="007A7C5A"/>
    <w:rsid w:val="007B0095"/>
    <w:rsid w:val="007B1754"/>
    <w:rsid w:val="007B55F6"/>
    <w:rsid w:val="007B6092"/>
    <w:rsid w:val="007B7153"/>
    <w:rsid w:val="007B77D8"/>
    <w:rsid w:val="007C0E2C"/>
    <w:rsid w:val="007C10F8"/>
    <w:rsid w:val="007C24C1"/>
    <w:rsid w:val="007C4295"/>
    <w:rsid w:val="007C5DEE"/>
    <w:rsid w:val="007C610A"/>
    <w:rsid w:val="007C6E59"/>
    <w:rsid w:val="007C7E21"/>
    <w:rsid w:val="007D0A47"/>
    <w:rsid w:val="007D33B9"/>
    <w:rsid w:val="007D4BE2"/>
    <w:rsid w:val="007D4EC0"/>
    <w:rsid w:val="007D5559"/>
    <w:rsid w:val="007D6432"/>
    <w:rsid w:val="007E1AAD"/>
    <w:rsid w:val="007E5D37"/>
    <w:rsid w:val="007F583C"/>
    <w:rsid w:val="00800002"/>
    <w:rsid w:val="00826144"/>
    <w:rsid w:val="00832B10"/>
    <w:rsid w:val="008345BE"/>
    <w:rsid w:val="0083691D"/>
    <w:rsid w:val="008375A0"/>
    <w:rsid w:val="00847C6D"/>
    <w:rsid w:val="00850558"/>
    <w:rsid w:val="008507FD"/>
    <w:rsid w:val="00853523"/>
    <w:rsid w:val="008564B7"/>
    <w:rsid w:val="008628E0"/>
    <w:rsid w:val="00870492"/>
    <w:rsid w:val="00874098"/>
    <w:rsid w:val="008746B1"/>
    <w:rsid w:val="0088318B"/>
    <w:rsid w:val="00885B53"/>
    <w:rsid w:val="00885D25"/>
    <w:rsid w:val="008878E5"/>
    <w:rsid w:val="00893F03"/>
    <w:rsid w:val="008951D3"/>
    <w:rsid w:val="0089550A"/>
    <w:rsid w:val="008A1F76"/>
    <w:rsid w:val="008A32AD"/>
    <w:rsid w:val="008B01E3"/>
    <w:rsid w:val="008B2343"/>
    <w:rsid w:val="008B465E"/>
    <w:rsid w:val="008B4912"/>
    <w:rsid w:val="008C0951"/>
    <w:rsid w:val="008C1083"/>
    <w:rsid w:val="008D1843"/>
    <w:rsid w:val="008D1941"/>
    <w:rsid w:val="008D1BC0"/>
    <w:rsid w:val="008D1D51"/>
    <w:rsid w:val="008D765E"/>
    <w:rsid w:val="008E065C"/>
    <w:rsid w:val="008E1E32"/>
    <w:rsid w:val="008E23C1"/>
    <w:rsid w:val="008E2ACC"/>
    <w:rsid w:val="008E5B72"/>
    <w:rsid w:val="008E7A04"/>
    <w:rsid w:val="008F4765"/>
    <w:rsid w:val="008F5FC4"/>
    <w:rsid w:val="008F7BBA"/>
    <w:rsid w:val="00902377"/>
    <w:rsid w:val="009061E1"/>
    <w:rsid w:val="00906AB5"/>
    <w:rsid w:val="00907CBC"/>
    <w:rsid w:val="00913406"/>
    <w:rsid w:val="00913AA8"/>
    <w:rsid w:val="00914553"/>
    <w:rsid w:val="00916827"/>
    <w:rsid w:val="00920BEC"/>
    <w:rsid w:val="00920C5E"/>
    <w:rsid w:val="0092177C"/>
    <w:rsid w:val="009232D1"/>
    <w:rsid w:val="009271E8"/>
    <w:rsid w:val="0092723C"/>
    <w:rsid w:val="0093072E"/>
    <w:rsid w:val="0093195B"/>
    <w:rsid w:val="00936517"/>
    <w:rsid w:val="0093755D"/>
    <w:rsid w:val="00941193"/>
    <w:rsid w:val="00944C7C"/>
    <w:rsid w:val="009450EC"/>
    <w:rsid w:val="009504D8"/>
    <w:rsid w:val="00950931"/>
    <w:rsid w:val="009509CC"/>
    <w:rsid w:val="00951865"/>
    <w:rsid w:val="00963FDC"/>
    <w:rsid w:val="009650A1"/>
    <w:rsid w:val="0096629E"/>
    <w:rsid w:val="00971604"/>
    <w:rsid w:val="0097397C"/>
    <w:rsid w:val="00974F38"/>
    <w:rsid w:val="00975EC5"/>
    <w:rsid w:val="009772C7"/>
    <w:rsid w:val="009826D9"/>
    <w:rsid w:val="009878E3"/>
    <w:rsid w:val="00992450"/>
    <w:rsid w:val="00994E2B"/>
    <w:rsid w:val="00996608"/>
    <w:rsid w:val="009A008E"/>
    <w:rsid w:val="009A0670"/>
    <w:rsid w:val="009B03A0"/>
    <w:rsid w:val="009B0BE1"/>
    <w:rsid w:val="009B4277"/>
    <w:rsid w:val="009B4704"/>
    <w:rsid w:val="009B4FDA"/>
    <w:rsid w:val="009C234B"/>
    <w:rsid w:val="009C7FF4"/>
    <w:rsid w:val="009D31C5"/>
    <w:rsid w:val="009D63DD"/>
    <w:rsid w:val="009D707F"/>
    <w:rsid w:val="009E11D0"/>
    <w:rsid w:val="009E3E33"/>
    <w:rsid w:val="009E52D5"/>
    <w:rsid w:val="009E7A29"/>
    <w:rsid w:val="009E7B22"/>
    <w:rsid w:val="009F1C97"/>
    <w:rsid w:val="009F4356"/>
    <w:rsid w:val="009F43BE"/>
    <w:rsid w:val="009F5A7D"/>
    <w:rsid w:val="00A01B13"/>
    <w:rsid w:val="00A031C6"/>
    <w:rsid w:val="00A03D35"/>
    <w:rsid w:val="00A05176"/>
    <w:rsid w:val="00A06D8B"/>
    <w:rsid w:val="00A074A5"/>
    <w:rsid w:val="00A10B8B"/>
    <w:rsid w:val="00A11181"/>
    <w:rsid w:val="00A12A0C"/>
    <w:rsid w:val="00A146FC"/>
    <w:rsid w:val="00A15EDC"/>
    <w:rsid w:val="00A17ABF"/>
    <w:rsid w:val="00A21F9F"/>
    <w:rsid w:val="00A24D01"/>
    <w:rsid w:val="00A3004C"/>
    <w:rsid w:val="00A30862"/>
    <w:rsid w:val="00A3105E"/>
    <w:rsid w:val="00A33866"/>
    <w:rsid w:val="00A340E3"/>
    <w:rsid w:val="00A36081"/>
    <w:rsid w:val="00A3612F"/>
    <w:rsid w:val="00A4065F"/>
    <w:rsid w:val="00A427A2"/>
    <w:rsid w:val="00A4380C"/>
    <w:rsid w:val="00A4568B"/>
    <w:rsid w:val="00A47792"/>
    <w:rsid w:val="00A5159F"/>
    <w:rsid w:val="00A543D6"/>
    <w:rsid w:val="00A55767"/>
    <w:rsid w:val="00A5691F"/>
    <w:rsid w:val="00A57E59"/>
    <w:rsid w:val="00A61152"/>
    <w:rsid w:val="00A65B90"/>
    <w:rsid w:val="00A66975"/>
    <w:rsid w:val="00A66AE5"/>
    <w:rsid w:val="00A8043C"/>
    <w:rsid w:val="00A91D03"/>
    <w:rsid w:val="00A92259"/>
    <w:rsid w:val="00A94227"/>
    <w:rsid w:val="00AA031C"/>
    <w:rsid w:val="00AA198C"/>
    <w:rsid w:val="00AA2774"/>
    <w:rsid w:val="00AA2AD9"/>
    <w:rsid w:val="00AA571C"/>
    <w:rsid w:val="00AA78F7"/>
    <w:rsid w:val="00AA7C98"/>
    <w:rsid w:val="00AB34C4"/>
    <w:rsid w:val="00AB4F95"/>
    <w:rsid w:val="00AB5427"/>
    <w:rsid w:val="00AB5593"/>
    <w:rsid w:val="00AB61D2"/>
    <w:rsid w:val="00AC0A36"/>
    <w:rsid w:val="00AC2852"/>
    <w:rsid w:val="00AC3406"/>
    <w:rsid w:val="00AD74F9"/>
    <w:rsid w:val="00AE0AB0"/>
    <w:rsid w:val="00AE4110"/>
    <w:rsid w:val="00AE7E83"/>
    <w:rsid w:val="00AF14DC"/>
    <w:rsid w:val="00AF20DC"/>
    <w:rsid w:val="00AF479A"/>
    <w:rsid w:val="00AF627C"/>
    <w:rsid w:val="00AF632E"/>
    <w:rsid w:val="00AF7587"/>
    <w:rsid w:val="00AF7AEA"/>
    <w:rsid w:val="00AF7CDB"/>
    <w:rsid w:val="00B005F5"/>
    <w:rsid w:val="00B0342F"/>
    <w:rsid w:val="00B04482"/>
    <w:rsid w:val="00B07F32"/>
    <w:rsid w:val="00B14185"/>
    <w:rsid w:val="00B14A5F"/>
    <w:rsid w:val="00B17994"/>
    <w:rsid w:val="00B17C68"/>
    <w:rsid w:val="00B200CB"/>
    <w:rsid w:val="00B3023A"/>
    <w:rsid w:val="00B306F6"/>
    <w:rsid w:val="00B327A7"/>
    <w:rsid w:val="00B33441"/>
    <w:rsid w:val="00B35D51"/>
    <w:rsid w:val="00B40786"/>
    <w:rsid w:val="00B45C05"/>
    <w:rsid w:val="00B50017"/>
    <w:rsid w:val="00B60D89"/>
    <w:rsid w:val="00B64111"/>
    <w:rsid w:val="00B77D0D"/>
    <w:rsid w:val="00B8023E"/>
    <w:rsid w:val="00B819B7"/>
    <w:rsid w:val="00B836AD"/>
    <w:rsid w:val="00B86A5C"/>
    <w:rsid w:val="00B90D42"/>
    <w:rsid w:val="00B95BD1"/>
    <w:rsid w:val="00BA39B1"/>
    <w:rsid w:val="00BA3D24"/>
    <w:rsid w:val="00BA5273"/>
    <w:rsid w:val="00BA5773"/>
    <w:rsid w:val="00BA6180"/>
    <w:rsid w:val="00BB2A31"/>
    <w:rsid w:val="00BB4A67"/>
    <w:rsid w:val="00BB4B2B"/>
    <w:rsid w:val="00BB6850"/>
    <w:rsid w:val="00BB6C90"/>
    <w:rsid w:val="00BB7949"/>
    <w:rsid w:val="00BB7EF0"/>
    <w:rsid w:val="00BC5B32"/>
    <w:rsid w:val="00BC7454"/>
    <w:rsid w:val="00BD231A"/>
    <w:rsid w:val="00BD545D"/>
    <w:rsid w:val="00BE1D59"/>
    <w:rsid w:val="00BE2D46"/>
    <w:rsid w:val="00BE397E"/>
    <w:rsid w:val="00BE6C84"/>
    <w:rsid w:val="00BF11F0"/>
    <w:rsid w:val="00BF1BA2"/>
    <w:rsid w:val="00BF2DBF"/>
    <w:rsid w:val="00BF3A90"/>
    <w:rsid w:val="00BF5DBF"/>
    <w:rsid w:val="00BF798E"/>
    <w:rsid w:val="00C041AB"/>
    <w:rsid w:val="00C0428B"/>
    <w:rsid w:val="00C04C8D"/>
    <w:rsid w:val="00C066BB"/>
    <w:rsid w:val="00C0752A"/>
    <w:rsid w:val="00C10A4C"/>
    <w:rsid w:val="00C14D09"/>
    <w:rsid w:val="00C24B0F"/>
    <w:rsid w:val="00C312F0"/>
    <w:rsid w:val="00C3738C"/>
    <w:rsid w:val="00C410C3"/>
    <w:rsid w:val="00C41EFB"/>
    <w:rsid w:val="00C41F46"/>
    <w:rsid w:val="00C4492B"/>
    <w:rsid w:val="00C474C0"/>
    <w:rsid w:val="00C54A8D"/>
    <w:rsid w:val="00C610CD"/>
    <w:rsid w:val="00C61506"/>
    <w:rsid w:val="00C616AE"/>
    <w:rsid w:val="00C621CF"/>
    <w:rsid w:val="00C62319"/>
    <w:rsid w:val="00C647D1"/>
    <w:rsid w:val="00C75335"/>
    <w:rsid w:val="00C848FA"/>
    <w:rsid w:val="00C875F5"/>
    <w:rsid w:val="00C87FBF"/>
    <w:rsid w:val="00C920FE"/>
    <w:rsid w:val="00C925EF"/>
    <w:rsid w:val="00C971F1"/>
    <w:rsid w:val="00CA04D3"/>
    <w:rsid w:val="00CA2F8B"/>
    <w:rsid w:val="00CA473A"/>
    <w:rsid w:val="00CA7ABF"/>
    <w:rsid w:val="00CB0047"/>
    <w:rsid w:val="00CB4390"/>
    <w:rsid w:val="00CB719D"/>
    <w:rsid w:val="00CC25FB"/>
    <w:rsid w:val="00CD2DFF"/>
    <w:rsid w:val="00CD4A42"/>
    <w:rsid w:val="00CD599F"/>
    <w:rsid w:val="00CD7938"/>
    <w:rsid w:val="00CE0B5D"/>
    <w:rsid w:val="00CE35AD"/>
    <w:rsid w:val="00CE4848"/>
    <w:rsid w:val="00CE7C19"/>
    <w:rsid w:val="00CF04E6"/>
    <w:rsid w:val="00CF0A61"/>
    <w:rsid w:val="00CF0EB6"/>
    <w:rsid w:val="00CF469A"/>
    <w:rsid w:val="00CF5BF0"/>
    <w:rsid w:val="00CF641C"/>
    <w:rsid w:val="00D019A3"/>
    <w:rsid w:val="00D02A85"/>
    <w:rsid w:val="00D069B1"/>
    <w:rsid w:val="00D113F3"/>
    <w:rsid w:val="00D12F3D"/>
    <w:rsid w:val="00D144A0"/>
    <w:rsid w:val="00D14693"/>
    <w:rsid w:val="00D14EBA"/>
    <w:rsid w:val="00D15114"/>
    <w:rsid w:val="00D1566C"/>
    <w:rsid w:val="00D231E8"/>
    <w:rsid w:val="00D2557E"/>
    <w:rsid w:val="00D27367"/>
    <w:rsid w:val="00D279EC"/>
    <w:rsid w:val="00D27F50"/>
    <w:rsid w:val="00D303FC"/>
    <w:rsid w:val="00D30916"/>
    <w:rsid w:val="00D40857"/>
    <w:rsid w:val="00D40AEC"/>
    <w:rsid w:val="00D42FB2"/>
    <w:rsid w:val="00D50AB5"/>
    <w:rsid w:val="00D53694"/>
    <w:rsid w:val="00D553D4"/>
    <w:rsid w:val="00D554C9"/>
    <w:rsid w:val="00D6037E"/>
    <w:rsid w:val="00D60F9C"/>
    <w:rsid w:val="00D62B0A"/>
    <w:rsid w:val="00D631BE"/>
    <w:rsid w:val="00D63359"/>
    <w:rsid w:val="00D64519"/>
    <w:rsid w:val="00D65A65"/>
    <w:rsid w:val="00D70AE6"/>
    <w:rsid w:val="00D72E0E"/>
    <w:rsid w:val="00D77C6F"/>
    <w:rsid w:val="00D8304A"/>
    <w:rsid w:val="00D8434A"/>
    <w:rsid w:val="00D91962"/>
    <w:rsid w:val="00D93F9C"/>
    <w:rsid w:val="00D94674"/>
    <w:rsid w:val="00DA126B"/>
    <w:rsid w:val="00DA1700"/>
    <w:rsid w:val="00DA3C9D"/>
    <w:rsid w:val="00DA466D"/>
    <w:rsid w:val="00DA5937"/>
    <w:rsid w:val="00DA6517"/>
    <w:rsid w:val="00DB19E6"/>
    <w:rsid w:val="00DB201E"/>
    <w:rsid w:val="00DC1B8A"/>
    <w:rsid w:val="00DC211B"/>
    <w:rsid w:val="00DC223A"/>
    <w:rsid w:val="00DC3CAB"/>
    <w:rsid w:val="00DC6606"/>
    <w:rsid w:val="00DC6FF1"/>
    <w:rsid w:val="00DD1AB9"/>
    <w:rsid w:val="00DD590F"/>
    <w:rsid w:val="00DD655B"/>
    <w:rsid w:val="00DE0175"/>
    <w:rsid w:val="00DE5335"/>
    <w:rsid w:val="00DE6F5F"/>
    <w:rsid w:val="00DF36F2"/>
    <w:rsid w:val="00DF5FC3"/>
    <w:rsid w:val="00DF6A1A"/>
    <w:rsid w:val="00DF72A1"/>
    <w:rsid w:val="00E03405"/>
    <w:rsid w:val="00E039E1"/>
    <w:rsid w:val="00E05931"/>
    <w:rsid w:val="00E07867"/>
    <w:rsid w:val="00E10739"/>
    <w:rsid w:val="00E145AA"/>
    <w:rsid w:val="00E156C5"/>
    <w:rsid w:val="00E15CC2"/>
    <w:rsid w:val="00E1621B"/>
    <w:rsid w:val="00E20B7A"/>
    <w:rsid w:val="00E211A5"/>
    <w:rsid w:val="00E25B5A"/>
    <w:rsid w:val="00E32BAF"/>
    <w:rsid w:val="00E33423"/>
    <w:rsid w:val="00E3407B"/>
    <w:rsid w:val="00E3670B"/>
    <w:rsid w:val="00E4262C"/>
    <w:rsid w:val="00E463EF"/>
    <w:rsid w:val="00E52424"/>
    <w:rsid w:val="00E54211"/>
    <w:rsid w:val="00E54C14"/>
    <w:rsid w:val="00E6319B"/>
    <w:rsid w:val="00E66060"/>
    <w:rsid w:val="00E7237C"/>
    <w:rsid w:val="00E7546B"/>
    <w:rsid w:val="00E7627B"/>
    <w:rsid w:val="00E83BEE"/>
    <w:rsid w:val="00E84512"/>
    <w:rsid w:val="00E8703F"/>
    <w:rsid w:val="00E87327"/>
    <w:rsid w:val="00E901E5"/>
    <w:rsid w:val="00E961C0"/>
    <w:rsid w:val="00E973D5"/>
    <w:rsid w:val="00EA0457"/>
    <w:rsid w:val="00EA2B63"/>
    <w:rsid w:val="00EA41D3"/>
    <w:rsid w:val="00EA73B2"/>
    <w:rsid w:val="00EB0F88"/>
    <w:rsid w:val="00EB32E7"/>
    <w:rsid w:val="00EB6C37"/>
    <w:rsid w:val="00EB75C4"/>
    <w:rsid w:val="00EC1965"/>
    <w:rsid w:val="00EC6E41"/>
    <w:rsid w:val="00ED1E59"/>
    <w:rsid w:val="00ED2690"/>
    <w:rsid w:val="00ED2B8F"/>
    <w:rsid w:val="00ED30D0"/>
    <w:rsid w:val="00ED3241"/>
    <w:rsid w:val="00ED47E1"/>
    <w:rsid w:val="00EE01E6"/>
    <w:rsid w:val="00EE1A29"/>
    <w:rsid w:val="00EE28F5"/>
    <w:rsid w:val="00EE2B86"/>
    <w:rsid w:val="00EE3DE1"/>
    <w:rsid w:val="00EE6A80"/>
    <w:rsid w:val="00EF0DBC"/>
    <w:rsid w:val="00EF2CC6"/>
    <w:rsid w:val="00F00048"/>
    <w:rsid w:val="00F0173D"/>
    <w:rsid w:val="00F03A9A"/>
    <w:rsid w:val="00F06955"/>
    <w:rsid w:val="00F1124D"/>
    <w:rsid w:val="00F11DD8"/>
    <w:rsid w:val="00F12427"/>
    <w:rsid w:val="00F127AD"/>
    <w:rsid w:val="00F127CB"/>
    <w:rsid w:val="00F12AEA"/>
    <w:rsid w:val="00F169F3"/>
    <w:rsid w:val="00F23B8E"/>
    <w:rsid w:val="00F27453"/>
    <w:rsid w:val="00F27933"/>
    <w:rsid w:val="00F31064"/>
    <w:rsid w:val="00F3252D"/>
    <w:rsid w:val="00F32832"/>
    <w:rsid w:val="00F357A5"/>
    <w:rsid w:val="00F40C40"/>
    <w:rsid w:val="00F4588F"/>
    <w:rsid w:val="00F45C98"/>
    <w:rsid w:val="00F46C78"/>
    <w:rsid w:val="00F51D05"/>
    <w:rsid w:val="00F53C4F"/>
    <w:rsid w:val="00F55723"/>
    <w:rsid w:val="00F62DD2"/>
    <w:rsid w:val="00F6700F"/>
    <w:rsid w:val="00F6757E"/>
    <w:rsid w:val="00F67A28"/>
    <w:rsid w:val="00F73D53"/>
    <w:rsid w:val="00F75C61"/>
    <w:rsid w:val="00F75D6B"/>
    <w:rsid w:val="00F7781A"/>
    <w:rsid w:val="00F778EA"/>
    <w:rsid w:val="00F809B4"/>
    <w:rsid w:val="00F87EDE"/>
    <w:rsid w:val="00F91330"/>
    <w:rsid w:val="00F93361"/>
    <w:rsid w:val="00FA1E76"/>
    <w:rsid w:val="00FA21B6"/>
    <w:rsid w:val="00FB034A"/>
    <w:rsid w:val="00FB32F1"/>
    <w:rsid w:val="00FB7383"/>
    <w:rsid w:val="00FC2B0F"/>
    <w:rsid w:val="00FC342A"/>
    <w:rsid w:val="00FD2EFE"/>
    <w:rsid w:val="00FE4815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3EAC0"/>
  <w15:chartTrackingRefBased/>
  <w15:docId w15:val="{0445635E-C050-4544-A2DE-BF37B95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4">
    <w:name w:val="heading 4"/>
    <w:basedOn w:val="Normal"/>
    <w:next w:val="Normal"/>
    <w:link w:val="Titlu4Caracter"/>
    <w:uiPriority w:val="9"/>
    <w:qFormat/>
    <w:rsid w:val="004F4072"/>
    <w:pPr>
      <w:keepNext/>
      <w:spacing w:after="0" w:line="240" w:lineRule="auto"/>
      <w:ind w:firstLine="709"/>
      <w:jc w:val="center"/>
      <w:outlineLvl w:val="3"/>
    </w:pPr>
    <w:rPr>
      <w:rFonts w:ascii="$Caslon" w:eastAsia="Times New Roman" w:hAnsi="$Caslon" w:cs="Times New Roman"/>
      <w:b/>
      <w:sz w:val="26"/>
      <w:szCs w:val="20"/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rsid w:val="00A9225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A9225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o-RO" w:eastAsia="ro-MD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A92259"/>
    <w:rPr>
      <w:rFonts w:ascii="Times New Roman" w:eastAsia="Times New Roman" w:hAnsi="Times New Roman" w:cs="Times New Roman"/>
      <w:sz w:val="20"/>
      <w:szCs w:val="20"/>
      <w:lang w:val="ro-RO" w:eastAsia="ro-M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9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225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177A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4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uiPriority w:val="1"/>
    <w:qFormat/>
    <w:rsid w:val="00ED47E1"/>
    <w:pPr>
      <w:spacing w:after="0" w:line="240" w:lineRule="auto"/>
    </w:pPr>
  </w:style>
  <w:style w:type="paragraph" w:customStyle="1" w:styleId="cp">
    <w:name w:val="cp"/>
    <w:basedOn w:val="Normal"/>
    <w:rsid w:val="002E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9B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7A3658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122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22D6C"/>
  </w:style>
  <w:style w:type="paragraph" w:styleId="Subsol">
    <w:name w:val="footer"/>
    <w:basedOn w:val="Normal"/>
    <w:link w:val="SubsolCaracter"/>
    <w:uiPriority w:val="99"/>
    <w:unhideWhenUsed/>
    <w:rsid w:val="00122D6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22D6C"/>
  </w:style>
  <w:style w:type="paragraph" w:styleId="Revizuire">
    <w:name w:val="Revision"/>
    <w:hidden/>
    <w:uiPriority w:val="99"/>
    <w:semiHidden/>
    <w:rsid w:val="00DA6517"/>
    <w:pPr>
      <w:spacing w:after="0" w:line="240" w:lineRule="auto"/>
    </w:pPr>
  </w:style>
  <w:style w:type="character" w:styleId="Accentuat">
    <w:name w:val="Emphasis"/>
    <w:basedOn w:val="Fontdeparagrafimplicit"/>
    <w:uiPriority w:val="20"/>
    <w:qFormat/>
    <w:rsid w:val="00333BD0"/>
    <w:rPr>
      <w:i/>
      <w:iCs/>
    </w:rPr>
  </w:style>
  <w:style w:type="character" w:styleId="Robust">
    <w:name w:val="Strong"/>
    <w:basedOn w:val="Fontdeparagrafimplicit"/>
    <w:uiPriority w:val="22"/>
    <w:qFormat/>
    <w:rsid w:val="00EF2CC6"/>
    <w:rPr>
      <w:b/>
      <w:bCs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F46C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F46C78"/>
    <w:rPr>
      <w:rFonts w:ascii="Times New Roman" w:eastAsia="Times New Roman" w:hAnsi="Times New Roman" w:cs="Times New Roman"/>
      <w:b/>
      <w:bCs/>
      <w:sz w:val="20"/>
      <w:szCs w:val="20"/>
      <w:lang w:val="ro-RO" w:eastAsia="ro-MD"/>
    </w:rPr>
  </w:style>
  <w:style w:type="character" w:customStyle="1" w:styleId="Titlu4Caracter">
    <w:name w:val="Titlu 4 Caracter"/>
    <w:basedOn w:val="Fontdeparagrafimplicit"/>
    <w:link w:val="Titlu4"/>
    <w:uiPriority w:val="9"/>
    <w:rsid w:val="004F4072"/>
    <w:rPr>
      <w:rFonts w:ascii="$Caslon" w:eastAsia="Times New Roman" w:hAnsi="$Caslon" w:cs="Times New Roman"/>
      <w:b/>
      <w:sz w:val="26"/>
      <w:szCs w:val="20"/>
      <w:lang w:val="ru-RU"/>
    </w:rPr>
  </w:style>
  <w:style w:type="table" w:styleId="Tabelgril">
    <w:name w:val="Table Grid"/>
    <w:basedOn w:val="TabelNormal"/>
    <w:uiPriority w:val="39"/>
    <w:rsid w:val="004F407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">
    <w:name w:val="cb"/>
    <w:basedOn w:val="Normal"/>
    <w:rsid w:val="00D113F3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D113F3"/>
    <w:pPr>
      <w:spacing w:before="100" w:beforeAutospacing="1" w:after="100" w:afterAutospacing="1" w:line="240" w:lineRule="auto"/>
      <w:jc w:val="righ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7a663a-448e-4600-b8bc-c4a162a9c53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8D143A1BD214F8049E535F98907C0" ma:contentTypeVersion="15" ma:contentTypeDescription="Create a new document." ma:contentTypeScope="" ma:versionID="7dc7b6c8d63306458c90a9f1eb0ff902">
  <xsd:schema xmlns:xsd="http://www.w3.org/2001/XMLSchema" xmlns:xs="http://www.w3.org/2001/XMLSchema" xmlns:p="http://schemas.microsoft.com/office/2006/metadata/properties" xmlns:ns3="3f7a663a-448e-4600-b8bc-c4a162a9c531" xmlns:ns4="2e86140c-acc9-44a4-a8a4-81f6f1c206a6" targetNamespace="http://schemas.microsoft.com/office/2006/metadata/properties" ma:root="true" ma:fieldsID="dc860816d4dce9446bd9b323c19aa94e" ns3:_="" ns4:_="">
    <xsd:import namespace="3f7a663a-448e-4600-b8bc-c4a162a9c531"/>
    <xsd:import namespace="2e86140c-acc9-44a4-a8a4-81f6f1c20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663a-448e-4600-b8bc-c4a162a9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40c-acc9-44a4-a8a4-81f6f1c20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50BF0-0BD9-4B95-A002-2810ED5C2848}">
  <ds:schemaRefs>
    <ds:schemaRef ds:uri="http://schemas.microsoft.com/office/2006/metadata/properties"/>
    <ds:schemaRef ds:uri="http://schemas.microsoft.com/office/infopath/2007/PartnerControls"/>
    <ds:schemaRef ds:uri="3f7a663a-448e-4600-b8bc-c4a162a9c531"/>
  </ds:schemaRefs>
</ds:datastoreItem>
</file>

<file path=customXml/itemProps2.xml><?xml version="1.0" encoding="utf-8"?>
<ds:datastoreItem xmlns:ds="http://schemas.openxmlformats.org/officeDocument/2006/customXml" ds:itemID="{812C35BB-1120-42DA-95A7-93A26CF8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a663a-448e-4600-b8bc-c4a162a9c531"/>
    <ds:schemaRef ds:uri="2e86140c-acc9-44a4-a8a4-81f6f1c20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10E03-5783-4AE8-8199-AEE2166E1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6FB91-D582-4903-9046-67F0481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2340</Words>
  <Characters>13344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Valerian Colun</cp:lastModifiedBy>
  <cp:revision>78</cp:revision>
  <dcterms:created xsi:type="dcterms:W3CDTF">2025-07-18T06:09:00Z</dcterms:created>
  <dcterms:modified xsi:type="dcterms:W3CDTF">2025-11-26T08:19:00Z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0x0101000EB8D143A1BD214F8049E535F98907C0</vt:lpwstr>
  </property>
  <property fmtid="{D5CDD505-2E9C-101B-9397-08002B2CF9AE}" pid="3" name="GrammarlyDocumentId">
    <vt:lpwstr>216a9aeb87249738e6b61c7e685217fcbe8d11d55740bcff2e7db99532dfc496</vt:lpwstr>
  </property>
</Properties>
</file>