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ACE" w:rsidRDefault="002E7282">
      <w:pPr>
        <w:spacing w:before="12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NOTA DE FUNDAMENTARE</w:t>
      </w:r>
    </w:p>
    <w:p w:rsidR="00146ACE" w:rsidRDefault="002E7282">
      <w:pPr>
        <w:pStyle w:val="Heading1"/>
        <w:spacing w:before="12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la proiectul Hotărârii Guvernului cu privire </w:t>
      </w:r>
      <w:r>
        <w:rPr>
          <w:rFonts w:ascii="Times New Roman" w:eastAsia="Times New Roman" w:hAnsi="Times New Roman" w:cs="Times New Roman"/>
          <w:sz w:val="24"/>
          <w:szCs w:val="24"/>
        </w:rPr>
        <w:t>la transmiterea unor bunuri instituțiilor de învățământ din subordinea unităților administrativ-teritoriale (echipamente IT)</w:t>
      </w:r>
    </w:p>
    <w:p w:rsidR="00146ACE" w:rsidRDefault="00146ACE">
      <w:pPr>
        <w:spacing w:before="120" w:after="0" w:line="240" w:lineRule="auto"/>
        <w:ind w:right="141"/>
        <w:jc w:val="both"/>
        <w:rPr>
          <w:rFonts w:ascii="Times New Roman" w:eastAsia="Times New Roman" w:hAnsi="Times New Roman" w:cs="Times New Roman"/>
          <w:b/>
          <w:color w:val="000000"/>
          <w:sz w:val="24"/>
          <w:szCs w:val="24"/>
          <w:highlight w:val="yellow"/>
        </w:rPr>
      </w:pPr>
    </w:p>
    <w:tbl>
      <w:tblPr>
        <w:tblStyle w:val="a0"/>
        <w:tblW w:w="9776" w:type="dxa"/>
        <w:jc w:val="center"/>
        <w:tblLayout w:type="fixed"/>
        <w:tblLook w:val="0000" w:firstRow="0" w:lastRow="0" w:firstColumn="0" w:lastColumn="0" w:noHBand="0" w:noVBand="0"/>
      </w:tblPr>
      <w:tblGrid>
        <w:gridCol w:w="9776"/>
      </w:tblGrid>
      <w:tr w:rsidR="00146ACE">
        <w:trPr>
          <w:trHeight w:val="194"/>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1. Denumirea sau numele autorului și, după caz, a/al participanților la elaborarea proiectului actului normativ</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FFFFFF"/>
          </w:tcPr>
          <w:p w:rsidR="00146ACE" w:rsidRDefault="002E7282">
            <w:pPr>
              <w:pBdr>
                <w:top w:val="nil"/>
                <w:left w:val="nil"/>
                <w:bottom w:val="nil"/>
                <w:right w:val="nil"/>
                <w:between w:val="nil"/>
              </w:pBdr>
              <w:spacing w:before="120" w:after="0" w:line="276" w:lineRule="auto"/>
              <w:ind w:right="142" w:firstLine="272"/>
              <w:jc w:val="both"/>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Proiectul Hotărârii Guvernului cu privire </w:t>
            </w:r>
            <w:r>
              <w:rPr>
                <w:rFonts w:ascii="Times New Roman" w:eastAsia="Times New Roman" w:hAnsi="Times New Roman" w:cs="Times New Roman"/>
                <w:sz w:val="24"/>
                <w:szCs w:val="24"/>
              </w:rPr>
              <w:t>la transmiterea unor bunuri instituțiilor de învățământ din subordinea unităților administrativ-teritoriale</w:t>
            </w:r>
            <w:r>
              <w:rPr>
                <w:rFonts w:ascii="Times New Roman" w:eastAsia="Times New Roman" w:hAnsi="Times New Roman" w:cs="Times New Roman"/>
                <w:color w:val="000000"/>
                <w:sz w:val="24"/>
                <w:szCs w:val="24"/>
              </w:rPr>
              <w:t xml:space="preserve"> (echipamente IT) este elaborat de către Ministerul Educației și Cercetării și prevede dotarea instituțiilor de învățământ general cu computere și alte dispozitive digitale instituțiilor de învățământ general din țară.</w:t>
            </w:r>
          </w:p>
        </w:tc>
      </w:tr>
      <w:tr w:rsidR="00146ACE">
        <w:trPr>
          <w:trHeight w:val="132"/>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tabs>
                <w:tab w:val="left" w:pos="884"/>
                <w:tab w:val="left" w:pos="1196"/>
              </w:tabs>
              <w:spacing w:before="120" w:after="0" w:line="276" w:lineRule="auto"/>
              <w:ind w:righ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Condițiile ce au impus elaborarea proiectului actului normativ</w:t>
            </w:r>
          </w:p>
        </w:tc>
      </w:tr>
      <w:tr w:rsidR="00146ACE">
        <w:trPr>
          <w:trHeight w:val="132"/>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46ACE" w:rsidRDefault="002E7282">
            <w:pPr>
              <w:tabs>
                <w:tab w:val="left" w:pos="884"/>
                <w:tab w:val="left" w:pos="1196"/>
              </w:tabs>
              <w:spacing w:before="120" w:after="0" w:line="276" w:lineRule="auto"/>
              <w:ind w:righ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Temeiul legal sau, după caz, sursa proiectului actului normativ</w:t>
            </w:r>
          </w:p>
        </w:tc>
      </w:tr>
      <w:tr w:rsidR="00146ACE">
        <w:trPr>
          <w:trHeight w:val="132"/>
          <w:jc w:val="center"/>
        </w:trPr>
        <w:tc>
          <w:tcPr>
            <w:tcW w:w="9776" w:type="dxa"/>
            <w:tcBorders>
              <w:top w:val="single" w:sz="4" w:space="0" w:color="000000"/>
              <w:left w:val="single" w:sz="4" w:space="0" w:color="000000"/>
              <w:bottom w:val="single" w:sz="4" w:space="0" w:color="000000"/>
              <w:right w:val="single" w:sz="4" w:space="0" w:color="000000"/>
            </w:tcBorders>
            <w:vAlign w:val="center"/>
          </w:tcPr>
          <w:p w:rsidR="00146ACE" w:rsidRDefault="002E7282">
            <w:pPr>
              <w:pBdr>
                <w:top w:val="nil"/>
                <w:left w:val="nil"/>
                <w:bottom w:val="nil"/>
                <w:right w:val="nil"/>
                <w:between w:val="nil"/>
              </w:pBdr>
              <w:shd w:val="clear" w:color="auto" w:fill="FFFFFF"/>
              <w:spacing w:before="120" w:after="0" w:line="276" w:lineRule="auto"/>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hotărârii Guvernului este elaborat în temeiul art.139 lit. c) și art. 140 alin. (1) din Codul educației al Republicii Moldova nr.152/2014 (Monitorul Oficial al Republicii Moldova, 2014, nr.319-324, art.634), cu modificările ulterioare.</w:t>
            </w:r>
          </w:p>
          <w:p w:rsidR="00146ACE" w:rsidRDefault="002E7282">
            <w:pPr>
              <w:pBdr>
                <w:top w:val="nil"/>
                <w:left w:val="nil"/>
                <w:bottom w:val="nil"/>
                <w:right w:val="nil"/>
                <w:between w:val="nil"/>
              </w:pBdr>
              <w:shd w:val="clear" w:color="auto" w:fill="FFFFFF"/>
              <w:spacing w:before="120" w:after="0" w:line="276" w:lineRule="auto"/>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Hotărârii Guvernului menționat este acțiune planificată în: Programul național de aderare a Republicii Moldova la Uniunea Europeană pentru anii 2025-2029 (Cluster 3, cap.26, acțiunea 4), Planul național de reglementări pentru anul 2025 (acțiunea 386), Programul de activitate al Guvernului (cap. V, Educație și cercetare) și Planul de activitate al MEC pentru anul 2025.</w:t>
            </w:r>
          </w:p>
          <w:p w:rsidR="00146ACE" w:rsidRDefault="002E7282">
            <w:pPr>
              <w:shd w:val="clear" w:color="auto" w:fill="FFFFFF"/>
              <w:spacing w:before="120" w:after="0" w:line="276" w:lineRule="auto"/>
              <w:ind w:firstLine="4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documentului va asigura implementarea art. 10 alin 1) lit. b) din Regulamentul cu privire la modul de transmitere a bunurilor proprietate publică, aprobat prin Hotărârea Guvernului nr. 901/2015.</w:t>
            </w:r>
          </w:p>
        </w:tc>
      </w:tr>
      <w:tr w:rsidR="00146ACE">
        <w:trPr>
          <w:trHeight w:val="132"/>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DEEBF6"/>
            <w:vAlign w:val="center"/>
          </w:tcPr>
          <w:p w:rsidR="00146ACE" w:rsidRDefault="002E7282">
            <w:pPr>
              <w:tabs>
                <w:tab w:val="left" w:pos="884"/>
                <w:tab w:val="left" w:pos="1196"/>
              </w:tabs>
              <w:spacing w:before="120" w:after="0" w:line="276" w:lineRule="auto"/>
              <w:ind w:right="14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Descrierea situației actuale și a problemelor care impun intervenția, inclusiv a cadrului normativ aplicabil și a deficiențelor/lacunelor normative</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FFFFFF"/>
          </w:tcPr>
          <w:p w:rsidR="00146ACE" w:rsidRDefault="002E72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Sistemul educațional din Republica Moldova se află într-un proces amplu de modernizare, orientat spre creșterea calității educației și asigurarea accesului echitabil la resurse educaționale moderne pentru toți copiii. În acest context, Ministerul Educației și Cercetării implementează Conceptul de „Școală Model”, care urmărește consolidarea capacităților instituționale, modernizarea infrastructurii școlare și crearea unor medii de învățare inovative, incluzive și digitale.</w:t>
            </w:r>
          </w:p>
          <w:p w:rsidR="00146ACE" w:rsidRDefault="002E72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Deși în ultimii ani au fost realizate progrese considerabile în dotarea școlilor cu echipamente TIC, mobilier modern și resurse educaționale digitale, disparitățile teritoriale și inegalitățile de acces la infrastructură modernă persistă între instituțiile din mediul urban și cele din mediul rural. Numeroase școli din subordinea autorităților publice locale de nivelul I și II dispun de echipamente uzate moral și fizic, mobilier neadecvat procesului de predare modern și lipsa unor spații de învățare flexibile care să corespundă cerințelor actuale ale curriculumului național.</w:t>
            </w:r>
          </w:p>
          <w:p w:rsidR="00146ACE" w:rsidRDefault="002E72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lipsa unei infrastructuri moderne, calitatea procesului educațional este afectată, iar elevii din mediile defavorizate au oportunități limitate de a-și dezvolta competențele digitale și STEM.</w:t>
            </w:r>
          </w:p>
          <w:p w:rsidR="00146ACE" w:rsidRDefault="002E72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Dotarea instituțiilor de învățământ cu bunurile menționate în acest proiect de Hotărâre de Guvern se realizează cu suportul Programului „Inovații digitale ale sistemului educațional din Republica </w:t>
            </w:r>
            <w:r>
              <w:rPr>
                <w:rFonts w:ascii="Times New Roman" w:eastAsia="Times New Roman" w:hAnsi="Times New Roman" w:cs="Times New Roman"/>
                <w:sz w:val="24"/>
                <w:szCs w:val="24"/>
              </w:rPr>
              <w:lastRenderedPageBreak/>
              <w:t xml:space="preserve">Moldova”, finanțat de Parteneriatul Global pentru Educație (PGE) și implementat de UNICEF. Programul sprijină transformarea digitală a educației prin echiparea școlilor cu mobilier modern, echipamente TIC și resurse educaționale digitale, contribuind la reducerea disparităților teritoriale și la îmbunătățirea condițiilor de învățare în toate regiunile țării. Astfel, 138 de instituții de învățământ din 35 UAT vor beneficia de un set format din 5 unități de computere </w:t>
            </w:r>
            <w:proofErr w:type="spellStart"/>
            <w:r>
              <w:rPr>
                <w:rFonts w:ascii="Times New Roman" w:eastAsia="Times New Roman" w:hAnsi="Times New Roman" w:cs="Times New Roman"/>
                <w:sz w:val="24"/>
                <w:szCs w:val="24"/>
              </w:rPr>
              <w:t>All</w:t>
            </w:r>
            <w:proofErr w:type="spellEnd"/>
            <w:r>
              <w:rPr>
                <w:rFonts w:ascii="Times New Roman" w:eastAsia="Times New Roman" w:hAnsi="Times New Roman" w:cs="Times New Roman"/>
                <w:sz w:val="24"/>
                <w:szCs w:val="24"/>
              </w:rPr>
              <w:t>-in-</w:t>
            </w:r>
            <w:proofErr w:type="spellStart"/>
            <w:r>
              <w:rPr>
                <w:rFonts w:ascii="Times New Roman" w:eastAsia="Times New Roman" w:hAnsi="Times New Roman" w:cs="Times New Roman"/>
                <w:sz w:val="24"/>
                <w:szCs w:val="24"/>
              </w:rPr>
              <w:t>One</w:t>
            </w:r>
            <w:proofErr w:type="spellEnd"/>
            <w:r>
              <w:rPr>
                <w:rFonts w:ascii="Times New Roman" w:eastAsia="Times New Roman" w:hAnsi="Times New Roman" w:cs="Times New Roman"/>
                <w:sz w:val="24"/>
                <w:szCs w:val="24"/>
              </w:rPr>
              <w:t xml:space="preserve"> și 5 table interactive, în valoare de 151691,3 lei.</w:t>
            </w:r>
          </w:p>
          <w:p w:rsidR="00146ACE" w:rsidRDefault="002E7282">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această măsură reprezintă o etapă esențială în implementarea politicilor educaționale naționale și a angajamentelor Republicii Moldova privind asigurarea accesului egal la o educație de calitate, în conformitate cu Strategia de dezvoltare a educației „Educația 2030”.</w:t>
            </w:r>
          </w:p>
          <w:p w:rsidR="00146ACE" w:rsidRDefault="002E7282">
            <w:pPr>
              <w:spacing w:before="120"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de repartizare a donațiilor a avut la bază respectarea principiului echității și a corectitudinii.</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tcPr>
          <w:p w:rsidR="00146ACE" w:rsidRDefault="002E728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right="14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3. </w:t>
            </w:r>
            <w:r>
              <w:rPr>
                <w:rFonts w:ascii="Times New Roman" w:eastAsia="Times New Roman" w:hAnsi="Times New Roman" w:cs="Times New Roman"/>
                <w:b/>
                <w:sz w:val="24"/>
                <w:szCs w:val="24"/>
              </w:rPr>
              <w:t>Obiectivele urmărite și soluțiile propuse</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A4C2F4"/>
          </w:tcPr>
          <w:p w:rsidR="00146ACE" w:rsidRDefault="002E728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right="141"/>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3.1. Principalele prevederi ale proiectului și evidențierea elementelor noi</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tcPr>
          <w:p w:rsidR="00146ACE" w:rsidRDefault="002E7282">
            <w:pPr>
              <w:pBdr>
                <w:top w:val="nil"/>
                <w:left w:val="nil"/>
                <w:bottom w:val="nil"/>
                <w:right w:val="nil"/>
                <w:between w:val="nil"/>
              </w:pBdr>
              <w:shd w:val="clear" w:color="auto" w:fill="FFFFFF"/>
              <w:spacing w:before="120" w:after="0" w:line="276" w:lineRule="auto"/>
              <w:ind w:firstLine="460"/>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Proiectul Hotărârii Guvernului prevede transmiterea unor bunuri din proprietatea publică a statului în proprietatea publică a </w:t>
            </w:r>
            <w:proofErr w:type="spellStart"/>
            <w:r>
              <w:rPr>
                <w:rFonts w:ascii="Times New Roman" w:eastAsia="Times New Roman" w:hAnsi="Times New Roman" w:cs="Times New Roman"/>
                <w:color w:val="000000"/>
                <w:sz w:val="24"/>
                <w:szCs w:val="24"/>
              </w:rPr>
              <w:t>unităţilor</w:t>
            </w:r>
            <w:proofErr w:type="spellEnd"/>
            <w:r>
              <w:rPr>
                <w:rFonts w:ascii="Times New Roman" w:eastAsia="Times New Roman" w:hAnsi="Times New Roman" w:cs="Times New Roman"/>
                <w:color w:val="000000"/>
                <w:sz w:val="24"/>
                <w:szCs w:val="24"/>
              </w:rPr>
              <w:t xml:space="preserve"> administrativ-teritoriale/ </w:t>
            </w:r>
            <w:proofErr w:type="spellStart"/>
            <w:r>
              <w:rPr>
                <w:rFonts w:ascii="Times New Roman" w:eastAsia="Times New Roman" w:hAnsi="Times New Roman" w:cs="Times New Roman"/>
                <w:color w:val="000000"/>
                <w:sz w:val="24"/>
                <w:szCs w:val="24"/>
              </w:rPr>
              <w:t>Unităţii</w:t>
            </w:r>
            <w:proofErr w:type="spellEnd"/>
            <w:r>
              <w:rPr>
                <w:rFonts w:ascii="Times New Roman" w:eastAsia="Times New Roman" w:hAnsi="Times New Roman" w:cs="Times New Roman"/>
                <w:color w:val="000000"/>
                <w:sz w:val="24"/>
                <w:szCs w:val="24"/>
              </w:rPr>
              <w:t xml:space="preserve"> teritoriale autonome Găgăuzia, cu  acordul consiliului local respectiv /Adunării Populare, recepționate de la parteneri și donatori către instituțiile de învățământ, în corespundere cu prevederile art. 10 lit. b) din Regulamentul cu privire la modul de transmitere a bunurilor proprietate publică, aprobat prin Hotărârea Guvernului nr. 901/2015.</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A4C2F4"/>
          </w:tcPr>
          <w:p w:rsidR="00146ACE" w:rsidRDefault="002E728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Opțiunile alternative analizate și motivele pentru care acestea nu au fost luate în considerare</w:t>
            </w:r>
          </w:p>
        </w:tc>
      </w:tr>
      <w:tr w:rsidR="00146ACE">
        <w:trPr>
          <w:trHeight w:val="362"/>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FFFFFF"/>
          </w:tcPr>
          <w:p w:rsidR="00146ACE" w:rsidRDefault="002E728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right="142" w:firstLine="17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Nu este aplicabil</w:t>
            </w:r>
          </w:p>
        </w:tc>
      </w:tr>
      <w:tr w:rsidR="00146ACE">
        <w:trPr>
          <w:trHeight w:val="378"/>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Analiza impactului de reglementare </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4.1. Impactul asupra sectorului public</w:t>
            </w:r>
          </w:p>
        </w:tc>
      </w:tr>
      <w:tr w:rsidR="00146ACE">
        <w:trPr>
          <w:trHeight w:val="1512"/>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before="120" w:after="0" w:line="276" w:lineRule="auto"/>
              <w:ind w:firstLine="1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Transmiterea echipamentelor IT către instituțiile de învățământ general din țară generează un impact pozitiv semnificativ asupra sectorului public, accelerând procesul de digitalizare a educației și reducând disparitățile în accesul la resurse educaționale. Această măsură sprijină elevii din medii defavorizate și rurale, precum și copiii refugiați din Ucraina, oferindu-le șanse egale la educație de calitate, indiferent de dificultățile întâmpinate.</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Impactul financiar și argumentarea costurilor estimative</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710C02">
            <w:pPr>
              <w:spacing w:before="120" w:after="0" w:line="276" w:lineRule="auto"/>
              <w:ind w:right="34" w:firstLine="1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Bunurile</w:t>
            </w:r>
            <w:bookmarkStart w:id="0" w:name="_GoBack"/>
            <w:bookmarkEnd w:id="0"/>
            <w:r w:rsidR="002E7282">
              <w:rPr>
                <w:rFonts w:ascii="Times New Roman" w:eastAsia="Times New Roman" w:hAnsi="Times New Roman" w:cs="Times New Roman"/>
                <w:sz w:val="24"/>
                <w:szCs w:val="24"/>
              </w:rPr>
              <w:t xml:space="preserve"> sunt oferite și transmise beneficiarilor cu titlu gratuit. Pentru punerea în aplicare a prevederilor proiectului Hotărârii de Guvern nu se necesită cheltuieli suplimentare din contul bugetului de stat.  </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Impactul asupra sectorului privat</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Impactul social</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Implementarea proiectului privind transmiterea bunurilor instituțiilor de învățământ din subordinea unităților administrativ-teritoriale va genera un impact social semnificativ, contribuind la reducerea inegalităților de acces la o educație de calitate și la consolidarea echității în sistemul educațional.</w:t>
            </w:r>
          </w:p>
          <w:p w:rsidR="00146ACE" w:rsidRDefault="002E728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Prin dotarea instituțiilor selectate cu echipamente TIC se vor crea condiții de învățare mai sigure, incluzive și atractive, care vor stimula motivația școlară, participarea activă și performanțele elevilor.</w:t>
            </w:r>
          </w:p>
          <w:p w:rsidR="00146ACE" w:rsidRDefault="002E7282">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Măsura va sprijini școlile din mediul rural și localitățile defavorizate, unde lipsa resurselor materiale constituie una dintre principalele cauze ale inechităților educaționale. Astfel, se va contribui la asigurarea accesului egal al copiilor la resurse moderne, indiferent de regiune sau statut </w:t>
            </w:r>
            <w:proofErr w:type="spellStart"/>
            <w:r>
              <w:rPr>
                <w:rFonts w:ascii="Times New Roman" w:eastAsia="Times New Roman" w:hAnsi="Times New Roman" w:cs="Times New Roman"/>
                <w:sz w:val="24"/>
                <w:szCs w:val="24"/>
              </w:rPr>
              <w:t>socio</w:t>
            </w:r>
            <w:proofErr w:type="spellEnd"/>
            <w:r>
              <w:rPr>
                <w:rFonts w:ascii="Times New Roman" w:eastAsia="Times New Roman" w:hAnsi="Times New Roman" w:cs="Times New Roman"/>
                <w:sz w:val="24"/>
                <w:szCs w:val="24"/>
              </w:rPr>
              <w:t>-economic.</w:t>
            </w:r>
          </w:p>
          <w:p w:rsidR="00146ACE" w:rsidRDefault="002E72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inițiativa are un efect pozitiv asupra comunităților locale, consolidând rolul școlii ca centru de coeziune socială și promovând implicarea autorităților locale, părinților și partenerilor educaționali în modernizarea mediului școlar.</w:t>
            </w:r>
          </w:p>
          <w:p w:rsidR="00146ACE" w:rsidRDefault="002E7282">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 termen mediu și lung, proiectul va contribui la:</w:t>
            </w:r>
          </w:p>
          <w:p w:rsidR="00146ACE" w:rsidRDefault="002E72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ratei de retenție și participare școlară, în special în mediul rural;</w:t>
            </w:r>
          </w:p>
          <w:p w:rsidR="00146ACE" w:rsidRDefault="002E72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îmbunătățirea rezultatelor învățării și a competențelor digitale ale elevilor;</w:t>
            </w:r>
          </w:p>
          <w:p w:rsidR="00146ACE" w:rsidRDefault="002E72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reducerea disparităților regionale în accesul la educație de calitate;</w:t>
            </w:r>
          </w:p>
          <w:p w:rsidR="00146ACE" w:rsidRDefault="002E7282">
            <w:pPr>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consolidarea încrederii publice în politicile educaționale și în rolul statului de garant al echității în educație.</w:t>
            </w:r>
          </w:p>
          <w:p w:rsidR="00146ACE" w:rsidRDefault="002E7282">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urmare, impactul social al proiectului este unul pozitiv, sustenabil și echitabil, aliniat obiectivelor Strategiei „Educația 2030” și angajamentelor Republicii Moldova în domeniul incluziunii și dezvoltării capitalului uman.</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4.4.1. Impactul asupra datelor cu caracter personal</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nu implică prelucrarea sau colectarea datelor cu caracter personal ale elevilor, cadrelor didactice ori altor persoane. Activitățile propuse vizează exclusiv transmiterea de bunuri materiale (e</w:t>
            </w:r>
            <w:r w:rsidR="0035163C">
              <w:rPr>
                <w:rFonts w:ascii="Times New Roman" w:eastAsia="Times New Roman" w:hAnsi="Times New Roman" w:cs="Times New Roman"/>
                <w:sz w:val="24"/>
                <w:szCs w:val="24"/>
              </w:rPr>
              <w:t>chipamente TIC</w:t>
            </w:r>
            <w:r>
              <w:rPr>
                <w:rFonts w:ascii="Times New Roman" w:eastAsia="Times New Roman" w:hAnsi="Times New Roman" w:cs="Times New Roman"/>
                <w:sz w:val="24"/>
                <w:szCs w:val="24"/>
              </w:rPr>
              <w:t>) către instituțiile de învățământ, fără operațiuni de procesare informatică a datelor personale.</w:t>
            </w:r>
          </w:p>
          <w:p w:rsidR="00146ACE" w:rsidRDefault="002E7282">
            <w:pPr>
              <w:spacing w:before="12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implementarea proiectului va consolida cultura de securitate digitală în instituțiile beneficiare, prin utilizarea echipamentelor moderne conform standardelor actuale de protecție a datelor.</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D9D9D9"/>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4.4.2. Impactul asupra echității și egalității de gen</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contribuie direct la promovarea echității în educație și la asigurarea egalității de șanse între fete și băieți prin îmbunătățirea condițiilor materiale și digitale din instituțiile de învățământ, indiferent de amplasarea geografică sau statutul social al elevilor.</w:t>
            </w:r>
          </w:p>
          <w:p w:rsidR="00146ACE" w:rsidRDefault="002E7282">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Transmiterea bunurilor către școli din toate regiunile țării va reduce decalajele dintre mediul urban și rural, oferind tuturor elevilor acces egal la infrastructură modernă, resurse digitale și activități educaționale interactive. Aceste condiții sprijină participarea echitabilă a fetelor la domenii STEM și TIC, unde acestea sunt în continuare subreprezentate.</w:t>
            </w:r>
          </w:p>
          <w:p w:rsidR="00146ACE" w:rsidRDefault="002E7282">
            <w:pPr>
              <w:pBdr>
                <w:top w:val="nil"/>
                <w:left w:val="nil"/>
                <w:bottom w:val="nil"/>
                <w:right w:val="nil"/>
                <w:between w:val="nil"/>
              </w:pBd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modernizarea spațiilor educaționale și integrarea tehnologiilor digitale, proiectul va contribui la:</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crearea unor medii de învățare incluzive și sigure, care încurajează participarea egală a fetelor și băieților;</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reducerea stereotipurilor de gen în alegerea disciplinelor și a carierelor viitoare, prin acces egal la laboratoare digitale, robotică și inteligență artificială;</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fortificarea capacității școlilor de a promova valori de egalitate, respect și nondiscriminare în procesul educațional.</w:t>
            </w:r>
          </w:p>
          <w:p w:rsidR="00146ACE" w:rsidRDefault="002E72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Măsura se aliniază angajamentelor Republicii Moldova privind implementarea Obiectivelor de Dezvoltare Durabilă (ODD 4 și ODD 5), consolidând rolul educației ca factor-cheie în promovarea incluziunii și a dezvoltării sociale echitabile.</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4.5. Impactul asupra mediului</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2E728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proiectului nu va genera un impact negativ semnificativ asupra mediului. Transmiterea bunurilor către instituțiile de învățământ nu implică lucrări de construcție, vizând utilizarea echipamentelor, mobilierului și materialelor educaționale existente, fără lucrări de construcție, extindere sau modificare structurală a spațiilor.</w:t>
            </w:r>
          </w:p>
          <w:p w:rsidR="00146ACE" w:rsidRDefault="002E7282">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Dimpotrivă, proiectul va avea un impact pozitiv indirect asupra mediului, prin:</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înlocuirea echipamentelor vechi și ineficiente energetic cu echipamente moderne, care consumă mai puțină energie electrică;</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promovarea educației pentru dezvoltare durabilă și a conștientizării ecologice în rândul elevilor, prin utilizarea tehnologiilor digitale care reduc consumul de hârtie și materiale tipărite;</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prelungirea duratei de viață a bunurilor educaționale prin redistribuire către instituțiile care au nevoie, evitând acumularea de deșeuri;</w:t>
            </w:r>
          </w:p>
          <w:p w:rsidR="00146ACE" w:rsidRDefault="002E7282">
            <w:pPr>
              <w:numPr>
                <w:ilvl w:val="0"/>
                <w:numId w:val="2"/>
              </w:numPr>
              <w:pBdr>
                <w:top w:val="nil"/>
                <w:left w:val="nil"/>
                <w:bottom w:val="nil"/>
                <w:right w:val="nil"/>
                <w:between w:val="nil"/>
              </w:pBd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gestionarea responsabilă a resurselor în cadrul procesului educațional, inclusiv prin promovarea reciclării și reutilizării.</w:t>
            </w:r>
          </w:p>
          <w:p w:rsidR="00146ACE" w:rsidRDefault="002E7282">
            <w:p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Astfel, proiectul este în deplină concordanță cu principiile dezvoltării durabile și contribuie la reducerea amprentei ecologice a sistemului educațional, susținând obiectivele naționale privind protecția mediului și tranziția către o economie verde.</w:t>
            </w:r>
          </w:p>
        </w:tc>
      </w:tr>
      <w:tr w:rsidR="00146ACE">
        <w:trPr>
          <w:trHeight w:val="378"/>
          <w:jc w:val="center"/>
        </w:trPr>
        <w:tc>
          <w:tcPr>
            <w:tcW w:w="9776" w:type="dxa"/>
            <w:tcBorders>
              <w:top w:val="nil"/>
              <w:left w:val="single" w:sz="5" w:space="0" w:color="000000"/>
              <w:bottom w:val="single" w:sz="5" w:space="0" w:color="000000"/>
              <w:right w:val="single" w:sz="5" w:space="0" w:color="000000"/>
            </w:tcBorders>
            <w:shd w:val="clear" w:color="auto" w:fill="EDEDED"/>
            <w:tcMar>
              <w:top w:w="0" w:type="dxa"/>
              <w:left w:w="100" w:type="dxa"/>
              <w:bottom w:w="0" w:type="dxa"/>
              <w:right w:w="100" w:type="dxa"/>
            </w:tcMar>
          </w:tcPr>
          <w:p w:rsidR="00146ACE" w:rsidRDefault="002E7282">
            <w:pPr>
              <w:spacing w:before="120"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Alte impacturi și informații relevante</w:t>
            </w:r>
          </w:p>
        </w:tc>
      </w:tr>
      <w:tr w:rsidR="00146ACE">
        <w:trPr>
          <w:trHeight w:val="303"/>
          <w:jc w:val="center"/>
        </w:trPr>
        <w:tc>
          <w:tcPr>
            <w:tcW w:w="9776"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rsidR="00146ACE" w:rsidRDefault="0035163C">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2E7282">
              <w:rPr>
                <w:rFonts w:ascii="Times New Roman" w:eastAsia="Times New Roman" w:hAnsi="Times New Roman" w:cs="Times New Roman"/>
                <w:sz w:val="24"/>
                <w:szCs w:val="24"/>
              </w:rPr>
              <w:t>nițiativa creează premise pentru creșterea încrederii comunităților în instituțiile publice, asigurând transparență în procesul de distribuire a resurselor și utilizare eficientă a bunurilor, în conformitate cu principiile bunei guvernări și ale responsabilității publice.</w:t>
            </w:r>
          </w:p>
          <w:p w:rsidR="00146ACE" w:rsidRDefault="002E7282">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contribuie la atingerea obiectivelor stabilite prin:</w:t>
            </w:r>
          </w:p>
          <w:p w:rsidR="00146ACE" w:rsidRDefault="002E7282">
            <w:pPr>
              <w:numPr>
                <w:ilvl w:val="0"/>
                <w:numId w:val="1"/>
              </w:numPr>
              <w:spacing w:before="240"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Strategia de dezvoltare „Educația 2030”</w:t>
            </w:r>
          </w:p>
          <w:p w:rsidR="00146ACE" w:rsidRDefault="002E7282">
            <w:pPr>
              <w:numPr>
                <w:ilvl w:val="0"/>
                <w:numId w:val="1"/>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Programul național de aderare a Republicii Moldova la Uniunea Europeană pentru anii 2025-2029 (Cluster 3, cap.26, acțiunea 4)</w:t>
            </w:r>
          </w:p>
          <w:p w:rsidR="00146ACE" w:rsidRDefault="002E7282">
            <w:pPr>
              <w:numPr>
                <w:ilvl w:val="0"/>
                <w:numId w:val="1"/>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național de reglementări pentru anul 2025 (acțiunea 386)</w:t>
            </w:r>
          </w:p>
          <w:p w:rsidR="00146ACE" w:rsidRDefault="002E7282">
            <w:pPr>
              <w:numPr>
                <w:ilvl w:val="0"/>
                <w:numId w:val="1"/>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Programul de activitate al Guvernului (cap. V, Educație și cercetare)</w:t>
            </w:r>
          </w:p>
          <w:p w:rsidR="00146ACE" w:rsidRDefault="002E7282">
            <w:pPr>
              <w:numPr>
                <w:ilvl w:val="0"/>
                <w:numId w:val="1"/>
              </w:num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Planul de activitate al MEC pentru anul 2025.</w:t>
            </w:r>
          </w:p>
        </w:tc>
      </w:tr>
      <w:tr w:rsidR="00146ACE">
        <w:trPr>
          <w:trHeight w:val="368"/>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Compatibilitatea proiectului actului normativ cu legislația UE </w:t>
            </w:r>
          </w:p>
        </w:tc>
      </w:tr>
      <w:tr w:rsidR="00146ACE">
        <w:trPr>
          <w:trHeight w:val="201"/>
          <w:jc w:val="center"/>
        </w:trPr>
        <w:tc>
          <w:tcPr>
            <w:tcW w:w="9776" w:type="dxa"/>
            <w:tcBorders>
              <w:top w:val="nil"/>
              <w:left w:val="single" w:sz="5" w:space="0" w:color="000000"/>
              <w:bottom w:val="single" w:sz="5" w:space="0" w:color="000000"/>
              <w:right w:val="single" w:sz="5" w:space="0" w:color="000000"/>
            </w:tcBorders>
            <w:shd w:val="clear" w:color="auto" w:fill="C9DAF8"/>
            <w:tcMar>
              <w:top w:w="0" w:type="dxa"/>
              <w:left w:w="100" w:type="dxa"/>
              <w:bottom w:w="0" w:type="dxa"/>
              <w:right w:w="100" w:type="dxa"/>
            </w:tcMar>
          </w:tcPr>
          <w:p w:rsidR="00146ACE" w:rsidRDefault="002E7282">
            <w:pPr>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Măsuri normative necesare pentru transpunerea actelor juridice ale UE în legislația națională</w:t>
            </w:r>
          </w:p>
        </w:tc>
      </w:tr>
      <w:tr w:rsidR="00146ACE">
        <w:trPr>
          <w:trHeight w:val="737"/>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6ACE" w:rsidRDefault="002E7282">
            <w:pPr>
              <w:spacing w:before="120" w:after="0" w:line="276" w:lineRule="auto"/>
              <w:ind w:right="141" w:firstLine="176"/>
              <w:rPr>
                <w:rFonts w:ascii="Times New Roman" w:eastAsia="Times New Roman" w:hAnsi="Times New Roman" w:cs="Times New Roman"/>
                <w:b/>
                <w:sz w:val="24"/>
                <w:szCs w:val="24"/>
              </w:rPr>
            </w:pPr>
            <w:r>
              <w:rPr>
                <w:rFonts w:ascii="Times New Roman" w:eastAsia="Times New Roman" w:hAnsi="Times New Roman" w:cs="Times New Roman"/>
                <w:sz w:val="24"/>
                <w:szCs w:val="24"/>
              </w:rPr>
              <w:t>Proiectul nu intră în categoria actelor normative care necesită expertiza de compatibilitate cu legislația Uniunii Europene.</w:t>
            </w:r>
          </w:p>
        </w:tc>
      </w:tr>
      <w:tr w:rsidR="00146ACE">
        <w:trPr>
          <w:trHeight w:val="443"/>
          <w:jc w:val="center"/>
        </w:trPr>
        <w:tc>
          <w:tcPr>
            <w:tcW w:w="9776" w:type="dxa"/>
            <w:tcBorders>
              <w:top w:val="nil"/>
              <w:left w:val="single" w:sz="5" w:space="0" w:color="000000"/>
              <w:bottom w:val="single" w:sz="5" w:space="0" w:color="000000"/>
              <w:right w:val="single" w:sz="5" w:space="0" w:color="000000"/>
            </w:tcBorders>
            <w:shd w:val="clear" w:color="auto" w:fill="C9DAF8"/>
            <w:tcMar>
              <w:top w:w="0" w:type="dxa"/>
              <w:left w:w="100" w:type="dxa"/>
              <w:bottom w:w="0" w:type="dxa"/>
              <w:right w:w="100" w:type="dxa"/>
            </w:tcMar>
          </w:tcPr>
          <w:p w:rsidR="00146ACE" w:rsidRDefault="002E7282">
            <w:pPr>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5.2. Măsuri normative care urmăresc crearea cadrului juridic intern necesar pentru implementarea legislației UE</w:t>
            </w:r>
          </w:p>
        </w:tc>
      </w:tr>
      <w:tr w:rsidR="00146ACE">
        <w:trPr>
          <w:trHeight w:val="532"/>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rsidR="00146ACE" w:rsidRDefault="002E72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76" w:lineRule="auto"/>
              <w:ind w:right="142" w:firstLine="176"/>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Proiectul </w:t>
            </w:r>
            <w:r>
              <w:rPr>
                <w:rFonts w:ascii="Times New Roman" w:eastAsia="Times New Roman" w:hAnsi="Times New Roman" w:cs="Times New Roman"/>
                <w:color w:val="000000"/>
                <w:sz w:val="24"/>
                <w:szCs w:val="24"/>
              </w:rPr>
              <w:t xml:space="preserve">cu privire </w:t>
            </w:r>
            <w:r>
              <w:rPr>
                <w:rFonts w:ascii="Times New Roman" w:eastAsia="Times New Roman" w:hAnsi="Times New Roman" w:cs="Times New Roman"/>
                <w:sz w:val="24"/>
                <w:szCs w:val="24"/>
              </w:rPr>
              <w:t xml:space="preserve">la transmiterea unor bunuri nu are ca scop armonizarea </w:t>
            </w:r>
            <w:proofErr w:type="spellStart"/>
            <w:r>
              <w:rPr>
                <w:rFonts w:ascii="Times New Roman" w:eastAsia="Times New Roman" w:hAnsi="Times New Roman" w:cs="Times New Roman"/>
                <w:sz w:val="24"/>
                <w:szCs w:val="24"/>
              </w:rPr>
              <w:t>legislaţiei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naţionale</w:t>
            </w:r>
            <w:proofErr w:type="spellEnd"/>
            <w:r>
              <w:rPr>
                <w:rFonts w:ascii="Times New Roman" w:eastAsia="Times New Roman" w:hAnsi="Times New Roman" w:cs="Times New Roman"/>
                <w:sz w:val="24"/>
                <w:szCs w:val="24"/>
              </w:rPr>
              <w:t xml:space="preserve"> cu </w:t>
            </w:r>
            <w:proofErr w:type="spellStart"/>
            <w:r>
              <w:rPr>
                <w:rFonts w:ascii="Times New Roman" w:eastAsia="Times New Roman" w:hAnsi="Times New Roman" w:cs="Times New Roman"/>
                <w:sz w:val="24"/>
                <w:szCs w:val="24"/>
              </w:rPr>
              <w:t>legislaţia</w:t>
            </w:r>
            <w:proofErr w:type="spellEnd"/>
            <w:r>
              <w:rPr>
                <w:rFonts w:ascii="Times New Roman" w:eastAsia="Times New Roman" w:hAnsi="Times New Roman" w:cs="Times New Roman"/>
                <w:sz w:val="24"/>
                <w:szCs w:val="24"/>
              </w:rPr>
              <w:t xml:space="preserve"> Uniunii Europene și nu necesită descrierea gradului de compatibilitate.</w:t>
            </w:r>
          </w:p>
        </w:tc>
      </w:tr>
      <w:tr w:rsidR="00146ACE">
        <w:trPr>
          <w:trHeight w:val="423"/>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6. Avizarea și consultarea publică a proiectului actului normativ</w:t>
            </w:r>
          </w:p>
        </w:tc>
      </w:tr>
      <w:tr w:rsidR="00146ACE">
        <w:trPr>
          <w:trHeight w:val="1"/>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FFFFFF"/>
          </w:tcPr>
          <w:p w:rsidR="00146ACE" w:rsidRDefault="002E7282">
            <w:pPr>
              <w:spacing w:before="120" w:after="0" w:line="276" w:lineRule="auto"/>
              <w:ind w:firstLine="16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scopul respectării Legii nr.239/2008 privind transparența în procesul decizional, anunțul de inițiere a elaborării proiectului a fost plasat pe pagina web a Ministerului Educației și Cercetării, la secțiunea Transparența decizională, modulul de participare, fiind accesibil la următorul link: </w:t>
            </w:r>
            <w:hyperlink r:id="rId8">
              <w:r>
                <w:rPr>
                  <w:rFonts w:ascii="Times New Roman" w:eastAsia="Times New Roman" w:hAnsi="Times New Roman" w:cs="Times New Roman"/>
                  <w:color w:val="1155CC"/>
                  <w:sz w:val="24"/>
                  <w:szCs w:val="24"/>
                  <w:u w:val="single"/>
                </w:rPr>
                <w:t>https://particip.gov.md/ro/document/stages/anunt-de-initiere-a-procesului-de-elaborare-a-proiectului-proiectului-hotararii-guvernului-cu-privire-la-transmiterea-catre-apl-a-bunurilor-donate-in-cadrul-programului-inovatii-digitale-ale-sistemului-educational-din-republica-moldova-finantat-de-parteneriatul-global-pentru-educatie-pge-si-implementat-de-unicef/15371</w:t>
              </w:r>
            </w:hyperlink>
            <w:r>
              <w:rPr>
                <w:rFonts w:ascii="Times New Roman" w:eastAsia="Times New Roman" w:hAnsi="Times New Roman" w:cs="Times New Roman"/>
                <w:sz w:val="24"/>
                <w:szCs w:val="24"/>
              </w:rPr>
              <w:t xml:space="preserve"> </w:t>
            </w:r>
          </w:p>
          <w:p w:rsidR="00146ACE" w:rsidRDefault="002E7282">
            <w:pPr>
              <w:spacing w:after="0" w:line="276" w:lineRule="auto"/>
              <w:ind w:firstLine="16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Totodată, în corespundere cu prevederile art. 10, alin. 1), lit. b) din Regulamentul cu privire la modul de transmitere a bunurilor proprietate publică, aprobat prin Hotărârea Guvernului nr. 901/2015, transmiterea bunurilor din proprietatea publică a statului în proprietatea publică a </w:t>
            </w:r>
            <w:proofErr w:type="spellStart"/>
            <w:r>
              <w:rPr>
                <w:rFonts w:ascii="Times New Roman" w:eastAsia="Times New Roman" w:hAnsi="Times New Roman" w:cs="Times New Roman"/>
                <w:color w:val="000000"/>
                <w:sz w:val="24"/>
                <w:szCs w:val="24"/>
              </w:rPr>
              <w:t>unităţilor</w:t>
            </w:r>
            <w:proofErr w:type="spellEnd"/>
            <w:r>
              <w:rPr>
                <w:rFonts w:ascii="Times New Roman" w:eastAsia="Times New Roman" w:hAnsi="Times New Roman" w:cs="Times New Roman"/>
                <w:color w:val="000000"/>
                <w:sz w:val="24"/>
                <w:szCs w:val="24"/>
              </w:rPr>
              <w:t xml:space="preserve"> administrativ-teritoriale/ </w:t>
            </w:r>
            <w:proofErr w:type="spellStart"/>
            <w:r>
              <w:rPr>
                <w:rFonts w:ascii="Times New Roman" w:eastAsia="Times New Roman" w:hAnsi="Times New Roman" w:cs="Times New Roman"/>
                <w:color w:val="000000"/>
                <w:sz w:val="24"/>
                <w:szCs w:val="24"/>
              </w:rPr>
              <w:t>Unităţii</w:t>
            </w:r>
            <w:proofErr w:type="spellEnd"/>
            <w:r>
              <w:rPr>
                <w:rFonts w:ascii="Times New Roman" w:eastAsia="Times New Roman" w:hAnsi="Times New Roman" w:cs="Times New Roman"/>
                <w:color w:val="000000"/>
                <w:sz w:val="24"/>
                <w:szCs w:val="24"/>
              </w:rPr>
              <w:t xml:space="preserve"> teritoriale autonome Găgăuzia se face cu  acordul consiliului local respectiv /Adunării Populare (deciziile luate în cadrul Consiliilor locale/ Adunării Populare pot fi accesate aici </w:t>
            </w:r>
            <w:hyperlink r:id="rId9">
              <w:r>
                <w:rPr>
                  <w:rFonts w:ascii="Times New Roman" w:eastAsia="Times New Roman" w:hAnsi="Times New Roman" w:cs="Times New Roman"/>
                  <w:color w:val="1155CC"/>
                  <w:sz w:val="24"/>
                  <w:szCs w:val="24"/>
                  <w:u w:val="single"/>
                </w:rPr>
                <w:t>https://drive.google.com/drive/folders/1_49oA9DvVPZIuk-upcuRf_g3EvcHh1lp</w:t>
              </w:r>
            </w:hyperlink>
            <w:r>
              <w:rPr>
                <w:rFonts w:ascii="Times New Roman" w:eastAsia="Times New Roman" w:hAnsi="Times New Roman" w:cs="Times New Roman"/>
                <w:color w:val="000000"/>
                <w:sz w:val="24"/>
                <w:szCs w:val="24"/>
              </w:rPr>
              <w:t xml:space="preserve"> </w:t>
            </w:r>
            <w:r>
              <w:rPr>
                <w:rFonts w:ascii="Georgia" w:eastAsia="Georgia" w:hAnsi="Georgia" w:cs="Georgia"/>
                <w:color w:val="262626"/>
                <w:highlight w:val="white"/>
              </w:rPr>
              <w:t xml:space="preserve"> </w:t>
            </w: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7. Concluziile expertizelor</w:t>
            </w: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vAlign w:val="center"/>
          </w:tcPr>
          <w:p w:rsidR="00146ACE" w:rsidRDefault="002E7282">
            <w:pPr>
              <w:tabs>
                <w:tab w:val="left" w:pos="993"/>
              </w:tabs>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urmează a fi expertizat juridic de către Ministerul Justiției și supus expertizei anticorupție la Centrul Național Anticorupție.</w:t>
            </w:r>
          </w:p>
          <w:p w:rsidR="00146ACE" w:rsidRDefault="00146ACE">
            <w:pPr>
              <w:spacing w:after="0" w:line="276" w:lineRule="auto"/>
              <w:jc w:val="both"/>
              <w:rPr>
                <w:rFonts w:ascii="Times New Roman" w:eastAsia="Times New Roman" w:hAnsi="Times New Roman" w:cs="Times New Roman"/>
                <w:sz w:val="24"/>
                <w:szCs w:val="24"/>
              </w:rPr>
            </w:pP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8. Modul de încorporare a actului în cadrul normativ existent</w:t>
            </w: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sz w:val="24"/>
                <w:szCs w:val="24"/>
              </w:rPr>
              <w:t>Nu se necesită ajustarea sau modificarea altor acte în cadrul normativ existent.</w:t>
            </w: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shd w:val="clear" w:color="auto" w:fill="3D85C6"/>
            <w:vAlign w:val="center"/>
          </w:tcPr>
          <w:p w:rsidR="00146ACE" w:rsidRDefault="002E7282">
            <w:pPr>
              <w:spacing w:before="120" w:after="0" w:line="276" w:lineRule="auto"/>
              <w:ind w:right="141"/>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Măsurile necesare pentru implementarea prevederilor proiectului actului normativ</w:t>
            </w:r>
          </w:p>
        </w:tc>
      </w:tr>
      <w:tr w:rsidR="00146ACE">
        <w:trPr>
          <w:trHeight w:val="483"/>
          <w:jc w:val="center"/>
        </w:trPr>
        <w:tc>
          <w:tcPr>
            <w:tcW w:w="9776" w:type="dxa"/>
            <w:tcBorders>
              <w:top w:val="single" w:sz="4" w:space="0" w:color="000000"/>
              <w:left w:val="single" w:sz="4" w:space="0" w:color="000000"/>
              <w:bottom w:val="single" w:sz="4" w:space="0" w:color="000000"/>
              <w:right w:val="single" w:sz="4" w:space="0" w:color="000000"/>
            </w:tcBorders>
            <w:vAlign w:val="center"/>
          </w:tcPr>
          <w:p w:rsidR="00146ACE" w:rsidRDefault="002E7282">
            <w:pPr>
              <w:spacing w:before="120"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moment, toate bunurile sunt transmise beneficiarilor în baza contractelor de comodat. După aprobarea proiectului Hotărârii Guvernului, Ministerul Educației și Cercetării în comun cu autoritățile publice locale vor institui comisiile de transmitere, în termen de 30 de zile, și vor asigura transmiterea bunurilor indicate în anexă conform prevederilor Regulamentului cu privire la modul de transmitere a bunurilor proprietate publică, aprobat prin Hotărârea Guvernului nr. 901/2015.</w:t>
            </w:r>
          </w:p>
        </w:tc>
      </w:tr>
    </w:tbl>
    <w:p w:rsidR="00146ACE" w:rsidRDefault="00146ACE">
      <w:pPr>
        <w:pBdr>
          <w:top w:val="nil"/>
          <w:left w:val="nil"/>
          <w:bottom w:val="nil"/>
          <w:right w:val="nil"/>
          <w:between w:val="nil"/>
        </w:pBdr>
        <w:spacing w:before="120" w:after="0" w:line="240" w:lineRule="auto"/>
        <w:ind w:right="141"/>
        <w:jc w:val="both"/>
        <w:rPr>
          <w:rFonts w:ascii="Times New Roman" w:eastAsia="Times New Roman" w:hAnsi="Times New Roman" w:cs="Times New Roman"/>
          <w:b/>
          <w:color w:val="000000"/>
          <w:sz w:val="24"/>
          <w:szCs w:val="24"/>
          <w:highlight w:val="yellow"/>
        </w:rPr>
      </w:pPr>
    </w:p>
    <w:p w:rsidR="00146ACE" w:rsidRDefault="00146ACE">
      <w:pPr>
        <w:spacing w:before="120" w:after="0" w:line="240" w:lineRule="auto"/>
        <w:ind w:right="141"/>
        <w:jc w:val="center"/>
        <w:rPr>
          <w:rFonts w:ascii="Times New Roman" w:eastAsia="Times New Roman" w:hAnsi="Times New Roman" w:cs="Times New Roman"/>
          <w:b/>
          <w:sz w:val="24"/>
          <w:szCs w:val="24"/>
        </w:rPr>
      </w:pPr>
    </w:p>
    <w:p w:rsidR="00146ACE" w:rsidRDefault="002E7282">
      <w:pPr>
        <w:spacing w:before="120" w:after="0" w:line="240" w:lineRule="auto"/>
        <w:ind w:right="141"/>
        <w:jc w:val="center"/>
        <w:rPr>
          <w:rFonts w:ascii="Times New Roman" w:eastAsia="Times New Roman" w:hAnsi="Times New Roman" w:cs="Times New Roman"/>
          <w:sz w:val="22"/>
          <w:szCs w:val="22"/>
        </w:rPr>
      </w:pPr>
      <w:r>
        <w:rPr>
          <w:rFonts w:ascii="Times New Roman" w:eastAsia="Times New Roman" w:hAnsi="Times New Roman" w:cs="Times New Roman"/>
          <w:b/>
          <w:color w:val="000000"/>
          <w:sz w:val="24"/>
          <w:szCs w:val="24"/>
        </w:rPr>
        <w:t>Ministru                                         Dan PERCIUN</w:t>
      </w:r>
    </w:p>
    <w:p w:rsidR="00146ACE" w:rsidRDefault="00146ACE">
      <w:pPr>
        <w:spacing w:before="120" w:after="0" w:line="240" w:lineRule="auto"/>
        <w:ind w:right="141"/>
        <w:rPr>
          <w:rFonts w:ascii="Times New Roman" w:eastAsia="Times New Roman" w:hAnsi="Times New Roman" w:cs="Times New Roman"/>
          <w:sz w:val="18"/>
          <w:szCs w:val="18"/>
        </w:rPr>
      </w:pPr>
      <w:bookmarkStart w:id="1" w:name="_heading=h.s4l5idac88f1" w:colFirst="0" w:colLast="0"/>
      <w:bookmarkEnd w:id="1"/>
    </w:p>
    <w:p w:rsidR="00146ACE" w:rsidRDefault="00146ACE">
      <w:pPr>
        <w:spacing w:before="120" w:after="0" w:line="240" w:lineRule="auto"/>
        <w:ind w:right="141"/>
        <w:rPr>
          <w:rFonts w:ascii="Times New Roman" w:eastAsia="Times New Roman" w:hAnsi="Times New Roman" w:cs="Times New Roman"/>
          <w:sz w:val="18"/>
          <w:szCs w:val="18"/>
        </w:rPr>
      </w:pPr>
      <w:bookmarkStart w:id="2" w:name="_heading=h.5gx1a86fma46" w:colFirst="0" w:colLast="0"/>
      <w:bookmarkEnd w:id="2"/>
    </w:p>
    <w:p w:rsidR="00146ACE" w:rsidRDefault="00146ACE">
      <w:pPr>
        <w:spacing w:before="120" w:after="0" w:line="240" w:lineRule="auto"/>
        <w:ind w:right="141"/>
        <w:rPr>
          <w:rFonts w:ascii="Times New Roman" w:eastAsia="Times New Roman" w:hAnsi="Times New Roman" w:cs="Times New Roman"/>
          <w:sz w:val="18"/>
          <w:szCs w:val="18"/>
        </w:rPr>
      </w:pPr>
      <w:bookmarkStart w:id="3" w:name="_heading=h.8cw555aba96v" w:colFirst="0" w:colLast="0"/>
      <w:bookmarkEnd w:id="3"/>
    </w:p>
    <w:p w:rsidR="00146ACE" w:rsidRDefault="002E7282">
      <w:pPr>
        <w:spacing w:before="120" w:after="0" w:line="240" w:lineRule="auto"/>
        <w:ind w:right="141"/>
        <w:rPr>
          <w:rFonts w:ascii="Times New Roman" w:eastAsia="Times New Roman" w:hAnsi="Times New Roman" w:cs="Times New Roman"/>
          <w:sz w:val="18"/>
          <w:szCs w:val="18"/>
        </w:rPr>
      </w:pPr>
      <w:bookmarkStart w:id="4" w:name="_heading=h.tke3rtd1n6qa" w:colFirst="0" w:colLast="0"/>
      <w:bookmarkEnd w:id="4"/>
      <w:r>
        <w:rPr>
          <w:rFonts w:ascii="Times New Roman" w:eastAsia="Times New Roman" w:hAnsi="Times New Roman" w:cs="Times New Roman"/>
          <w:color w:val="000000"/>
          <w:sz w:val="18"/>
          <w:szCs w:val="18"/>
        </w:rPr>
        <w:t xml:space="preserve">Ex.: </w:t>
      </w:r>
      <w:proofErr w:type="spellStart"/>
      <w:r>
        <w:rPr>
          <w:rFonts w:ascii="Times New Roman" w:eastAsia="Times New Roman" w:hAnsi="Times New Roman" w:cs="Times New Roman"/>
          <w:sz w:val="18"/>
          <w:szCs w:val="18"/>
        </w:rPr>
        <w:t>Coceaș</w:t>
      </w:r>
      <w:proofErr w:type="spellEnd"/>
      <w:r>
        <w:rPr>
          <w:rFonts w:ascii="Times New Roman" w:eastAsia="Times New Roman" w:hAnsi="Times New Roman" w:cs="Times New Roman"/>
          <w:sz w:val="18"/>
          <w:szCs w:val="18"/>
        </w:rPr>
        <w:t xml:space="preserve"> Sergiu, tel.: 022-233-212</w:t>
      </w:r>
    </w:p>
    <w:p w:rsidR="00146ACE" w:rsidRDefault="002E7282">
      <w:pPr>
        <w:spacing w:before="120" w:after="0" w:line="240" w:lineRule="auto"/>
        <w:ind w:right="141"/>
        <w:rPr>
          <w:rFonts w:ascii="Times New Roman" w:eastAsia="Times New Roman" w:hAnsi="Times New Roman" w:cs="Times New Roman"/>
          <w:sz w:val="22"/>
          <w:szCs w:val="22"/>
        </w:rPr>
      </w:pPr>
      <w:bookmarkStart w:id="5" w:name="_heading=h.reougbbb0j76" w:colFirst="0" w:colLast="0"/>
      <w:bookmarkEnd w:id="5"/>
      <w:r>
        <w:rPr>
          <w:rFonts w:ascii="Times New Roman" w:eastAsia="Times New Roman" w:hAnsi="Times New Roman" w:cs="Times New Roman"/>
          <w:sz w:val="18"/>
          <w:szCs w:val="18"/>
        </w:rPr>
        <w:t xml:space="preserve">        Angela Prisăcaru, 022-232785</w:t>
      </w:r>
    </w:p>
    <w:sectPr w:rsidR="00146ACE">
      <w:footerReference w:type="default" r:id="rId10"/>
      <w:pgSz w:w="11906" w:h="16838"/>
      <w:pgMar w:top="993" w:right="707" w:bottom="1256" w:left="1276"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059" w:rsidRDefault="00935059">
      <w:pPr>
        <w:spacing w:after="0" w:line="240" w:lineRule="auto"/>
      </w:pPr>
      <w:r>
        <w:separator/>
      </w:r>
    </w:p>
  </w:endnote>
  <w:endnote w:type="continuationSeparator" w:id="0">
    <w:p w:rsidR="00935059" w:rsidRDefault="00935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BF0C194-3D6F-4AAE-A63E-D872E2DB2DCC}"/>
    <w:embedBold r:id="rId2" w:fontKey="{98BE62BB-AFA4-4647-8506-395516DA2A6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32AE92E-A654-47A7-84C8-CA3F3E81EA3C}"/>
  </w:font>
  <w:font w:name="Georgia">
    <w:panose1 w:val="02040502050405020303"/>
    <w:charset w:val="00"/>
    <w:family w:val="roman"/>
    <w:pitch w:val="variable"/>
    <w:sig w:usb0="00000287" w:usb1="00000000" w:usb2="00000000" w:usb3="00000000" w:csb0="0000009F" w:csb1="00000000"/>
    <w:embedRegular r:id="rId4" w:fontKey="{74B1E6CF-27E9-4A06-B072-2D80629F8228}"/>
    <w:embedItalic r:id="rId5" w:fontKey="{0996CFC9-7E23-4F59-AA47-7C7A7101E16B}"/>
  </w:font>
  <w:font w:name="Calibri Light">
    <w:panose1 w:val="020F0302020204030204"/>
    <w:charset w:val="00"/>
    <w:family w:val="swiss"/>
    <w:pitch w:val="variable"/>
    <w:sig w:usb0="E4002EFF" w:usb1="C200247B" w:usb2="00000009" w:usb3="00000000" w:csb0="000001FF" w:csb1="00000000"/>
    <w:embedRegular r:id="rId6" w:fontKey="{A907AF5C-4523-4716-8D3F-859513B621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ACE" w:rsidRDefault="002E728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10C02">
      <w:rPr>
        <w:noProof/>
        <w:color w:val="000000"/>
      </w:rPr>
      <w:t>5</w:t>
    </w:r>
    <w:r>
      <w:rPr>
        <w:color w:val="000000"/>
      </w:rPr>
      <w:fldChar w:fldCharType="end"/>
    </w:r>
  </w:p>
  <w:p w:rsidR="00146ACE" w:rsidRDefault="00146AC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059" w:rsidRDefault="00935059">
      <w:pPr>
        <w:spacing w:after="0" w:line="240" w:lineRule="auto"/>
      </w:pPr>
      <w:r>
        <w:separator/>
      </w:r>
    </w:p>
  </w:footnote>
  <w:footnote w:type="continuationSeparator" w:id="0">
    <w:p w:rsidR="00935059" w:rsidRDefault="009350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E4C87"/>
    <w:multiLevelType w:val="multilevel"/>
    <w:tmpl w:val="190E89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221CFC"/>
    <w:multiLevelType w:val="multilevel"/>
    <w:tmpl w:val="452AE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2967D8D"/>
    <w:multiLevelType w:val="multilevel"/>
    <w:tmpl w:val="9BA0D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CE"/>
    <w:rsid w:val="00146ACE"/>
    <w:rsid w:val="001F109E"/>
    <w:rsid w:val="002E7282"/>
    <w:rsid w:val="0035163C"/>
    <w:rsid w:val="00710C02"/>
    <w:rsid w:val="00935059"/>
    <w:rsid w:val="00BB3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10B7B-ACDE-4A8C-9745-81DB51213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1"/>
        <w:szCs w:val="21"/>
        <w:lang w:val="ro-MD"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link w:val="Heading4Char"/>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pPr>
    <w:rPr>
      <w:b/>
      <w:sz w:val="72"/>
      <w:szCs w:val="72"/>
    </w:rPr>
  </w:style>
  <w:style w:type="paragraph" w:styleId="NormalWeb">
    <w:name w:val="Normal (Web)"/>
    <w:basedOn w:val="Normal"/>
    <w:uiPriority w:val="99"/>
    <w:rsid w:val="000948CB"/>
    <w:pPr>
      <w:spacing w:after="0" w:line="240" w:lineRule="auto"/>
      <w:ind w:firstLine="567"/>
      <w:jc w:val="both"/>
    </w:pPr>
    <w:rPr>
      <w:rFonts w:ascii="Times New Roman" w:hAnsi="Times New Roman" w:cs="Times New Roman"/>
      <w:sz w:val="24"/>
      <w:szCs w:val="24"/>
      <w:lang w:eastAsia="ru-RU"/>
    </w:rPr>
  </w:style>
  <w:style w:type="paragraph" w:styleId="BodyTextIndent">
    <w:name w:val="Body Text Indent"/>
    <w:basedOn w:val="Normal"/>
    <w:link w:val="BodyTextIndentChar"/>
    <w:rsid w:val="000948CB"/>
    <w:pPr>
      <w:autoSpaceDE w:val="0"/>
      <w:autoSpaceDN w:val="0"/>
      <w:spacing w:after="0" w:line="240" w:lineRule="auto"/>
      <w:ind w:firstLine="540"/>
      <w:jc w:val="both"/>
    </w:pPr>
    <w:rPr>
      <w:rFonts w:ascii="Times New Roman" w:eastAsia="Times New Roman" w:hAnsi="Times New Roman" w:cs="Arial"/>
      <w:sz w:val="28"/>
      <w:szCs w:val="20"/>
      <w:lang w:eastAsia="ru-RU"/>
    </w:rPr>
  </w:style>
  <w:style w:type="character" w:customStyle="1" w:styleId="BodyTextIndentChar">
    <w:name w:val="Body Text Indent Char"/>
    <w:basedOn w:val="DefaultParagraphFont"/>
    <w:link w:val="BodyTextIndent"/>
    <w:rsid w:val="000948CB"/>
    <w:rPr>
      <w:rFonts w:ascii="Times New Roman" w:eastAsia="Times New Roman" w:hAnsi="Times New Roman" w:cs="Arial"/>
      <w:sz w:val="28"/>
      <w:szCs w:val="20"/>
      <w:lang w:val="ro-RO" w:eastAsia="ru-RU"/>
    </w:rPr>
  </w:style>
  <w:style w:type="paragraph" w:styleId="HTMLPreformatted">
    <w:name w:val="HTML Preformatted"/>
    <w:basedOn w:val="Normal"/>
    <w:link w:val="HTMLPreformattedChar"/>
    <w:rsid w:val="00094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rsid w:val="000948CB"/>
    <w:rPr>
      <w:rFonts w:ascii="Courier New" w:eastAsia="Times New Roman" w:hAnsi="Courier New" w:cs="Courier New"/>
      <w:sz w:val="20"/>
      <w:szCs w:val="20"/>
      <w:lang w:eastAsia="ru-RU"/>
    </w:rPr>
  </w:style>
  <w:style w:type="paragraph" w:styleId="ListParagraph">
    <w:name w:val="List Paragraph"/>
    <w:aliases w:val="List Paragraph 1,List Paragraph1,Абзац списка1,List Paragraph11,Абзац списка2"/>
    <w:basedOn w:val="Normal"/>
    <w:link w:val="ListParagraphChar"/>
    <w:uiPriority w:val="34"/>
    <w:qFormat/>
    <w:rsid w:val="005A16C1"/>
    <w:pPr>
      <w:ind w:left="720"/>
      <w:contextualSpacing/>
    </w:pPr>
  </w:style>
  <w:style w:type="character" w:styleId="Hyperlink">
    <w:name w:val="Hyperlink"/>
    <w:uiPriority w:val="99"/>
    <w:unhideWhenUsed/>
    <w:rsid w:val="006A4428"/>
    <w:rPr>
      <w:color w:val="0563C1"/>
      <w:u w:val="single"/>
    </w:rPr>
  </w:style>
  <w:style w:type="paragraph" w:styleId="BalloonText">
    <w:name w:val="Balloon Text"/>
    <w:basedOn w:val="Normal"/>
    <w:link w:val="BalloonTextChar"/>
    <w:uiPriority w:val="99"/>
    <w:semiHidden/>
    <w:unhideWhenUsed/>
    <w:rsid w:val="00684D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F8"/>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416C98"/>
    <w:rPr>
      <w:sz w:val="16"/>
      <w:szCs w:val="16"/>
    </w:rPr>
  </w:style>
  <w:style w:type="paragraph" w:styleId="CommentText">
    <w:name w:val="annotation text"/>
    <w:basedOn w:val="Normal"/>
    <w:link w:val="CommentTextChar"/>
    <w:uiPriority w:val="99"/>
    <w:semiHidden/>
    <w:unhideWhenUsed/>
    <w:rsid w:val="00416C98"/>
    <w:pPr>
      <w:spacing w:line="240" w:lineRule="auto"/>
    </w:pPr>
    <w:rPr>
      <w:sz w:val="20"/>
      <w:szCs w:val="20"/>
    </w:rPr>
  </w:style>
  <w:style w:type="character" w:customStyle="1" w:styleId="CommentTextChar">
    <w:name w:val="Comment Text Char"/>
    <w:basedOn w:val="DefaultParagraphFont"/>
    <w:link w:val="CommentText"/>
    <w:uiPriority w:val="99"/>
    <w:semiHidden/>
    <w:rsid w:val="00416C9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416C98"/>
    <w:rPr>
      <w:b/>
      <w:bCs/>
    </w:rPr>
  </w:style>
  <w:style w:type="character" w:customStyle="1" w:styleId="CommentSubjectChar">
    <w:name w:val="Comment Subject Char"/>
    <w:basedOn w:val="CommentTextChar"/>
    <w:link w:val="CommentSubject"/>
    <w:uiPriority w:val="99"/>
    <w:semiHidden/>
    <w:rsid w:val="00416C98"/>
    <w:rPr>
      <w:rFonts w:eastAsiaTheme="minorEastAsia"/>
      <w:b/>
      <w:bCs/>
      <w:sz w:val="20"/>
      <w:szCs w:val="20"/>
    </w:rPr>
  </w:style>
  <w:style w:type="paragraph" w:styleId="Revision">
    <w:name w:val="Revision"/>
    <w:hidden/>
    <w:uiPriority w:val="99"/>
    <w:semiHidden/>
    <w:rsid w:val="00001EFD"/>
    <w:pPr>
      <w:spacing w:after="0" w:line="240" w:lineRule="auto"/>
    </w:pPr>
    <w:rPr>
      <w:rFonts w:eastAsiaTheme="minorEastAsia"/>
    </w:rPr>
  </w:style>
  <w:style w:type="character" w:customStyle="1" w:styleId="object">
    <w:name w:val="object"/>
    <w:basedOn w:val="DefaultParagraphFont"/>
    <w:rsid w:val="00DA5D62"/>
  </w:style>
  <w:style w:type="character" w:styleId="Emphasis">
    <w:name w:val="Emphasis"/>
    <w:basedOn w:val="DefaultParagraphFont"/>
    <w:qFormat/>
    <w:rsid w:val="00DA5D62"/>
    <w:rPr>
      <w:i/>
      <w:iCs/>
    </w:rPr>
  </w:style>
  <w:style w:type="character" w:customStyle="1" w:styleId="Heading4Char">
    <w:name w:val="Heading 4 Char"/>
    <w:basedOn w:val="DefaultParagraphFont"/>
    <w:link w:val="Heading4"/>
    <w:uiPriority w:val="9"/>
    <w:rsid w:val="00A6124F"/>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A6124F"/>
    <w:rPr>
      <w:b/>
      <w:bCs/>
    </w:rPr>
  </w:style>
  <w:style w:type="paragraph" w:styleId="Header">
    <w:name w:val="header"/>
    <w:basedOn w:val="Normal"/>
    <w:link w:val="HeaderChar"/>
    <w:uiPriority w:val="99"/>
    <w:unhideWhenUsed/>
    <w:rsid w:val="007B0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032A"/>
    <w:rPr>
      <w:rFonts w:eastAsiaTheme="minorEastAsia"/>
      <w:sz w:val="21"/>
      <w:szCs w:val="21"/>
    </w:rPr>
  </w:style>
  <w:style w:type="paragraph" w:styleId="Footer">
    <w:name w:val="footer"/>
    <w:basedOn w:val="Normal"/>
    <w:link w:val="FooterChar"/>
    <w:uiPriority w:val="99"/>
    <w:unhideWhenUsed/>
    <w:rsid w:val="007B0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032A"/>
    <w:rPr>
      <w:rFonts w:eastAsiaTheme="minorEastAsia"/>
      <w:sz w:val="21"/>
      <w:szCs w:val="21"/>
    </w:rPr>
  </w:style>
  <w:style w:type="table" w:customStyle="1" w:styleId="a">
    <w:basedOn w:val="TableNormal"/>
    <w:tblPr>
      <w:tblStyleRowBandSize w:val="1"/>
      <w:tblStyleColBandSize w:val="1"/>
      <w:tblCellMar>
        <w:left w:w="115" w:type="dxa"/>
        <w:right w:w="115" w:type="dxa"/>
      </w:tblCellMar>
    </w:tblPr>
  </w:style>
  <w:style w:type="character" w:customStyle="1" w:styleId="ListParagraphChar">
    <w:name w:val="List Paragraph Char"/>
    <w:aliases w:val="List Paragraph 1 Char,List Paragraph1 Char,Абзац списка1 Char,List Paragraph11 Char,Абзац списка2 Char"/>
    <w:basedOn w:val="DefaultParagraphFont"/>
    <w:link w:val="ListParagraph"/>
    <w:uiPriority w:val="34"/>
    <w:locked/>
    <w:rsid w:val="001D432A"/>
    <w:rPr>
      <w:rFonts w:eastAsiaTheme="minorEastAsia"/>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particip.gov.md/ro/document/stages/anunt-de-initiere-a-procesului-de-elaborare-a-proiectului-proiectului-hotararii-guvernului-cu-privire-la-transmiterea-catre-apl-a-bunurilor-donate-in-cadrul-programului-inovatii-digitale-ale-sistemului-educational-din-republica-moldova-finantat-de-parteneriatul-global-pentru-educatie-pge-si-implementat-de-unicef/1537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rive.google.com/drive/folders/1_49oA9DvVPZIuk-upcuRf_g3EvcHh1l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LeUpXvCy+/MclVwOg/94SY4BnA==">CgMxLjAyDmguczRsNWlkYWM4OGYxMg5oLjVneDFhODZmbWE0NjIOaC44Y3c1NTVhYmE5NnYyDmgudGtlM3J0ZDFuNnFhMg5oLnJlb3VnYmJiMGo3NjgAciExUkIwalZWNFA4WTdVUkxfNFhKOGtfRHBCOEdzZk1ER3c=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2232</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Bogatu</dc:creator>
  <cp:lastModifiedBy>Angela Prisacaru</cp:lastModifiedBy>
  <cp:revision>5</cp:revision>
  <cp:lastPrinted>2025-11-04T08:25:00Z</cp:lastPrinted>
  <dcterms:created xsi:type="dcterms:W3CDTF">2023-12-15T06:32:00Z</dcterms:created>
  <dcterms:modified xsi:type="dcterms:W3CDTF">2025-11-18T11:01:00Z</dcterms:modified>
</cp:coreProperties>
</file>