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53F5" w14:textId="77777777" w:rsidR="00F9682F" w:rsidRPr="00D62401" w:rsidRDefault="00F9682F" w:rsidP="00F9682F">
      <w:pPr>
        <w:pStyle w:val="a4"/>
        <w:jc w:val="center"/>
        <w:rPr>
          <w:rFonts w:ascii="Times New Roman" w:hAnsi="Times New Roman" w:cs="Times New Roman"/>
          <w:b/>
          <w:sz w:val="24"/>
          <w:szCs w:val="24"/>
          <w:lang w:val="ro-RO"/>
        </w:rPr>
      </w:pPr>
      <w:r w:rsidRPr="00D62401">
        <w:rPr>
          <w:rFonts w:ascii="Times New Roman" w:hAnsi="Times New Roman" w:cs="Times New Roman"/>
          <w:b/>
          <w:sz w:val="24"/>
          <w:szCs w:val="24"/>
          <w:lang w:val="ro-RO"/>
        </w:rPr>
        <w:t xml:space="preserve">Tabel comparativ </w:t>
      </w:r>
    </w:p>
    <w:p w14:paraId="0B55AAF4" w14:textId="77777777" w:rsidR="00306EDF" w:rsidRDefault="00F9682F" w:rsidP="00817C70">
      <w:pPr>
        <w:pStyle w:val="a4"/>
        <w:jc w:val="center"/>
        <w:rPr>
          <w:rFonts w:ascii="Times New Roman" w:hAnsi="Times New Roman" w:cs="Times New Roman"/>
          <w:sz w:val="24"/>
          <w:szCs w:val="24"/>
          <w:lang w:val="ro-RO"/>
        </w:rPr>
      </w:pPr>
      <w:r w:rsidRPr="00306EDF">
        <w:rPr>
          <w:rFonts w:ascii="Times New Roman" w:hAnsi="Times New Roman" w:cs="Times New Roman"/>
          <w:b/>
          <w:sz w:val="24"/>
          <w:szCs w:val="24"/>
          <w:lang w:val="ro-RO"/>
        </w:rPr>
        <w:t>la proiectul hotărâr</w:t>
      </w:r>
      <w:r w:rsidR="00C45609" w:rsidRPr="00306EDF">
        <w:rPr>
          <w:rFonts w:ascii="Times New Roman" w:hAnsi="Times New Roman" w:cs="Times New Roman"/>
          <w:b/>
          <w:sz w:val="24"/>
          <w:szCs w:val="24"/>
          <w:lang w:val="ro-RO"/>
        </w:rPr>
        <w:t>ii</w:t>
      </w:r>
      <w:r w:rsidRPr="00306EDF">
        <w:rPr>
          <w:rFonts w:ascii="Times New Roman" w:hAnsi="Times New Roman" w:cs="Times New Roman"/>
          <w:b/>
          <w:sz w:val="24"/>
          <w:szCs w:val="24"/>
          <w:lang w:val="ro-RO"/>
        </w:rPr>
        <w:t xml:space="preserve"> </w:t>
      </w:r>
      <w:r w:rsidR="00306EDF">
        <w:rPr>
          <w:rFonts w:ascii="Times New Roman" w:hAnsi="Times New Roman" w:cs="Times New Roman"/>
          <w:b/>
          <w:sz w:val="24"/>
          <w:szCs w:val="24"/>
          <w:lang w:val="ro-RO"/>
        </w:rPr>
        <w:t xml:space="preserve">Guvernului </w:t>
      </w:r>
      <w:r w:rsidRPr="00306EDF">
        <w:rPr>
          <w:rFonts w:ascii="Times New Roman" w:hAnsi="Times New Roman" w:cs="Times New Roman"/>
          <w:b/>
          <w:sz w:val="24"/>
          <w:szCs w:val="24"/>
          <w:lang w:val="ro-RO"/>
        </w:rPr>
        <w:t xml:space="preserve">privind </w:t>
      </w:r>
      <w:r w:rsidR="00817C70" w:rsidRPr="00306EDF">
        <w:rPr>
          <w:rFonts w:ascii="Times New Roman" w:hAnsi="Times New Roman" w:cs="Times New Roman"/>
          <w:b/>
          <w:sz w:val="24"/>
          <w:szCs w:val="24"/>
          <w:lang w:val="ro-RO"/>
        </w:rPr>
        <w:t xml:space="preserve">modificarea </w:t>
      </w:r>
      <w:r w:rsidR="00306EDF" w:rsidRPr="00306EDF">
        <w:rPr>
          <w:rFonts w:ascii="Times New Roman" w:hAnsi="Times New Roman" w:cs="Times New Roman"/>
          <w:b/>
          <w:sz w:val="24"/>
          <w:szCs w:val="24"/>
          <w:lang w:val="ro-RO"/>
        </w:rPr>
        <w:t>unor acte normative</w:t>
      </w:r>
      <w:r w:rsidR="00817C70" w:rsidRPr="00817C70">
        <w:rPr>
          <w:rFonts w:ascii="Times New Roman" w:hAnsi="Times New Roman" w:cs="Times New Roman"/>
          <w:sz w:val="24"/>
          <w:szCs w:val="24"/>
          <w:lang w:val="ro-RO"/>
        </w:rPr>
        <w:t xml:space="preserve"> </w:t>
      </w:r>
    </w:p>
    <w:p w14:paraId="3B9CA25E" w14:textId="746E051F" w:rsidR="00AF03A9" w:rsidRPr="00306EDF" w:rsidRDefault="00306EDF" w:rsidP="00817C70">
      <w:pPr>
        <w:pStyle w:val="a4"/>
        <w:jc w:val="center"/>
        <w:rPr>
          <w:rFonts w:ascii="Times New Roman" w:hAnsi="Times New Roman" w:cs="Times New Roman"/>
          <w:lang w:val="ro-RO"/>
        </w:rPr>
      </w:pPr>
      <w:r w:rsidRPr="00306EDF">
        <w:rPr>
          <w:rFonts w:ascii="Times New Roman" w:hAnsi="Times New Roman" w:cs="Times New Roman"/>
          <w:lang w:val="ro-RO"/>
        </w:rPr>
        <w:t>(</w:t>
      </w:r>
      <w:r w:rsidR="00C37360" w:rsidRPr="00C37360">
        <w:rPr>
          <w:rFonts w:ascii="Times New Roman" w:hAnsi="Times New Roman" w:cs="Times New Roman"/>
          <w:lang w:val="ro-RO"/>
        </w:rPr>
        <w:t>ajustarea cadrului normativ în domeniul geodeziei</w:t>
      </w:r>
      <w:r w:rsidRPr="00306EDF">
        <w:rPr>
          <w:rFonts w:ascii="Times New Roman" w:hAnsi="Times New Roman" w:cs="Times New Roman"/>
          <w:lang w:val="ro-RO"/>
        </w:rPr>
        <w:t>)</w:t>
      </w:r>
    </w:p>
    <w:tbl>
      <w:tblPr>
        <w:tblStyle w:val="a3"/>
        <w:tblW w:w="5000" w:type="pct"/>
        <w:tblLayout w:type="fixed"/>
        <w:tblLook w:val="04A0" w:firstRow="1" w:lastRow="0" w:firstColumn="1" w:lastColumn="0" w:noHBand="0" w:noVBand="1"/>
      </w:tblPr>
      <w:tblGrid>
        <w:gridCol w:w="2888"/>
        <w:gridCol w:w="3423"/>
        <w:gridCol w:w="3600"/>
      </w:tblGrid>
      <w:tr w:rsidR="00A9011C" w:rsidRPr="00D62401" w14:paraId="3DF3A5E0" w14:textId="77777777" w:rsidTr="00C115BD">
        <w:tc>
          <w:tcPr>
            <w:tcW w:w="1457" w:type="pct"/>
          </w:tcPr>
          <w:p w14:paraId="27E74B41" w14:textId="4585027C" w:rsidR="00A9011C" w:rsidRPr="00D62401" w:rsidRDefault="00A9011C" w:rsidP="00996DB5">
            <w:pPr>
              <w:tabs>
                <w:tab w:val="left" w:pos="738"/>
                <w:tab w:val="left" w:pos="1127"/>
              </w:tabs>
              <w:jc w:val="center"/>
              <w:rPr>
                <w:rFonts w:cs="Times New Roman"/>
                <w:b/>
                <w:sz w:val="22"/>
              </w:rPr>
            </w:pPr>
            <w:r w:rsidRPr="00D62401">
              <w:rPr>
                <w:rFonts w:cs="Times New Roman"/>
                <w:b/>
                <w:sz w:val="22"/>
              </w:rPr>
              <w:t>Conținutul normei în vigoare</w:t>
            </w:r>
          </w:p>
        </w:tc>
        <w:tc>
          <w:tcPr>
            <w:tcW w:w="1727" w:type="pct"/>
          </w:tcPr>
          <w:p w14:paraId="6F3EC1FF" w14:textId="77777777" w:rsidR="00A9011C" w:rsidRPr="00D62401" w:rsidRDefault="00A9011C" w:rsidP="00B41C3D">
            <w:pPr>
              <w:tabs>
                <w:tab w:val="left" w:pos="1254"/>
              </w:tabs>
              <w:jc w:val="center"/>
              <w:rPr>
                <w:rFonts w:cs="Times New Roman"/>
                <w:b/>
                <w:sz w:val="22"/>
              </w:rPr>
            </w:pPr>
            <w:r w:rsidRPr="00D62401">
              <w:rPr>
                <w:rFonts w:cs="Times New Roman"/>
                <w:b/>
                <w:sz w:val="22"/>
              </w:rPr>
              <w:t>Modificarea propusă</w:t>
            </w:r>
          </w:p>
        </w:tc>
        <w:tc>
          <w:tcPr>
            <w:tcW w:w="1816" w:type="pct"/>
          </w:tcPr>
          <w:p w14:paraId="32764C79" w14:textId="77777777" w:rsidR="00A9011C" w:rsidRPr="00D62401" w:rsidRDefault="00A9011C" w:rsidP="00996DB5">
            <w:pPr>
              <w:tabs>
                <w:tab w:val="left" w:pos="885"/>
                <w:tab w:val="left" w:pos="1414"/>
              </w:tabs>
              <w:jc w:val="center"/>
              <w:rPr>
                <w:rFonts w:cs="Times New Roman"/>
                <w:b/>
                <w:sz w:val="22"/>
              </w:rPr>
            </w:pPr>
            <w:r w:rsidRPr="00D62401">
              <w:rPr>
                <w:rFonts w:cs="Times New Roman"/>
                <w:b/>
                <w:sz w:val="22"/>
              </w:rPr>
              <w:t>Conținutul normei după modificare</w:t>
            </w:r>
          </w:p>
          <w:p w14:paraId="55A5351E" w14:textId="7B52CC58" w:rsidR="00EB29C4" w:rsidRPr="00D62401" w:rsidRDefault="00EB29C4" w:rsidP="00996DB5">
            <w:pPr>
              <w:tabs>
                <w:tab w:val="left" w:pos="885"/>
                <w:tab w:val="left" w:pos="1414"/>
              </w:tabs>
              <w:jc w:val="center"/>
              <w:rPr>
                <w:rFonts w:cs="Times New Roman"/>
                <w:b/>
                <w:sz w:val="22"/>
              </w:rPr>
            </w:pPr>
          </w:p>
        </w:tc>
      </w:tr>
      <w:tr w:rsidR="00A9011C" w:rsidRPr="00D62401" w14:paraId="2645F1E7" w14:textId="77777777" w:rsidTr="00C115BD">
        <w:tc>
          <w:tcPr>
            <w:tcW w:w="1457" w:type="pct"/>
          </w:tcPr>
          <w:p w14:paraId="23F60265" w14:textId="7DD0AE27" w:rsidR="00A9011C" w:rsidRPr="00D62401" w:rsidRDefault="00A9011C" w:rsidP="00996DB5">
            <w:pPr>
              <w:tabs>
                <w:tab w:val="left" w:pos="738"/>
                <w:tab w:val="left" w:pos="1127"/>
              </w:tabs>
              <w:jc w:val="center"/>
              <w:rPr>
                <w:rFonts w:cs="Times New Roman"/>
                <w:b/>
                <w:sz w:val="22"/>
              </w:rPr>
            </w:pPr>
            <w:r w:rsidRPr="00D62401">
              <w:rPr>
                <w:rFonts w:cs="Times New Roman"/>
                <w:b/>
                <w:sz w:val="22"/>
              </w:rPr>
              <w:t>2</w:t>
            </w:r>
          </w:p>
        </w:tc>
        <w:tc>
          <w:tcPr>
            <w:tcW w:w="1727" w:type="pct"/>
          </w:tcPr>
          <w:p w14:paraId="2FC6AE24" w14:textId="49B5FEA3" w:rsidR="00A9011C" w:rsidRPr="00D62401" w:rsidRDefault="00A9011C" w:rsidP="00B41C3D">
            <w:pPr>
              <w:tabs>
                <w:tab w:val="left" w:pos="1254"/>
              </w:tabs>
              <w:jc w:val="center"/>
              <w:rPr>
                <w:rFonts w:cs="Times New Roman"/>
                <w:b/>
                <w:sz w:val="22"/>
              </w:rPr>
            </w:pPr>
            <w:r w:rsidRPr="00D62401">
              <w:rPr>
                <w:rFonts w:cs="Times New Roman"/>
                <w:b/>
                <w:sz w:val="22"/>
              </w:rPr>
              <w:t>3</w:t>
            </w:r>
          </w:p>
        </w:tc>
        <w:tc>
          <w:tcPr>
            <w:tcW w:w="1816" w:type="pct"/>
          </w:tcPr>
          <w:p w14:paraId="74135F8F" w14:textId="07EF5AC5" w:rsidR="00A9011C" w:rsidRPr="00D62401" w:rsidRDefault="00A9011C" w:rsidP="00996DB5">
            <w:pPr>
              <w:tabs>
                <w:tab w:val="left" w:pos="885"/>
                <w:tab w:val="left" w:pos="1414"/>
              </w:tabs>
              <w:jc w:val="center"/>
              <w:rPr>
                <w:rFonts w:cs="Times New Roman"/>
                <w:b/>
                <w:sz w:val="22"/>
              </w:rPr>
            </w:pPr>
            <w:r w:rsidRPr="00D62401">
              <w:rPr>
                <w:rFonts w:cs="Times New Roman"/>
                <w:b/>
                <w:sz w:val="22"/>
              </w:rPr>
              <w:t>4</w:t>
            </w:r>
          </w:p>
        </w:tc>
      </w:tr>
      <w:tr w:rsidR="00D44B82" w:rsidRPr="00D62401" w14:paraId="46F9B8B4" w14:textId="77777777" w:rsidTr="00C115BD">
        <w:tc>
          <w:tcPr>
            <w:tcW w:w="5000" w:type="pct"/>
            <w:gridSpan w:val="3"/>
          </w:tcPr>
          <w:p w14:paraId="4F388957" w14:textId="5EF32E03" w:rsidR="00817C70" w:rsidRPr="00FB6F5F" w:rsidRDefault="00D44B82" w:rsidP="00FB6F5F">
            <w:pPr>
              <w:pStyle w:val="a8"/>
              <w:numPr>
                <w:ilvl w:val="0"/>
                <w:numId w:val="8"/>
              </w:numPr>
              <w:tabs>
                <w:tab w:val="left" w:pos="738"/>
                <w:tab w:val="left" w:pos="885"/>
                <w:tab w:val="left" w:pos="1127"/>
                <w:tab w:val="left" w:pos="1254"/>
                <w:tab w:val="left" w:pos="1414"/>
              </w:tabs>
              <w:spacing w:before="120"/>
              <w:jc w:val="center"/>
              <w:rPr>
                <w:rFonts w:cs="Times New Roman"/>
                <w:bCs/>
                <w:sz w:val="22"/>
              </w:rPr>
            </w:pPr>
            <w:r w:rsidRPr="00D62401">
              <w:rPr>
                <w:rFonts w:cs="Times New Roman"/>
                <w:bCs/>
                <w:sz w:val="22"/>
              </w:rPr>
              <w:t xml:space="preserve">Hotărârea Guvernului </w:t>
            </w:r>
            <w:r w:rsidR="00817C70" w:rsidRPr="00817C70">
              <w:rPr>
                <w:rFonts w:cs="Times New Roman"/>
                <w:bCs/>
                <w:sz w:val="22"/>
              </w:rPr>
              <w:t>nr. 29/1994 pentru aprobarea Regulamentului cu privire la protecția punctelor geodezice pe teritoriul Republicii Moldova</w:t>
            </w:r>
            <w:r w:rsidRPr="00D62401">
              <w:rPr>
                <w:rFonts w:cs="Times New Roman"/>
                <w:bCs/>
                <w:sz w:val="22"/>
              </w:rPr>
              <w:t>, se modifică după cum urmează:</w:t>
            </w:r>
          </w:p>
        </w:tc>
      </w:tr>
      <w:tr w:rsidR="00817C70" w:rsidRPr="00120A88" w14:paraId="281CA907" w14:textId="77777777" w:rsidTr="00C115BD">
        <w:tc>
          <w:tcPr>
            <w:tcW w:w="5000" w:type="pct"/>
            <w:gridSpan w:val="3"/>
          </w:tcPr>
          <w:p w14:paraId="4C77B9B8" w14:textId="715B4AF9" w:rsidR="00817C70" w:rsidRPr="00120A88" w:rsidRDefault="00817C70" w:rsidP="00817C70">
            <w:pPr>
              <w:pStyle w:val="a8"/>
              <w:numPr>
                <w:ilvl w:val="1"/>
                <w:numId w:val="8"/>
              </w:numPr>
              <w:tabs>
                <w:tab w:val="left" w:pos="738"/>
                <w:tab w:val="left" w:pos="885"/>
                <w:tab w:val="left" w:pos="1127"/>
                <w:tab w:val="left" w:pos="1254"/>
                <w:tab w:val="left" w:pos="1414"/>
              </w:tabs>
              <w:spacing w:before="120"/>
              <w:jc w:val="center"/>
              <w:rPr>
                <w:rFonts w:cs="Times New Roman"/>
                <w:bCs/>
                <w:sz w:val="22"/>
              </w:rPr>
            </w:pPr>
            <w:r w:rsidRPr="00120A88">
              <w:rPr>
                <w:rFonts w:cs="Times New Roman"/>
                <w:bCs/>
                <w:sz w:val="22"/>
              </w:rPr>
              <w:t xml:space="preserve"> </w:t>
            </w:r>
            <w:r w:rsidR="00FB6F5F" w:rsidRPr="00120A88">
              <w:rPr>
                <w:rFonts w:cs="Times New Roman"/>
                <w:bCs/>
                <w:sz w:val="22"/>
              </w:rPr>
              <w:t>h</w:t>
            </w:r>
            <w:r w:rsidRPr="00120A88">
              <w:rPr>
                <w:rFonts w:cs="Times New Roman"/>
                <w:bCs/>
                <w:sz w:val="22"/>
              </w:rPr>
              <w:t>otărâre</w:t>
            </w:r>
            <w:r w:rsidR="00B42B3B">
              <w:rPr>
                <w:rFonts w:cs="Times New Roman"/>
                <w:bCs/>
                <w:sz w:val="22"/>
              </w:rPr>
              <w:t>a</w:t>
            </w:r>
            <w:r w:rsidRPr="00120A88">
              <w:rPr>
                <w:rFonts w:cs="Times New Roman"/>
                <w:bCs/>
                <w:sz w:val="22"/>
              </w:rPr>
              <w:t>:</w:t>
            </w:r>
          </w:p>
        </w:tc>
      </w:tr>
      <w:tr w:rsidR="00C37360" w:rsidRPr="00D62401" w14:paraId="45CD9716" w14:textId="77777777" w:rsidTr="002234D4">
        <w:trPr>
          <w:trHeight w:val="4574"/>
        </w:trPr>
        <w:tc>
          <w:tcPr>
            <w:tcW w:w="1457" w:type="pct"/>
            <w:vMerge w:val="restart"/>
          </w:tcPr>
          <w:p w14:paraId="01EE7961" w14:textId="77777777" w:rsidR="00C37360" w:rsidRPr="00C637D3" w:rsidRDefault="00C37360" w:rsidP="00C637D3">
            <w:pPr>
              <w:tabs>
                <w:tab w:val="left" w:pos="738"/>
                <w:tab w:val="left" w:pos="1127"/>
              </w:tabs>
              <w:jc w:val="both"/>
              <w:rPr>
                <w:rFonts w:cs="Times New Roman"/>
                <w:bCs/>
                <w:sz w:val="22"/>
                <w:lang w:val="en-US"/>
              </w:rPr>
            </w:pPr>
            <w:r w:rsidRPr="00C637D3">
              <w:rPr>
                <w:rFonts w:cs="Times New Roman"/>
                <w:bCs/>
                <w:sz w:val="22"/>
                <w:lang w:val="en-US"/>
              </w:rPr>
              <w:t> Ţinînd cont de importanţa reţelelor geodezice pentru domeniile economiei, ştiinţei şi apărării ale republicii, Guvernul Republicii Moldova hotărăşte:</w:t>
            </w:r>
          </w:p>
          <w:p w14:paraId="34B33490" w14:textId="183FD70D" w:rsidR="00C37360" w:rsidRPr="00C637D3" w:rsidRDefault="00C37360" w:rsidP="00C637D3">
            <w:pPr>
              <w:tabs>
                <w:tab w:val="left" w:pos="251"/>
                <w:tab w:val="left" w:pos="738"/>
                <w:tab w:val="left" w:pos="1127"/>
              </w:tabs>
              <w:jc w:val="both"/>
              <w:rPr>
                <w:rFonts w:cs="Times New Roman"/>
                <w:bCs/>
                <w:sz w:val="22"/>
                <w:lang w:val="en-US"/>
              </w:rPr>
            </w:pPr>
            <w:r w:rsidRPr="00C637D3">
              <w:rPr>
                <w:rFonts w:cs="Times New Roman"/>
                <w:bCs/>
                <w:sz w:val="22"/>
                <w:lang w:val="en-US"/>
              </w:rPr>
              <w:t>  1. Se aprobă Regulamentul cu privire la protecţia punctelor geodezice pe teritoriul Republicii Moldova (se anexează).</w:t>
            </w:r>
          </w:p>
          <w:p w14:paraId="59F4463D" w14:textId="4DFFE015" w:rsidR="00C37360" w:rsidRPr="00C637D3" w:rsidRDefault="00C37360" w:rsidP="00C637D3">
            <w:pPr>
              <w:tabs>
                <w:tab w:val="left" w:pos="251"/>
                <w:tab w:val="left" w:pos="738"/>
                <w:tab w:val="left" w:pos="1127"/>
              </w:tabs>
              <w:jc w:val="both"/>
              <w:rPr>
                <w:rFonts w:cs="Times New Roman"/>
                <w:bCs/>
                <w:sz w:val="22"/>
                <w:lang w:val="en-US"/>
              </w:rPr>
            </w:pPr>
            <w:r w:rsidRPr="00C637D3">
              <w:rPr>
                <w:rFonts w:cs="Times New Roman"/>
                <w:bCs/>
                <w:sz w:val="22"/>
                <w:lang w:val="en-US"/>
              </w:rPr>
              <w:t> </w:t>
            </w:r>
            <w:r>
              <w:rPr>
                <w:rFonts w:cs="Times New Roman"/>
                <w:bCs/>
                <w:sz w:val="22"/>
                <w:lang w:val="en-US"/>
              </w:rPr>
              <w:t xml:space="preserve"> </w:t>
            </w:r>
            <w:r w:rsidRPr="00C637D3">
              <w:rPr>
                <w:rFonts w:cs="Times New Roman"/>
                <w:bCs/>
                <w:sz w:val="22"/>
                <w:lang w:val="en-US"/>
              </w:rPr>
              <w:t>2. Se stabileşte că punctele geodezice permanente (centrele de triangulaţie şi poligonometrie, reperele şi mărcile de nivelment, punctele de determinare astronomică şi gravimetrică, semnalele exterioare, farurile luminoase, semne de navigaţie, inclusiv posturile hidrometrice şi semnele de protecţie a apelor) sînt proprietate de stat şi se află sub protecţia statului.</w:t>
            </w:r>
          </w:p>
          <w:p w14:paraId="0B377F69" w14:textId="15590ADA" w:rsidR="00C37360" w:rsidRPr="00C637D3" w:rsidRDefault="00C37360" w:rsidP="00C637D3">
            <w:pPr>
              <w:tabs>
                <w:tab w:val="left" w:pos="251"/>
                <w:tab w:val="left" w:pos="738"/>
                <w:tab w:val="left" w:pos="1127"/>
              </w:tabs>
              <w:jc w:val="both"/>
              <w:rPr>
                <w:rFonts w:cs="Times New Roman"/>
                <w:bCs/>
                <w:sz w:val="22"/>
                <w:lang w:val="en-US"/>
              </w:rPr>
            </w:pPr>
            <w:r w:rsidRPr="00C637D3">
              <w:rPr>
                <w:rFonts w:cs="Times New Roman"/>
                <w:bCs/>
                <w:sz w:val="22"/>
                <w:lang w:val="en-US"/>
              </w:rPr>
              <w:t>   Sectoarele de pămînt pe care sînt plasate punctele geodezice permanente (luîndu-se în considerare suprafaţa şi hotarele zonei de protecţie a punctelor geodezice) se califică ca terenuri ale fondului cu destinaţie specială.</w:t>
            </w:r>
          </w:p>
          <w:p w14:paraId="6B1F8C2D" w14:textId="172EE736" w:rsidR="00C37360" w:rsidRPr="00C637D3" w:rsidRDefault="00C37360" w:rsidP="00C637D3">
            <w:pPr>
              <w:tabs>
                <w:tab w:val="left" w:pos="276"/>
                <w:tab w:val="left" w:pos="738"/>
                <w:tab w:val="left" w:pos="1127"/>
              </w:tabs>
              <w:jc w:val="both"/>
              <w:rPr>
                <w:rFonts w:cs="Times New Roman"/>
                <w:bCs/>
                <w:sz w:val="22"/>
                <w:lang w:val="en-US"/>
              </w:rPr>
            </w:pPr>
            <w:r w:rsidRPr="00C637D3">
              <w:rPr>
                <w:rFonts w:cs="Times New Roman"/>
                <w:bCs/>
                <w:sz w:val="22"/>
                <w:lang w:val="en-US"/>
              </w:rPr>
              <w:t>   3. Pentru încălcarea modului stabilit de protecţie a punctelor geodezice permanente şi afectarea integrităţii reţelelor geodezice, persoanele juridice şi fizice poartă răspundere în conformitate cu legislaţia Republicii Moldova.</w:t>
            </w:r>
          </w:p>
          <w:p w14:paraId="34517A8E" w14:textId="4BD8FBDC" w:rsidR="00C37360" w:rsidRPr="00C637D3" w:rsidRDefault="00C37360" w:rsidP="00C637D3">
            <w:pPr>
              <w:tabs>
                <w:tab w:val="left" w:pos="263"/>
                <w:tab w:val="left" w:pos="738"/>
                <w:tab w:val="left" w:pos="1127"/>
              </w:tabs>
              <w:jc w:val="both"/>
              <w:rPr>
                <w:rFonts w:cs="Times New Roman"/>
                <w:bCs/>
                <w:sz w:val="22"/>
                <w:lang w:val="en-US"/>
              </w:rPr>
            </w:pPr>
            <w:r w:rsidRPr="00C637D3">
              <w:rPr>
                <w:rFonts w:cs="Times New Roman"/>
                <w:bCs/>
                <w:sz w:val="22"/>
                <w:lang w:val="en-US"/>
              </w:rPr>
              <w:t xml:space="preserve">   4. Ministerul Finanţelor şi Ministerul Economiei la elaborarea Bugetului de Stat pentru anul 1995 vor prevedea alocarea mijloacelor necesare pentru efectuarea inventarierii depline a punctelor geodezice, ce constiuie Reţeaua </w:t>
            </w:r>
            <w:r w:rsidRPr="00C637D3">
              <w:rPr>
                <w:rFonts w:cs="Times New Roman"/>
                <w:bCs/>
                <w:sz w:val="22"/>
                <w:lang w:val="en-US"/>
              </w:rPr>
              <w:lastRenderedPageBreak/>
              <w:t>Geodezică de Stat, şi paşaportizarea acestora.</w:t>
            </w:r>
          </w:p>
          <w:p w14:paraId="6F64A2D2" w14:textId="4B6085BA" w:rsidR="00C37360" w:rsidRPr="00C637D3" w:rsidRDefault="00C37360" w:rsidP="00C637D3">
            <w:pPr>
              <w:tabs>
                <w:tab w:val="left" w:pos="251"/>
                <w:tab w:val="left" w:pos="738"/>
                <w:tab w:val="left" w:pos="1127"/>
              </w:tabs>
              <w:jc w:val="both"/>
              <w:rPr>
                <w:rFonts w:cs="Times New Roman"/>
                <w:bCs/>
                <w:sz w:val="22"/>
                <w:lang w:val="en-US"/>
              </w:rPr>
            </w:pPr>
            <w:r w:rsidRPr="00C637D3">
              <w:rPr>
                <w:rFonts w:cs="Times New Roman"/>
                <w:bCs/>
                <w:sz w:val="22"/>
                <w:lang w:val="en-US"/>
              </w:rPr>
              <w:t>  </w:t>
            </w:r>
            <w:r>
              <w:rPr>
                <w:rFonts w:cs="Times New Roman"/>
                <w:bCs/>
                <w:sz w:val="22"/>
                <w:lang w:val="en-US"/>
              </w:rPr>
              <w:t xml:space="preserve"> </w:t>
            </w:r>
            <w:r w:rsidRPr="00C637D3">
              <w:rPr>
                <w:rFonts w:cs="Times New Roman"/>
                <w:bCs/>
                <w:sz w:val="22"/>
                <w:lang w:val="en-US"/>
              </w:rPr>
              <w:t>5. Se abrogă Hotărîrea Sovietului Miniştrilor al R.S.S.M. din 15 decembrie 1951 nr.1700 "Cu privire la protecţia reperilor geodezice" (în redacţia hotărîrii Sovietului Miniştrilor al R.S.S.M. din 31 martie 1983 nr.129).</w:t>
            </w:r>
          </w:p>
        </w:tc>
        <w:tc>
          <w:tcPr>
            <w:tcW w:w="1727" w:type="pct"/>
          </w:tcPr>
          <w:p w14:paraId="7BAD193C" w14:textId="1184A523" w:rsidR="00C37360" w:rsidRDefault="00C37360" w:rsidP="00C637D3">
            <w:pPr>
              <w:tabs>
                <w:tab w:val="left" w:pos="1254"/>
              </w:tabs>
              <w:jc w:val="both"/>
              <w:rPr>
                <w:rFonts w:eastAsia="Times New Roman" w:cs="Times New Roman"/>
                <w:sz w:val="22"/>
                <w:shd w:val="clear" w:color="auto" w:fill="FFFFFF"/>
                <w:lang w:eastAsia="ru-RU"/>
              </w:rPr>
            </w:pPr>
            <w:r w:rsidRPr="0092017E">
              <w:rPr>
                <w:rFonts w:eastAsia="Times New Roman" w:cs="Times New Roman"/>
                <w:sz w:val="22"/>
                <w:shd w:val="clear" w:color="auto" w:fill="FFFFFF"/>
                <w:lang w:eastAsia="ru-RU"/>
              </w:rPr>
              <w:lastRenderedPageBreak/>
              <w:t>1.1.</w:t>
            </w:r>
            <w:r>
              <w:rPr>
                <w:rFonts w:eastAsia="Times New Roman" w:cs="Times New Roman"/>
                <w:sz w:val="22"/>
                <w:shd w:val="clear" w:color="auto" w:fill="FFFFFF"/>
                <w:lang w:eastAsia="ru-RU"/>
              </w:rPr>
              <w:t>1</w:t>
            </w:r>
            <w:r w:rsidRPr="0092017E">
              <w:rPr>
                <w:rFonts w:eastAsia="Times New Roman" w:cs="Times New Roman"/>
                <w:sz w:val="22"/>
                <w:shd w:val="clear" w:color="auto" w:fill="FFFFFF"/>
                <w:lang w:eastAsia="ru-RU"/>
              </w:rPr>
              <w:t>. se completează cu punctul 2</w:t>
            </w:r>
            <w:r w:rsidRPr="0092017E">
              <w:rPr>
                <w:rFonts w:eastAsia="Times New Roman" w:cs="Times New Roman"/>
                <w:sz w:val="22"/>
                <w:shd w:val="clear" w:color="auto" w:fill="FFFFFF"/>
                <w:vertAlign w:val="superscript"/>
                <w:lang w:eastAsia="ru-RU"/>
              </w:rPr>
              <w:t>1</w:t>
            </w:r>
            <w:r w:rsidRPr="0092017E">
              <w:rPr>
                <w:rFonts w:eastAsia="Times New Roman" w:cs="Times New Roman"/>
                <w:sz w:val="22"/>
                <w:shd w:val="clear" w:color="auto" w:fill="FFFFFF"/>
                <w:lang w:eastAsia="ru-RU"/>
              </w:rPr>
              <w:t xml:space="preserve"> și 2</w:t>
            </w:r>
            <w:r w:rsidRPr="0092017E">
              <w:rPr>
                <w:rFonts w:eastAsia="Times New Roman" w:cs="Times New Roman"/>
                <w:sz w:val="22"/>
                <w:shd w:val="clear" w:color="auto" w:fill="FFFFFF"/>
                <w:vertAlign w:val="superscript"/>
                <w:lang w:eastAsia="ru-RU"/>
              </w:rPr>
              <w:t>2</w:t>
            </w:r>
            <w:r w:rsidRPr="0092017E">
              <w:rPr>
                <w:rFonts w:eastAsia="Times New Roman" w:cs="Times New Roman"/>
                <w:sz w:val="22"/>
                <w:shd w:val="clear" w:color="auto" w:fill="FFFFFF"/>
                <w:lang w:eastAsia="ru-RU"/>
              </w:rPr>
              <w:t>, cu următorul cuprins:</w:t>
            </w:r>
          </w:p>
          <w:p w14:paraId="28BFE165" w14:textId="77777777" w:rsidR="00A610E2" w:rsidRPr="0092017E" w:rsidRDefault="00A610E2" w:rsidP="00C637D3">
            <w:pPr>
              <w:tabs>
                <w:tab w:val="left" w:pos="1254"/>
              </w:tabs>
              <w:jc w:val="both"/>
              <w:rPr>
                <w:rFonts w:eastAsia="Times New Roman" w:cs="Times New Roman"/>
                <w:sz w:val="22"/>
                <w:shd w:val="clear" w:color="auto" w:fill="FFFFFF"/>
                <w:lang w:eastAsia="ru-RU"/>
              </w:rPr>
            </w:pPr>
          </w:p>
          <w:p w14:paraId="3AAE0DD4" w14:textId="61C59979" w:rsidR="00C37360" w:rsidRPr="0092017E" w:rsidRDefault="00C37360" w:rsidP="00C637D3">
            <w:pPr>
              <w:tabs>
                <w:tab w:val="left" w:pos="1254"/>
              </w:tabs>
              <w:jc w:val="both"/>
              <w:rPr>
                <w:rFonts w:eastAsia="Times New Roman" w:cs="Times New Roman"/>
                <w:sz w:val="22"/>
                <w:shd w:val="clear" w:color="auto" w:fill="FFFFFF"/>
                <w:lang w:eastAsia="ru-RU"/>
              </w:rPr>
            </w:pPr>
            <w:r w:rsidRPr="0092017E">
              <w:rPr>
                <w:rFonts w:eastAsia="Times New Roman" w:cs="Times New Roman"/>
                <w:sz w:val="22"/>
                <w:shd w:val="clear" w:color="auto" w:fill="FFFFFF"/>
                <w:lang w:eastAsia="ru-RU"/>
              </w:rPr>
              <w:t>„2</w:t>
            </w:r>
            <w:r w:rsidRPr="0092017E">
              <w:rPr>
                <w:rFonts w:eastAsia="Times New Roman" w:cs="Times New Roman"/>
                <w:sz w:val="22"/>
                <w:shd w:val="clear" w:color="auto" w:fill="FFFFFF"/>
                <w:vertAlign w:val="superscript"/>
                <w:lang w:eastAsia="ru-RU"/>
              </w:rPr>
              <w:t>1</w:t>
            </w:r>
            <w:r w:rsidRPr="0092017E">
              <w:rPr>
                <w:rFonts w:eastAsia="Times New Roman" w:cs="Times New Roman"/>
                <w:sz w:val="22"/>
                <w:shd w:val="clear" w:color="auto" w:fill="FFFFFF"/>
                <w:lang w:eastAsia="ru-RU"/>
              </w:rPr>
              <w:t xml:space="preserve">. </w:t>
            </w:r>
            <w:r w:rsidRPr="00C37360">
              <w:rPr>
                <w:rFonts w:eastAsia="Times New Roman" w:cs="Times New Roman"/>
                <w:sz w:val="22"/>
                <w:shd w:val="clear" w:color="auto" w:fill="FFFFFF"/>
                <w:lang w:eastAsia="ru-RU"/>
              </w:rPr>
              <w:t>Punctul geodezic Rudi, parte a Arcului Geodezic Struve, recunoscut drept obiect de patrimoniu național și internațional, aflat sub protecția statului și este înscris în Registrul monumentelor Republicii Moldova ocrotite de stat.</w:t>
            </w:r>
          </w:p>
          <w:p w14:paraId="02C755A4" w14:textId="2F09D83E" w:rsidR="00C37360" w:rsidRPr="00D201C1" w:rsidRDefault="00C37360" w:rsidP="00C637D3">
            <w:pPr>
              <w:tabs>
                <w:tab w:val="left" w:pos="1254"/>
              </w:tabs>
              <w:jc w:val="both"/>
              <w:rPr>
                <w:rFonts w:eastAsia="Times New Roman" w:cs="Times New Roman"/>
                <w:sz w:val="22"/>
                <w:shd w:val="clear" w:color="auto" w:fill="FFFFFF"/>
                <w:lang w:eastAsia="ru-RU"/>
              </w:rPr>
            </w:pPr>
            <w:r w:rsidRPr="0092017E">
              <w:rPr>
                <w:rFonts w:eastAsia="Times New Roman" w:cs="Times New Roman"/>
                <w:sz w:val="22"/>
                <w:shd w:val="clear" w:color="auto" w:fill="FFFFFF"/>
                <w:lang w:eastAsia="ru-RU"/>
              </w:rPr>
              <w:t xml:space="preserve"> 2</w:t>
            </w:r>
            <w:r w:rsidRPr="0092017E">
              <w:rPr>
                <w:rFonts w:eastAsia="Times New Roman" w:cs="Times New Roman"/>
                <w:sz w:val="22"/>
                <w:shd w:val="clear" w:color="auto" w:fill="FFFFFF"/>
                <w:vertAlign w:val="superscript"/>
                <w:lang w:eastAsia="ru-RU"/>
              </w:rPr>
              <w:t>2</w:t>
            </w:r>
            <w:r w:rsidRPr="0092017E">
              <w:rPr>
                <w:rFonts w:eastAsia="Times New Roman" w:cs="Times New Roman"/>
                <w:sz w:val="22"/>
                <w:shd w:val="clear" w:color="auto" w:fill="FFFFFF"/>
                <w:lang w:eastAsia="ru-RU"/>
              </w:rPr>
              <w:t xml:space="preserve">. </w:t>
            </w:r>
            <w:r w:rsidRPr="00C37360">
              <w:rPr>
                <w:rFonts w:eastAsia="Times New Roman" w:cs="Times New Roman"/>
                <w:sz w:val="22"/>
                <w:shd w:val="clear" w:color="auto" w:fill="FFFFFF"/>
                <w:lang w:eastAsia="ru-RU"/>
              </w:rPr>
              <w:t>Orice punct geodezic aparținând Arcului Geodezic Struve, identificat pe teritoriul Republicii Moldova, se supune acelorași reglementări privind protecția, conservarea și evidența monumentelor de patrimoniu.”;</w:t>
            </w:r>
          </w:p>
        </w:tc>
        <w:tc>
          <w:tcPr>
            <w:tcW w:w="1816" w:type="pct"/>
            <w:vMerge w:val="restart"/>
          </w:tcPr>
          <w:p w14:paraId="78F8A398" w14:textId="77777777" w:rsidR="00C37360" w:rsidRPr="00C637D3" w:rsidRDefault="00C37360" w:rsidP="00120A88">
            <w:pPr>
              <w:tabs>
                <w:tab w:val="left" w:pos="738"/>
                <w:tab w:val="left" w:pos="1127"/>
              </w:tabs>
              <w:jc w:val="both"/>
              <w:rPr>
                <w:rFonts w:cs="Times New Roman"/>
                <w:bCs/>
                <w:sz w:val="22"/>
                <w:lang w:val="en-US"/>
              </w:rPr>
            </w:pPr>
            <w:r w:rsidRPr="00C637D3">
              <w:rPr>
                <w:rFonts w:cs="Times New Roman"/>
                <w:bCs/>
                <w:sz w:val="22"/>
                <w:lang w:val="en-US"/>
              </w:rPr>
              <w:t> Ţinînd cont de importanţa reţelelor geodezice pentru domeniile economiei, ştiinţei şi apărării ale republicii, Guvernul Republicii Moldova hotărăşte:</w:t>
            </w:r>
          </w:p>
          <w:p w14:paraId="75A907A2" w14:textId="73D9A13F" w:rsidR="00C37360" w:rsidRDefault="00C37360" w:rsidP="00120A88">
            <w:pPr>
              <w:tabs>
                <w:tab w:val="left" w:pos="251"/>
                <w:tab w:val="left" w:pos="738"/>
                <w:tab w:val="left" w:pos="1127"/>
              </w:tabs>
              <w:jc w:val="both"/>
              <w:rPr>
                <w:rFonts w:cs="Times New Roman"/>
                <w:bCs/>
                <w:sz w:val="22"/>
                <w:lang w:val="en-US"/>
              </w:rPr>
            </w:pPr>
            <w:r w:rsidRPr="00C637D3">
              <w:rPr>
                <w:rFonts w:cs="Times New Roman"/>
                <w:bCs/>
                <w:sz w:val="22"/>
                <w:lang w:val="en-US"/>
              </w:rPr>
              <w:t>  1. Se aprobă Regulamentul cu privire la protecţia punctelor geodezice pe teritoriul Republicii Moldova (se anexează).</w:t>
            </w:r>
          </w:p>
          <w:p w14:paraId="7096D725" w14:textId="3BE49CC6" w:rsidR="00C37360" w:rsidRPr="00C637D3" w:rsidRDefault="00C37360" w:rsidP="00120A88">
            <w:pPr>
              <w:tabs>
                <w:tab w:val="left" w:pos="251"/>
                <w:tab w:val="left" w:pos="738"/>
                <w:tab w:val="left" w:pos="1127"/>
              </w:tabs>
              <w:jc w:val="both"/>
              <w:rPr>
                <w:rFonts w:cs="Times New Roman"/>
                <w:bCs/>
                <w:sz w:val="22"/>
                <w:lang w:val="en-US"/>
              </w:rPr>
            </w:pPr>
            <w:r>
              <w:rPr>
                <w:rFonts w:cs="Times New Roman"/>
                <w:bCs/>
                <w:sz w:val="22"/>
                <w:lang w:val="en-US"/>
              </w:rPr>
              <w:t xml:space="preserve">  </w:t>
            </w:r>
            <w:r w:rsidRPr="00C637D3">
              <w:rPr>
                <w:rFonts w:cs="Times New Roman"/>
                <w:bCs/>
                <w:sz w:val="22"/>
                <w:lang w:val="en-US"/>
              </w:rPr>
              <w:t> </w:t>
            </w:r>
            <w:r>
              <w:rPr>
                <w:rFonts w:cs="Times New Roman"/>
                <w:bCs/>
                <w:sz w:val="22"/>
                <w:lang w:val="en-US"/>
              </w:rPr>
              <w:t xml:space="preserve"> </w:t>
            </w:r>
            <w:r w:rsidRPr="00C637D3">
              <w:rPr>
                <w:rFonts w:cs="Times New Roman"/>
                <w:bCs/>
                <w:sz w:val="22"/>
                <w:lang w:val="en-US"/>
              </w:rPr>
              <w:t>2. Se stabileşte că punctele geodezice permanente (centrele de triangulaţie şi poligonometrie, reperele şi mărcile de nivelment, punctele de determinare astronomică şi gravimetrică, semnalele exterioare, farurile luminoase, semne de navigaţie, inclusiv posturile hidrometrice şi semnele de protecţie a apelor) sînt proprietate de stat şi se află sub protecţia statului.</w:t>
            </w:r>
          </w:p>
          <w:p w14:paraId="65C8AC09" w14:textId="504143D9" w:rsidR="00C37360" w:rsidRDefault="00C37360" w:rsidP="00120A88">
            <w:pPr>
              <w:tabs>
                <w:tab w:val="left" w:pos="251"/>
                <w:tab w:val="left" w:pos="738"/>
                <w:tab w:val="left" w:pos="1127"/>
              </w:tabs>
              <w:jc w:val="both"/>
              <w:rPr>
                <w:rFonts w:cs="Times New Roman"/>
                <w:bCs/>
                <w:sz w:val="22"/>
                <w:lang w:val="en-US"/>
              </w:rPr>
            </w:pPr>
            <w:r w:rsidRPr="00C637D3">
              <w:rPr>
                <w:rFonts w:cs="Times New Roman"/>
                <w:bCs/>
                <w:sz w:val="22"/>
                <w:lang w:val="en-US"/>
              </w:rPr>
              <w:t>   Sectoarele de pămînt pe care sînt plasate punctele geodezice permanente (luîndu-se în considerare suprafaţa şi hotarele zonei de protecţie a punctelor geodezice) se califică ca terenuri ale fondului cu destinaţie specială.</w:t>
            </w:r>
          </w:p>
          <w:p w14:paraId="4456D673" w14:textId="147F1CA4" w:rsidR="00C37360" w:rsidRPr="00C637D3" w:rsidRDefault="00C37360" w:rsidP="00120A88">
            <w:pPr>
              <w:tabs>
                <w:tab w:val="left" w:pos="251"/>
                <w:tab w:val="left" w:pos="738"/>
                <w:tab w:val="left" w:pos="1127"/>
              </w:tabs>
              <w:jc w:val="both"/>
              <w:rPr>
                <w:rFonts w:cs="Times New Roman"/>
                <w:b/>
                <w:sz w:val="22"/>
                <w:lang w:val="en-US"/>
              </w:rPr>
            </w:pPr>
            <w:r w:rsidRPr="00C637D3">
              <w:rPr>
                <w:rFonts w:cs="Times New Roman"/>
                <w:b/>
                <w:sz w:val="22"/>
                <w:lang w:val="en-US"/>
              </w:rPr>
              <w:t xml:space="preserve">   2</w:t>
            </w:r>
            <w:r w:rsidRPr="00C637D3">
              <w:rPr>
                <w:rFonts w:cs="Times New Roman"/>
                <w:b/>
                <w:sz w:val="22"/>
                <w:vertAlign w:val="superscript"/>
                <w:lang w:val="en-US"/>
              </w:rPr>
              <w:t>1</w:t>
            </w:r>
            <w:r w:rsidRPr="00C637D3">
              <w:rPr>
                <w:rFonts w:cs="Times New Roman"/>
                <w:b/>
                <w:sz w:val="22"/>
                <w:lang w:val="en-US"/>
              </w:rPr>
              <w:t xml:space="preserve">. </w:t>
            </w:r>
            <w:r w:rsidR="00A610E2" w:rsidRPr="00A610E2">
              <w:rPr>
                <w:rFonts w:cs="Times New Roman"/>
                <w:b/>
                <w:sz w:val="22"/>
                <w:lang w:val="en-US"/>
              </w:rPr>
              <w:t>Punctul geodezic Rudi, parte a Arcului Geodezic Struve, recunoscut drept obiect de patrimoniu național și internațional, aflat sub protecția statului și este înscris în Registrul monumentelor Republicii Moldova ocrotite de stat.</w:t>
            </w:r>
          </w:p>
          <w:p w14:paraId="75FD4D1F" w14:textId="77777777" w:rsidR="00A610E2" w:rsidRDefault="00C37360" w:rsidP="00120A88">
            <w:pPr>
              <w:tabs>
                <w:tab w:val="left" w:pos="276"/>
                <w:tab w:val="left" w:pos="738"/>
                <w:tab w:val="left" w:pos="1127"/>
              </w:tabs>
              <w:jc w:val="both"/>
              <w:rPr>
                <w:rFonts w:cs="Times New Roman"/>
                <w:b/>
                <w:sz w:val="22"/>
                <w:lang w:val="en-US"/>
              </w:rPr>
            </w:pPr>
            <w:r w:rsidRPr="00C637D3">
              <w:rPr>
                <w:rFonts w:cs="Times New Roman"/>
                <w:b/>
                <w:sz w:val="22"/>
                <w:lang w:val="en-US"/>
              </w:rPr>
              <w:t xml:space="preserve"> 2</w:t>
            </w:r>
            <w:r w:rsidRPr="00C637D3">
              <w:rPr>
                <w:rFonts w:cs="Times New Roman"/>
                <w:b/>
                <w:sz w:val="22"/>
                <w:vertAlign w:val="superscript"/>
                <w:lang w:val="en-US"/>
              </w:rPr>
              <w:t>2</w:t>
            </w:r>
            <w:r w:rsidRPr="00C637D3">
              <w:rPr>
                <w:rFonts w:cs="Times New Roman"/>
                <w:b/>
                <w:sz w:val="22"/>
                <w:lang w:val="en-US"/>
              </w:rPr>
              <w:t xml:space="preserve">. </w:t>
            </w:r>
            <w:r w:rsidR="00A610E2" w:rsidRPr="00A610E2">
              <w:rPr>
                <w:rFonts w:cs="Times New Roman"/>
                <w:b/>
                <w:sz w:val="22"/>
                <w:lang w:val="en-US"/>
              </w:rPr>
              <w:t>Orice punct geodezic aparținând Arcului Geodezic Struve, identificat pe teritoriul Republicii Moldova, se supune acelorași reglementări privind protecția, conservarea și evidența monumentelor de patrimoniu.</w:t>
            </w:r>
          </w:p>
          <w:p w14:paraId="5E7CD060" w14:textId="4C3DB2B3" w:rsidR="00C37360" w:rsidRPr="00C637D3" w:rsidRDefault="00C37360" w:rsidP="00120A88">
            <w:pPr>
              <w:tabs>
                <w:tab w:val="left" w:pos="276"/>
                <w:tab w:val="left" w:pos="738"/>
                <w:tab w:val="left" w:pos="1127"/>
              </w:tabs>
              <w:jc w:val="both"/>
              <w:rPr>
                <w:rFonts w:cs="Times New Roman"/>
                <w:bCs/>
                <w:sz w:val="22"/>
                <w:lang w:val="en-US"/>
              </w:rPr>
            </w:pPr>
            <w:r w:rsidRPr="00C637D3">
              <w:rPr>
                <w:rFonts w:cs="Times New Roman"/>
                <w:bCs/>
                <w:sz w:val="22"/>
                <w:lang w:val="en-US"/>
              </w:rPr>
              <w:t>   3. Pentru încălcarea modului stabilit de protecţie a punctelor geodezice permanente şi afectarea integrităţii reţelelor geodezice, persoanele juridice şi fizice poartă răspundere în conformitate cu legislaţia Republicii Moldova.</w:t>
            </w:r>
          </w:p>
          <w:p w14:paraId="1A14F8DD" w14:textId="525FE718" w:rsidR="00C37360" w:rsidRPr="00120A88" w:rsidRDefault="00C37360" w:rsidP="00120A88">
            <w:pPr>
              <w:tabs>
                <w:tab w:val="left" w:pos="885"/>
                <w:tab w:val="left" w:pos="1414"/>
              </w:tabs>
              <w:jc w:val="both"/>
              <w:rPr>
                <w:rFonts w:cs="Times New Roman"/>
                <w:b/>
                <w:sz w:val="22"/>
                <w:lang w:val="en-US"/>
              </w:rPr>
            </w:pPr>
            <w:r w:rsidRPr="00C637D3">
              <w:rPr>
                <w:rFonts w:cs="Times New Roman"/>
                <w:bCs/>
                <w:sz w:val="22"/>
                <w:lang w:val="en-US"/>
              </w:rPr>
              <w:t>   </w:t>
            </w:r>
            <w:r w:rsidRPr="00C637D3">
              <w:rPr>
                <w:rFonts w:cs="Times New Roman"/>
                <w:b/>
                <w:sz w:val="22"/>
                <w:lang w:val="en-US"/>
              </w:rPr>
              <w:t>4.</w:t>
            </w:r>
            <w:r w:rsidR="00A610E2">
              <w:rPr>
                <w:rFonts w:cs="Times New Roman"/>
                <w:b/>
                <w:sz w:val="22"/>
                <w:lang w:val="en-US"/>
              </w:rPr>
              <w:t xml:space="preserve"> </w:t>
            </w:r>
            <w:r w:rsidRPr="00120A88">
              <w:rPr>
                <w:rFonts w:cs="Times New Roman"/>
                <w:b/>
                <w:sz w:val="22"/>
                <w:lang w:val="en-US"/>
              </w:rPr>
              <w:t xml:space="preserve">Realizarea prevederilor prezentei hotărâri se va efectua din </w:t>
            </w:r>
            <w:r w:rsidRPr="00120A88">
              <w:rPr>
                <w:rFonts w:cs="Times New Roman"/>
                <w:b/>
                <w:sz w:val="22"/>
                <w:lang w:val="en-US"/>
              </w:rPr>
              <w:lastRenderedPageBreak/>
              <w:t>contul și în limitele mijloacelor financiare aprobate prin legea bugetară anuală, precum și din alte surse legale.</w:t>
            </w:r>
          </w:p>
          <w:p w14:paraId="100E2612" w14:textId="77777777" w:rsidR="00C37360" w:rsidRDefault="00C37360" w:rsidP="00120A88">
            <w:pPr>
              <w:tabs>
                <w:tab w:val="left" w:pos="201"/>
                <w:tab w:val="left" w:pos="885"/>
                <w:tab w:val="left" w:pos="1414"/>
              </w:tabs>
              <w:rPr>
                <w:rFonts w:cs="Times New Roman"/>
                <w:bCs/>
                <w:sz w:val="22"/>
                <w:lang w:val="en-US"/>
              </w:rPr>
            </w:pPr>
            <w:r w:rsidRPr="00C637D3">
              <w:rPr>
                <w:rFonts w:cs="Times New Roman"/>
                <w:bCs/>
                <w:sz w:val="22"/>
                <w:lang w:val="en-US"/>
              </w:rPr>
              <w:t>  </w:t>
            </w:r>
            <w:r>
              <w:rPr>
                <w:rFonts w:cs="Times New Roman"/>
                <w:bCs/>
                <w:sz w:val="22"/>
                <w:lang w:val="en-US"/>
              </w:rPr>
              <w:t xml:space="preserve"> </w:t>
            </w:r>
            <w:r w:rsidRPr="00C637D3">
              <w:rPr>
                <w:rFonts w:cs="Times New Roman"/>
                <w:bCs/>
                <w:sz w:val="22"/>
                <w:lang w:val="en-US"/>
              </w:rPr>
              <w:t>5. Se abrogă Hotărîrea Sovietului Miniştrilor al R.S.S.M. din 15 decembrie 1951 nr.1700 "Cu privire la protecţia reperilor geodezice" (în redacţia hotărîrii Sovietului Miniştrilor al R.S.S.M. din 31 martie 1983 nr.129).</w:t>
            </w:r>
          </w:p>
          <w:p w14:paraId="5A2E527E" w14:textId="6C1CA0B5" w:rsidR="00A610E2" w:rsidRDefault="00C37360" w:rsidP="00120A88">
            <w:pPr>
              <w:tabs>
                <w:tab w:val="left" w:pos="885"/>
                <w:tab w:val="left" w:pos="1414"/>
              </w:tabs>
              <w:jc w:val="both"/>
              <w:rPr>
                <w:rFonts w:eastAsia="Times New Roman" w:cs="Times New Roman"/>
                <w:b/>
                <w:bCs/>
                <w:sz w:val="22"/>
                <w:shd w:val="clear" w:color="auto" w:fill="FFFFFF"/>
                <w:lang w:eastAsia="ru-RU"/>
              </w:rPr>
            </w:pPr>
            <w:r>
              <w:rPr>
                <w:rFonts w:cs="Times New Roman"/>
                <w:b/>
                <w:color w:val="FF0000"/>
                <w:sz w:val="22"/>
              </w:rPr>
              <w:t xml:space="preserve">   </w:t>
            </w:r>
            <w:r w:rsidRPr="00120A88">
              <w:rPr>
                <w:rFonts w:eastAsia="Times New Roman" w:cs="Times New Roman"/>
                <w:b/>
                <w:bCs/>
                <w:sz w:val="22"/>
                <w:shd w:val="clear" w:color="auto" w:fill="FFFFFF"/>
                <w:lang w:eastAsia="ru-RU"/>
              </w:rPr>
              <w:t xml:space="preserve">6. </w:t>
            </w:r>
            <w:r w:rsidR="00A610E2" w:rsidRPr="00A610E2">
              <w:rPr>
                <w:rFonts w:eastAsia="Times New Roman" w:cs="Times New Roman"/>
                <w:b/>
                <w:bCs/>
                <w:sz w:val="22"/>
                <w:shd w:val="clear" w:color="auto" w:fill="FFFFFF"/>
                <w:lang w:eastAsia="ru-RU"/>
              </w:rPr>
              <w:t>Agenția Geodezie, Cartografie și Cadastru va atrage, la necesitate, entitățile publice competente, în activități de planificare, dezvoltare și raportare privind protecția, conservarea și monitorizarea punctelor geodezice, precum și pentru asigurarea îndeplinirii obligațiilor naționale și internaționale aferente acestora.</w:t>
            </w:r>
          </w:p>
          <w:p w14:paraId="342D3817" w14:textId="32B04B71" w:rsidR="00C37360" w:rsidRPr="00AC72A2" w:rsidRDefault="00C37360" w:rsidP="00120A88">
            <w:pPr>
              <w:tabs>
                <w:tab w:val="left" w:pos="885"/>
                <w:tab w:val="left" w:pos="1414"/>
              </w:tabs>
              <w:jc w:val="both"/>
              <w:rPr>
                <w:rFonts w:cs="Times New Roman"/>
                <w:b/>
                <w:color w:val="FF0000"/>
                <w:sz w:val="22"/>
              </w:rPr>
            </w:pPr>
            <w:r w:rsidRPr="00120A88">
              <w:rPr>
                <w:rFonts w:eastAsia="Times New Roman" w:cs="Times New Roman"/>
                <w:b/>
                <w:bCs/>
                <w:sz w:val="22"/>
                <w:shd w:val="clear" w:color="auto" w:fill="FFFFFF"/>
                <w:lang w:eastAsia="ru-RU"/>
              </w:rPr>
              <w:t xml:space="preserve">  7. </w:t>
            </w:r>
            <w:r w:rsidR="00A610E2" w:rsidRPr="00A610E2">
              <w:rPr>
                <w:rFonts w:eastAsia="Times New Roman" w:cs="Times New Roman"/>
                <w:b/>
                <w:bCs/>
                <w:sz w:val="22"/>
                <w:shd w:val="clear" w:color="auto" w:fill="FFFFFF"/>
                <w:lang w:eastAsia="ru-RU"/>
              </w:rPr>
              <w:t>Controlul asupra executării prezentei hotărâri se pune în sarcina Agenției Geodezie, Cartografie și Cadastru.</w:t>
            </w:r>
          </w:p>
        </w:tc>
      </w:tr>
      <w:tr w:rsidR="00C637D3" w:rsidRPr="00D62401" w14:paraId="633EBCCE" w14:textId="77777777" w:rsidTr="00C115BD">
        <w:tc>
          <w:tcPr>
            <w:tcW w:w="1457" w:type="pct"/>
            <w:vMerge/>
          </w:tcPr>
          <w:p w14:paraId="64316209" w14:textId="77777777" w:rsidR="00C637D3" w:rsidRPr="000B392B" w:rsidRDefault="00C637D3" w:rsidP="00C637D3">
            <w:pPr>
              <w:tabs>
                <w:tab w:val="left" w:pos="738"/>
                <w:tab w:val="left" w:pos="1127"/>
              </w:tabs>
              <w:spacing w:before="120"/>
              <w:rPr>
                <w:rFonts w:cs="Times New Roman"/>
                <w:b/>
                <w:sz w:val="22"/>
              </w:rPr>
            </w:pPr>
          </w:p>
        </w:tc>
        <w:tc>
          <w:tcPr>
            <w:tcW w:w="1727" w:type="pct"/>
          </w:tcPr>
          <w:p w14:paraId="2CF9BEC1" w14:textId="14B3A45A" w:rsidR="00C637D3" w:rsidRPr="0092017E" w:rsidRDefault="00C637D3" w:rsidP="00C637D3">
            <w:pPr>
              <w:tabs>
                <w:tab w:val="left" w:pos="1254"/>
              </w:tabs>
              <w:jc w:val="both"/>
              <w:rPr>
                <w:rFonts w:eastAsia="Times New Roman" w:cs="Times New Roman"/>
                <w:sz w:val="22"/>
                <w:shd w:val="clear" w:color="auto" w:fill="FFFFFF"/>
                <w:lang w:eastAsia="ru-RU"/>
              </w:rPr>
            </w:pPr>
            <w:r w:rsidRPr="0092017E">
              <w:rPr>
                <w:rFonts w:eastAsia="Times New Roman" w:cs="Times New Roman"/>
                <w:sz w:val="22"/>
                <w:shd w:val="clear" w:color="auto" w:fill="FFFFFF"/>
                <w:lang w:eastAsia="ru-RU"/>
              </w:rPr>
              <w:t>1.1.</w:t>
            </w:r>
            <w:r w:rsidR="00C37360">
              <w:rPr>
                <w:rFonts w:eastAsia="Times New Roman" w:cs="Times New Roman"/>
                <w:sz w:val="22"/>
                <w:shd w:val="clear" w:color="auto" w:fill="FFFFFF"/>
                <w:lang w:eastAsia="ru-RU"/>
              </w:rPr>
              <w:t>2</w:t>
            </w:r>
            <w:r w:rsidRPr="0092017E">
              <w:rPr>
                <w:rFonts w:eastAsia="Times New Roman" w:cs="Times New Roman"/>
                <w:sz w:val="22"/>
                <w:shd w:val="clear" w:color="auto" w:fill="FFFFFF"/>
                <w:lang w:eastAsia="ru-RU"/>
              </w:rPr>
              <w:t>. punctul 4 se expune în redacție nouă cu următorul cuprins:</w:t>
            </w:r>
          </w:p>
          <w:p w14:paraId="558AE263" w14:textId="0417AA17" w:rsidR="00C637D3" w:rsidRPr="00D201C1" w:rsidRDefault="00C637D3" w:rsidP="00C637D3">
            <w:pPr>
              <w:tabs>
                <w:tab w:val="left" w:pos="1254"/>
              </w:tabs>
              <w:jc w:val="both"/>
              <w:rPr>
                <w:rFonts w:eastAsia="Times New Roman" w:cs="Times New Roman"/>
                <w:sz w:val="22"/>
                <w:shd w:val="clear" w:color="auto" w:fill="FFFFFF"/>
                <w:lang w:eastAsia="ru-RU"/>
              </w:rPr>
            </w:pPr>
            <w:r w:rsidRPr="0092017E">
              <w:rPr>
                <w:rFonts w:eastAsia="Times New Roman" w:cs="Times New Roman"/>
                <w:sz w:val="22"/>
                <w:shd w:val="clear" w:color="auto" w:fill="FFFFFF"/>
                <w:lang w:eastAsia="ru-RU"/>
              </w:rPr>
              <w:t>„4. Realizarea prevederilor prezentei hotărâri se va efectua din contul și în limitele mijloacelor financiare aprobate prin legea bugetară anuală, precum și din alte surse legale.”;</w:t>
            </w:r>
          </w:p>
        </w:tc>
        <w:tc>
          <w:tcPr>
            <w:tcW w:w="1816" w:type="pct"/>
            <w:vMerge/>
          </w:tcPr>
          <w:p w14:paraId="4C1BD81D" w14:textId="77777777" w:rsidR="00C637D3" w:rsidRPr="00AC72A2" w:rsidRDefault="00C637D3" w:rsidP="00C637D3">
            <w:pPr>
              <w:tabs>
                <w:tab w:val="left" w:pos="885"/>
                <w:tab w:val="left" w:pos="1414"/>
              </w:tabs>
              <w:spacing w:before="120"/>
              <w:rPr>
                <w:rFonts w:cs="Times New Roman"/>
                <w:b/>
                <w:color w:val="FF0000"/>
                <w:sz w:val="22"/>
              </w:rPr>
            </w:pPr>
          </w:p>
        </w:tc>
      </w:tr>
      <w:tr w:rsidR="00C637D3" w:rsidRPr="00D62401" w14:paraId="0FA51A04" w14:textId="77777777" w:rsidTr="00C115BD">
        <w:tc>
          <w:tcPr>
            <w:tcW w:w="1457" w:type="pct"/>
            <w:vMerge/>
          </w:tcPr>
          <w:p w14:paraId="379BDBCB" w14:textId="77777777" w:rsidR="00C637D3" w:rsidRPr="000B392B" w:rsidRDefault="00C637D3" w:rsidP="00C637D3">
            <w:pPr>
              <w:tabs>
                <w:tab w:val="left" w:pos="738"/>
                <w:tab w:val="left" w:pos="1127"/>
              </w:tabs>
              <w:spacing w:before="120"/>
              <w:rPr>
                <w:rFonts w:cs="Times New Roman"/>
                <w:b/>
                <w:sz w:val="22"/>
              </w:rPr>
            </w:pPr>
          </w:p>
        </w:tc>
        <w:tc>
          <w:tcPr>
            <w:tcW w:w="1727" w:type="pct"/>
          </w:tcPr>
          <w:p w14:paraId="781AB371" w14:textId="77777777" w:rsidR="00C37360" w:rsidRPr="00C37360" w:rsidRDefault="00C637D3" w:rsidP="00C37360">
            <w:pPr>
              <w:tabs>
                <w:tab w:val="left" w:pos="1254"/>
              </w:tabs>
              <w:jc w:val="both"/>
              <w:rPr>
                <w:rFonts w:eastAsia="Times New Roman" w:cs="Times New Roman"/>
                <w:sz w:val="22"/>
                <w:shd w:val="clear" w:color="auto" w:fill="FFFFFF"/>
                <w:lang w:eastAsia="ru-RU"/>
              </w:rPr>
            </w:pPr>
            <w:r w:rsidRPr="0092017E">
              <w:rPr>
                <w:rFonts w:eastAsia="Times New Roman" w:cs="Times New Roman"/>
                <w:sz w:val="22"/>
                <w:shd w:val="clear" w:color="auto" w:fill="FFFFFF"/>
                <w:lang w:eastAsia="ru-RU"/>
              </w:rPr>
              <w:t>1.1.</w:t>
            </w:r>
            <w:r w:rsidR="00C37360">
              <w:rPr>
                <w:rFonts w:eastAsia="Times New Roman" w:cs="Times New Roman"/>
                <w:sz w:val="22"/>
                <w:shd w:val="clear" w:color="auto" w:fill="FFFFFF"/>
                <w:lang w:eastAsia="ru-RU"/>
              </w:rPr>
              <w:t>3</w:t>
            </w:r>
            <w:r w:rsidRPr="0092017E">
              <w:rPr>
                <w:rFonts w:eastAsia="Times New Roman" w:cs="Times New Roman"/>
                <w:sz w:val="22"/>
                <w:shd w:val="clear" w:color="auto" w:fill="FFFFFF"/>
                <w:lang w:eastAsia="ru-RU"/>
              </w:rPr>
              <w:t xml:space="preserve">. </w:t>
            </w:r>
            <w:r w:rsidR="00C37360" w:rsidRPr="00C37360">
              <w:rPr>
                <w:rFonts w:eastAsia="Times New Roman" w:cs="Times New Roman"/>
                <w:sz w:val="22"/>
                <w:shd w:val="clear" w:color="auto" w:fill="FFFFFF"/>
                <w:lang w:eastAsia="ru-RU"/>
              </w:rPr>
              <w:t>se completează cu punctul 6, cu următorul cuprins:</w:t>
            </w:r>
          </w:p>
          <w:p w14:paraId="529183EE" w14:textId="66EFB6A0" w:rsidR="00C37360" w:rsidRPr="00D201C1" w:rsidRDefault="00C37360" w:rsidP="00C37360">
            <w:pPr>
              <w:tabs>
                <w:tab w:val="left" w:pos="1254"/>
              </w:tabs>
              <w:jc w:val="both"/>
              <w:rPr>
                <w:rFonts w:eastAsia="Times New Roman" w:cs="Times New Roman"/>
                <w:sz w:val="22"/>
                <w:shd w:val="clear" w:color="auto" w:fill="FFFFFF"/>
                <w:lang w:eastAsia="ru-RU"/>
              </w:rPr>
            </w:pPr>
            <w:r w:rsidRPr="00C37360">
              <w:rPr>
                <w:rFonts w:eastAsia="Times New Roman" w:cs="Times New Roman"/>
                <w:sz w:val="22"/>
                <w:shd w:val="clear" w:color="auto" w:fill="FFFFFF"/>
                <w:lang w:eastAsia="ru-RU"/>
              </w:rPr>
              <w:t>„6</w:t>
            </w:r>
            <w:r>
              <w:rPr>
                <w:rFonts w:eastAsia="Times New Roman" w:cs="Times New Roman"/>
                <w:sz w:val="22"/>
                <w:shd w:val="clear" w:color="auto" w:fill="FFFFFF"/>
                <w:lang w:eastAsia="ru-RU"/>
              </w:rPr>
              <w:t>.</w:t>
            </w:r>
            <w:r w:rsidRPr="00C37360">
              <w:rPr>
                <w:rFonts w:eastAsia="Times New Roman" w:cs="Times New Roman"/>
                <w:sz w:val="22"/>
                <w:shd w:val="clear" w:color="auto" w:fill="FFFFFF"/>
                <w:lang w:eastAsia="ru-RU"/>
              </w:rPr>
              <w:t xml:space="preserve"> Agenția Geodezie, Cartografie și Cadastru va atrage, la necesitate, entitățile publice competente, în activități de planificare, dezvoltare și raportare privind protecția, conservarea și monitorizarea punctelor geodezice, precum și pentru asigurarea îndeplinirii obligațiilor naționale și internaționale aferente acestora.</w:t>
            </w:r>
            <w:r w:rsidR="008548FC" w:rsidRPr="008548FC">
              <w:rPr>
                <w:rFonts w:eastAsia="Times New Roman" w:cs="Times New Roman"/>
                <w:sz w:val="22"/>
                <w:shd w:val="clear" w:color="auto" w:fill="FFFFFF"/>
                <w:lang w:eastAsia="ru-RU"/>
              </w:rPr>
              <w:t>”;</w:t>
            </w:r>
          </w:p>
          <w:p w14:paraId="714BC49F" w14:textId="1AF701FE" w:rsidR="00C637D3" w:rsidRPr="00D201C1" w:rsidRDefault="00C637D3" w:rsidP="00C637D3">
            <w:pPr>
              <w:tabs>
                <w:tab w:val="left" w:pos="1254"/>
              </w:tabs>
              <w:jc w:val="both"/>
              <w:rPr>
                <w:rFonts w:eastAsia="Times New Roman" w:cs="Times New Roman"/>
                <w:sz w:val="22"/>
                <w:shd w:val="clear" w:color="auto" w:fill="FFFFFF"/>
                <w:lang w:eastAsia="ru-RU"/>
              </w:rPr>
            </w:pPr>
          </w:p>
        </w:tc>
        <w:tc>
          <w:tcPr>
            <w:tcW w:w="1816" w:type="pct"/>
            <w:vMerge/>
          </w:tcPr>
          <w:p w14:paraId="02C30BB7" w14:textId="77777777" w:rsidR="00C637D3" w:rsidRPr="00AC72A2" w:rsidRDefault="00C637D3" w:rsidP="00C637D3">
            <w:pPr>
              <w:tabs>
                <w:tab w:val="left" w:pos="885"/>
                <w:tab w:val="left" w:pos="1414"/>
              </w:tabs>
              <w:spacing w:before="120"/>
              <w:rPr>
                <w:rFonts w:cs="Times New Roman"/>
                <w:b/>
                <w:color w:val="FF0000"/>
                <w:sz w:val="22"/>
              </w:rPr>
            </w:pPr>
          </w:p>
        </w:tc>
      </w:tr>
      <w:tr w:rsidR="00C637D3" w:rsidRPr="00D62401" w14:paraId="4A6D4A0F" w14:textId="77777777" w:rsidTr="00C115BD">
        <w:tc>
          <w:tcPr>
            <w:tcW w:w="1457" w:type="pct"/>
            <w:vMerge/>
          </w:tcPr>
          <w:p w14:paraId="2FB09DE0" w14:textId="77777777" w:rsidR="00C637D3" w:rsidRPr="000B392B" w:rsidRDefault="00C637D3" w:rsidP="00C637D3">
            <w:pPr>
              <w:tabs>
                <w:tab w:val="left" w:pos="738"/>
                <w:tab w:val="left" w:pos="1127"/>
              </w:tabs>
              <w:spacing w:before="120"/>
              <w:rPr>
                <w:rFonts w:cs="Times New Roman"/>
                <w:b/>
                <w:sz w:val="22"/>
              </w:rPr>
            </w:pPr>
          </w:p>
        </w:tc>
        <w:tc>
          <w:tcPr>
            <w:tcW w:w="1727" w:type="pct"/>
          </w:tcPr>
          <w:p w14:paraId="7F8B5830" w14:textId="79181623" w:rsidR="00C37360" w:rsidRPr="00C37360" w:rsidRDefault="00C637D3" w:rsidP="00C37360">
            <w:pPr>
              <w:tabs>
                <w:tab w:val="left" w:pos="1254"/>
              </w:tabs>
              <w:jc w:val="both"/>
              <w:rPr>
                <w:rFonts w:eastAsia="Times New Roman" w:cs="Times New Roman"/>
                <w:sz w:val="22"/>
                <w:shd w:val="clear" w:color="auto" w:fill="FFFFFF"/>
                <w:lang w:eastAsia="ru-RU"/>
              </w:rPr>
            </w:pPr>
            <w:r w:rsidRPr="0092017E">
              <w:rPr>
                <w:rFonts w:eastAsia="Times New Roman" w:cs="Times New Roman"/>
                <w:sz w:val="22"/>
                <w:shd w:val="clear" w:color="auto" w:fill="FFFFFF"/>
                <w:lang w:eastAsia="ru-RU"/>
              </w:rPr>
              <w:t>1.1.</w:t>
            </w:r>
            <w:r w:rsidR="00C37360">
              <w:rPr>
                <w:rFonts w:eastAsia="Times New Roman" w:cs="Times New Roman"/>
                <w:sz w:val="22"/>
                <w:shd w:val="clear" w:color="auto" w:fill="FFFFFF"/>
                <w:lang w:eastAsia="ru-RU"/>
              </w:rPr>
              <w:t>4</w:t>
            </w:r>
            <w:r w:rsidRPr="0092017E">
              <w:rPr>
                <w:rFonts w:eastAsia="Times New Roman" w:cs="Times New Roman"/>
                <w:sz w:val="22"/>
                <w:shd w:val="clear" w:color="auto" w:fill="FFFFFF"/>
                <w:lang w:eastAsia="ru-RU"/>
              </w:rPr>
              <w:t xml:space="preserve">. </w:t>
            </w:r>
            <w:r w:rsidR="00C37360" w:rsidRPr="00C37360">
              <w:rPr>
                <w:rFonts w:eastAsia="Times New Roman" w:cs="Times New Roman"/>
                <w:sz w:val="22"/>
                <w:shd w:val="clear" w:color="auto" w:fill="FFFFFF"/>
                <w:lang w:eastAsia="ru-RU"/>
              </w:rPr>
              <w:t xml:space="preserve">se completează cu punctul </w:t>
            </w:r>
            <w:r w:rsidR="00C37360">
              <w:rPr>
                <w:rFonts w:eastAsia="Times New Roman" w:cs="Times New Roman"/>
                <w:sz w:val="22"/>
                <w:shd w:val="clear" w:color="auto" w:fill="FFFFFF"/>
                <w:lang w:eastAsia="ru-RU"/>
              </w:rPr>
              <w:t>7</w:t>
            </w:r>
            <w:r w:rsidR="00C37360" w:rsidRPr="00C37360">
              <w:rPr>
                <w:rFonts w:eastAsia="Times New Roman" w:cs="Times New Roman"/>
                <w:sz w:val="22"/>
                <w:shd w:val="clear" w:color="auto" w:fill="FFFFFF"/>
                <w:lang w:eastAsia="ru-RU"/>
              </w:rPr>
              <w:t>, cu următorul cuprins:</w:t>
            </w:r>
          </w:p>
          <w:p w14:paraId="25A5581E" w14:textId="6DD541FA" w:rsidR="00C637D3" w:rsidRPr="00D201C1" w:rsidRDefault="00C37360" w:rsidP="00C37360">
            <w:pPr>
              <w:tabs>
                <w:tab w:val="left" w:pos="1254"/>
              </w:tabs>
              <w:jc w:val="both"/>
              <w:rPr>
                <w:rFonts w:eastAsia="Times New Roman" w:cs="Times New Roman"/>
                <w:sz w:val="22"/>
                <w:shd w:val="clear" w:color="auto" w:fill="FFFFFF"/>
                <w:lang w:eastAsia="ru-RU"/>
              </w:rPr>
            </w:pPr>
            <w:r w:rsidRPr="00C37360">
              <w:rPr>
                <w:rFonts w:eastAsia="Times New Roman" w:cs="Times New Roman"/>
                <w:sz w:val="22"/>
                <w:shd w:val="clear" w:color="auto" w:fill="FFFFFF"/>
                <w:lang w:eastAsia="ru-RU"/>
              </w:rPr>
              <w:t>„</w:t>
            </w:r>
            <w:r>
              <w:rPr>
                <w:rFonts w:eastAsia="Times New Roman" w:cs="Times New Roman"/>
                <w:sz w:val="22"/>
                <w:shd w:val="clear" w:color="auto" w:fill="FFFFFF"/>
                <w:lang w:eastAsia="ru-RU"/>
              </w:rPr>
              <w:t>7</w:t>
            </w:r>
            <w:r w:rsidRPr="00C37360">
              <w:rPr>
                <w:rFonts w:eastAsia="Times New Roman" w:cs="Times New Roman"/>
                <w:sz w:val="22"/>
                <w:shd w:val="clear" w:color="auto" w:fill="FFFFFF"/>
                <w:lang w:eastAsia="ru-RU"/>
              </w:rPr>
              <w:t>. Controlul asupra executării prezentei hotărâri se pune în sarcina Agenției Geodezie, Cartografie și Cadastru.”;</w:t>
            </w:r>
          </w:p>
        </w:tc>
        <w:tc>
          <w:tcPr>
            <w:tcW w:w="1816" w:type="pct"/>
            <w:vMerge/>
          </w:tcPr>
          <w:p w14:paraId="53324426" w14:textId="77777777" w:rsidR="00C637D3" w:rsidRPr="00AC72A2" w:rsidRDefault="00C637D3" w:rsidP="00C637D3">
            <w:pPr>
              <w:tabs>
                <w:tab w:val="left" w:pos="885"/>
                <w:tab w:val="left" w:pos="1414"/>
              </w:tabs>
              <w:spacing w:before="120"/>
              <w:rPr>
                <w:rFonts w:cs="Times New Roman"/>
                <w:b/>
                <w:color w:val="FF0000"/>
                <w:sz w:val="22"/>
              </w:rPr>
            </w:pPr>
          </w:p>
        </w:tc>
      </w:tr>
      <w:tr w:rsidR="00C637D3" w:rsidRPr="00120A88" w14:paraId="6E935E50" w14:textId="77777777" w:rsidTr="00AC72A2">
        <w:tc>
          <w:tcPr>
            <w:tcW w:w="5000" w:type="pct"/>
            <w:gridSpan w:val="3"/>
          </w:tcPr>
          <w:p w14:paraId="2959A172" w14:textId="3FC5A333" w:rsidR="00C637D3" w:rsidRPr="00120A88" w:rsidRDefault="00C637D3" w:rsidP="00C637D3">
            <w:pPr>
              <w:jc w:val="center"/>
              <w:rPr>
                <w:color w:val="000000" w:themeColor="text1"/>
                <w:sz w:val="22"/>
              </w:rPr>
            </w:pPr>
            <w:r w:rsidRPr="00120A88">
              <w:rPr>
                <w:color w:val="000000" w:themeColor="text1"/>
                <w:sz w:val="22"/>
              </w:rPr>
              <w:t xml:space="preserve">1.2. </w:t>
            </w:r>
            <w:bookmarkStart w:id="0" w:name="_Hlk211873877"/>
            <w:r w:rsidRPr="00120A88">
              <w:rPr>
                <w:color w:val="000000" w:themeColor="text1"/>
                <w:sz w:val="22"/>
              </w:rPr>
              <w:t>în anexa la hotărâre:</w:t>
            </w:r>
            <w:bookmarkEnd w:id="0"/>
          </w:p>
        </w:tc>
      </w:tr>
      <w:tr w:rsidR="00120A88" w:rsidRPr="00D62401" w14:paraId="6A8C7A1D" w14:textId="77777777" w:rsidTr="00C115BD">
        <w:tc>
          <w:tcPr>
            <w:tcW w:w="1457" w:type="pct"/>
          </w:tcPr>
          <w:p w14:paraId="76272ED3" w14:textId="77777777" w:rsidR="00630786" w:rsidRDefault="00120A88" w:rsidP="00120A88">
            <w:pPr>
              <w:tabs>
                <w:tab w:val="left" w:pos="738"/>
                <w:tab w:val="left" w:pos="1127"/>
              </w:tabs>
              <w:spacing w:before="120"/>
              <w:jc w:val="center"/>
              <w:rPr>
                <w:rFonts w:eastAsia="Times New Roman" w:cs="Times New Roman"/>
                <w:sz w:val="22"/>
                <w:shd w:val="clear" w:color="auto" w:fill="FFFFFF"/>
                <w:lang w:eastAsia="ru-RU"/>
              </w:rPr>
            </w:pPr>
            <w:r w:rsidRPr="00120A88">
              <w:rPr>
                <w:rFonts w:eastAsia="Times New Roman" w:cs="Times New Roman"/>
                <w:sz w:val="22"/>
                <w:shd w:val="clear" w:color="auto" w:fill="FFFFFF"/>
                <w:lang w:eastAsia="ru-RU"/>
              </w:rPr>
              <w:t>În tot cuprinsul Regulamentului</w:t>
            </w:r>
            <w:r w:rsidR="00630786">
              <w:rPr>
                <w:rFonts w:eastAsia="Times New Roman" w:cs="Times New Roman"/>
                <w:sz w:val="22"/>
                <w:shd w:val="clear" w:color="auto" w:fill="FFFFFF"/>
                <w:lang w:eastAsia="ru-RU"/>
              </w:rPr>
              <w:t>:</w:t>
            </w:r>
          </w:p>
          <w:p w14:paraId="27015C22" w14:textId="2AB829C5" w:rsidR="00120A88" w:rsidRPr="000B392B" w:rsidRDefault="00120A88" w:rsidP="00120A88">
            <w:pPr>
              <w:tabs>
                <w:tab w:val="left" w:pos="738"/>
                <w:tab w:val="left" w:pos="1127"/>
              </w:tabs>
              <w:spacing w:before="120"/>
              <w:jc w:val="center"/>
              <w:rPr>
                <w:rFonts w:cs="Times New Roman"/>
                <w:b/>
                <w:sz w:val="22"/>
              </w:rPr>
            </w:pPr>
            <w:r w:rsidRPr="00537063">
              <w:rPr>
                <w:rFonts w:eastAsia="Times New Roman" w:cs="Times New Roman"/>
                <w:sz w:val="22"/>
                <w:shd w:val="clear" w:color="auto" w:fill="FFFFFF"/>
                <w:lang w:eastAsia="ru-RU"/>
              </w:rPr>
              <w:t>„</w:t>
            </w:r>
            <w:r w:rsidRPr="00537063">
              <w:rPr>
                <w:rFonts w:eastAsia="Times New Roman" w:cs="Times New Roman"/>
                <w:i/>
                <w:iCs/>
                <w:sz w:val="22"/>
                <w:shd w:val="clear" w:color="auto" w:fill="FFFFFF"/>
                <w:lang w:eastAsia="ru-RU"/>
              </w:rPr>
              <w:t>Serviciul de Stat pentru Supraveghere Geodezică</w:t>
            </w:r>
            <w:r w:rsidRPr="00537063">
              <w:rPr>
                <w:rFonts w:eastAsia="Times New Roman" w:cs="Times New Roman"/>
                <w:sz w:val="22"/>
                <w:shd w:val="clear" w:color="auto" w:fill="FFFFFF"/>
                <w:lang w:eastAsia="ru-RU"/>
              </w:rPr>
              <w:t xml:space="preserve">” </w:t>
            </w:r>
          </w:p>
        </w:tc>
        <w:tc>
          <w:tcPr>
            <w:tcW w:w="1727" w:type="pct"/>
          </w:tcPr>
          <w:p w14:paraId="4A8A7B92" w14:textId="77777777" w:rsidR="00120A88" w:rsidRDefault="00120A88" w:rsidP="00120A88">
            <w:pPr>
              <w:tabs>
                <w:tab w:val="left" w:pos="1254"/>
              </w:tabs>
              <w:jc w:val="both"/>
              <w:rPr>
                <w:rFonts w:eastAsia="Times New Roman" w:cs="Times New Roman"/>
                <w:sz w:val="22"/>
                <w:shd w:val="clear" w:color="auto" w:fill="FFFFFF"/>
                <w:lang w:eastAsia="ru-RU"/>
              </w:rPr>
            </w:pPr>
            <w:r w:rsidRPr="00817C70">
              <w:rPr>
                <w:rFonts w:eastAsia="Times New Roman" w:cs="Times New Roman"/>
                <w:sz w:val="22"/>
                <w:shd w:val="clear" w:color="auto" w:fill="FFFFFF"/>
                <w:lang w:eastAsia="ru-RU"/>
              </w:rPr>
              <w:t>1.</w:t>
            </w:r>
            <w:r>
              <w:rPr>
                <w:rFonts w:eastAsia="Times New Roman" w:cs="Times New Roman"/>
                <w:sz w:val="22"/>
                <w:shd w:val="clear" w:color="auto" w:fill="FFFFFF"/>
                <w:lang w:eastAsia="ru-RU"/>
              </w:rPr>
              <w:t>2</w:t>
            </w:r>
            <w:r w:rsidRPr="00817C70">
              <w:rPr>
                <w:rFonts w:eastAsia="Times New Roman" w:cs="Times New Roman"/>
                <w:sz w:val="22"/>
                <w:shd w:val="clear" w:color="auto" w:fill="FFFFFF"/>
                <w:lang w:eastAsia="ru-RU"/>
              </w:rPr>
              <w:t>.1</w:t>
            </w:r>
            <w:r>
              <w:rPr>
                <w:rFonts w:eastAsia="Times New Roman" w:cs="Times New Roman"/>
                <w:sz w:val="22"/>
                <w:shd w:val="clear" w:color="auto" w:fill="FFFFFF"/>
                <w:lang w:eastAsia="ru-RU"/>
              </w:rPr>
              <w:t xml:space="preserve">. </w:t>
            </w:r>
          </w:p>
          <w:p w14:paraId="7A384C94" w14:textId="67C9FA0C" w:rsidR="00120A88" w:rsidRPr="00817C70" w:rsidRDefault="00120A88" w:rsidP="00120A88">
            <w:pPr>
              <w:tabs>
                <w:tab w:val="left" w:pos="1254"/>
              </w:tabs>
              <w:jc w:val="both"/>
              <w:rPr>
                <w:rFonts w:eastAsia="Times New Roman" w:cs="Times New Roman"/>
                <w:sz w:val="22"/>
                <w:shd w:val="clear" w:color="auto" w:fill="FFFFFF"/>
                <w:lang w:eastAsia="ru-RU"/>
              </w:rPr>
            </w:pPr>
            <w:r w:rsidRPr="00817C70">
              <w:rPr>
                <w:rFonts w:eastAsia="Times New Roman" w:cs="Times New Roman"/>
                <w:sz w:val="22"/>
                <w:shd w:val="clear" w:color="auto" w:fill="FFFFFF"/>
                <w:lang w:eastAsia="ru-RU"/>
              </w:rPr>
              <w:t>în tot cuprinsul Regulamentului, cuvintele „</w:t>
            </w:r>
            <w:r w:rsidRPr="00817C70">
              <w:rPr>
                <w:rFonts w:eastAsia="Times New Roman" w:cs="Times New Roman"/>
                <w:i/>
                <w:iCs/>
                <w:sz w:val="22"/>
                <w:shd w:val="clear" w:color="auto" w:fill="FFFFFF"/>
                <w:lang w:eastAsia="ru-RU"/>
              </w:rPr>
              <w:t>Serviciul de Stat pentru Supraveghere Geodezică</w:t>
            </w:r>
            <w:r w:rsidRPr="00817C70">
              <w:rPr>
                <w:rFonts w:eastAsia="Times New Roman" w:cs="Times New Roman"/>
                <w:sz w:val="22"/>
                <w:shd w:val="clear" w:color="auto" w:fill="FFFFFF"/>
                <w:lang w:eastAsia="ru-RU"/>
              </w:rPr>
              <w:t>”, la orice formă gramaticală, se substituie cu cuv</w:t>
            </w:r>
            <w:r>
              <w:rPr>
                <w:rFonts w:eastAsia="Times New Roman" w:cs="Times New Roman"/>
                <w:sz w:val="22"/>
                <w:shd w:val="clear" w:color="auto" w:fill="FFFFFF"/>
                <w:lang w:eastAsia="ru-RU"/>
              </w:rPr>
              <w:t>i</w:t>
            </w:r>
            <w:r w:rsidRPr="00817C70">
              <w:rPr>
                <w:rFonts w:eastAsia="Times New Roman" w:cs="Times New Roman"/>
                <w:sz w:val="22"/>
                <w:shd w:val="clear" w:color="auto" w:fill="FFFFFF"/>
                <w:lang w:eastAsia="ru-RU"/>
              </w:rPr>
              <w:t>nt</w:t>
            </w:r>
            <w:r>
              <w:rPr>
                <w:rFonts w:eastAsia="Times New Roman" w:cs="Times New Roman"/>
                <w:sz w:val="22"/>
                <w:shd w:val="clear" w:color="auto" w:fill="FFFFFF"/>
                <w:lang w:eastAsia="ru-RU"/>
              </w:rPr>
              <w:t>e</w:t>
            </w:r>
            <w:r w:rsidRPr="00817C70">
              <w:rPr>
                <w:rFonts w:eastAsia="Times New Roman" w:cs="Times New Roman"/>
                <w:sz w:val="22"/>
                <w:shd w:val="clear" w:color="auto" w:fill="FFFFFF"/>
                <w:lang w:eastAsia="ru-RU"/>
              </w:rPr>
              <w:t>l</w:t>
            </w:r>
            <w:r>
              <w:rPr>
                <w:rFonts w:eastAsia="Times New Roman" w:cs="Times New Roman"/>
                <w:sz w:val="22"/>
                <w:shd w:val="clear" w:color="auto" w:fill="FFFFFF"/>
                <w:lang w:eastAsia="ru-RU"/>
              </w:rPr>
              <w:t>e</w:t>
            </w:r>
            <w:r w:rsidRPr="00817C70">
              <w:rPr>
                <w:rFonts w:eastAsia="Times New Roman" w:cs="Times New Roman"/>
                <w:sz w:val="22"/>
                <w:shd w:val="clear" w:color="auto" w:fill="FFFFFF"/>
                <w:lang w:eastAsia="ru-RU"/>
              </w:rPr>
              <w:t xml:space="preserve"> ,,</w:t>
            </w:r>
            <w:r w:rsidRPr="003D75CF">
              <w:rPr>
                <w:rFonts w:eastAsia="Times New Roman" w:cs="Times New Roman"/>
                <w:i/>
                <w:iCs/>
                <w:sz w:val="22"/>
                <w:shd w:val="clear" w:color="auto" w:fill="FFFFFF"/>
                <w:lang w:eastAsia="ru-RU"/>
              </w:rPr>
              <w:t>Inspectoratul Național pentru Supraveghere Tehnică</w:t>
            </w:r>
            <w:r w:rsidRPr="00817C70">
              <w:rPr>
                <w:rFonts w:eastAsia="Times New Roman" w:cs="Times New Roman"/>
                <w:sz w:val="22"/>
                <w:shd w:val="clear" w:color="auto" w:fill="FFFFFF"/>
                <w:lang w:eastAsia="ru-RU"/>
              </w:rPr>
              <w:t>”, la forma gramaticală corespunzătoare.</w:t>
            </w:r>
          </w:p>
        </w:tc>
        <w:tc>
          <w:tcPr>
            <w:tcW w:w="1816" w:type="pct"/>
          </w:tcPr>
          <w:p w14:paraId="75316366" w14:textId="77777777" w:rsidR="00630786" w:rsidRDefault="00120A88" w:rsidP="00630786">
            <w:pPr>
              <w:tabs>
                <w:tab w:val="left" w:pos="885"/>
                <w:tab w:val="left" w:pos="1414"/>
              </w:tabs>
              <w:spacing w:before="120"/>
              <w:jc w:val="center"/>
              <w:rPr>
                <w:rFonts w:eastAsia="Times New Roman" w:cs="Times New Roman"/>
                <w:sz w:val="22"/>
                <w:shd w:val="clear" w:color="auto" w:fill="FFFFFF"/>
                <w:lang w:eastAsia="ru-RU"/>
              </w:rPr>
            </w:pPr>
            <w:r w:rsidRPr="00120A88">
              <w:rPr>
                <w:rFonts w:eastAsia="Times New Roman" w:cs="Times New Roman"/>
                <w:sz w:val="22"/>
                <w:shd w:val="clear" w:color="auto" w:fill="FFFFFF"/>
                <w:lang w:eastAsia="ru-RU"/>
              </w:rPr>
              <w:t>În tot cuprinsul Regulamentului</w:t>
            </w:r>
            <w:r w:rsidR="00630786">
              <w:rPr>
                <w:rFonts w:eastAsia="Times New Roman" w:cs="Times New Roman"/>
                <w:sz w:val="22"/>
                <w:shd w:val="clear" w:color="auto" w:fill="FFFFFF"/>
                <w:lang w:eastAsia="ru-RU"/>
              </w:rPr>
              <w:t>:</w:t>
            </w:r>
          </w:p>
          <w:p w14:paraId="5CDECDDD" w14:textId="7AA9FCD5" w:rsidR="00120A88" w:rsidRPr="00537063" w:rsidRDefault="00120A88" w:rsidP="00630786">
            <w:pPr>
              <w:tabs>
                <w:tab w:val="left" w:pos="885"/>
                <w:tab w:val="left" w:pos="1414"/>
              </w:tabs>
              <w:spacing w:before="120"/>
              <w:jc w:val="center"/>
              <w:rPr>
                <w:rFonts w:eastAsia="Times New Roman" w:cs="Times New Roman"/>
                <w:sz w:val="22"/>
                <w:shd w:val="clear" w:color="auto" w:fill="FFFFFF"/>
                <w:lang w:eastAsia="ru-RU"/>
              </w:rPr>
            </w:pPr>
            <w:r w:rsidRPr="00537063">
              <w:rPr>
                <w:rFonts w:eastAsia="Times New Roman" w:cs="Times New Roman"/>
                <w:sz w:val="22"/>
                <w:shd w:val="clear" w:color="auto" w:fill="FFFFFF"/>
                <w:lang w:eastAsia="ru-RU"/>
              </w:rPr>
              <w:t>,,</w:t>
            </w:r>
            <w:r w:rsidRPr="00537063">
              <w:rPr>
                <w:rFonts w:eastAsia="Times New Roman" w:cs="Times New Roman"/>
                <w:b/>
                <w:bCs/>
                <w:sz w:val="22"/>
                <w:shd w:val="clear" w:color="auto" w:fill="FFFFFF"/>
                <w:lang w:eastAsia="ru-RU"/>
              </w:rPr>
              <w:t>Inspectoratul Național pentru Supraveghere Tehnică</w:t>
            </w:r>
            <w:r w:rsidRPr="00537063">
              <w:rPr>
                <w:rFonts w:eastAsia="Times New Roman" w:cs="Times New Roman"/>
                <w:sz w:val="22"/>
                <w:shd w:val="clear" w:color="auto" w:fill="FFFFFF"/>
                <w:lang w:eastAsia="ru-RU"/>
              </w:rPr>
              <w:t>”</w:t>
            </w:r>
          </w:p>
        </w:tc>
      </w:tr>
      <w:tr w:rsidR="00120A88" w:rsidRPr="00AC72A2" w14:paraId="3C00AD91" w14:textId="77777777" w:rsidTr="00AC72A2">
        <w:tc>
          <w:tcPr>
            <w:tcW w:w="5000" w:type="pct"/>
            <w:gridSpan w:val="3"/>
          </w:tcPr>
          <w:p w14:paraId="2C56B538" w14:textId="77777777" w:rsidR="001333A8" w:rsidRDefault="001333A8" w:rsidP="00120A88">
            <w:pPr>
              <w:ind w:firstLine="709"/>
              <w:jc w:val="center"/>
              <w:rPr>
                <w:rFonts w:eastAsia="Times New Roman" w:cs="Times New Roman"/>
                <w:color w:val="000000"/>
                <w:sz w:val="22"/>
              </w:rPr>
            </w:pPr>
          </w:p>
          <w:p w14:paraId="26D106DA" w14:textId="57EF306F" w:rsidR="00A610E2" w:rsidRPr="00B42B3B" w:rsidRDefault="00120A88" w:rsidP="00B42B3B">
            <w:pPr>
              <w:pStyle w:val="a8"/>
              <w:numPr>
                <w:ilvl w:val="0"/>
                <w:numId w:val="8"/>
              </w:numPr>
              <w:jc w:val="center"/>
              <w:rPr>
                <w:rFonts w:eastAsia="Times New Roman" w:cs="Times New Roman"/>
                <w:color w:val="000000"/>
                <w:sz w:val="22"/>
              </w:rPr>
            </w:pPr>
            <w:r w:rsidRPr="00A610E2">
              <w:rPr>
                <w:rFonts w:eastAsia="Times New Roman" w:cs="Times New Roman"/>
                <w:color w:val="000000"/>
                <w:sz w:val="22"/>
              </w:rPr>
              <w:t>Hotărârea Guvernului 229/2023 cu privire la aprobarea Conceptului Sistemului informațional geografic de stat „Registrul de stat al lucrărilor topografo-geodezice” (Monitorul Oficial al Republicii Moldova, 2023, Nr. 175, art. 394) se modifică după cum urmează:</w:t>
            </w:r>
          </w:p>
        </w:tc>
      </w:tr>
      <w:tr w:rsidR="00120A88" w:rsidRPr="00D62401" w14:paraId="2D9BAB21" w14:textId="77777777" w:rsidTr="00C115BD">
        <w:tc>
          <w:tcPr>
            <w:tcW w:w="1457" w:type="pct"/>
          </w:tcPr>
          <w:p w14:paraId="3812E2F3" w14:textId="77777777" w:rsidR="00630786" w:rsidRPr="00630786" w:rsidRDefault="00630786" w:rsidP="00630786">
            <w:pPr>
              <w:tabs>
                <w:tab w:val="left" w:pos="738"/>
                <w:tab w:val="left" w:pos="1127"/>
              </w:tabs>
              <w:spacing w:before="120"/>
              <w:jc w:val="center"/>
              <w:rPr>
                <w:rFonts w:eastAsia="Times New Roman" w:cs="Times New Roman"/>
                <w:sz w:val="22"/>
                <w:shd w:val="clear" w:color="auto" w:fill="FFFFFF"/>
                <w:lang w:eastAsia="ru-RU"/>
              </w:rPr>
            </w:pPr>
            <w:r w:rsidRPr="00630786">
              <w:rPr>
                <w:rFonts w:eastAsia="Times New Roman" w:cs="Times New Roman"/>
                <w:sz w:val="22"/>
                <w:shd w:val="clear" w:color="auto" w:fill="FFFFFF"/>
                <w:lang w:eastAsia="ru-RU"/>
              </w:rPr>
              <w:t>În denumire, în tot cuprinsul Hotărârii și a Conceptului:</w:t>
            </w:r>
          </w:p>
          <w:p w14:paraId="72A9A496" w14:textId="2CEA6AE0" w:rsidR="00120A88" w:rsidRPr="00630786" w:rsidRDefault="00630786" w:rsidP="00630786">
            <w:pPr>
              <w:tabs>
                <w:tab w:val="left" w:pos="738"/>
                <w:tab w:val="left" w:pos="1127"/>
              </w:tabs>
              <w:spacing w:before="120"/>
              <w:jc w:val="center"/>
              <w:rPr>
                <w:rFonts w:cs="Times New Roman"/>
                <w:b/>
                <w:i/>
                <w:iCs/>
                <w:sz w:val="22"/>
              </w:rPr>
            </w:pPr>
            <w:r w:rsidRPr="00630786">
              <w:rPr>
                <w:rFonts w:eastAsia="Times New Roman" w:cs="Times New Roman"/>
                <w:i/>
                <w:iCs/>
                <w:sz w:val="22"/>
                <w:shd w:val="clear" w:color="auto" w:fill="FFFFFF"/>
                <w:lang w:eastAsia="ru-RU"/>
              </w:rPr>
              <w:t>„topografo-geodezice”</w:t>
            </w:r>
          </w:p>
        </w:tc>
        <w:tc>
          <w:tcPr>
            <w:tcW w:w="1727" w:type="pct"/>
          </w:tcPr>
          <w:p w14:paraId="711BF704" w14:textId="1410952C" w:rsidR="00120A88" w:rsidRPr="00817C70" w:rsidRDefault="00120A88" w:rsidP="00120A88">
            <w:pPr>
              <w:tabs>
                <w:tab w:val="left" w:pos="1254"/>
              </w:tabs>
              <w:spacing w:before="120"/>
              <w:jc w:val="both"/>
              <w:rPr>
                <w:rFonts w:eastAsia="Times New Roman" w:cs="Times New Roman"/>
                <w:sz w:val="22"/>
                <w:shd w:val="clear" w:color="auto" w:fill="FFFFFF"/>
                <w:lang w:eastAsia="ru-RU"/>
              </w:rPr>
            </w:pPr>
            <w:r w:rsidRPr="00537063">
              <w:rPr>
                <w:rFonts w:eastAsia="Times New Roman" w:cs="Times New Roman"/>
                <w:sz w:val="22"/>
                <w:shd w:val="clear" w:color="auto" w:fill="FFFFFF"/>
                <w:lang w:eastAsia="ru-RU"/>
              </w:rPr>
              <w:t>2.1. în denumire, în tot cuprinsul Hotărârii și a Conceptului, textul „topografo-geodezice”, la orice formă gramaticală, se substituie cu cuvântul ,,topogeodezice” la forma gramaticală corespunzătoare.</w:t>
            </w:r>
          </w:p>
        </w:tc>
        <w:tc>
          <w:tcPr>
            <w:tcW w:w="1816" w:type="pct"/>
          </w:tcPr>
          <w:p w14:paraId="09CE1175" w14:textId="02BF298F" w:rsidR="00630786" w:rsidRDefault="00120A88" w:rsidP="00630786">
            <w:pPr>
              <w:tabs>
                <w:tab w:val="left" w:pos="885"/>
                <w:tab w:val="left" w:pos="1414"/>
              </w:tabs>
              <w:spacing w:before="120"/>
              <w:jc w:val="center"/>
              <w:rPr>
                <w:rFonts w:eastAsia="Times New Roman" w:cs="Times New Roman"/>
                <w:sz w:val="22"/>
                <w:shd w:val="clear" w:color="auto" w:fill="FFFFFF"/>
                <w:lang w:eastAsia="ru-RU"/>
              </w:rPr>
            </w:pPr>
            <w:r w:rsidRPr="00630786">
              <w:rPr>
                <w:rFonts w:eastAsia="Times New Roman" w:cs="Times New Roman"/>
                <w:sz w:val="22"/>
                <w:shd w:val="clear" w:color="auto" w:fill="FFFFFF"/>
                <w:lang w:eastAsia="ru-RU"/>
              </w:rPr>
              <w:t>În denumire, în tot cuprinsul Hotărârii și a Conceptului</w:t>
            </w:r>
            <w:r w:rsidR="00630786" w:rsidRPr="00630786">
              <w:rPr>
                <w:rFonts w:eastAsia="Times New Roman" w:cs="Times New Roman"/>
                <w:sz w:val="22"/>
                <w:shd w:val="clear" w:color="auto" w:fill="FFFFFF"/>
                <w:lang w:eastAsia="ru-RU"/>
              </w:rPr>
              <w:t>:</w:t>
            </w:r>
          </w:p>
          <w:p w14:paraId="58E03D47" w14:textId="39E10D75" w:rsidR="00120A88" w:rsidRPr="00AC72A2" w:rsidRDefault="00120A88" w:rsidP="00630786">
            <w:pPr>
              <w:tabs>
                <w:tab w:val="left" w:pos="885"/>
                <w:tab w:val="left" w:pos="1414"/>
              </w:tabs>
              <w:spacing w:before="120"/>
              <w:jc w:val="center"/>
              <w:rPr>
                <w:rFonts w:eastAsia="Times New Roman" w:cs="Times New Roman"/>
                <w:color w:val="FF0000"/>
                <w:sz w:val="22"/>
                <w:shd w:val="clear" w:color="auto" w:fill="FFFFFF"/>
                <w:lang w:eastAsia="ru-RU"/>
              </w:rPr>
            </w:pPr>
            <w:r w:rsidRPr="00537063">
              <w:rPr>
                <w:rFonts w:eastAsia="Times New Roman" w:cs="Times New Roman"/>
                <w:sz w:val="22"/>
                <w:shd w:val="clear" w:color="auto" w:fill="FFFFFF"/>
                <w:lang w:eastAsia="ru-RU"/>
              </w:rPr>
              <w:t>,,</w:t>
            </w:r>
            <w:r w:rsidRPr="0092017E">
              <w:rPr>
                <w:rFonts w:eastAsia="Times New Roman" w:cs="Times New Roman"/>
                <w:b/>
                <w:bCs/>
                <w:sz w:val="22"/>
                <w:shd w:val="clear" w:color="auto" w:fill="FFFFFF"/>
                <w:lang w:eastAsia="ru-RU"/>
              </w:rPr>
              <w:t>topogeodezice</w:t>
            </w:r>
            <w:r w:rsidRPr="00537063">
              <w:rPr>
                <w:rFonts w:eastAsia="Times New Roman" w:cs="Times New Roman"/>
                <w:sz w:val="22"/>
                <w:shd w:val="clear" w:color="auto" w:fill="FFFFFF"/>
                <w:lang w:eastAsia="ru-RU"/>
              </w:rPr>
              <w:t>”</w:t>
            </w:r>
          </w:p>
        </w:tc>
      </w:tr>
      <w:tr w:rsidR="00120A88" w:rsidRPr="00910221" w14:paraId="2B008517" w14:textId="77777777" w:rsidTr="00910221">
        <w:tc>
          <w:tcPr>
            <w:tcW w:w="5000" w:type="pct"/>
            <w:gridSpan w:val="3"/>
          </w:tcPr>
          <w:p w14:paraId="46251FC7" w14:textId="77777777" w:rsidR="00630786" w:rsidRDefault="00630786" w:rsidP="00120A88">
            <w:pPr>
              <w:ind w:firstLine="709"/>
              <w:jc w:val="center"/>
              <w:rPr>
                <w:rFonts w:eastAsia="Times New Roman" w:cs="Times New Roman"/>
                <w:color w:val="000000"/>
                <w:sz w:val="22"/>
              </w:rPr>
            </w:pPr>
          </w:p>
          <w:p w14:paraId="4B854AB1" w14:textId="55A8C1F1" w:rsidR="00120A88" w:rsidRDefault="00120A88" w:rsidP="00120A88">
            <w:pPr>
              <w:ind w:firstLine="709"/>
              <w:jc w:val="center"/>
              <w:rPr>
                <w:rFonts w:eastAsia="Times New Roman" w:cs="Times New Roman"/>
                <w:color w:val="000000"/>
                <w:sz w:val="22"/>
              </w:rPr>
            </w:pPr>
            <w:r w:rsidRPr="00910221">
              <w:rPr>
                <w:rFonts w:eastAsia="Times New Roman" w:cs="Times New Roman"/>
                <w:color w:val="000000"/>
                <w:sz w:val="22"/>
              </w:rPr>
              <w:t xml:space="preserve">3. Hotărârea Guvernului nr.118/2025 pentru aprobarea </w:t>
            </w:r>
            <w:bookmarkStart w:id="1" w:name="_Hlk211873580"/>
            <w:r w:rsidRPr="00910221">
              <w:rPr>
                <w:rFonts w:eastAsia="Times New Roman" w:cs="Times New Roman"/>
                <w:color w:val="000000"/>
                <w:sz w:val="22"/>
              </w:rPr>
              <w:t>Regulamentului</w:t>
            </w:r>
            <w:bookmarkEnd w:id="1"/>
            <w:r w:rsidRPr="00910221">
              <w:rPr>
                <w:rFonts w:eastAsia="Times New Roman" w:cs="Times New Roman"/>
                <w:color w:val="000000"/>
                <w:sz w:val="22"/>
              </w:rPr>
              <w:t xml:space="preserve"> cu privire la modalitatea de ținere a Registrului de stat al lucrărilor topografo-geodezice, inclusiv mecanismul de înregistrare și eliberare a informației din Registru (Monitorul Oficial al Republicii Moldova, 2025, Nr. 143, art. 146) </w:t>
            </w:r>
          </w:p>
          <w:p w14:paraId="542F05DB" w14:textId="299C0013" w:rsidR="00A610E2" w:rsidRPr="00B42B3B" w:rsidRDefault="00120A88" w:rsidP="00B42B3B">
            <w:pPr>
              <w:ind w:firstLine="709"/>
              <w:jc w:val="center"/>
              <w:rPr>
                <w:rFonts w:eastAsia="Times New Roman" w:cs="Times New Roman"/>
                <w:color w:val="000000"/>
                <w:sz w:val="22"/>
              </w:rPr>
            </w:pPr>
            <w:r w:rsidRPr="00910221">
              <w:rPr>
                <w:rFonts w:eastAsia="Times New Roman" w:cs="Times New Roman"/>
                <w:color w:val="000000"/>
                <w:sz w:val="22"/>
              </w:rPr>
              <w:t>se modifică după cum urmează:</w:t>
            </w:r>
          </w:p>
        </w:tc>
      </w:tr>
      <w:tr w:rsidR="00630786" w:rsidRPr="00D62401" w14:paraId="3A8F96F4" w14:textId="77777777" w:rsidTr="00C115BD">
        <w:tc>
          <w:tcPr>
            <w:tcW w:w="1457" w:type="pct"/>
          </w:tcPr>
          <w:p w14:paraId="722CEFAB" w14:textId="126DD8A7" w:rsidR="00630786" w:rsidRPr="00630786" w:rsidRDefault="00630786" w:rsidP="00630786">
            <w:pPr>
              <w:tabs>
                <w:tab w:val="left" w:pos="738"/>
                <w:tab w:val="left" w:pos="1127"/>
              </w:tabs>
              <w:spacing w:before="120"/>
              <w:jc w:val="center"/>
              <w:rPr>
                <w:rFonts w:eastAsia="Times New Roman" w:cs="Times New Roman"/>
                <w:sz w:val="22"/>
                <w:shd w:val="clear" w:color="auto" w:fill="FFFFFF"/>
                <w:lang w:eastAsia="ru-RU"/>
              </w:rPr>
            </w:pPr>
            <w:r w:rsidRPr="00630786">
              <w:rPr>
                <w:rFonts w:eastAsia="Times New Roman" w:cs="Times New Roman"/>
                <w:sz w:val="22"/>
                <w:shd w:val="clear" w:color="auto" w:fill="FFFFFF"/>
                <w:lang w:eastAsia="ru-RU"/>
              </w:rPr>
              <w:t>În denumire, în tot cuprinsul Hotărârii și a Regulamentului:</w:t>
            </w:r>
          </w:p>
          <w:p w14:paraId="65B15354" w14:textId="40F371C0" w:rsidR="00630786" w:rsidRPr="00D62401" w:rsidRDefault="00630786" w:rsidP="00630786">
            <w:pPr>
              <w:tabs>
                <w:tab w:val="left" w:pos="738"/>
                <w:tab w:val="left" w:pos="1127"/>
              </w:tabs>
              <w:spacing w:before="120"/>
              <w:ind w:firstLine="182"/>
              <w:rPr>
                <w:rFonts w:cs="Times New Roman"/>
                <w:sz w:val="22"/>
              </w:rPr>
            </w:pPr>
            <w:r w:rsidRPr="00630786">
              <w:rPr>
                <w:rFonts w:eastAsia="Times New Roman" w:cs="Times New Roman"/>
                <w:i/>
                <w:iCs/>
                <w:sz w:val="22"/>
                <w:shd w:val="clear" w:color="auto" w:fill="FFFFFF"/>
                <w:lang w:eastAsia="ru-RU"/>
              </w:rPr>
              <w:t>„topografo-geodezice”</w:t>
            </w:r>
          </w:p>
        </w:tc>
        <w:tc>
          <w:tcPr>
            <w:tcW w:w="1727" w:type="pct"/>
          </w:tcPr>
          <w:p w14:paraId="5ED69F25" w14:textId="501083B6" w:rsidR="00630786" w:rsidRPr="00D62401" w:rsidRDefault="00630786" w:rsidP="00630786">
            <w:pPr>
              <w:tabs>
                <w:tab w:val="left" w:pos="1254"/>
              </w:tabs>
              <w:ind w:right="45"/>
              <w:jc w:val="both"/>
              <w:rPr>
                <w:rFonts w:cs="Times New Roman"/>
                <w:sz w:val="22"/>
              </w:rPr>
            </w:pPr>
            <w:r w:rsidRPr="00630786">
              <w:rPr>
                <w:rFonts w:cs="Times New Roman"/>
                <w:sz w:val="22"/>
              </w:rPr>
              <w:t>3.1. în denumire, în tot cuprinsul Hotărârii și a Regulamentului, textul „topografo-geodezice”, la orice formă gramaticală, se substituie cu cuvântul ,,topogeodezice” la forma gramaticală corespunzătoare;</w:t>
            </w:r>
          </w:p>
        </w:tc>
        <w:tc>
          <w:tcPr>
            <w:tcW w:w="1816" w:type="pct"/>
          </w:tcPr>
          <w:p w14:paraId="3C1F0341" w14:textId="01369A98" w:rsidR="00630786" w:rsidRDefault="00630786" w:rsidP="00630786">
            <w:pPr>
              <w:tabs>
                <w:tab w:val="left" w:pos="885"/>
                <w:tab w:val="left" w:pos="1414"/>
              </w:tabs>
              <w:spacing w:before="120"/>
              <w:jc w:val="center"/>
              <w:rPr>
                <w:rFonts w:eastAsia="Times New Roman" w:cs="Times New Roman"/>
                <w:sz w:val="22"/>
                <w:shd w:val="clear" w:color="auto" w:fill="FFFFFF"/>
                <w:lang w:eastAsia="ru-RU"/>
              </w:rPr>
            </w:pPr>
            <w:r w:rsidRPr="00630786">
              <w:rPr>
                <w:rFonts w:eastAsia="Times New Roman" w:cs="Times New Roman"/>
                <w:sz w:val="22"/>
                <w:shd w:val="clear" w:color="auto" w:fill="FFFFFF"/>
                <w:lang w:eastAsia="ru-RU"/>
              </w:rPr>
              <w:t>În denumire, în tot cuprinsul Hotărârii și a Regulamentului:</w:t>
            </w:r>
          </w:p>
          <w:p w14:paraId="6AA44247" w14:textId="0CCCA17E" w:rsidR="00630786" w:rsidRPr="00D62401" w:rsidRDefault="00630786" w:rsidP="00630786">
            <w:pPr>
              <w:tabs>
                <w:tab w:val="left" w:pos="885"/>
                <w:tab w:val="left" w:pos="1414"/>
              </w:tabs>
              <w:ind w:right="45"/>
              <w:jc w:val="center"/>
              <w:rPr>
                <w:rFonts w:cs="Times New Roman"/>
                <w:b/>
                <w:bCs/>
                <w:sz w:val="22"/>
              </w:rPr>
            </w:pPr>
            <w:r w:rsidRPr="00537063">
              <w:rPr>
                <w:rFonts w:eastAsia="Times New Roman" w:cs="Times New Roman"/>
                <w:sz w:val="22"/>
                <w:shd w:val="clear" w:color="auto" w:fill="FFFFFF"/>
                <w:lang w:eastAsia="ru-RU"/>
              </w:rPr>
              <w:t>,,</w:t>
            </w:r>
            <w:r w:rsidRPr="0092017E">
              <w:rPr>
                <w:rFonts w:eastAsia="Times New Roman" w:cs="Times New Roman"/>
                <w:b/>
                <w:bCs/>
                <w:sz w:val="22"/>
                <w:shd w:val="clear" w:color="auto" w:fill="FFFFFF"/>
                <w:lang w:eastAsia="ru-RU"/>
              </w:rPr>
              <w:t>topogeodezice</w:t>
            </w:r>
            <w:r w:rsidRPr="00537063">
              <w:rPr>
                <w:rFonts w:eastAsia="Times New Roman" w:cs="Times New Roman"/>
                <w:sz w:val="22"/>
                <w:shd w:val="clear" w:color="auto" w:fill="FFFFFF"/>
                <w:lang w:eastAsia="ru-RU"/>
              </w:rPr>
              <w:t>”</w:t>
            </w:r>
          </w:p>
        </w:tc>
      </w:tr>
      <w:tr w:rsidR="00630786" w:rsidRPr="00630786" w14:paraId="4038558D" w14:textId="77777777" w:rsidTr="00910221">
        <w:tc>
          <w:tcPr>
            <w:tcW w:w="5000" w:type="pct"/>
            <w:gridSpan w:val="3"/>
          </w:tcPr>
          <w:p w14:paraId="2C1517A1" w14:textId="4D46FF40" w:rsidR="00630786" w:rsidRPr="00630786" w:rsidRDefault="00630786" w:rsidP="00630786">
            <w:pPr>
              <w:tabs>
                <w:tab w:val="left" w:pos="885"/>
                <w:tab w:val="left" w:pos="1414"/>
              </w:tabs>
              <w:ind w:right="45"/>
              <w:jc w:val="center"/>
              <w:rPr>
                <w:rFonts w:cs="Times New Roman"/>
                <w:sz w:val="22"/>
              </w:rPr>
            </w:pPr>
            <w:r w:rsidRPr="00630786">
              <w:rPr>
                <w:rFonts w:cs="Times New Roman"/>
                <w:sz w:val="22"/>
              </w:rPr>
              <w:t>3.2. în anexa la hotărâre:</w:t>
            </w:r>
          </w:p>
        </w:tc>
      </w:tr>
      <w:tr w:rsidR="00630786" w:rsidRPr="00D62401" w14:paraId="090A9BD3" w14:textId="77777777" w:rsidTr="00C115BD">
        <w:tc>
          <w:tcPr>
            <w:tcW w:w="1457" w:type="pct"/>
          </w:tcPr>
          <w:p w14:paraId="70EF2915" w14:textId="77777777" w:rsidR="00630786" w:rsidRDefault="001333A8" w:rsidP="001333A8">
            <w:pPr>
              <w:tabs>
                <w:tab w:val="left" w:pos="738"/>
                <w:tab w:val="left" w:pos="1127"/>
              </w:tabs>
              <w:spacing w:before="120"/>
              <w:ind w:firstLine="182"/>
              <w:jc w:val="both"/>
              <w:rPr>
                <w:rFonts w:cs="Times New Roman"/>
                <w:sz w:val="22"/>
              </w:rPr>
            </w:pPr>
            <w:r w:rsidRPr="001333A8">
              <w:rPr>
                <w:rFonts w:cs="Times New Roman"/>
                <w:sz w:val="22"/>
              </w:rPr>
              <w:t xml:space="preserve">Regulamentul cu privire la modalitatea de ținere a </w:t>
            </w:r>
            <w:r w:rsidRPr="001333A8">
              <w:rPr>
                <w:rFonts w:cs="Times New Roman"/>
                <w:sz w:val="22"/>
              </w:rPr>
              <w:lastRenderedPageBreak/>
              <w:t>Registrului de stat al lucrărilor topografo-geodezice, inclusiv mecanismul de înregistrare și eliberare a informației din Registru:</w:t>
            </w:r>
          </w:p>
          <w:p w14:paraId="31CE235A" w14:textId="2E3E9F6D" w:rsidR="001333A8" w:rsidRPr="00D62401" w:rsidRDefault="001333A8" w:rsidP="001333A8">
            <w:pPr>
              <w:tabs>
                <w:tab w:val="left" w:pos="738"/>
                <w:tab w:val="left" w:pos="1127"/>
              </w:tabs>
              <w:spacing w:before="120"/>
              <w:jc w:val="both"/>
              <w:rPr>
                <w:rFonts w:cs="Times New Roman"/>
                <w:sz w:val="22"/>
              </w:rPr>
            </w:pPr>
            <w:r>
              <w:rPr>
                <w:rFonts w:cs="Times New Roman"/>
                <w:sz w:val="22"/>
              </w:rPr>
              <w:t>subpunctele 22.1</w:t>
            </w:r>
            <w:r w:rsidR="002C4D53">
              <w:rPr>
                <w:rFonts w:cs="Times New Roman"/>
                <w:sz w:val="22"/>
              </w:rPr>
              <w:t>;</w:t>
            </w:r>
            <w:r>
              <w:rPr>
                <w:rFonts w:cs="Times New Roman"/>
                <w:sz w:val="22"/>
              </w:rPr>
              <w:t>............22.9</w:t>
            </w:r>
            <w:r w:rsidR="002C4D53">
              <w:rPr>
                <w:rFonts w:cs="Times New Roman"/>
                <w:sz w:val="22"/>
              </w:rPr>
              <w:t>;</w:t>
            </w:r>
          </w:p>
        </w:tc>
        <w:tc>
          <w:tcPr>
            <w:tcW w:w="1727" w:type="pct"/>
          </w:tcPr>
          <w:p w14:paraId="42EA0E58" w14:textId="312AFE0C" w:rsidR="001465BB" w:rsidRDefault="001465BB" w:rsidP="001465BB">
            <w:pPr>
              <w:tabs>
                <w:tab w:val="left" w:pos="1254"/>
              </w:tabs>
              <w:ind w:right="45"/>
              <w:jc w:val="both"/>
              <w:rPr>
                <w:rFonts w:cs="Times New Roman"/>
                <w:sz w:val="22"/>
              </w:rPr>
            </w:pPr>
            <w:r w:rsidRPr="001465BB">
              <w:rPr>
                <w:rFonts w:cs="Times New Roman"/>
                <w:sz w:val="22"/>
              </w:rPr>
              <w:lastRenderedPageBreak/>
              <w:t xml:space="preserve">3.2.1. </w:t>
            </w:r>
            <w:r w:rsidR="00A610E2">
              <w:rPr>
                <w:rFonts w:cs="Times New Roman"/>
                <w:sz w:val="22"/>
              </w:rPr>
              <w:t xml:space="preserve"> </w:t>
            </w:r>
            <w:r w:rsidRPr="001465BB">
              <w:rPr>
                <w:rFonts w:cs="Times New Roman"/>
                <w:sz w:val="22"/>
              </w:rPr>
              <w:t xml:space="preserve">se completează cu subpunctul 22.10 cu următorul cuprins: </w:t>
            </w:r>
          </w:p>
          <w:p w14:paraId="765278C8" w14:textId="77777777" w:rsidR="001333A8" w:rsidRPr="001465BB" w:rsidRDefault="001333A8" w:rsidP="001465BB">
            <w:pPr>
              <w:tabs>
                <w:tab w:val="left" w:pos="1254"/>
              </w:tabs>
              <w:ind w:right="45"/>
              <w:jc w:val="both"/>
              <w:rPr>
                <w:rFonts w:cs="Times New Roman"/>
                <w:sz w:val="22"/>
              </w:rPr>
            </w:pPr>
          </w:p>
          <w:p w14:paraId="4C2EF808" w14:textId="120F31A0" w:rsidR="00630786" w:rsidRPr="00D62401" w:rsidRDefault="001465BB" w:rsidP="001465BB">
            <w:pPr>
              <w:tabs>
                <w:tab w:val="left" w:pos="1254"/>
              </w:tabs>
              <w:ind w:right="45"/>
              <w:jc w:val="both"/>
              <w:rPr>
                <w:rFonts w:cs="Times New Roman"/>
                <w:sz w:val="22"/>
              </w:rPr>
            </w:pPr>
            <w:r w:rsidRPr="001465BB">
              <w:rPr>
                <w:rFonts w:cs="Times New Roman"/>
                <w:sz w:val="22"/>
              </w:rPr>
              <w:lastRenderedPageBreak/>
              <w:t xml:space="preserve">„22.10. </w:t>
            </w:r>
            <w:r w:rsidR="00A610E2" w:rsidRPr="00A610E2">
              <w:rPr>
                <w:rFonts w:cs="Times New Roman"/>
                <w:sz w:val="22"/>
              </w:rPr>
              <w:t>la solicitarea furnizorului, să înregistreze în termen de 5 zile lucrătoare documentele încărcate, în cazul solicitărilor care nu au fost soluționate în decurs de 5 zile lucrătoare conform subpunctului 25.1 al prezentului regulament.”;</w:t>
            </w:r>
          </w:p>
        </w:tc>
        <w:tc>
          <w:tcPr>
            <w:tcW w:w="1816" w:type="pct"/>
          </w:tcPr>
          <w:p w14:paraId="7655FABC" w14:textId="722379AA" w:rsidR="00630786" w:rsidRDefault="001465BB" w:rsidP="00630786">
            <w:pPr>
              <w:tabs>
                <w:tab w:val="left" w:pos="885"/>
                <w:tab w:val="left" w:pos="1414"/>
              </w:tabs>
              <w:ind w:right="45"/>
              <w:jc w:val="both"/>
              <w:rPr>
                <w:rFonts w:cs="Times New Roman"/>
                <w:sz w:val="22"/>
              </w:rPr>
            </w:pPr>
            <w:r w:rsidRPr="001465BB">
              <w:rPr>
                <w:rFonts w:cs="Times New Roman"/>
                <w:sz w:val="22"/>
              </w:rPr>
              <w:lastRenderedPageBreak/>
              <w:t>Regulamentul</w:t>
            </w:r>
            <w:r>
              <w:rPr>
                <w:rFonts w:cs="Times New Roman"/>
                <w:sz w:val="22"/>
              </w:rPr>
              <w:t xml:space="preserve"> </w:t>
            </w:r>
            <w:r w:rsidRPr="001465BB">
              <w:rPr>
                <w:rFonts w:cs="Times New Roman"/>
                <w:sz w:val="22"/>
              </w:rPr>
              <w:t xml:space="preserve">cu privire la modalitatea de ținere a Registrului de stat al lucrărilor topografo-geodezice, </w:t>
            </w:r>
            <w:r w:rsidRPr="001465BB">
              <w:rPr>
                <w:rFonts w:cs="Times New Roman"/>
                <w:sz w:val="22"/>
              </w:rPr>
              <w:lastRenderedPageBreak/>
              <w:t>inclusiv mecanismul de înregistrare și eliberare a informației din Registru</w:t>
            </w:r>
            <w:r>
              <w:rPr>
                <w:rFonts w:cs="Times New Roman"/>
                <w:sz w:val="22"/>
              </w:rPr>
              <w:t>:</w:t>
            </w:r>
          </w:p>
          <w:p w14:paraId="55FF5868" w14:textId="470EE2DC" w:rsidR="002C4D53" w:rsidRDefault="002C4D53" w:rsidP="00630786">
            <w:pPr>
              <w:tabs>
                <w:tab w:val="left" w:pos="885"/>
                <w:tab w:val="left" w:pos="1414"/>
              </w:tabs>
              <w:ind w:right="45"/>
              <w:jc w:val="both"/>
              <w:rPr>
                <w:rFonts w:cs="Times New Roman"/>
                <w:sz w:val="22"/>
              </w:rPr>
            </w:pPr>
            <w:r w:rsidRPr="002C4D53">
              <w:rPr>
                <w:rFonts w:cs="Times New Roman"/>
                <w:sz w:val="22"/>
              </w:rPr>
              <w:t>subpunctele 22.1.......</w:t>
            </w:r>
            <w:r>
              <w:rPr>
                <w:rFonts w:cs="Times New Roman"/>
                <w:sz w:val="22"/>
              </w:rPr>
              <w:t>..........</w:t>
            </w:r>
            <w:r w:rsidRPr="002C4D53">
              <w:rPr>
                <w:rFonts w:cs="Times New Roman"/>
                <w:sz w:val="22"/>
              </w:rPr>
              <w:t>.....22.9</w:t>
            </w:r>
            <w:r>
              <w:rPr>
                <w:rFonts w:cs="Times New Roman"/>
                <w:sz w:val="22"/>
              </w:rPr>
              <w:t>;</w:t>
            </w:r>
          </w:p>
          <w:p w14:paraId="1BC3F15B" w14:textId="77777777" w:rsidR="002C4D53" w:rsidRDefault="002C4D53" w:rsidP="00630786">
            <w:pPr>
              <w:tabs>
                <w:tab w:val="left" w:pos="885"/>
                <w:tab w:val="left" w:pos="1414"/>
              </w:tabs>
              <w:ind w:right="45"/>
              <w:jc w:val="both"/>
              <w:rPr>
                <w:rFonts w:cs="Times New Roman"/>
                <w:sz w:val="22"/>
              </w:rPr>
            </w:pPr>
          </w:p>
          <w:p w14:paraId="40EE178F" w14:textId="3BB36A2A" w:rsidR="001465BB" w:rsidRPr="001465BB" w:rsidRDefault="001465BB" w:rsidP="001333A8">
            <w:pPr>
              <w:tabs>
                <w:tab w:val="left" w:pos="885"/>
                <w:tab w:val="left" w:pos="1414"/>
              </w:tabs>
              <w:ind w:right="45"/>
              <w:jc w:val="both"/>
              <w:rPr>
                <w:rFonts w:cs="Times New Roman"/>
                <w:sz w:val="22"/>
              </w:rPr>
            </w:pPr>
            <w:r w:rsidRPr="001465BB">
              <w:rPr>
                <w:rFonts w:cs="Times New Roman"/>
                <w:b/>
                <w:bCs/>
                <w:sz w:val="22"/>
              </w:rPr>
              <w:t xml:space="preserve">22.10. </w:t>
            </w:r>
            <w:r w:rsidR="00A610E2" w:rsidRPr="00A610E2">
              <w:rPr>
                <w:rFonts w:cs="Times New Roman"/>
                <w:b/>
                <w:bCs/>
                <w:sz w:val="22"/>
              </w:rPr>
              <w:t>la solicitarea furnizorului, să înregistreze în termen de 5 zile lucrătoare documentele încărcate, în cazul solicitărilor care nu au fost soluționate în decurs de 5 zile lucrătoare conform subpunctului 25.1 al prezentului regulament.</w:t>
            </w:r>
          </w:p>
        </w:tc>
      </w:tr>
      <w:tr w:rsidR="00630786" w:rsidRPr="00D62401" w14:paraId="5DE2EE0A" w14:textId="77777777" w:rsidTr="00C115BD">
        <w:tc>
          <w:tcPr>
            <w:tcW w:w="1457" w:type="pct"/>
          </w:tcPr>
          <w:p w14:paraId="31F99CC1" w14:textId="77777777" w:rsidR="001333A8" w:rsidRPr="001333A8" w:rsidRDefault="001333A8" w:rsidP="001333A8">
            <w:pPr>
              <w:tabs>
                <w:tab w:val="left" w:pos="738"/>
                <w:tab w:val="left" w:pos="1127"/>
              </w:tabs>
              <w:spacing w:before="120"/>
              <w:ind w:firstLine="182"/>
              <w:jc w:val="both"/>
              <w:rPr>
                <w:rFonts w:cs="Times New Roman"/>
                <w:sz w:val="22"/>
              </w:rPr>
            </w:pPr>
            <w:r w:rsidRPr="001333A8">
              <w:rPr>
                <w:rFonts w:cs="Times New Roman"/>
                <w:sz w:val="22"/>
              </w:rPr>
              <w:lastRenderedPageBreak/>
              <w:t>Regulamentul cu privire la modalitatea de ținere a Registrului de stat al lucrărilor topografo-geodezice, inclusiv mecanismul de înregistrare și eliberare a informației din Registru:</w:t>
            </w:r>
          </w:p>
          <w:p w14:paraId="4B901A44" w14:textId="4398CF4F" w:rsidR="00630786" w:rsidRPr="00D62401" w:rsidRDefault="001333A8" w:rsidP="001333A8">
            <w:pPr>
              <w:tabs>
                <w:tab w:val="left" w:pos="738"/>
                <w:tab w:val="left" w:pos="1127"/>
              </w:tabs>
              <w:spacing w:before="120"/>
              <w:jc w:val="both"/>
              <w:rPr>
                <w:rFonts w:cs="Times New Roman"/>
                <w:sz w:val="22"/>
              </w:rPr>
            </w:pPr>
            <w:r w:rsidRPr="001333A8">
              <w:rPr>
                <w:rFonts w:cs="Times New Roman"/>
                <w:sz w:val="22"/>
              </w:rPr>
              <w:t xml:space="preserve">subpunctele </w:t>
            </w:r>
            <w:r>
              <w:rPr>
                <w:rFonts w:cs="Times New Roman"/>
                <w:sz w:val="22"/>
              </w:rPr>
              <w:t>24</w:t>
            </w:r>
            <w:r w:rsidRPr="001333A8">
              <w:rPr>
                <w:rFonts w:cs="Times New Roman"/>
                <w:sz w:val="22"/>
              </w:rPr>
              <w:t>.1</w:t>
            </w:r>
            <w:r w:rsidR="002C4D53">
              <w:rPr>
                <w:rFonts w:cs="Times New Roman"/>
                <w:sz w:val="22"/>
              </w:rPr>
              <w:t>;</w:t>
            </w:r>
            <w:r w:rsidRPr="001333A8">
              <w:rPr>
                <w:rFonts w:cs="Times New Roman"/>
                <w:sz w:val="22"/>
              </w:rPr>
              <w:t>...........2</w:t>
            </w:r>
            <w:r>
              <w:rPr>
                <w:rFonts w:cs="Times New Roman"/>
                <w:sz w:val="22"/>
              </w:rPr>
              <w:t>4</w:t>
            </w:r>
            <w:r w:rsidRPr="001333A8">
              <w:rPr>
                <w:rFonts w:cs="Times New Roman"/>
                <w:sz w:val="22"/>
              </w:rPr>
              <w:t>.</w:t>
            </w:r>
            <w:r>
              <w:rPr>
                <w:rFonts w:cs="Times New Roman"/>
                <w:sz w:val="22"/>
              </w:rPr>
              <w:t>5</w:t>
            </w:r>
            <w:r w:rsidR="002C4D53">
              <w:rPr>
                <w:rFonts w:cs="Times New Roman"/>
                <w:sz w:val="22"/>
              </w:rPr>
              <w:t>;</w:t>
            </w:r>
          </w:p>
        </w:tc>
        <w:tc>
          <w:tcPr>
            <w:tcW w:w="1727" w:type="pct"/>
          </w:tcPr>
          <w:p w14:paraId="2608D17A" w14:textId="567A696A" w:rsidR="001465BB" w:rsidRDefault="001465BB" w:rsidP="001465BB">
            <w:pPr>
              <w:tabs>
                <w:tab w:val="left" w:pos="1254"/>
              </w:tabs>
              <w:ind w:right="45"/>
              <w:jc w:val="both"/>
              <w:rPr>
                <w:rFonts w:cs="Times New Roman"/>
                <w:sz w:val="22"/>
              </w:rPr>
            </w:pPr>
            <w:r w:rsidRPr="001465BB">
              <w:rPr>
                <w:rFonts w:cs="Times New Roman"/>
                <w:sz w:val="22"/>
              </w:rPr>
              <w:t xml:space="preserve">3.2.2. </w:t>
            </w:r>
            <w:r w:rsidR="00A610E2">
              <w:rPr>
                <w:rFonts w:cs="Times New Roman"/>
                <w:sz w:val="22"/>
              </w:rPr>
              <w:t xml:space="preserve"> </w:t>
            </w:r>
            <w:r w:rsidRPr="001465BB">
              <w:rPr>
                <w:rFonts w:cs="Times New Roman"/>
                <w:sz w:val="22"/>
              </w:rPr>
              <w:t xml:space="preserve">se completează cu subpunctul 24.6, cu următorul cuprins: </w:t>
            </w:r>
          </w:p>
          <w:p w14:paraId="1F8C4AE2" w14:textId="77777777" w:rsidR="001333A8" w:rsidRPr="001465BB" w:rsidRDefault="001333A8" w:rsidP="001465BB">
            <w:pPr>
              <w:tabs>
                <w:tab w:val="left" w:pos="1254"/>
              </w:tabs>
              <w:ind w:right="45"/>
              <w:jc w:val="both"/>
              <w:rPr>
                <w:rFonts w:cs="Times New Roman"/>
                <w:sz w:val="22"/>
              </w:rPr>
            </w:pPr>
          </w:p>
          <w:p w14:paraId="724C7918" w14:textId="3B58F935" w:rsidR="00630786" w:rsidRPr="00D62401" w:rsidRDefault="001465BB" w:rsidP="001465BB">
            <w:pPr>
              <w:tabs>
                <w:tab w:val="left" w:pos="1254"/>
              </w:tabs>
              <w:ind w:right="45"/>
              <w:jc w:val="both"/>
              <w:rPr>
                <w:rFonts w:cs="Times New Roman"/>
                <w:sz w:val="22"/>
              </w:rPr>
            </w:pPr>
            <w:r w:rsidRPr="001465BB">
              <w:rPr>
                <w:rFonts w:cs="Times New Roman"/>
                <w:sz w:val="22"/>
              </w:rPr>
              <w:t>„24.6. să înainteze demers către Inspectoratul Național pentru Supraveghere Tehnică pentru verificarea lucrărilor topogeodezice încărcate în Registru.”;</w:t>
            </w:r>
          </w:p>
        </w:tc>
        <w:tc>
          <w:tcPr>
            <w:tcW w:w="1816" w:type="pct"/>
          </w:tcPr>
          <w:p w14:paraId="4AF6BF32" w14:textId="3E77411B" w:rsidR="00630786" w:rsidRDefault="001465BB" w:rsidP="00630786">
            <w:pPr>
              <w:tabs>
                <w:tab w:val="left" w:pos="885"/>
                <w:tab w:val="left" w:pos="1414"/>
              </w:tabs>
              <w:ind w:right="45"/>
              <w:jc w:val="both"/>
              <w:rPr>
                <w:rFonts w:cs="Times New Roman"/>
                <w:sz w:val="22"/>
              </w:rPr>
            </w:pPr>
            <w:r w:rsidRPr="001465BB">
              <w:rPr>
                <w:rFonts w:cs="Times New Roman"/>
                <w:sz w:val="22"/>
              </w:rPr>
              <w:t>Regulamentul cu privire la modalitatea de ținere a Registrului de stat al lucrărilor topografo-geodezice, inclusiv mecanismul de înregistrare și eliberare a informației din Registru:</w:t>
            </w:r>
          </w:p>
          <w:p w14:paraId="000990BD" w14:textId="0DF10201" w:rsidR="002C4D53" w:rsidRDefault="002C4D53" w:rsidP="00630786">
            <w:pPr>
              <w:tabs>
                <w:tab w:val="left" w:pos="885"/>
                <w:tab w:val="left" w:pos="1414"/>
              </w:tabs>
              <w:ind w:right="45"/>
              <w:jc w:val="both"/>
              <w:rPr>
                <w:rFonts w:cs="Times New Roman"/>
                <w:sz w:val="22"/>
              </w:rPr>
            </w:pPr>
            <w:r w:rsidRPr="002C4D53">
              <w:rPr>
                <w:rFonts w:cs="Times New Roman"/>
                <w:sz w:val="22"/>
              </w:rPr>
              <w:t>subpunctele 24.1</w:t>
            </w:r>
            <w:r>
              <w:rPr>
                <w:rFonts w:cs="Times New Roman"/>
                <w:sz w:val="22"/>
              </w:rPr>
              <w:t>;.......</w:t>
            </w:r>
            <w:r w:rsidRPr="002C4D53">
              <w:rPr>
                <w:rFonts w:cs="Times New Roman"/>
                <w:sz w:val="22"/>
              </w:rPr>
              <w:t>.............24.5</w:t>
            </w:r>
            <w:r>
              <w:rPr>
                <w:rFonts w:cs="Times New Roman"/>
                <w:sz w:val="22"/>
              </w:rPr>
              <w:t>;</w:t>
            </w:r>
          </w:p>
          <w:p w14:paraId="71E693E9" w14:textId="77777777" w:rsidR="002C4D53" w:rsidRDefault="002C4D53" w:rsidP="00630786">
            <w:pPr>
              <w:tabs>
                <w:tab w:val="left" w:pos="885"/>
                <w:tab w:val="left" w:pos="1414"/>
              </w:tabs>
              <w:ind w:right="45"/>
              <w:jc w:val="both"/>
              <w:rPr>
                <w:rFonts w:cs="Times New Roman"/>
                <w:sz w:val="22"/>
              </w:rPr>
            </w:pPr>
          </w:p>
          <w:p w14:paraId="7ACE781D" w14:textId="4021B2F2" w:rsidR="001465BB" w:rsidRPr="001465BB" w:rsidRDefault="001465BB" w:rsidP="00630786">
            <w:pPr>
              <w:tabs>
                <w:tab w:val="left" w:pos="885"/>
                <w:tab w:val="left" w:pos="1414"/>
              </w:tabs>
              <w:ind w:right="45"/>
              <w:jc w:val="both"/>
              <w:rPr>
                <w:rFonts w:cs="Times New Roman"/>
                <w:b/>
                <w:bCs/>
                <w:sz w:val="22"/>
              </w:rPr>
            </w:pPr>
            <w:r w:rsidRPr="001465BB">
              <w:rPr>
                <w:rFonts w:cs="Times New Roman"/>
                <w:b/>
                <w:bCs/>
                <w:sz w:val="22"/>
              </w:rPr>
              <w:t>24.6. să înainteze demers către Inspectoratul Național pentru Supraveghere Tehnică pentru verificarea lucrărilor topogeodezice încărcate în Registru.</w:t>
            </w:r>
          </w:p>
        </w:tc>
      </w:tr>
      <w:tr w:rsidR="00630786" w:rsidRPr="00D62401" w14:paraId="2638AED6" w14:textId="77777777" w:rsidTr="00C115BD">
        <w:tc>
          <w:tcPr>
            <w:tcW w:w="1457" w:type="pct"/>
          </w:tcPr>
          <w:p w14:paraId="4395156D" w14:textId="4963DB87" w:rsidR="00630786" w:rsidRDefault="001333A8" w:rsidP="001333A8">
            <w:pPr>
              <w:tabs>
                <w:tab w:val="left" w:pos="738"/>
                <w:tab w:val="left" w:pos="1127"/>
              </w:tabs>
              <w:spacing w:before="120"/>
              <w:jc w:val="both"/>
              <w:rPr>
                <w:rFonts w:cs="Times New Roman"/>
                <w:sz w:val="22"/>
              </w:rPr>
            </w:pPr>
            <w:r w:rsidRPr="001333A8">
              <w:rPr>
                <w:rFonts w:cs="Times New Roman"/>
                <w:sz w:val="22"/>
              </w:rPr>
              <w:t>Regulamentul cu privire la modalitatea de ținere a Registrului de stat al lucrărilor topografo-geodezice, inclusiv mecanismul de înregistrare și eliberare a informației din Registru:</w:t>
            </w:r>
          </w:p>
          <w:p w14:paraId="5844EAEB" w14:textId="2AA28CDE" w:rsidR="001333A8" w:rsidRPr="00D62401" w:rsidRDefault="001333A8" w:rsidP="001333A8">
            <w:pPr>
              <w:tabs>
                <w:tab w:val="left" w:pos="738"/>
                <w:tab w:val="left" w:pos="1127"/>
              </w:tabs>
              <w:spacing w:before="120"/>
              <w:jc w:val="both"/>
              <w:rPr>
                <w:rFonts w:cs="Times New Roman"/>
                <w:sz w:val="22"/>
              </w:rPr>
            </w:pPr>
            <w:r w:rsidRPr="001333A8">
              <w:rPr>
                <w:rFonts w:cs="Times New Roman"/>
                <w:i/>
                <w:iCs/>
                <w:sz w:val="22"/>
              </w:rPr>
              <w:t>25.1. să înregistreze lucrările topografo-geodezice;</w:t>
            </w:r>
          </w:p>
        </w:tc>
        <w:tc>
          <w:tcPr>
            <w:tcW w:w="1727" w:type="pct"/>
          </w:tcPr>
          <w:p w14:paraId="66F50EB6" w14:textId="3A134E92" w:rsidR="00630786" w:rsidRPr="00D62401" w:rsidRDefault="001333A8" w:rsidP="00630786">
            <w:pPr>
              <w:tabs>
                <w:tab w:val="left" w:pos="1254"/>
              </w:tabs>
              <w:ind w:right="45"/>
              <w:jc w:val="both"/>
              <w:rPr>
                <w:rFonts w:cs="Times New Roman"/>
                <w:sz w:val="22"/>
              </w:rPr>
            </w:pPr>
            <w:r w:rsidRPr="001333A8">
              <w:rPr>
                <w:rFonts w:cs="Times New Roman"/>
                <w:sz w:val="22"/>
              </w:rPr>
              <w:t>3.2.3. subpunctul 25.1 se completează cu textul „în termen de 5 zile lucrătoare”;</w:t>
            </w:r>
          </w:p>
        </w:tc>
        <w:tc>
          <w:tcPr>
            <w:tcW w:w="1816" w:type="pct"/>
          </w:tcPr>
          <w:p w14:paraId="65747459" w14:textId="77777777" w:rsidR="00630786" w:rsidRDefault="001333A8" w:rsidP="00630786">
            <w:pPr>
              <w:tabs>
                <w:tab w:val="left" w:pos="885"/>
                <w:tab w:val="left" w:pos="1414"/>
              </w:tabs>
              <w:ind w:right="45"/>
              <w:jc w:val="both"/>
              <w:rPr>
                <w:rFonts w:cs="Times New Roman"/>
                <w:sz w:val="22"/>
              </w:rPr>
            </w:pPr>
            <w:r w:rsidRPr="001333A8">
              <w:rPr>
                <w:rFonts w:cs="Times New Roman"/>
                <w:sz w:val="22"/>
              </w:rPr>
              <w:t>Regulamentul cu privire la modalitatea de ținere a Registrului de stat al lucrărilor topografo-geodezice, inclusiv mecanismul de înregistrare și eliberare a informației din Registru:</w:t>
            </w:r>
          </w:p>
          <w:p w14:paraId="0A2DAF95" w14:textId="77777777" w:rsidR="001333A8" w:rsidRDefault="001333A8" w:rsidP="001333A8">
            <w:pPr>
              <w:rPr>
                <w:rFonts w:cs="Times New Roman"/>
                <w:sz w:val="22"/>
              </w:rPr>
            </w:pPr>
          </w:p>
          <w:p w14:paraId="6242580C" w14:textId="0A34E785" w:rsidR="001333A8" w:rsidRPr="001333A8" w:rsidRDefault="001333A8" w:rsidP="001333A8">
            <w:pPr>
              <w:rPr>
                <w:rFonts w:cs="Times New Roman"/>
                <w:b/>
                <w:bCs/>
                <w:sz w:val="22"/>
              </w:rPr>
            </w:pPr>
            <w:r w:rsidRPr="002C4D53">
              <w:rPr>
                <w:rFonts w:cs="Times New Roman"/>
                <w:sz w:val="22"/>
              </w:rPr>
              <w:t>25.1.</w:t>
            </w:r>
            <w:r w:rsidRPr="001333A8">
              <w:rPr>
                <w:rFonts w:cs="Times New Roman"/>
                <w:b/>
                <w:bCs/>
                <w:sz w:val="22"/>
              </w:rPr>
              <w:t xml:space="preserve"> </w:t>
            </w:r>
            <w:r w:rsidRPr="002C4D53">
              <w:rPr>
                <w:rFonts w:cs="Times New Roman"/>
                <w:sz w:val="22"/>
              </w:rPr>
              <w:t>să înregistreze lucrările</w:t>
            </w:r>
            <w:r w:rsidRPr="001333A8">
              <w:rPr>
                <w:rFonts w:cs="Times New Roman"/>
                <w:b/>
                <w:bCs/>
                <w:sz w:val="22"/>
              </w:rPr>
              <w:t xml:space="preserve"> topogeodezice în termen de 5 zile lucrătoare;</w:t>
            </w:r>
          </w:p>
        </w:tc>
      </w:tr>
      <w:tr w:rsidR="002C4D53" w:rsidRPr="00D62401" w14:paraId="3FC54369" w14:textId="77777777" w:rsidTr="00C115BD">
        <w:tc>
          <w:tcPr>
            <w:tcW w:w="1457" w:type="pct"/>
          </w:tcPr>
          <w:p w14:paraId="34CA32C9" w14:textId="77777777" w:rsidR="002C4D53" w:rsidRDefault="002C4D53" w:rsidP="002C4D53">
            <w:pPr>
              <w:tabs>
                <w:tab w:val="left" w:pos="738"/>
                <w:tab w:val="left" w:pos="1127"/>
              </w:tabs>
              <w:jc w:val="both"/>
              <w:rPr>
                <w:rFonts w:cs="Times New Roman"/>
                <w:sz w:val="22"/>
              </w:rPr>
            </w:pPr>
            <w:r w:rsidRPr="001333A8">
              <w:rPr>
                <w:rFonts w:cs="Times New Roman"/>
                <w:sz w:val="22"/>
              </w:rPr>
              <w:t>Regulamentul cu privire la modalitatea de ținere a Registrului de stat al lucrărilor topografo-geodezice, inclusiv mecanismul de înregistrare și eliberare a informației din Registru:</w:t>
            </w:r>
          </w:p>
          <w:p w14:paraId="038EBF41" w14:textId="0BB7D5E0" w:rsidR="002C4D53" w:rsidRPr="00D62401" w:rsidRDefault="002C4D53" w:rsidP="002C4D53">
            <w:pPr>
              <w:tabs>
                <w:tab w:val="left" w:pos="738"/>
                <w:tab w:val="left" w:pos="1127"/>
              </w:tabs>
              <w:ind w:firstLine="182"/>
              <w:rPr>
                <w:rFonts w:cs="Times New Roman"/>
                <w:sz w:val="22"/>
              </w:rPr>
            </w:pPr>
            <w:r w:rsidRPr="002C4D53">
              <w:rPr>
                <w:rFonts w:cs="Times New Roman"/>
                <w:i/>
                <w:iCs/>
                <w:sz w:val="22"/>
              </w:rPr>
              <w:t>38. Furnizorul de lucrări topografo-geodezice este în drept să solicite înregistrarea în Registru autorității administrative centrale responsabile de realizarea politicilor în domeniul geodeziei, cartografiei și geoinformaticii în cazul în care autoritatea administrației publice locale de nivelul întâi nu a soluționat solicitarea acestuia în termen de 30 de zile sau dacă refuzul soluționării nu conține motivarea completă.</w:t>
            </w:r>
          </w:p>
        </w:tc>
        <w:tc>
          <w:tcPr>
            <w:tcW w:w="1727" w:type="pct"/>
          </w:tcPr>
          <w:p w14:paraId="75E41262" w14:textId="77777777" w:rsidR="002C4D53" w:rsidRPr="002C4D53" w:rsidRDefault="002C4D53" w:rsidP="002C4D53">
            <w:pPr>
              <w:tabs>
                <w:tab w:val="left" w:pos="1254"/>
              </w:tabs>
              <w:ind w:right="45"/>
              <w:jc w:val="both"/>
              <w:rPr>
                <w:rFonts w:cs="Times New Roman"/>
                <w:sz w:val="22"/>
              </w:rPr>
            </w:pPr>
            <w:r w:rsidRPr="002C4D53">
              <w:rPr>
                <w:rFonts w:cs="Times New Roman"/>
                <w:sz w:val="22"/>
              </w:rPr>
              <w:t xml:space="preserve">3.2.4. punctul 38 se expune în redacție nouă cu următorul cuprins: </w:t>
            </w:r>
          </w:p>
          <w:p w14:paraId="164BE387" w14:textId="408BDF24" w:rsidR="002C4D53" w:rsidRPr="00D62401" w:rsidRDefault="002C4D53" w:rsidP="002C4D53">
            <w:pPr>
              <w:tabs>
                <w:tab w:val="left" w:pos="1254"/>
              </w:tabs>
              <w:ind w:right="45"/>
              <w:jc w:val="both"/>
              <w:rPr>
                <w:rFonts w:cs="Times New Roman"/>
                <w:sz w:val="22"/>
              </w:rPr>
            </w:pPr>
            <w:r w:rsidRPr="002C4D53">
              <w:rPr>
                <w:rFonts w:cs="Times New Roman"/>
                <w:sz w:val="22"/>
              </w:rPr>
              <w:t xml:space="preserve">„38. </w:t>
            </w:r>
            <w:r w:rsidR="00A610E2" w:rsidRPr="00A610E2">
              <w:rPr>
                <w:rFonts w:cs="Times New Roman"/>
                <w:sz w:val="22"/>
              </w:rPr>
              <w:t>Furnizorul lucrărilor topogeodezice este în drept să solicite de la deținător, înregistrarea documentelor încărcate în Registru, în cazul în care autoritatea administrației publice locale de nivelul întâi, în rolul său de registrator, nu a soluționat cererea acestuia în termen de 5 zile lucrătoare sau dacă refuzul soluționării nu conține o motivare completă, cu indicarea prevederilor legale aplicabile procedurii de înregistrare.”.</w:t>
            </w:r>
          </w:p>
        </w:tc>
        <w:tc>
          <w:tcPr>
            <w:tcW w:w="1816" w:type="pct"/>
          </w:tcPr>
          <w:p w14:paraId="48AD3396" w14:textId="77777777" w:rsidR="002C4D53" w:rsidRDefault="002C4D53" w:rsidP="002C4D53">
            <w:pPr>
              <w:tabs>
                <w:tab w:val="left" w:pos="885"/>
                <w:tab w:val="left" w:pos="1414"/>
              </w:tabs>
              <w:ind w:right="45"/>
              <w:jc w:val="both"/>
              <w:rPr>
                <w:rFonts w:cs="Times New Roman"/>
                <w:sz w:val="22"/>
              </w:rPr>
            </w:pPr>
            <w:r w:rsidRPr="001333A8">
              <w:rPr>
                <w:rFonts w:cs="Times New Roman"/>
                <w:sz w:val="22"/>
              </w:rPr>
              <w:t>Regulamentul cu privire la modalitatea de ținere a Registrului de stat al lucrărilor topografo-geodezice, inclusiv mecanismul de înregistrare și eliberare a informației din Registru:</w:t>
            </w:r>
          </w:p>
          <w:p w14:paraId="78646D62" w14:textId="629A59F8" w:rsidR="002C4D53" w:rsidRPr="00D62401" w:rsidRDefault="002C4D53" w:rsidP="002C4D53">
            <w:pPr>
              <w:tabs>
                <w:tab w:val="left" w:pos="885"/>
                <w:tab w:val="left" w:pos="1414"/>
              </w:tabs>
              <w:ind w:right="45"/>
              <w:jc w:val="both"/>
              <w:rPr>
                <w:rFonts w:cs="Times New Roman"/>
                <w:b/>
                <w:bCs/>
                <w:sz w:val="22"/>
              </w:rPr>
            </w:pPr>
            <w:r w:rsidRPr="002C4D53">
              <w:rPr>
                <w:rFonts w:cs="Times New Roman"/>
                <w:b/>
                <w:bCs/>
                <w:sz w:val="22"/>
              </w:rPr>
              <w:t xml:space="preserve">38. </w:t>
            </w:r>
            <w:r w:rsidR="00A610E2" w:rsidRPr="00A610E2">
              <w:rPr>
                <w:rFonts w:cs="Times New Roman"/>
                <w:b/>
                <w:bCs/>
                <w:sz w:val="22"/>
              </w:rPr>
              <w:t>Furnizorul lucrărilor topogeodezice este în drept să solicite de la deținător, înregistrarea documentelor încărcate în Registru, în cazul în care autoritatea administrației publice locale de nivelul întâi, în rolul său de registrator, nu a soluționat cererea acestuia în termen de 5 zile lucrătoare sau dacă refuzul soluționării nu conține o motivare completă, cu indicarea prevederilor legale aplicabile procedurii de înregistrare.</w:t>
            </w:r>
          </w:p>
        </w:tc>
      </w:tr>
    </w:tbl>
    <w:p w14:paraId="0A4B8EE6" w14:textId="77777777" w:rsidR="003B4B89" w:rsidRPr="00D62401" w:rsidRDefault="003B4B89" w:rsidP="00B42B3B"/>
    <w:sectPr w:rsidR="003B4B89" w:rsidRPr="00D62401" w:rsidSect="00B41C3D">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2E1C"/>
    <w:multiLevelType w:val="multilevel"/>
    <w:tmpl w:val="27CC06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88622B"/>
    <w:multiLevelType w:val="multilevel"/>
    <w:tmpl w:val="BA8866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1E13"/>
    <w:multiLevelType w:val="multilevel"/>
    <w:tmpl w:val="FE28CFD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F6E3B"/>
    <w:multiLevelType w:val="hybridMultilevel"/>
    <w:tmpl w:val="DAB6058E"/>
    <w:lvl w:ilvl="0" w:tplc="711EF6B2">
      <w:start w:val="1"/>
      <w:numFmt w:val="decimal"/>
      <w:lvlText w:val="%1)"/>
      <w:lvlJc w:val="left"/>
      <w:pPr>
        <w:ind w:left="1353" w:hanging="360"/>
      </w:pPr>
      <w:rPr>
        <w:rFonts w:hint="default"/>
        <w:b/>
        <w:bCs/>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 w15:restartNumberingAfterBreak="0">
    <w:nsid w:val="31623139"/>
    <w:multiLevelType w:val="hybridMultilevel"/>
    <w:tmpl w:val="65D633E2"/>
    <w:lvl w:ilvl="0" w:tplc="C8AC2268">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 w15:restartNumberingAfterBreak="0">
    <w:nsid w:val="46F579E0"/>
    <w:multiLevelType w:val="multilevel"/>
    <w:tmpl w:val="5E403376"/>
    <w:lvl w:ilvl="0">
      <w:start w:val="1"/>
      <w:numFmt w:val="decimal"/>
      <w:lvlText w:val="%1."/>
      <w:lvlJc w:val="left"/>
      <w:pPr>
        <w:ind w:left="717" w:hanging="360"/>
      </w:pPr>
      <w:rPr>
        <w:rFonts w:hint="default"/>
      </w:rPr>
    </w:lvl>
    <w:lvl w:ilvl="1">
      <w:start w:val="1"/>
      <w:numFmt w:val="decimal"/>
      <w:isLgl/>
      <w:lvlText w:val="%1.%2."/>
      <w:lvlJc w:val="left"/>
      <w:pPr>
        <w:ind w:left="1077" w:hanging="36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6" w15:restartNumberingAfterBreak="0">
    <w:nsid w:val="4D557C58"/>
    <w:multiLevelType w:val="hybridMultilevel"/>
    <w:tmpl w:val="86B44DFA"/>
    <w:lvl w:ilvl="0" w:tplc="FBC43062">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 w15:restartNumberingAfterBreak="0">
    <w:nsid w:val="6CD628A3"/>
    <w:multiLevelType w:val="hybridMultilevel"/>
    <w:tmpl w:val="8E4C99B2"/>
    <w:lvl w:ilvl="0" w:tplc="874037F8">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num w:numId="1" w16cid:durableId="1422986519">
    <w:abstractNumId w:val="4"/>
  </w:num>
  <w:num w:numId="2" w16cid:durableId="1483540365">
    <w:abstractNumId w:val="6"/>
  </w:num>
  <w:num w:numId="3" w16cid:durableId="528105414">
    <w:abstractNumId w:val="7"/>
  </w:num>
  <w:num w:numId="4" w16cid:durableId="1096903325">
    <w:abstractNumId w:val="3"/>
  </w:num>
  <w:num w:numId="5" w16cid:durableId="1794445816">
    <w:abstractNumId w:val="1"/>
  </w:num>
  <w:num w:numId="6" w16cid:durableId="547571631">
    <w:abstractNumId w:val="2"/>
  </w:num>
  <w:num w:numId="7" w16cid:durableId="35131786">
    <w:abstractNumId w:val="0"/>
  </w:num>
  <w:num w:numId="8" w16cid:durableId="1882548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BA"/>
    <w:rsid w:val="00033A23"/>
    <w:rsid w:val="00034D23"/>
    <w:rsid w:val="0005358D"/>
    <w:rsid w:val="0008105D"/>
    <w:rsid w:val="000B392B"/>
    <w:rsid w:val="000D2F3C"/>
    <w:rsid w:val="00120A88"/>
    <w:rsid w:val="001333A8"/>
    <w:rsid w:val="001465BB"/>
    <w:rsid w:val="00167DDC"/>
    <w:rsid w:val="00177039"/>
    <w:rsid w:val="00183F13"/>
    <w:rsid w:val="0019338E"/>
    <w:rsid w:val="001A19A8"/>
    <w:rsid w:val="001C3955"/>
    <w:rsid w:val="001D1FAF"/>
    <w:rsid w:val="001D457A"/>
    <w:rsid w:val="00232DD1"/>
    <w:rsid w:val="00246B62"/>
    <w:rsid w:val="0024739D"/>
    <w:rsid w:val="00251B9F"/>
    <w:rsid w:val="0025335A"/>
    <w:rsid w:val="00276412"/>
    <w:rsid w:val="002A51DE"/>
    <w:rsid w:val="002A5F7F"/>
    <w:rsid w:val="002C4D53"/>
    <w:rsid w:val="00306EDF"/>
    <w:rsid w:val="003303DA"/>
    <w:rsid w:val="00367F90"/>
    <w:rsid w:val="0037452A"/>
    <w:rsid w:val="00386CCF"/>
    <w:rsid w:val="003A7B6C"/>
    <w:rsid w:val="003B4B89"/>
    <w:rsid w:val="003D75CF"/>
    <w:rsid w:val="00433011"/>
    <w:rsid w:val="004574E1"/>
    <w:rsid w:val="00465039"/>
    <w:rsid w:val="004900A7"/>
    <w:rsid w:val="004B09D2"/>
    <w:rsid w:val="004D3F5A"/>
    <w:rsid w:val="004E41E1"/>
    <w:rsid w:val="004F6AAB"/>
    <w:rsid w:val="00507322"/>
    <w:rsid w:val="00511DE1"/>
    <w:rsid w:val="00524B18"/>
    <w:rsid w:val="00534D05"/>
    <w:rsid w:val="00537063"/>
    <w:rsid w:val="00561C56"/>
    <w:rsid w:val="005F1587"/>
    <w:rsid w:val="005F18BE"/>
    <w:rsid w:val="005F5DFD"/>
    <w:rsid w:val="006261CE"/>
    <w:rsid w:val="00630786"/>
    <w:rsid w:val="0066255D"/>
    <w:rsid w:val="00677091"/>
    <w:rsid w:val="006E456E"/>
    <w:rsid w:val="007033EF"/>
    <w:rsid w:val="00730484"/>
    <w:rsid w:val="007C294E"/>
    <w:rsid w:val="00803527"/>
    <w:rsid w:val="00817C70"/>
    <w:rsid w:val="008548FC"/>
    <w:rsid w:val="00893FB0"/>
    <w:rsid w:val="008A6B3C"/>
    <w:rsid w:val="008E2208"/>
    <w:rsid w:val="008E5FA1"/>
    <w:rsid w:val="00910221"/>
    <w:rsid w:val="00913CC6"/>
    <w:rsid w:val="0092017E"/>
    <w:rsid w:val="00936E1C"/>
    <w:rsid w:val="00944DE0"/>
    <w:rsid w:val="0094785B"/>
    <w:rsid w:val="00963766"/>
    <w:rsid w:val="009920CA"/>
    <w:rsid w:val="00996DB5"/>
    <w:rsid w:val="009B4724"/>
    <w:rsid w:val="009E0054"/>
    <w:rsid w:val="00A40A50"/>
    <w:rsid w:val="00A50108"/>
    <w:rsid w:val="00A610E2"/>
    <w:rsid w:val="00A9011C"/>
    <w:rsid w:val="00A913BA"/>
    <w:rsid w:val="00AB3EE2"/>
    <w:rsid w:val="00AC58E1"/>
    <w:rsid w:val="00AC72A2"/>
    <w:rsid w:val="00AD18BD"/>
    <w:rsid w:val="00AE36D3"/>
    <w:rsid w:val="00AF03A9"/>
    <w:rsid w:val="00B41313"/>
    <w:rsid w:val="00B41C3D"/>
    <w:rsid w:val="00B42B3B"/>
    <w:rsid w:val="00B519BF"/>
    <w:rsid w:val="00B54CBA"/>
    <w:rsid w:val="00BB220D"/>
    <w:rsid w:val="00C115BD"/>
    <w:rsid w:val="00C32CC2"/>
    <w:rsid w:val="00C37360"/>
    <w:rsid w:val="00C45609"/>
    <w:rsid w:val="00C624F3"/>
    <w:rsid w:val="00C637D3"/>
    <w:rsid w:val="00C92762"/>
    <w:rsid w:val="00CC37C9"/>
    <w:rsid w:val="00CF4D8F"/>
    <w:rsid w:val="00D201C1"/>
    <w:rsid w:val="00D26D39"/>
    <w:rsid w:val="00D410DA"/>
    <w:rsid w:val="00D431F6"/>
    <w:rsid w:val="00D44B82"/>
    <w:rsid w:val="00D4673F"/>
    <w:rsid w:val="00D47D42"/>
    <w:rsid w:val="00D52687"/>
    <w:rsid w:val="00D62401"/>
    <w:rsid w:val="00D87FC7"/>
    <w:rsid w:val="00D90020"/>
    <w:rsid w:val="00DB67EE"/>
    <w:rsid w:val="00DF1A0C"/>
    <w:rsid w:val="00EB29C4"/>
    <w:rsid w:val="00EC4380"/>
    <w:rsid w:val="00F7210C"/>
    <w:rsid w:val="00F90587"/>
    <w:rsid w:val="00F9682F"/>
    <w:rsid w:val="00FA3960"/>
    <w:rsid w:val="00FA7A95"/>
    <w:rsid w:val="00FB6F5F"/>
    <w:rsid w:val="00FC12AB"/>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1EC3"/>
  <w15:chartTrackingRefBased/>
  <w15:docId w15:val="{BFB60899-3890-4F26-8129-0FECD750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D53"/>
    <w:pPr>
      <w:spacing w:line="240" w:lineRule="auto"/>
    </w:pPr>
    <w:rPr>
      <w:rFonts w:ascii="Times New Roman" w:hAnsi="Times New Roman"/>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68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F9682F"/>
    <w:pPr>
      <w:spacing w:after="0" w:line="240" w:lineRule="auto"/>
    </w:pPr>
    <w:rPr>
      <w:lang w:val="en-US"/>
    </w:rPr>
  </w:style>
  <w:style w:type="character" w:customStyle="1" w:styleId="a5">
    <w:name w:val="Без интервала Знак"/>
    <w:link w:val="a4"/>
    <w:uiPriority w:val="99"/>
    <w:locked/>
    <w:rsid w:val="00F9682F"/>
    <w:rPr>
      <w:lang w:val="en-US"/>
    </w:rPr>
  </w:style>
  <w:style w:type="paragraph" w:styleId="a6">
    <w:name w:val="Normal (Web)"/>
    <w:basedOn w:val="a"/>
    <w:uiPriority w:val="99"/>
    <w:unhideWhenUsed/>
    <w:rsid w:val="00232DD1"/>
    <w:pPr>
      <w:spacing w:before="100" w:beforeAutospacing="1" w:after="100" w:afterAutospacing="1"/>
    </w:pPr>
    <w:rPr>
      <w:rFonts w:eastAsia="Times New Roman" w:cs="Times New Roman"/>
      <w:sz w:val="24"/>
      <w:szCs w:val="24"/>
      <w:lang w:val="ru-MD" w:eastAsia="ru-MD"/>
    </w:rPr>
  </w:style>
  <w:style w:type="character" w:styleId="a7">
    <w:name w:val="Strong"/>
    <w:basedOn w:val="a0"/>
    <w:uiPriority w:val="22"/>
    <w:qFormat/>
    <w:rsid w:val="00232DD1"/>
    <w:rPr>
      <w:b/>
      <w:bCs/>
    </w:rPr>
  </w:style>
  <w:style w:type="paragraph" w:styleId="a8">
    <w:name w:val="List Paragraph"/>
    <w:basedOn w:val="a"/>
    <w:uiPriority w:val="34"/>
    <w:qFormat/>
    <w:rsid w:val="00944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3671">
      <w:bodyDiv w:val="1"/>
      <w:marLeft w:val="0"/>
      <w:marRight w:val="0"/>
      <w:marTop w:val="0"/>
      <w:marBottom w:val="0"/>
      <w:divBdr>
        <w:top w:val="none" w:sz="0" w:space="0" w:color="auto"/>
        <w:left w:val="none" w:sz="0" w:space="0" w:color="auto"/>
        <w:bottom w:val="none" w:sz="0" w:space="0" w:color="auto"/>
        <w:right w:val="none" w:sz="0" w:space="0" w:color="auto"/>
      </w:divBdr>
    </w:div>
    <w:div w:id="264315640">
      <w:bodyDiv w:val="1"/>
      <w:marLeft w:val="0"/>
      <w:marRight w:val="0"/>
      <w:marTop w:val="0"/>
      <w:marBottom w:val="0"/>
      <w:divBdr>
        <w:top w:val="none" w:sz="0" w:space="0" w:color="auto"/>
        <w:left w:val="none" w:sz="0" w:space="0" w:color="auto"/>
        <w:bottom w:val="none" w:sz="0" w:space="0" w:color="auto"/>
        <w:right w:val="none" w:sz="0" w:space="0" w:color="auto"/>
      </w:divBdr>
    </w:div>
    <w:div w:id="407457126">
      <w:bodyDiv w:val="1"/>
      <w:marLeft w:val="0"/>
      <w:marRight w:val="0"/>
      <w:marTop w:val="0"/>
      <w:marBottom w:val="0"/>
      <w:divBdr>
        <w:top w:val="none" w:sz="0" w:space="0" w:color="auto"/>
        <w:left w:val="none" w:sz="0" w:space="0" w:color="auto"/>
        <w:bottom w:val="none" w:sz="0" w:space="0" w:color="auto"/>
        <w:right w:val="none" w:sz="0" w:space="0" w:color="auto"/>
      </w:divBdr>
    </w:div>
    <w:div w:id="430011401">
      <w:bodyDiv w:val="1"/>
      <w:marLeft w:val="0"/>
      <w:marRight w:val="0"/>
      <w:marTop w:val="0"/>
      <w:marBottom w:val="0"/>
      <w:divBdr>
        <w:top w:val="none" w:sz="0" w:space="0" w:color="auto"/>
        <w:left w:val="none" w:sz="0" w:space="0" w:color="auto"/>
        <w:bottom w:val="none" w:sz="0" w:space="0" w:color="auto"/>
        <w:right w:val="none" w:sz="0" w:space="0" w:color="auto"/>
      </w:divBdr>
    </w:div>
    <w:div w:id="536086549">
      <w:bodyDiv w:val="1"/>
      <w:marLeft w:val="0"/>
      <w:marRight w:val="0"/>
      <w:marTop w:val="0"/>
      <w:marBottom w:val="0"/>
      <w:divBdr>
        <w:top w:val="none" w:sz="0" w:space="0" w:color="auto"/>
        <w:left w:val="none" w:sz="0" w:space="0" w:color="auto"/>
        <w:bottom w:val="none" w:sz="0" w:space="0" w:color="auto"/>
        <w:right w:val="none" w:sz="0" w:space="0" w:color="auto"/>
      </w:divBdr>
    </w:div>
    <w:div w:id="603922052">
      <w:bodyDiv w:val="1"/>
      <w:marLeft w:val="0"/>
      <w:marRight w:val="0"/>
      <w:marTop w:val="0"/>
      <w:marBottom w:val="0"/>
      <w:divBdr>
        <w:top w:val="none" w:sz="0" w:space="0" w:color="auto"/>
        <w:left w:val="none" w:sz="0" w:space="0" w:color="auto"/>
        <w:bottom w:val="none" w:sz="0" w:space="0" w:color="auto"/>
        <w:right w:val="none" w:sz="0" w:space="0" w:color="auto"/>
      </w:divBdr>
    </w:div>
    <w:div w:id="744453522">
      <w:bodyDiv w:val="1"/>
      <w:marLeft w:val="0"/>
      <w:marRight w:val="0"/>
      <w:marTop w:val="0"/>
      <w:marBottom w:val="0"/>
      <w:divBdr>
        <w:top w:val="none" w:sz="0" w:space="0" w:color="auto"/>
        <w:left w:val="none" w:sz="0" w:space="0" w:color="auto"/>
        <w:bottom w:val="none" w:sz="0" w:space="0" w:color="auto"/>
        <w:right w:val="none" w:sz="0" w:space="0" w:color="auto"/>
      </w:divBdr>
    </w:div>
    <w:div w:id="760180855">
      <w:bodyDiv w:val="1"/>
      <w:marLeft w:val="0"/>
      <w:marRight w:val="0"/>
      <w:marTop w:val="0"/>
      <w:marBottom w:val="0"/>
      <w:divBdr>
        <w:top w:val="none" w:sz="0" w:space="0" w:color="auto"/>
        <w:left w:val="none" w:sz="0" w:space="0" w:color="auto"/>
        <w:bottom w:val="none" w:sz="0" w:space="0" w:color="auto"/>
        <w:right w:val="none" w:sz="0" w:space="0" w:color="auto"/>
      </w:divBdr>
    </w:div>
    <w:div w:id="1007097486">
      <w:bodyDiv w:val="1"/>
      <w:marLeft w:val="0"/>
      <w:marRight w:val="0"/>
      <w:marTop w:val="0"/>
      <w:marBottom w:val="0"/>
      <w:divBdr>
        <w:top w:val="none" w:sz="0" w:space="0" w:color="auto"/>
        <w:left w:val="none" w:sz="0" w:space="0" w:color="auto"/>
        <w:bottom w:val="none" w:sz="0" w:space="0" w:color="auto"/>
        <w:right w:val="none" w:sz="0" w:space="0" w:color="auto"/>
      </w:divBdr>
    </w:div>
    <w:div w:id="1097211847">
      <w:bodyDiv w:val="1"/>
      <w:marLeft w:val="0"/>
      <w:marRight w:val="0"/>
      <w:marTop w:val="0"/>
      <w:marBottom w:val="0"/>
      <w:divBdr>
        <w:top w:val="none" w:sz="0" w:space="0" w:color="auto"/>
        <w:left w:val="none" w:sz="0" w:space="0" w:color="auto"/>
        <w:bottom w:val="none" w:sz="0" w:space="0" w:color="auto"/>
        <w:right w:val="none" w:sz="0" w:space="0" w:color="auto"/>
      </w:divBdr>
    </w:div>
    <w:div w:id="1444038930">
      <w:bodyDiv w:val="1"/>
      <w:marLeft w:val="0"/>
      <w:marRight w:val="0"/>
      <w:marTop w:val="0"/>
      <w:marBottom w:val="0"/>
      <w:divBdr>
        <w:top w:val="none" w:sz="0" w:space="0" w:color="auto"/>
        <w:left w:val="none" w:sz="0" w:space="0" w:color="auto"/>
        <w:bottom w:val="none" w:sz="0" w:space="0" w:color="auto"/>
        <w:right w:val="none" w:sz="0" w:space="0" w:color="auto"/>
      </w:divBdr>
    </w:div>
    <w:div w:id="1645695469">
      <w:bodyDiv w:val="1"/>
      <w:marLeft w:val="0"/>
      <w:marRight w:val="0"/>
      <w:marTop w:val="0"/>
      <w:marBottom w:val="0"/>
      <w:divBdr>
        <w:top w:val="none" w:sz="0" w:space="0" w:color="auto"/>
        <w:left w:val="none" w:sz="0" w:space="0" w:color="auto"/>
        <w:bottom w:val="none" w:sz="0" w:space="0" w:color="auto"/>
        <w:right w:val="none" w:sz="0" w:space="0" w:color="auto"/>
      </w:divBdr>
    </w:div>
    <w:div w:id="1827671582">
      <w:bodyDiv w:val="1"/>
      <w:marLeft w:val="0"/>
      <w:marRight w:val="0"/>
      <w:marTop w:val="0"/>
      <w:marBottom w:val="0"/>
      <w:divBdr>
        <w:top w:val="none" w:sz="0" w:space="0" w:color="auto"/>
        <w:left w:val="none" w:sz="0" w:space="0" w:color="auto"/>
        <w:bottom w:val="none" w:sz="0" w:space="0" w:color="auto"/>
        <w:right w:val="none" w:sz="0" w:space="0" w:color="auto"/>
      </w:divBdr>
    </w:div>
    <w:div w:id="1859345227">
      <w:bodyDiv w:val="1"/>
      <w:marLeft w:val="0"/>
      <w:marRight w:val="0"/>
      <w:marTop w:val="0"/>
      <w:marBottom w:val="0"/>
      <w:divBdr>
        <w:top w:val="none" w:sz="0" w:space="0" w:color="auto"/>
        <w:left w:val="none" w:sz="0" w:space="0" w:color="auto"/>
        <w:bottom w:val="none" w:sz="0" w:space="0" w:color="auto"/>
        <w:right w:val="none" w:sz="0" w:space="0" w:color="auto"/>
      </w:divBdr>
    </w:div>
    <w:div w:id="1941837419">
      <w:bodyDiv w:val="1"/>
      <w:marLeft w:val="0"/>
      <w:marRight w:val="0"/>
      <w:marTop w:val="0"/>
      <w:marBottom w:val="0"/>
      <w:divBdr>
        <w:top w:val="none" w:sz="0" w:space="0" w:color="auto"/>
        <w:left w:val="none" w:sz="0" w:space="0" w:color="auto"/>
        <w:bottom w:val="none" w:sz="0" w:space="0" w:color="auto"/>
        <w:right w:val="none" w:sz="0" w:space="0" w:color="auto"/>
      </w:divBdr>
    </w:div>
    <w:div w:id="1968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1745</Words>
  <Characters>9948</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Lenovo11</dc:creator>
  <cp:keywords/>
  <dc:description/>
  <cp:lastModifiedBy>Olga Stubei</cp:lastModifiedBy>
  <cp:revision>12</cp:revision>
  <dcterms:created xsi:type="dcterms:W3CDTF">2024-10-15T06:13:00Z</dcterms:created>
  <dcterms:modified xsi:type="dcterms:W3CDTF">2025-10-23T11:25:00Z</dcterms:modified>
</cp:coreProperties>
</file>