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sdt>
      <w:sdtPr>
        <w:rPr>
          <w:rFonts w:ascii="Times New Roman" w:eastAsiaTheme="minorHAnsi" w:hAnsi="Times New Roman" w:cs="Times New Roman"/>
          <w:kern w:val="2"/>
          <w:sz w:val="24"/>
          <w:szCs w:val="24"/>
          <w:lang w:val="ro-RO"/>
          <w14:ligatures w14:val="standardContextual"/>
        </w:rPr>
        <w:id w:val="-1338146333"/>
        <w:docPartObj>
          <w:docPartGallery w:val="Cover Pages"/>
          <w:docPartUnique/>
        </w:docPartObj>
      </w:sdtPr>
      <w:sdtContent>
        <w:p w14:paraId="25994C79" w14:textId="62D2536F" w:rsidR="00454140" w:rsidRPr="008767B0" w:rsidRDefault="00B81475" w:rsidP="008767B0">
          <w:pPr>
            <w:pStyle w:val="ad"/>
            <w:spacing w:before="120"/>
            <w:jc w:val="center"/>
            <w:rPr>
              <w:rFonts w:ascii="Cambria" w:hAnsi="Cambria"/>
              <w:b/>
              <w:bCs/>
              <w:color w:val="FFFFFF" w:themeColor="background1"/>
              <w:sz w:val="32"/>
              <w:szCs w:val="32"/>
              <w:lang w:val="ro-RO"/>
            </w:rPr>
          </w:pPr>
          <w:sdt>
            <w:sdtPr>
              <w:rPr>
                <w:rFonts w:ascii="Cambria" w:hAnsi="Cambria"/>
                <w:b/>
                <w:bCs/>
                <w:color w:val="FFFFFF" w:themeColor="background1"/>
                <w:sz w:val="32"/>
                <w:szCs w:val="32"/>
                <w:lang w:val="ro-RO"/>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r w:rsidR="008767B0" w:rsidRPr="001F6026">
                <w:rPr>
                  <w:rFonts w:ascii="Cambria" w:hAnsi="Cambria"/>
                  <w:b/>
                  <w:bCs/>
                  <w:color w:val="FFFFFF" w:themeColor="background1"/>
                  <w:sz w:val="32"/>
                  <w:szCs w:val="32"/>
                  <w:lang w:val="ro-RO"/>
                </w:rPr>
                <w:t>Ministerul Educației și Cercetării al Republicii Moldova</w:t>
              </w:r>
            </w:sdtContent>
          </w:sdt>
          <w:r w:rsidR="00454140" w:rsidRPr="001F6026">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051780DF" wp14:editId="4C2FAA3D">
                    <wp:simplePos x="0" y="0"/>
                    <wp:positionH relativeFrom="page">
                      <wp:align>center</wp:align>
                    </wp:positionH>
                    <wp:positionV relativeFrom="page">
                      <wp:align>center</wp:align>
                    </wp:positionV>
                    <wp:extent cx="6864824" cy="9123528"/>
                    <wp:effectExtent l="0" t="0" r="0" b="0"/>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12A94" w14:textId="58337378" w:rsidR="00B81475" w:rsidRPr="001F6026" w:rsidRDefault="00B81475">
                                  <w:pPr>
                                    <w:pStyle w:val="ad"/>
                                    <w:spacing w:before="120"/>
                                    <w:jc w:val="center"/>
                                    <w:rPr>
                                      <w:rFonts w:ascii="Cambria" w:hAnsi="Cambria"/>
                                      <w:b/>
                                      <w:bCs/>
                                      <w:color w:val="FFFFFF" w:themeColor="background1"/>
                                      <w:sz w:val="32"/>
                                      <w:szCs w:val="32"/>
                                      <w:lang w:val="ro-RO"/>
                                    </w:rPr>
                                  </w:pPr>
                                  <w:r w:rsidRPr="001F6026">
                                    <w:rPr>
                                      <w:rFonts w:ascii="Cambria" w:hAnsi="Cambria"/>
                                      <w:b/>
                                      <w:bCs/>
                                      <w:caps/>
                                      <w:color w:val="FFFFFF" w:themeColor="background1"/>
                                      <w:sz w:val="32"/>
                                      <w:szCs w:val="32"/>
                                      <w:lang w:val="ro-RO"/>
                                    </w:rPr>
                                    <w:t>2025</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0F459" w14:textId="4A533796" w:rsidR="00B81475" w:rsidRPr="001F6026" w:rsidRDefault="00B81475" w:rsidP="006C4ADF">
                                  <w:pPr>
                                    <w:pStyle w:val="ad"/>
                                    <w:jc w:val="center"/>
                                    <w:rPr>
                                      <w:rFonts w:ascii="Cambria" w:eastAsiaTheme="majorEastAsia" w:hAnsi="Cambria" w:cstheme="majorBidi"/>
                                      <w:b/>
                                      <w:bCs/>
                                      <w:caps/>
                                      <w:color w:val="3494BA" w:themeColor="accent1"/>
                                      <w:sz w:val="48"/>
                                      <w:szCs w:val="48"/>
                                      <w:lang w:val="ro-RO"/>
                                    </w:rPr>
                                  </w:pPr>
                                  <w:sdt>
                                    <w:sdtPr>
                                      <w:rPr>
                                        <w:rFonts w:ascii="Cambria" w:eastAsiaTheme="majorEastAsia" w:hAnsi="Cambria" w:cstheme="majorBidi"/>
                                        <w:b/>
                                        <w:bCs/>
                                        <w:caps/>
                                        <w:color w:val="3494BA" w:themeColor="accent1"/>
                                        <w:sz w:val="40"/>
                                        <w:szCs w:val="40"/>
                                        <w:lang w:val="ro-RO"/>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Pr="001F6026">
                                        <w:rPr>
                                          <w:rFonts w:ascii="Cambria" w:eastAsiaTheme="majorEastAsia" w:hAnsi="Cambria" w:cstheme="majorBidi"/>
                                          <w:b/>
                                          <w:bCs/>
                                          <w:caps/>
                                          <w:color w:val="3494BA" w:themeColor="accent1"/>
                                          <w:sz w:val="40"/>
                                          <w:szCs w:val="40"/>
                                          <w:lang w:val="ro-RO"/>
                                        </w:rPr>
                                        <w:t>Raport de referențiere a Cadrului Național al Calificărilor (CNC) la Cadrul European al Calificărilor (EQF) și de autocertificare la Cadrul Calificărilor din Spațiul Învățământului Superior (QF-EHEA)</w:t>
                                      </w:r>
                                      <w:bookmarkStart w:id="0" w:name="_Hlk197687310"/>
                                    </w:sdtContent>
                                  </w:sdt>
                                  <w:bookmarkEnd w:id="0"/>
                                </w:p>
                                <w:p w14:paraId="32760DB4" w14:textId="77777777" w:rsidR="00B81475" w:rsidRPr="001F6026" w:rsidRDefault="00B81475" w:rsidP="006C4ADF">
                                  <w:pPr>
                                    <w:pStyle w:val="ad"/>
                                    <w:spacing w:before="120" w:after="120"/>
                                    <w:jc w:val="center"/>
                                    <w:rPr>
                                      <w:rFonts w:ascii="Cambria" w:eastAsiaTheme="majorEastAsia" w:hAnsi="Cambria" w:cstheme="majorBidi"/>
                                      <w:b/>
                                      <w:bCs/>
                                      <w:caps/>
                                      <w:color w:val="3494BA" w:themeColor="accent1"/>
                                      <w:sz w:val="32"/>
                                      <w:szCs w:val="32"/>
                                      <w:lang w:val="ro-RO"/>
                                    </w:rPr>
                                  </w:pPr>
                                </w:p>
                                <w:p w14:paraId="0E7B2724" w14:textId="26DE1FC8" w:rsidR="00B81475" w:rsidRPr="001F6026" w:rsidRDefault="00B81475" w:rsidP="006C4ADF">
                                  <w:pPr>
                                    <w:pStyle w:val="ad"/>
                                    <w:spacing w:before="120" w:after="120"/>
                                    <w:jc w:val="center"/>
                                    <w:rPr>
                                      <w:rFonts w:asciiTheme="majorHAnsi" w:eastAsiaTheme="majorEastAsia" w:hAnsiTheme="majorHAnsi" w:cstheme="majorBidi"/>
                                      <w:caps/>
                                      <w:color w:val="3494BA" w:themeColor="accent1"/>
                                      <w:sz w:val="32"/>
                                      <w:szCs w:val="32"/>
                                      <w:lang w:val="ro-RO"/>
                                    </w:rPr>
                                  </w:pPr>
                                  <w:r w:rsidRPr="001F6026">
                                    <w:rPr>
                                      <w:rFonts w:ascii="Cambria" w:eastAsiaTheme="majorEastAsia" w:hAnsi="Cambria" w:cstheme="majorBidi"/>
                                      <w:b/>
                                      <w:bCs/>
                                      <w:caps/>
                                      <w:color w:val="3494BA" w:themeColor="accent1"/>
                                      <w:sz w:val="32"/>
                                      <w:szCs w:val="32"/>
                                      <w:lang w:val="ro-RO"/>
                                    </w:rPr>
                                    <w:t xml:space="preserve">Primul raport de </w:t>
                                  </w:r>
                                  <w:r w:rsidRPr="00BD5BBF">
                                    <w:rPr>
                                      <w:rFonts w:ascii="Cambria" w:eastAsiaTheme="majorEastAsia" w:hAnsi="Cambria" w:cstheme="majorBidi"/>
                                      <w:b/>
                                      <w:bCs/>
                                      <w:caps/>
                                      <w:color w:val="3494BA" w:themeColor="accent1"/>
                                      <w:sz w:val="32"/>
                                      <w:szCs w:val="32"/>
                                      <w:lang w:val="ro-RO"/>
                                    </w:rPr>
                                    <w:t>referință</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51780DF" id="Group 198" o:spid="_x0000_s1026" style="position:absolute;left:0;text-align:left;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BPXn8PvAMAAOQOAAAOAAAAAAAAAAAAAAAAAC4CAABkcnMv&#10;ZTJvRG9jLnhtbFBLAQItABQABgAIAAAAIQC0xIOw3AAAAAcBAAAPAAAAAAAAAAAAAAAAABYGAABk&#10;cnMvZG93bnJldi54bWxQSwUGAAAAAAQABADzAAAAHwc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HcMA&#10;AADcAAAADwAAAGRycy9kb3ducmV2LnhtbERPTWvCQBC9C/6HZQRvulFs1egqQSm0BQ9qBI9DdkyC&#10;2dmY3Wr677sFwds83ucs162pxJ0aV1pWMBpGIIgzq0vOFaTHj8EMhPPIGivLpOCXHKxX3c4SY20f&#10;vKf7wecihLCLUUHhfR1L6bKCDLqhrYkDd7GNQR9gk0vd4COEm0qOo+hdGiw5NBRY06ag7Hr4MQre&#10;Erc/Jbvv5Gty3m53dTqN0ttUqX6vTRYgPLX+JX66P3WYP5/A/zPh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AHcMAAADcAAAADwAAAAAAAAAAAAAAAACYAgAAZHJzL2Rv&#10;d25yZXYueG1sUEsFBgAAAAAEAAQA9QAAAIgDAAAAAA==&#10;" fillcolor="#3494ba [3204]" stroked="f" strokeweight="1.5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r68EA&#10;AADcAAAADwAAAGRycy9kb3ducmV2LnhtbERPS4vCMBC+L/gfwgh7W1MFX9UoPlZYD+Lb89CMbbGZ&#10;lCZq998bYWFv8/E9ZzytTSEeVLncsoJ2KwJBnFidc6rgdFx9DUA4j6yxsEwKfsnBdNL4GGOs7ZP3&#10;9Dj4VIQQdjEqyLwvYyldkpFB17IlceCutjLoA6xSqSt8hnBTyE4U9aTBnENDhiUtMkpuh7tRgNt5&#10;b1ek58vmJPm7Xkvqr5Z3pT6b9WwEwlPt/8V/7h8d5g+78H4mXC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Yq+vBAAAA3AAAAA8AAAAAAAAAAAAAAAAAmAIAAGRycy9kb3du&#10;cmV2LnhtbFBLBQYAAAAABAAEAPUAAACGAwAAAAA=&#10;" fillcolor="#3494ba [3204]" stroked="f" strokeweight="1.5pt">
                      <v:textbox inset="36pt,57.6pt,36pt,36pt">
                        <w:txbxContent>
                          <w:p w14:paraId="16712A94" w14:textId="58337378" w:rsidR="00B81475" w:rsidRPr="001F6026" w:rsidRDefault="00B81475">
                            <w:pPr>
                              <w:pStyle w:val="ad"/>
                              <w:spacing w:before="120"/>
                              <w:jc w:val="center"/>
                              <w:rPr>
                                <w:rFonts w:ascii="Cambria" w:hAnsi="Cambria"/>
                                <w:b/>
                                <w:bCs/>
                                <w:color w:val="FFFFFF" w:themeColor="background1"/>
                                <w:sz w:val="32"/>
                                <w:szCs w:val="32"/>
                                <w:lang w:val="ro-RO"/>
                              </w:rPr>
                            </w:pPr>
                            <w:r w:rsidRPr="001F6026">
                              <w:rPr>
                                <w:rFonts w:ascii="Cambria" w:hAnsi="Cambria"/>
                                <w:b/>
                                <w:bCs/>
                                <w:caps/>
                                <w:color w:val="FFFFFF" w:themeColor="background1"/>
                                <w:sz w:val="32"/>
                                <w:szCs w:val="32"/>
                                <w:lang w:val="ro-RO"/>
                              </w:rPr>
                              <w:t>2025</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0CE0F459" w14:textId="4A533796" w:rsidR="00B81475" w:rsidRPr="001F6026" w:rsidRDefault="00B81475" w:rsidP="006C4ADF">
                            <w:pPr>
                              <w:pStyle w:val="ad"/>
                              <w:jc w:val="center"/>
                              <w:rPr>
                                <w:rFonts w:ascii="Cambria" w:eastAsiaTheme="majorEastAsia" w:hAnsi="Cambria" w:cstheme="majorBidi"/>
                                <w:b/>
                                <w:bCs/>
                                <w:caps/>
                                <w:color w:val="3494BA" w:themeColor="accent1"/>
                                <w:sz w:val="48"/>
                                <w:szCs w:val="48"/>
                                <w:lang w:val="ro-RO"/>
                              </w:rPr>
                            </w:pPr>
                            <w:sdt>
                              <w:sdtPr>
                                <w:rPr>
                                  <w:rFonts w:ascii="Cambria" w:eastAsiaTheme="majorEastAsia" w:hAnsi="Cambria" w:cstheme="majorBidi"/>
                                  <w:b/>
                                  <w:bCs/>
                                  <w:caps/>
                                  <w:color w:val="3494BA" w:themeColor="accent1"/>
                                  <w:sz w:val="40"/>
                                  <w:szCs w:val="40"/>
                                  <w:lang w:val="ro-RO"/>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Pr="001F6026">
                                  <w:rPr>
                                    <w:rFonts w:ascii="Cambria" w:eastAsiaTheme="majorEastAsia" w:hAnsi="Cambria" w:cstheme="majorBidi"/>
                                    <w:b/>
                                    <w:bCs/>
                                    <w:caps/>
                                    <w:color w:val="3494BA" w:themeColor="accent1"/>
                                    <w:sz w:val="40"/>
                                    <w:szCs w:val="40"/>
                                    <w:lang w:val="ro-RO"/>
                                  </w:rPr>
                                  <w:t>Raport de referențiere a Cadrului Național al Calificărilor (CNC) la Cadrul European al Calificărilor (EQF) și de autocertificare la Cadrul Calificărilor din Spațiul Învățământului Superior (QF-EHEA)</w:t>
                                </w:r>
                                <w:bookmarkStart w:id="1" w:name="_Hlk197687310"/>
                              </w:sdtContent>
                            </w:sdt>
                            <w:bookmarkEnd w:id="1"/>
                          </w:p>
                          <w:p w14:paraId="32760DB4" w14:textId="77777777" w:rsidR="00B81475" w:rsidRPr="001F6026" w:rsidRDefault="00B81475" w:rsidP="006C4ADF">
                            <w:pPr>
                              <w:pStyle w:val="ad"/>
                              <w:spacing w:before="120" w:after="120"/>
                              <w:jc w:val="center"/>
                              <w:rPr>
                                <w:rFonts w:ascii="Cambria" w:eastAsiaTheme="majorEastAsia" w:hAnsi="Cambria" w:cstheme="majorBidi"/>
                                <w:b/>
                                <w:bCs/>
                                <w:caps/>
                                <w:color w:val="3494BA" w:themeColor="accent1"/>
                                <w:sz w:val="32"/>
                                <w:szCs w:val="32"/>
                                <w:lang w:val="ro-RO"/>
                              </w:rPr>
                            </w:pPr>
                          </w:p>
                          <w:p w14:paraId="0E7B2724" w14:textId="26DE1FC8" w:rsidR="00B81475" w:rsidRPr="001F6026" w:rsidRDefault="00B81475" w:rsidP="006C4ADF">
                            <w:pPr>
                              <w:pStyle w:val="ad"/>
                              <w:spacing w:before="120" w:after="120"/>
                              <w:jc w:val="center"/>
                              <w:rPr>
                                <w:rFonts w:asciiTheme="majorHAnsi" w:eastAsiaTheme="majorEastAsia" w:hAnsiTheme="majorHAnsi" w:cstheme="majorBidi"/>
                                <w:caps/>
                                <w:color w:val="3494BA" w:themeColor="accent1"/>
                                <w:sz w:val="32"/>
                                <w:szCs w:val="32"/>
                                <w:lang w:val="ro-RO"/>
                              </w:rPr>
                            </w:pPr>
                            <w:r w:rsidRPr="001F6026">
                              <w:rPr>
                                <w:rFonts w:ascii="Cambria" w:eastAsiaTheme="majorEastAsia" w:hAnsi="Cambria" w:cstheme="majorBidi"/>
                                <w:b/>
                                <w:bCs/>
                                <w:caps/>
                                <w:color w:val="3494BA" w:themeColor="accent1"/>
                                <w:sz w:val="32"/>
                                <w:szCs w:val="32"/>
                                <w:lang w:val="ro-RO"/>
                              </w:rPr>
                              <w:t xml:space="preserve">Primul raport de </w:t>
                            </w:r>
                            <w:r w:rsidRPr="00BD5BBF">
                              <w:rPr>
                                <w:rFonts w:ascii="Cambria" w:eastAsiaTheme="majorEastAsia" w:hAnsi="Cambria" w:cstheme="majorBidi"/>
                                <w:b/>
                                <w:bCs/>
                                <w:caps/>
                                <w:color w:val="3494BA" w:themeColor="accent1"/>
                                <w:sz w:val="32"/>
                                <w:szCs w:val="32"/>
                                <w:lang w:val="ro-RO"/>
                              </w:rPr>
                              <w:t>referință</w:t>
                            </w:r>
                          </w:p>
                        </w:txbxContent>
                      </v:textbox>
                    </v:shape>
                    <w10:wrap anchorx="page" anchory="page"/>
                  </v:group>
                </w:pict>
              </mc:Fallback>
            </mc:AlternateContent>
          </w:r>
        </w:p>
        <w:p w14:paraId="7AA80690" w14:textId="2A0F633E" w:rsidR="00C914F3" w:rsidRPr="001F6026" w:rsidRDefault="00454140" w:rsidP="005C4FE9">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br w:type="page"/>
          </w:r>
        </w:p>
      </w:sdtContent>
    </w:sdt>
    <w:p w14:paraId="5DC0B95E" w14:textId="4598DD9C" w:rsidR="00A5005D" w:rsidRPr="001F6026" w:rsidRDefault="006C3AD7" w:rsidP="008209FA">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Procesul de e</w:t>
      </w:r>
      <w:r w:rsidR="009A0E9A" w:rsidRPr="001F6026">
        <w:rPr>
          <w:rFonts w:ascii="Times New Roman" w:hAnsi="Times New Roman" w:cs="Times New Roman"/>
          <w:sz w:val="24"/>
          <w:szCs w:val="24"/>
        </w:rPr>
        <w:t>laborare</w:t>
      </w:r>
      <w:r>
        <w:rPr>
          <w:rFonts w:ascii="Times New Roman" w:hAnsi="Times New Roman" w:cs="Times New Roman"/>
          <w:sz w:val="24"/>
          <w:szCs w:val="24"/>
        </w:rPr>
        <w:t xml:space="preserve"> </w:t>
      </w:r>
      <w:r w:rsidR="009A0E9A" w:rsidRPr="001F6026">
        <w:rPr>
          <w:rFonts w:ascii="Times New Roman" w:hAnsi="Times New Roman" w:cs="Times New Roman"/>
          <w:sz w:val="24"/>
          <w:szCs w:val="24"/>
        </w:rPr>
        <w:t xml:space="preserve">a </w:t>
      </w:r>
      <w:r w:rsidR="009A0E9A" w:rsidRPr="001F6026">
        <w:rPr>
          <w:rFonts w:ascii="Times New Roman" w:hAnsi="Times New Roman" w:cs="Times New Roman"/>
          <w:b/>
          <w:bCs/>
          <w:sz w:val="24"/>
          <w:szCs w:val="24"/>
        </w:rPr>
        <w:t>Raport</w:t>
      </w:r>
      <w:r w:rsidR="004E363F" w:rsidRPr="001F6026">
        <w:rPr>
          <w:rFonts w:ascii="Times New Roman" w:hAnsi="Times New Roman" w:cs="Times New Roman"/>
          <w:b/>
          <w:bCs/>
          <w:sz w:val="24"/>
          <w:szCs w:val="24"/>
        </w:rPr>
        <w:t>ului</w:t>
      </w:r>
      <w:r w:rsidR="009A0E9A" w:rsidRPr="001F6026">
        <w:rPr>
          <w:rFonts w:ascii="Times New Roman" w:hAnsi="Times New Roman" w:cs="Times New Roman"/>
          <w:b/>
          <w:bCs/>
          <w:sz w:val="24"/>
          <w:szCs w:val="24"/>
        </w:rPr>
        <w:t xml:space="preserve"> de referențiere a Cadrului Național al Calificărilor (CNC) la Cadrul European al Calificărilor (EQF) </w:t>
      </w:r>
      <w:r w:rsidR="009A0E9A" w:rsidRPr="00774135">
        <w:rPr>
          <w:rFonts w:ascii="Times New Roman" w:hAnsi="Times New Roman" w:cs="Times New Roman"/>
          <w:sz w:val="24"/>
          <w:szCs w:val="24"/>
        </w:rPr>
        <w:t>și de</w:t>
      </w:r>
      <w:r w:rsidR="009A0E9A" w:rsidRPr="001F6026">
        <w:rPr>
          <w:rFonts w:ascii="Times New Roman" w:hAnsi="Times New Roman" w:cs="Times New Roman"/>
          <w:b/>
          <w:bCs/>
          <w:sz w:val="24"/>
          <w:szCs w:val="24"/>
        </w:rPr>
        <w:t xml:space="preserve"> autocertificare la Cadrul Calificărilor din Spațiul Învățământului Superior (QF-EHEA)</w:t>
      </w:r>
      <w:r w:rsidR="009A0E9A" w:rsidRPr="001F6026">
        <w:rPr>
          <w:rFonts w:ascii="Times New Roman" w:hAnsi="Times New Roman" w:cs="Times New Roman"/>
          <w:sz w:val="24"/>
          <w:szCs w:val="24"/>
        </w:rPr>
        <w:t xml:space="preserve"> a fost coordonat</w:t>
      </w:r>
      <w:r w:rsidR="00F54A47">
        <w:rPr>
          <w:rFonts w:ascii="Times New Roman" w:hAnsi="Times New Roman" w:cs="Times New Roman"/>
          <w:sz w:val="24"/>
          <w:szCs w:val="24"/>
        </w:rPr>
        <w:t xml:space="preserve"> </w:t>
      </w:r>
      <w:r w:rsidR="00C847FC">
        <w:rPr>
          <w:rFonts w:ascii="Times New Roman" w:hAnsi="Times New Roman" w:cs="Times New Roman"/>
          <w:sz w:val="24"/>
          <w:szCs w:val="24"/>
        </w:rPr>
        <w:t xml:space="preserve">de </w:t>
      </w:r>
      <w:r w:rsidR="00F54A47" w:rsidRPr="00F54A47">
        <w:rPr>
          <w:rFonts w:ascii="Times New Roman" w:eastAsia="Calibri" w:hAnsi="Times New Roman" w:cs="Times New Roman"/>
          <w:b/>
          <w:bCs/>
          <w:sz w:val="24"/>
          <w:szCs w:val="24"/>
        </w:rPr>
        <w:t>Galina RUSU</w:t>
      </w:r>
      <w:r w:rsidR="00F54A47" w:rsidRPr="00F54A47">
        <w:rPr>
          <w:rFonts w:ascii="Times New Roman" w:eastAsia="Calibri" w:hAnsi="Times New Roman" w:cs="Times New Roman"/>
          <w:sz w:val="24"/>
          <w:szCs w:val="24"/>
        </w:rPr>
        <w:t>, Secretar General al Ministerul Educației și Cercetării, Președinte al Consiliului Național pentru Calificări</w:t>
      </w:r>
      <w:r w:rsidR="008209FA" w:rsidRPr="001F6026">
        <w:rPr>
          <w:rFonts w:ascii="Times New Roman" w:hAnsi="Times New Roman" w:cs="Times New Roman"/>
          <w:sz w:val="24"/>
          <w:szCs w:val="24"/>
        </w:rPr>
        <w:t>.</w:t>
      </w:r>
    </w:p>
    <w:p w14:paraId="1C044DEA" w14:textId="77777777" w:rsidR="008209FA" w:rsidRPr="001F6026" w:rsidRDefault="008209FA" w:rsidP="008209FA">
      <w:pPr>
        <w:spacing w:before="120" w:after="120" w:line="276" w:lineRule="auto"/>
        <w:jc w:val="both"/>
        <w:rPr>
          <w:rFonts w:ascii="Times New Roman" w:hAnsi="Times New Roman" w:cs="Times New Roman"/>
          <w:b/>
          <w:bCs/>
          <w:sz w:val="24"/>
          <w:szCs w:val="24"/>
        </w:rPr>
      </w:pPr>
    </w:p>
    <w:p w14:paraId="4ECDCDAB" w14:textId="77777777" w:rsidR="00AC678E" w:rsidRPr="00AC678E" w:rsidRDefault="00AC678E" w:rsidP="00AC678E">
      <w:pPr>
        <w:spacing w:before="120" w:after="120" w:line="276" w:lineRule="auto"/>
        <w:jc w:val="both"/>
        <w:rPr>
          <w:rFonts w:ascii="Times New Roman" w:eastAsia="Calibri" w:hAnsi="Times New Roman" w:cs="Times New Roman"/>
          <w:sz w:val="24"/>
          <w:szCs w:val="24"/>
        </w:rPr>
      </w:pPr>
      <w:r w:rsidRPr="00AC678E">
        <w:rPr>
          <w:rFonts w:ascii="Times New Roman" w:eastAsia="Calibri" w:hAnsi="Times New Roman" w:cs="Times New Roman"/>
          <w:sz w:val="24"/>
          <w:szCs w:val="24"/>
        </w:rPr>
        <w:t xml:space="preserve">Activitatea s-a desfășurat cu </w:t>
      </w:r>
      <w:r w:rsidRPr="00AC678E">
        <w:rPr>
          <w:rFonts w:ascii="Times New Roman" w:eastAsia="Calibri" w:hAnsi="Times New Roman" w:cs="Times New Roman"/>
          <w:b/>
          <w:bCs/>
          <w:sz w:val="24"/>
          <w:szCs w:val="24"/>
        </w:rPr>
        <w:t>asistența metodologică a Direcției Cadrul Național al Calificărilor a Ministerului Educației și Cercetării</w:t>
      </w:r>
      <w:r w:rsidRPr="00AC678E">
        <w:rPr>
          <w:rFonts w:ascii="Times New Roman" w:eastAsia="Calibri" w:hAnsi="Times New Roman" w:cs="Times New Roman"/>
          <w:sz w:val="24"/>
          <w:szCs w:val="24"/>
        </w:rPr>
        <w:t xml:space="preserve">  care acționează în calitate de </w:t>
      </w:r>
      <w:r w:rsidRPr="00AC678E">
        <w:rPr>
          <w:rFonts w:ascii="Times New Roman" w:eastAsia="Calibri" w:hAnsi="Times New Roman" w:cs="Times New Roman"/>
          <w:b/>
          <w:bCs/>
          <w:sz w:val="24"/>
          <w:szCs w:val="24"/>
        </w:rPr>
        <w:t>Punct Național de Coordonare pentru EQF.</w:t>
      </w:r>
    </w:p>
    <w:p w14:paraId="4857EA0B" w14:textId="77777777" w:rsidR="00AC678E" w:rsidRPr="00AC678E" w:rsidRDefault="00AC678E" w:rsidP="00AC678E">
      <w:pPr>
        <w:spacing w:before="120" w:after="120" w:line="276" w:lineRule="auto"/>
        <w:jc w:val="both"/>
        <w:rPr>
          <w:rFonts w:ascii="Times New Roman" w:eastAsia="Calibri" w:hAnsi="Times New Roman" w:cs="Times New Roman"/>
          <w:b/>
          <w:bCs/>
          <w:sz w:val="24"/>
          <w:szCs w:val="24"/>
        </w:rPr>
      </w:pPr>
    </w:p>
    <w:p w14:paraId="6FBA886D" w14:textId="77777777" w:rsidR="00AC678E" w:rsidRPr="00AC678E" w:rsidRDefault="00AC678E" w:rsidP="00AC678E">
      <w:pPr>
        <w:spacing w:before="120" w:after="120" w:line="276" w:lineRule="auto"/>
        <w:jc w:val="both"/>
        <w:rPr>
          <w:rFonts w:ascii="Times New Roman" w:eastAsia="Calibri" w:hAnsi="Times New Roman" w:cs="Times New Roman"/>
          <w:sz w:val="24"/>
          <w:szCs w:val="24"/>
        </w:rPr>
      </w:pPr>
      <w:r w:rsidRPr="00AC678E">
        <w:rPr>
          <w:rFonts w:ascii="Times New Roman" w:eastAsia="Calibri" w:hAnsi="Times New Roman" w:cs="Times New Roman"/>
          <w:b/>
          <w:bCs/>
          <w:sz w:val="24"/>
          <w:szCs w:val="24"/>
        </w:rPr>
        <w:t xml:space="preserve">Grupul de lucru: </w:t>
      </w:r>
      <w:r w:rsidRPr="00AC678E">
        <w:rPr>
          <w:rFonts w:ascii="Times New Roman" w:eastAsia="Calibri" w:hAnsi="Times New Roman" w:cs="Times New Roman"/>
          <w:sz w:val="24"/>
          <w:szCs w:val="24"/>
        </w:rPr>
        <w:t xml:space="preserve">Rusu Galina, Gherștega Tatiana, </w:t>
      </w:r>
      <w:proofErr w:type="spellStart"/>
      <w:r w:rsidRPr="00AC678E">
        <w:rPr>
          <w:rFonts w:ascii="Times New Roman" w:eastAsia="Calibri" w:hAnsi="Times New Roman" w:cs="Times New Roman"/>
          <w:sz w:val="24"/>
          <w:szCs w:val="24"/>
        </w:rPr>
        <w:t>Condruc</w:t>
      </w:r>
      <w:proofErr w:type="spellEnd"/>
      <w:r w:rsidRPr="00AC678E">
        <w:rPr>
          <w:rFonts w:ascii="Times New Roman" w:eastAsia="Calibri" w:hAnsi="Times New Roman" w:cs="Times New Roman"/>
          <w:sz w:val="24"/>
          <w:szCs w:val="24"/>
        </w:rPr>
        <w:t xml:space="preserve"> Viorica, </w:t>
      </w:r>
      <w:proofErr w:type="spellStart"/>
      <w:r w:rsidRPr="00AC678E">
        <w:rPr>
          <w:rFonts w:ascii="Times New Roman" w:eastAsia="Calibri" w:hAnsi="Times New Roman" w:cs="Times New Roman"/>
          <w:sz w:val="24"/>
          <w:szCs w:val="24"/>
        </w:rPr>
        <w:t>Elenciuc</w:t>
      </w:r>
      <w:proofErr w:type="spellEnd"/>
      <w:r w:rsidRPr="00AC678E">
        <w:rPr>
          <w:rFonts w:ascii="Times New Roman" w:eastAsia="Calibri" w:hAnsi="Times New Roman" w:cs="Times New Roman"/>
          <w:sz w:val="24"/>
          <w:szCs w:val="24"/>
        </w:rPr>
        <w:t xml:space="preserve"> Daniela, Moldovan-</w:t>
      </w:r>
      <w:proofErr w:type="spellStart"/>
      <w:r w:rsidRPr="00AC678E">
        <w:rPr>
          <w:rFonts w:ascii="Times New Roman" w:eastAsia="Calibri" w:hAnsi="Times New Roman" w:cs="Times New Roman"/>
          <w:sz w:val="24"/>
          <w:szCs w:val="24"/>
        </w:rPr>
        <w:t>Batrînac</w:t>
      </w:r>
      <w:proofErr w:type="spellEnd"/>
      <w:r w:rsidRPr="00AC678E">
        <w:rPr>
          <w:rFonts w:ascii="Times New Roman" w:eastAsia="Calibri" w:hAnsi="Times New Roman" w:cs="Times New Roman"/>
          <w:sz w:val="24"/>
          <w:szCs w:val="24"/>
        </w:rPr>
        <w:t xml:space="preserve"> </w:t>
      </w:r>
      <w:proofErr w:type="spellStart"/>
      <w:r w:rsidRPr="00AC678E">
        <w:rPr>
          <w:rFonts w:ascii="Times New Roman" w:eastAsia="Calibri" w:hAnsi="Times New Roman" w:cs="Times New Roman"/>
          <w:sz w:val="24"/>
          <w:szCs w:val="24"/>
        </w:rPr>
        <w:t>Viorelia</w:t>
      </w:r>
      <w:proofErr w:type="spellEnd"/>
      <w:r w:rsidRPr="00AC678E">
        <w:rPr>
          <w:rFonts w:ascii="Times New Roman" w:eastAsia="Calibri" w:hAnsi="Times New Roman" w:cs="Times New Roman"/>
          <w:sz w:val="24"/>
          <w:szCs w:val="24"/>
        </w:rPr>
        <w:t xml:space="preserve">, </w:t>
      </w:r>
      <w:proofErr w:type="spellStart"/>
      <w:r w:rsidRPr="00AC678E">
        <w:rPr>
          <w:rFonts w:ascii="Times New Roman" w:eastAsia="Calibri" w:hAnsi="Times New Roman" w:cs="Times New Roman"/>
          <w:sz w:val="24"/>
          <w:szCs w:val="24"/>
        </w:rPr>
        <w:t>Gherganova</w:t>
      </w:r>
      <w:proofErr w:type="spellEnd"/>
      <w:r w:rsidRPr="00AC678E">
        <w:rPr>
          <w:rFonts w:ascii="Times New Roman" w:eastAsia="Calibri" w:hAnsi="Times New Roman" w:cs="Times New Roman"/>
          <w:sz w:val="24"/>
          <w:szCs w:val="24"/>
        </w:rPr>
        <w:t xml:space="preserve"> Anna, </w:t>
      </w:r>
      <w:proofErr w:type="spellStart"/>
      <w:r w:rsidRPr="00AC678E">
        <w:rPr>
          <w:rFonts w:ascii="Times New Roman" w:eastAsia="Calibri" w:hAnsi="Times New Roman" w:cs="Times New Roman"/>
          <w:sz w:val="24"/>
          <w:szCs w:val="24"/>
        </w:rPr>
        <w:t>Dandara</w:t>
      </w:r>
      <w:proofErr w:type="spellEnd"/>
      <w:r w:rsidRPr="00AC678E">
        <w:rPr>
          <w:rFonts w:ascii="Times New Roman" w:eastAsia="Calibri" w:hAnsi="Times New Roman" w:cs="Times New Roman"/>
          <w:sz w:val="24"/>
          <w:szCs w:val="24"/>
        </w:rPr>
        <w:t xml:space="preserve"> Otilia, </w:t>
      </w:r>
      <w:proofErr w:type="spellStart"/>
      <w:r w:rsidRPr="00AC678E">
        <w:rPr>
          <w:rFonts w:ascii="Times New Roman" w:eastAsia="Calibri" w:hAnsi="Times New Roman" w:cs="Times New Roman"/>
          <w:sz w:val="24"/>
          <w:szCs w:val="24"/>
        </w:rPr>
        <w:t>Boșcaneanu</w:t>
      </w:r>
      <w:proofErr w:type="spellEnd"/>
      <w:r w:rsidRPr="00AC678E">
        <w:rPr>
          <w:rFonts w:ascii="Times New Roman" w:eastAsia="Calibri" w:hAnsi="Times New Roman" w:cs="Times New Roman"/>
          <w:sz w:val="24"/>
          <w:szCs w:val="24"/>
        </w:rPr>
        <w:t xml:space="preserve"> Marcel, </w:t>
      </w:r>
      <w:proofErr w:type="spellStart"/>
      <w:r w:rsidRPr="00AC678E">
        <w:rPr>
          <w:rFonts w:ascii="Times New Roman" w:eastAsia="Calibri" w:hAnsi="Times New Roman" w:cs="Times New Roman"/>
          <w:sz w:val="24"/>
          <w:szCs w:val="24"/>
        </w:rPr>
        <w:t>Adauji</w:t>
      </w:r>
      <w:proofErr w:type="spellEnd"/>
      <w:r w:rsidRPr="00AC678E">
        <w:rPr>
          <w:rFonts w:ascii="Times New Roman" w:eastAsia="Calibri" w:hAnsi="Times New Roman" w:cs="Times New Roman"/>
          <w:sz w:val="24"/>
          <w:szCs w:val="24"/>
        </w:rPr>
        <w:t xml:space="preserve"> Stela, Melnic Victoria, </w:t>
      </w:r>
      <w:proofErr w:type="spellStart"/>
      <w:r w:rsidRPr="00AC678E">
        <w:rPr>
          <w:rFonts w:ascii="Times New Roman" w:eastAsia="Calibri" w:hAnsi="Times New Roman" w:cs="Times New Roman"/>
          <w:sz w:val="24"/>
          <w:szCs w:val="24"/>
        </w:rPr>
        <w:t>Godoroja</w:t>
      </w:r>
      <w:proofErr w:type="spellEnd"/>
      <w:r w:rsidRPr="00AC678E">
        <w:rPr>
          <w:rFonts w:ascii="Times New Roman" w:eastAsia="Calibri" w:hAnsi="Times New Roman" w:cs="Times New Roman"/>
          <w:sz w:val="24"/>
          <w:szCs w:val="24"/>
        </w:rPr>
        <w:t xml:space="preserve"> Ion, </w:t>
      </w:r>
      <w:proofErr w:type="spellStart"/>
      <w:r w:rsidRPr="00AC678E">
        <w:rPr>
          <w:rFonts w:ascii="Times New Roman" w:eastAsia="Calibri" w:hAnsi="Times New Roman" w:cs="Times New Roman"/>
          <w:sz w:val="24"/>
          <w:szCs w:val="24"/>
        </w:rPr>
        <w:t>Gînju</w:t>
      </w:r>
      <w:proofErr w:type="spellEnd"/>
      <w:r w:rsidRPr="00AC678E">
        <w:rPr>
          <w:rFonts w:ascii="Times New Roman" w:eastAsia="Calibri" w:hAnsi="Times New Roman" w:cs="Times New Roman"/>
          <w:sz w:val="24"/>
          <w:szCs w:val="24"/>
        </w:rPr>
        <w:t xml:space="preserve"> Stela, </w:t>
      </w:r>
      <w:proofErr w:type="spellStart"/>
      <w:r w:rsidRPr="00AC678E">
        <w:rPr>
          <w:rFonts w:ascii="Times New Roman" w:eastAsia="Calibri" w:hAnsi="Times New Roman" w:cs="Times New Roman"/>
          <w:sz w:val="24"/>
          <w:szCs w:val="24"/>
        </w:rPr>
        <w:t>Tutunaru</w:t>
      </w:r>
      <w:proofErr w:type="spellEnd"/>
      <w:r w:rsidRPr="00AC678E">
        <w:rPr>
          <w:rFonts w:ascii="Times New Roman" w:eastAsia="Calibri" w:hAnsi="Times New Roman" w:cs="Times New Roman"/>
          <w:sz w:val="24"/>
          <w:szCs w:val="24"/>
        </w:rPr>
        <w:t xml:space="preserve"> Irina, </w:t>
      </w:r>
      <w:proofErr w:type="spellStart"/>
      <w:r w:rsidRPr="00AC678E">
        <w:rPr>
          <w:rFonts w:ascii="Times New Roman" w:eastAsia="Calibri" w:hAnsi="Times New Roman" w:cs="Times New Roman"/>
          <w:sz w:val="24"/>
          <w:szCs w:val="24"/>
        </w:rPr>
        <w:t>Posțan</w:t>
      </w:r>
      <w:proofErr w:type="spellEnd"/>
      <w:r w:rsidRPr="00AC678E">
        <w:rPr>
          <w:rFonts w:ascii="Times New Roman" w:eastAsia="Calibri" w:hAnsi="Times New Roman" w:cs="Times New Roman"/>
          <w:sz w:val="24"/>
          <w:szCs w:val="24"/>
        </w:rPr>
        <w:t xml:space="preserve"> Liliana, </w:t>
      </w:r>
      <w:proofErr w:type="spellStart"/>
      <w:r w:rsidRPr="00AC678E">
        <w:rPr>
          <w:rFonts w:ascii="Times New Roman" w:eastAsia="Calibri" w:hAnsi="Times New Roman" w:cs="Times New Roman"/>
          <w:sz w:val="24"/>
          <w:szCs w:val="24"/>
        </w:rPr>
        <w:t>Ceban</w:t>
      </w:r>
      <w:proofErr w:type="spellEnd"/>
      <w:r w:rsidRPr="00AC678E">
        <w:rPr>
          <w:rFonts w:ascii="Times New Roman" w:eastAsia="Calibri" w:hAnsi="Times New Roman" w:cs="Times New Roman"/>
          <w:sz w:val="24"/>
          <w:szCs w:val="24"/>
        </w:rPr>
        <w:t xml:space="preserve"> Andrei, </w:t>
      </w:r>
      <w:proofErr w:type="spellStart"/>
      <w:r w:rsidRPr="00AC678E">
        <w:rPr>
          <w:rFonts w:ascii="Times New Roman" w:eastAsia="Calibri" w:hAnsi="Times New Roman" w:cs="Times New Roman"/>
          <w:sz w:val="24"/>
          <w:szCs w:val="24"/>
        </w:rPr>
        <w:t>Balan</w:t>
      </w:r>
      <w:proofErr w:type="spellEnd"/>
      <w:r w:rsidRPr="00AC678E">
        <w:rPr>
          <w:rFonts w:ascii="Times New Roman" w:eastAsia="Calibri" w:hAnsi="Times New Roman" w:cs="Times New Roman"/>
          <w:sz w:val="24"/>
          <w:szCs w:val="24"/>
        </w:rPr>
        <w:t xml:space="preserve"> Stela, </w:t>
      </w:r>
      <w:proofErr w:type="spellStart"/>
      <w:r w:rsidRPr="00AC678E">
        <w:rPr>
          <w:rFonts w:ascii="Times New Roman" w:eastAsia="Calibri" w:hAnsi="Times New Roman" w:cs="Times New Roman"/>
          <w:sz w:val="24"/>
          <w:szCs w:val="24"/>
        </w:rPr>
        <w:t>Malanici</w:t>
      </w:r>
      <w:proofErr w:type="spellEnd"/>
      <w:r w:rsidRPr="00AC678E">
        <w:rPr>
          <w:rFonts w:ascii="Times New Roman" w:eastAsia="Calibri" w:hAnsi="Times New Roman" w:cs="Times New Roman"/>
          <w:sz w:val="24"/>
          <w:szCs w:val="24"/>
        </w:rPr>
        <w:t xml:space="preserve"> Elena, Vartic Aurelia</w:t>
      </w:r>
    </w:p>
    <w:p w14:paraId="6210B508" w14:textId="77777777" w:rsidR="00AC678E" w:rsidRPr="00AC678E" w:rsidRDefault="00AC678E" w:rsidP="00AC678E">
      <w:pPr>
        <w:spacing w:before="120" w:after="120" w:line="276" w:lineRule="auto"/>
        <w:jc w:val="both"/>
        <w:rPr>
          <w:rFonts w:ascii="Times New Roman" w:eastAsia="Calibri" w:hAnsi="Times New Roman" w:cs="Times New Roman"/>
          <w:sz w:val="24"/>
          <w:szCs w:val="24"/>
        </w:rPr>
      </w:pPr>
      <w:r w:rsidRPr="00AC678E">
        <w:rPr>
          <w:rFonts w:ascii="Times New Roman" w:eastAsia="Calibri" w:hAnsi="Times New Roman" w:cs="Times New Roman"/>
          <w:sz w:val="24"/>
          <w:szCs w:val="24"/>
        </w:rPr>
        <w:t>Coordonarea procesului de consultare: Gherstega Tatiana, Condruc Viorica, Vartic Aurelia</w:t>
      </w:r>
    </w:p>
    <w:p w14:paraId="35FDE26D" w14:textId="77777777" w:rsidR="00AC678E" w:rsidRPr="00AC678E" w:rsidRDefault="00AC678E" w:rsidP="00AC678E">
      <w:pPr>
        <w:spacing w:before="120" w:after="120" w:line="276" w:lineRule="auto"/>
        <w:jc w:val="both"/>
        <w:rPr>
          <w:rFonts w:ascii="Times New Roman" w:eastAsia="Calibri" w:hAnsi="Times New Roman" w:cs="Times New Roman"/>
          <w:sz w:val="24"/>
          <w:szCs w:val="24"/>
        </w:rPr>
      </w:pPr>
      <w:r w:rsidRPr="00AC678E">
        <w:rPr>
          <w:rFonts w:ascii="Times New Roman" w:eastAsia="Calibri" w:hAnsi="Times New Roman" w:cs="Times New Roman"/>
          <w:sz w:val="24"/>
          <w:szCs w:val="24"/>
        </w:rPr>
        <w:t>Consultarea națională</w:t>
      </w:r>
    </w:p>
    <w:p w14:paraId="67E4465D" w14:textId="1A2B6C6E" w:rsidR="00AC678E" w:rsidRPr="00AC678E" w:rsidRDefault="00AC678E" w:rsidP="00AC678E">
      <w:pPr>
        <w:spacing w:before="120" w:after="120" w:line="276" w:lineRule="auto"/>
        <w:jc w:val="both"/>
        <w:rPr>
          <w:rFonts w:ascii="Times New Roman" w:eastAsia="Calibri" w:hAnsi="Times New Roman" w:cs="Times New Roman"/>
          <w:sz w:val="24"/>
          <w:szCs w:val="24"/>
        </w:rPr>
      </w:pPr>
      <w:r w:rsidRPr="00AC678E">
        <w:rPr>
          <w:rFonts w:ascii="Times New Roman" w:eastAsia="Calibri" w:hAnsi="Times New Roman" w:cs="Times New Roman"/>
          <w:sz w:val="24"/>
          <w:szCs w:val="24"/>
        </w:rPr>
        <w:t>Consultarea internațională:</w:t>
      </w:r>
    </w:p>
    <w:p w14:paraId="622D4F1F"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03513F71"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6FE8789D"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691E9D5B"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2C7588B2"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7B2C86C0"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3879EC40"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37638C79"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4C1F5778"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5AB3B943"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46582699"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201F61B6" w14:textId="77777777" w:rsidR="00A5005D" w:rsidRPr="001F6026" w:rsidRDefault="00A5005D" w:rsidP="005C4FE9">
      <w:pPr>
        <w:spacing w:before="120" w:after="120" w:line="276" w:lineRule="auto"/>
        <w:jc w:val="both"/>
        <w:rPr>
          <w:rFonts w:ascii="Times New Roman" w:hAnsi="Times New Roman" w:cs="Times New Roman"/>
          <w:b/>
          <w:bCs/>
          <w:sz w:val="24"/>
          <w:szCs w:val="24"/>
        </w:rPr>
      </w:pPr>
    </w:p>
    <w:p w14:paraId="5901A29C" w14:textId="77777777" w:rsidR="00FE15FB" w:rsidRDefault="00FE15FB" w:rsidP="005C4FE9">
      <w:pPr>
        <w:spacing w:before="120" w:after="120" w:line="276" w:lineRule="auto"/>
        <w:rPr>
          <w:rFonts w:ascii="Times New Roman" w:hAnsi="Times New Roman" w:cs="Times New Roman"/>
          <w:b/>
          <w:bCs/>
          <w:i/>
          <w:iCs/>
          <w:sz w:val="24"/>
          <w:szCs w:val="24"/>
        </w:rPr>
      </w:pPr>
    </w:p>
    <w:p w14:paraId="66743E37" w14:textId="77777777" w:rsidR="00BD5BBF" w:rsidRDefault="00BD5BBF" w:rsidP="005C4FE9">
      <w:pPr>
        <w:spacing w:before="120" w:after="120" w:line="276" w:lineRule="auto"/>
        <w:rPr>
          <w:rFonts w:ascii="Times New Roman" w:hAnsi="Times New Roman" w:cs="Times New Roman"/>
          <w:b/>
          <w:bCs/>
          <w:i/>
          <w:iCs/>
          <w:sz w:val="24"/>
          <w:szCs w:val="24"/>
        </w:rPr>
      </w:pPr>
    </w:p>
    <w:p w14:paraId="1483A012" w14:textId="77777777" w:rsidR="00BD5BBF" w:rsidRDefault="00BD5BBF" w:rsidP="005C4FE9">
      <w:pPr>
        <w:spacing w:before="120" w:after="120" w:line="276" w:lineRule="auto"/>
        <w:rPr>
          <w:rFonts w:ascii="Times New Roman" w:hAnsi="Times New Roman" w:cs="Times New Roman"/>
          <w:b/>
          <w:bCs/>
          <w:i/>
          <w:iCs/>
          <w:sz w:val="24"/>
          <w:szCs w:val="24"/>
        </w:rPr>
      </w:pPr>
    </w:p>
    <w:p w14:paraId="18A08F15" w14:textId="77777777" w:rsidR="00BD5BBF" w:rsidRDefault="00BD5BBF" w:rsidP="005C4FE9">
      <w:pPr>
        <w:spacing w:before="120" w:after="120" w:line="276" w:lineRule="auto"/>
        <w:rPr>
          <w:rFonts w:ascii="Times New Roman" w:hAnsi="Times New Roman" w:cs="Times New Roman"/>
          <w:b/>
          <w:bCs/>
          <w:i/>
          <w:iCs/>
          <w:sz w:val="24"/>
          <w:szCs w:val="24"/>
        </w:rPr>
      </w:pPr>
    </w:p>
    <w:p w14:paraId="5F73884F" w14:textId="77777777" w:rsidR="004E363F" w:rsidRPr="001F6026" w:rsidRDefault="004E363F" w:rsidP="005C4FE9">
      <w:pPr>
        <w:spacing w:before="120" w:after="120" w:line="276" w:lineRule="auto"/>
      </w:pPr>
    </w:p>
    <w:p w14:paraId="544544F4" w14:textId="5BF5AD8A" w:rsidR="00BF18B8" w:rsidRPr="001F6026" w:rsidRDefault="004E363F" w:rsidP="004E363F">
      <w:pPr>
        <w:spacing w:before="120" w:after="120" w:line="276" w:lineRule="auto"/>
        <w:jc w:val="both"/>
        <w:rPr>
          <w:rFonts w:ascii="Times New Roman" w:hAnsi="Times New Roman" w:cs="Times New Roman"/>
          <w:b/>
          <w:bCs/>
          <w:i/>
          <w:iCs/>
          <w:sz w:val="24"/>
          <w:szCs w:val="24"/>
        </w:rPr>
      </w:pPr>
      <w:r w:rsidRPr="001F6026">
        <w:rPr>
          <w:rFonts w:ascii="Times New Roman" w:hAnsi="Times New Roman" w:cs="Times New Roman"/>
          <w:sz w:val="24"/>
          <w:szCs w:val="24"/>
        </w:rPr>
        <w:t>Acest raport a fost realizat cu sprijinul Proiectului „Învățământul superior din Moldova”, finanțat de Banca Mondială. Responsabilitatea pentru conținutul acestuia aparține exclusiv autorilor. Opiniile și punctele de vedere exprimate nu reprezintă în mod necesar poziția oficială a Băncii Mondiale</w:t>
      </w:r>
      <w:r w:rsidRPr="001F6026">
        <w:rPr>
          <w:rFonts w:ascii="Times New Roman" w:eastAsia="Times New Roman" w:hAnsi="Times New Roman" w:cs="Times New Roman"/>
          <w:kern w:val="0"/>
          <w:sz w:val="24"/>
          <w:szCs w:val="24"/>
          <w:lang w:eastAsia="ro-MD"/>
          <w14:ligatures w14:val="none"/>
        </w:rPr>
        <w:t>.</w:t>
      </w:r>
    </w:p>
    <w:p w14:paraId="724871C4" w14:textId="77777777" w:rsidR="00FE15FB" w:rsidRPr="001F6026" w:rsidRDefault="00FE15FB" w:rsidP="005C4FE9">
      <w:pPr>
        <w:spacing w:before="120" w:after="120" w:line="276" w:lineRule="auto"/>
        <w:rPr>
          <w:rFonts w:ascii="Times New Roman" w:hAnsi="Times New Roman" w:cs="Times New Roman"/>
          <w:b/>
          <w:bCs/>
          <w:i/>
          <w:iCs/>
          <w:sz w:val="24"/>
          <w:szCs w:val="24"/>
        </w:rPr>
      </w:pPr>
    </w:p>
    <w:p w14:paraId="08E736B2" w14:textId="7C865803" w:rsidR="003419CC" w:rsidRPr="001F6026" w:rsidRDefault="003A4DAD" w:rsidP="005C4FE9">
      <w:pPr>
        <w:spacing w:before="120" w:after="120" w:line="276" w:lineRule="auto"/>
        <w:jc w:val="center"/>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lastRenderedPageBreak/>
        <w:t>CUPRINS</w:t>
      </w:r>
    </w:p>
    <w:p w14:paraId="17AB7FE7" w14:textId="0799BFFA" w:rsidR="004E363F" w:rsidRPr="001F6026" w:rsidRDefault="004E363F" w:rsidP="004E363F">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t>Lista abrevierilor</w:t>
      </w:r>
    </w:p>
    <w:p w14:paraId="46D7B9F0" w14:textId="38378772" w:rsidR="004E363F" w:rsidRPr="001F6026" w:rsidRDefault="004E363F" w:rsidP="004E363F">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t>Glosar de termeni</w:t>
      </w:r>
    </w:p>
    <w:p w14:paraId="4FC64483" w14:textId="71793E3B" w:rsidR="006F1712" w:rsidRPr="001F6026" w:rsidRDefault="00A65EA4" w:rsidP="00A41843">
      <w:pPr>
        <w:pStyle w:val="a7"/>
        <w:keepNext/>
        <w:keepLines/>
        <w:numPr>
          <w:ilvl w:val="0"/>
          <w:numId w:val="8"/>
        </w:numPr>
        <w:spacing w:after="0" w:line="240" w:lineRule="auto"/>
        <w:ind w:left="284" w:hanging="284"/>
        <w:contextualSpacing w:val="0"/>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INTRODUCERE</w:t>
      </w:r>
    </w:p>
    <w:p w14:paraId="043F3700" w14:textId="77777777" w:rsidR="006F1712" w:rsidRPr="001F6026" w:rsidRDefault="006F1712" w:rsidP="0041118E">
      <w:pPr>
        <w:numPr>
          <w:ilvl w:val="1"/>
          <w:numId w:val="1"/>
        </w:numPr>
        <w:spacing w:after="0" w:line="240" w:lineRule="auto"/>
        <w:ind w:hanging="508"/>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Scopul raportului</w:t>
      </w:r>
    </w:p>
    <w:p w14:paraId="504F7532" w14:textId="77777777" w:rsidR="00F332C0" w:rsidRDefault="00F332C0" w:rsidP="0041118E">
      <w:pPr>
        <w:numPr>
          <w:ilvl w:val="1"/>
          <w:numId w:val="1"/>
        </w:numPr>
        <w:spacing w:after="0" w:line="240" w:lineRule="auto"/>
        <w:ind w:hanging="508"/>
        <w:rPr>
          <w:rFonts w:ascii="Times New Roman" w:eastAsia="MS Mincho" w:hAnsi="Times New Roman" w:cs="Times New Roman"/>
          <w:kern w:val="0"/>
          <w:sz w:val="24"/>
          <w:szCs w:val="24"/>
          <w14:ligatures w14:val="none"/>
        </w:rPr>
      </w:pPr>
      <w:r w:rsidRPr="00F332C0">
        <w:rPr>
          <w:rFonts w:ascii="Times New Roman" w:eastAsia="MS Mincho" w:hAnsi="Times New Roman" w:cs="Times New Roman"/>
          <w:kern w:val="0"/>
          <w:sz w:val="24"/>
          <w:szCs w:val="24"/>
          <w14:ligatures w14:val="none"/>
        </w:rPr>
        <w:t>Metodologia și procesul de elaborare</w:t>
      </w:r>
      <w:r w:rsidRPr="001F6026">
        <w:rPr>
          <w:rFonts w:ascii="Times New Roman" w:eastAsia="MS Mincho" w:hAnsi="Times New Roman" w:cs="Times New Roman"/>
          <w:kern w:val="0"/>
          <w:sz w:val="24"/>
          <w:szCs w:val="24"/>
          <w14:ligatures w14:val="none"/>
        </w:rPr>
        <w:t xml:space="preserve"> </w:t>
      </w:r>
    </w:p>
    <w:p w14:paraId="553CBD3A" w14:textId="21397B6D" w:rsidR="006F1712" w:rsidRPr="001F6026" w:rsidRDefault="00BF18B8" w:rsidP="00BF18B8">
      <w:pPr>
        <w:keepNext/>
        <w:keepLines/>
        <w:spacing w:after="0" w:line="240"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2. CONTEXTUL NAȚIONAL</w:t>
      </w:r>
      <w:r w:rsidR="009950B3" w:rsidRPr="009950B3">
        <w:rPr>
          <w:rFonts w:ascii="Times New Roman" w:eastAsia="MS Gothic" w:hAnsi="Times New Roman" w:cs="Times New Roman"/>
          <w:b/>
          <w:bCs/>
          <w:color w:val="5B9BD5"/>
          <w:kern w:val="0"/>
          <w:sz w:val="24"/>
          <w:szCs w:val="24"/>
          <w14:ligatures w14:val="none"/>
        </w:rPr>
        <w:t xml:space="preserve"> </w:t>
      </w:r>
      <w:r w:rsidR="009950B3" w:rsidRPr="009950B3">
        <w:rPr>
          <w:rFonts w:ascii="Times New Roman" w:eastAsia="MS Gothic" w:hAnsi="Times New Roman" w:cs="Times New Roman"/>
          <w:b/>
          <w:bCs/>
          <w:color w:val="3494BA" w:themeColor="accent1"/>
          <w:kern w:val="0"/>
          <w:sz w:val="24"/>
          <w:szCs w:val="24"/>
          <w14:ligatures w14:val="none"/>
        </w:rPr>
        <w:t>AL SISTEMULUI EDUCAȚIONAL</w:t>
      </w:r>
    </w:p>
    <w:p w14:paraId="163441C6" w14:textId="77777777" w:rsidR="006F1712" w:rsidRPr="001F6026" w:rsidRDefault="006F1712" w:rsidP="0041118E">
      <w:pPr>
        <w:numPr>
          <w:ilvl w:val="1"/>
          <w:numId w:val="2"/>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Context general în Republica Moldova</w:t>
      </w:r>
    </w:p>
    <w:p w14:paraId="6DCC0B63" w14:textId="3CBD363A" w:rsidR="006F1712" w:rsidRPr="001F6026" w:rsidRDefault="006F1712" w:rsidP="0041118E">
      <w:pPr>
        <w:numPr>
          <w:ilvl w:val="1"/>
          <w:numId w:val="2"/>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Politici </w:t>
      </w:r>
      <w:r w:rsidR="00B30A04">
        <w:rPr>
          <w:rFonts w:ascii="Times New Roman" w:eastAsia="MS Mincho" w:hAnsi="Times New Roman" w:cs="Times New Roman"/>
          <w:kern w:val="0"/>
          <w:sz w:val="24"/>
          <w:szCs w:val="24"/>
          <w14:ligatures w14:val="none"/>
        </w:rPr>
        <w:t>în domeniul</w:t>
      </w:r>
      <w:r w:rsidRPr="001F6026">
        <w:rPr>
          <w:rFonts w:ascii="Times New Roman" w:eastAsia="MS Mincho" w:hAnsi="Times New Roman" w:cs="Times New Roman"/>
          <w:kern w:val="0"/>
          <w:sz w:val="24"/>
          <w:szCs w:val="24"/>
          <w14:ligatures w14:val="none"/>
        </w:rPr>
        <w:t xml:space="preserve"> educați</w:t>
      </w:r>
      <w:r w:rsidR="00D3475A">
        <w:rPr>
          <w:rFonts w:ascii="Times New Roman" w:eastAsia="MS Mincho" w:hAnsi="Times New Roman" w:cs="Times New Roman"/>
          <w:kern w:val="0"/>
          <w:sz w:val="24"/>
          <w:szCs w:val="24"/>
          <w14:ligatures w14:val="none"/>
        </w:rPr>
        <w:t>ei</w:t>
      </w:r>
      <w:r w:rsidRPr="001F6026">
        <w:rPr>
          <w:rFonts w:ascii="Times New Roman" w:eastAsia="MS Mincho" w:hAnsi="Times New Roman" w:cs="Times New Roman"/>
          <w:kern w:val="0"/>
          <w:sz w:val="24"/>
          <w:szCs w:val="24"/>
          <w14:ligatures w14:val="none"/>
        </w:rPr>
        <w:t>, form</w:t>
      </w:r>
      <w:r w:rsidR="00D3475A">
        <w:rPr>
          <w:rFonts w:ascii="Times New Roman" w:eastAsia="MS Mincho" w:hAnsi="Times New Roman" w:cs="Times New Roman"/>
          <w:kern w:val="0"/>
          <w:sz w:val="24"/>
          <w:szCs w:val="24"/>
          <w14:ligatures w14:val="none"/>
        </w:rPr>
        <w:t>ării</w:t>
      </w:r>
      <w:r w:rsidRPr="001F6026">
        <w:rPr>
          <w:rFonts w:ascii="Times New Roman" w:eastAsia="MS Mincho" w:hAnsi="Times New Roman" w:cs="Times New Roman"/>
          <w:kern w:val="0"/>
          <w:sz w:val="24"/>
          <w:szCs w:val="24"/>
          <w14:ligatures w14:val="none"/>
        </w:rPr>
        <w:t xml:space="preserve"> și ocup</w:t>
      </w:r>
      <w:r w:rsidR="00D3475A">
        <w:rPr>
          <w:rFonts w:ascii="Times New Roman" w:eastAsia="MS Mincho" w:hAnsi="Times New Roman" w:cs="Times New Roman"/>
          <w:kern w:val="0"/>
          <w:sz w:val="24"/>
          <w:szCs w:val="24"/>
          <w14:ligatures w14:val="none"/>
        </w:rPr>
        <w:t>ării</w:t>
      </w:r>
      <w:r w:rsidRPr="001F6026">
        <w:rPr>
          <w:rFonts w:ascii="Times New Roman" w:eastAsia="MS Mincho" w:hAnsi="Times New Roman" w:cs="Times New Roman"/>
          <w:kern w:val="0"/>
          <w:sz w:val="24"/>
          <w:szCs w:val="24"/>
          <w14:ligatures w14:val="none"/>
        </w:rPr>
        <w:t xml:space="preserve"> forței de muncă</w:t>
      </w:r>
    </w:p>
    <w:p w14:paraId="47DDD996" w14:textId="0E2CB8FC" w:rsidR="006F1712" w:rsidRPr="001F6026" w:rsidRDefault="00201FEE" w:rsidP="0041118E">
      <w:pPr>
        <w:numPr>
          <w:ilvl w:val="1"/>
          <w:numId w:val="2"/>
        </w:numPr>
        <w:spacing w:after="0" w:line="240" w:lineRule="auto"/>
        <w:ind w:hanging="436"/>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Guvernanța sistemului educațional</w:t>
      </w:r>
    </w:p>
    <w:p w14:paraId="55B6D1ED" w14:textId="5A256F29" w:rsidR="006F1712" w:rsidRPr="001F6026" w:rsidRDefault="00BF18B8" w:rsidP="00BF18B8">
      <w:pPr>
        <w:keepNext/>
        <w:keepLines/>
        <w:spacing w:after="0" w:line="240"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3. STRUCTURA SISTEMULUI DE EDUCAȚIE ȘI FORMARE PROFESIONALĂ</w:t>
      </w:r>
    </w:p>
    <w:p w14:paraId="61A04D2F" w14:textId="77777777" w:rsidR="006F1712" w:rsidRPr="001F6026" w:rsidRDefault="006F1712" w:rsidP="0041118E">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Prezentarea generală a sistemului național</w:t>
      </w:r>
    </w:p>
    <w:p w14:paraId="5F9B985E" w14:textId="29ADC482" w:rsidR="006F1712" w:rsidRPr="001F6026" w:rsidRDefault="001275A9" w:rsidP="0041118E">
      <w:pPr>
        <w:numPr>
          <w:ilvl w:val="2"/>
          <w:numId w:val="3"/>
        </w:numPr>
        <w:spacing w:after="0" w:line="240" w:lineRule="auto"/>
        <w:ind w:left="1134" w:hanging="567"/>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I</w:t>
      </w:r>
      <w:r w:rsidR="006F1712" w:rsidRPr="001F6026">
        <w:rPr>
          <w:rFonts w:ascii="Times New Roman" w:eastAsia="MS Mincho" w:hAnsi="Times New Roman" w:cs="Times New Roman"/>
          <w:kern w:val="0"/>
          <w:sz w:val="24"/>
          <w:szCs w:val="24"/>
          <w14:ligatures w14:val="none"/>
        </w:rPr>
        <w:t xml:space="preserve">magine de ansamblu a sistemului de educație și formare profesională </w:t>
      </w:r>
    </w:p>
    <w:p w14:paraId="6F3149B4" w14:textId="05A27F76" w:rsidR="006F1712" w:rsidRPr="001F6026" w:rsidRDefault="001F7A40" w:rsidP="0041118E">
      <w:pPr>
        <w:numPr>
          <w:ilvl w:val="2"/>
          <w:numId w:val="3"/>
        </w:numPr>
        <w:spacing w:after="0" w:line="240" w:lineRule="auto"/>
        <w:ind w:left="1134" w:hanging="567"/>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Structura</w:t>
      </w:r>
      <w:r w:rsidR="006F1712" w:rsidRPr="001F6026">
        <w:rPr>
          <w:rFonts w:ascii="Times New Roman" w:eastAsia="MS Mincho" w:hAnsi="Times New Roman" w:cs="Times New Roman"/>
          <w:kern w:val="0"/>
          <w:sz w:val="24"/>
          <w:szCs w:val="24"/>
          <w14:ligatures w14:val="none"/>
        </w:rPr>
        <w:t xml:space="preserve"> sistemului educațional </w:t>
      </w:r>
    </w:p>
    <w:p w14:paraId="0C7BDE52" w14:textId="77777777" w:rsidR="006F1712" w:rsidRPr="001F6026" w:rsidRDefault="006F1712" w:rsidP="0041118E">
      <w:pPr>
        <w:numPr>
          <w:ilvl w:val="1"/>
          <w:numId w:val="3"/>
        </w:numPr>
        <w:spacing w:after="0" w:line="240" w:lineRule="auto"/>
        <w:ind w:hanging="436"/>
        <w:rPr>
          <w:rFonts w:ascii="Times New Roman" w:eastAsia="MS Mincho" w:hAnsi="Times New Roman" w:cs="Times New Roman"/>
          <w:kern w:val="0"/>
          <w:sz w:val="24"/>
          <w:szCs w:val="24"/>
          <w14:ligatures w14:val="none"/>
        </w:rPr>
      </w:pPr>
      <w:bookmarkStart w:id="2" w:name="_Hlk205923111"/>
      <w:r w:rsidRPr="001F6026">
        <w:rPr>
          <w:rFonts w:ascii="Times New Roman" w:eastAsia="MS Mincho" w:hAnsi="Times New Roman" w:cs="Times New Roman"/>
          <w:kern w:val="0"/>
          <w:sz w:val="24"/>
          <w:szCs w:val="24"/>
          <w14:ligatures w14:val="none"/>
        </w:rPr>
        <w:t>Învățământul general</w:t>
      </w:r>
    </w:p>
    <w:bookmarkEnd w:id="2"/>
    <w:p w14:paraId="070CA6CA" w14:textId="77777777" w:rsidR="006F1712" w:rsidRPr="001F6026" w:rsidRDefault="006F1712" w:rsidP="0041118E">
      <w:pPr>
        <w:numPr>
          <w:ilvl w:val="2"/>
          <w:numId w:val="3"/>
        </w:numPr>
        <w:spacing w:after="0" w:line="240" w:lineRule="auto"/>
        <w:ind w:left="1134"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Educația timpurie</w:t>
      </w:r>
    </w:p>
    <w:p w14:paraId="195D7F8F" w14:textId="77777777" w:rsidR="006F1712" w:rsidRPr="001F6026" w:rsidRDefault="006F1712" w:rsidP="0041118E">
      <w:pPr>
        <w:numPr>
          <w:ilvl w:val="2"/>
          <w:numId w:val="3"/>
        </w:numPr>
        <w:spacing w:after="0" w:line="240" w:lineRule="auto"/>
        <w:ind w:left="1134"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Învățământul primar </w:t>
      </w:r>
    </w:p>
    <w:p w14:paraId="7E7102AF" w14:textId="77777777" w:rsidR="006F1712" w:rsidRPr="001F6026" w:rsidRDefault="006F1712" w:rsidP="0041118E">
      <w:pPr>
        <w:numPr>
          <w:ilvl w:val="2"/>
          <w:numId w:val="3"/>
        </w:numPr>
        <w:spacing w:after="0" w:line="240" w:lineRule="auto"/>
        <w:ind w:left="1134"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Învățământul gimnazial </w:t>
      </w:r>
    </w:p>
    <w:p w14:paraId="74436856" w14:textId="77777777" w:rsidR="006F1712" w:rsidRPr="001F6026" w:rsidRDefault="006F1712" w:rsidP="0041118E">
      <w:pPr>
        <w:numPr>
          <w:ilvl w:val="2"/>
          <w:numId w:val="3"/>
        </w:numPr>
        <w:spacing w:after="0" w:line="240" w:lineRule="auto"/>
        <w:ind w:left="1134"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Învățământul liceal</w:t>
      </w:r>
    </w:p>
    <w:p w14:paraId="5E1BD939" w14:textId="77777777" w:rsidR="009E3BDC" w:rsidRDefault="006F1712" w:rsidP="005C5118">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Educația incluzivă</w:t>
      </w:r>
    </w:p>
    <w:p w14:paraId="6567AC0C" w14:textId="16E158E4" w:rsidR="006F1712" w:rsidRPr="009E3BDC" w:rsidRDefault="006F1712" w:rsidP="005C5118">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9E3BDC">
        <w:rPr>
          <w:rFonts w:ascii="Times New Roman" w:eastAsia="MS Mincho" w:hAnsi="Times New Roman" w:cs="Times New Roman"/>
          <w:kern w:val="0"/>
          <w:sz w:val="24"/>
          <w:szCs w:val="24"/>
          <w14:ligatures w14:val="none"/>
        </w:rPr>
        <w:t>Înv</w:t>
      </w:r>
      <w:r w:rsidRPr="009E3BDC">
        <w:rPr>
          <w:rFonts w:ascii="Times New Roman" w:eastAsia="Times New Roman" w:hAnsi="Times New Roman" w:cs="Times New Roman"/>
          <w:kern w:val="0"/>
          <w:sz w:val="24"/>
          <w:szCs w:val="24"/>
          <w:lang w:eastAsia="ro-MD"/>
          <w14:ligatures w14:val="none"/>
        </w:rPr>
        <w:t>ățământul special</w:t>
      </w:r>
    </w:p>
    <w:p w14:paraId="55402917" w14:textId="77777777" w:rsidR="006F1712" w:rsidRPr="001F6026" w:rsidRDefault="006F1712" w:rsidP="005C5118">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Învățământ extrașcolar</w:t>
      </w:r>
    </w:p>
    <w:p w14:paraId="5E9B9140" w14:textId="77777777" w:rsidR="006F1712" w:rsidRPr="001F6026" w:rsidRDefault="006F1712" w:rsidP="004D73A9">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Învățământul profesional tehnic</w:t>
      </w:r>
    </w:p>
    <w:p w14:paraId="0E23B779" w14:textId="77777777" w:rsidR="006F1712" w:rsidRDefault="006F1712" w:rsidP="004D73A9">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Învățământul superior</w:t>
      </w:r>
    </w:p>
    <w:p w14:paraId="35B189C7" w14:textId="77777777" w:rsidR="0069093A" w:rsidRPr="0069093A" w:rsidRDefault="0069093A" w:rsidP="004D73A9">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69093A">
        <w:rPr>
          <w:rFonts w:ascii="Times New Roman" w:eastAsia="MS Mincho" w:hAnsi="Times New Roman" w:cs="Times New Roman"/>
          <w:kern w:val="0"/>
          <w:sz w:val="24"/>
          <w:szCs w:val="24"/>
          <w14:ligatures w14:val="none"/>
        </w:rPr>
        <w:t>Învățământ artistic</w:t>
      </w:r>
    </w:p>
    <w:p w14:paraId="17808D22" w14:textId="7241221F" w:rsidR="0069093A" w:rsidRPr="0069093A" w:rsidRDefault="0069093A" w:rsidP="004D73A9">
      <w:pPr>
        <w:numPr>
          <w:ilvl w:val="1"/>
          <w:numId w:val="3"/>
        </w:numPr>
        <w:spacing w:after="0" w:line="240" w:lineRule="auto"/>
        <w:ind w:hanging="436"/>
        <w:rPr>
          <w:rFonts w:ascii="Times New Roman" w:eastAsia="MS Mincho" w:hAnsi="Times New Roman" w:cs="Times New Roman"/>
          <w:kern w:val="0"/>
          <w:sz w:val="24"/>
          <w:szCs w:val="24"/>
          <w14:ligatures w14:val="none"/>
        </w:rPr>
      </w:pPr>
      <w:r w:rsidRPr="0069093A">
        <w:rPr>
          <w:rFonts w:ascii="Times New Roman" w:eastAsia="MS Mincho" w:hAnsi="Times New Roman" w:cs="Times New Roman"/>
          <w:kern w:val="0"/>
          <w:sz w:val="24"/>
          <w:szCs w:val="24"/>
          <w14:ligatures w14:val="none"/>
        </w:rPr>
        <w:t>Învățământul sportiv, teologic, militar</w:t>
      </w:r>
    </w:p>
    <w:p w14:paraId="4C121FA5" w14:textId="0B333659" w:rsidR="006F1712" w:rsidRPr="001F6026" w:rsidRDefault="006F1712" w:rsidP="005C5118">
      <w:pPr>
        <w:numPr>
          <w:ilvl w:val="1"/>
          <w:numId w:val="3"/>
        </w:numPr>
        <w:spacing w:after="0" w:line="240" w:lineRule="auto"/>
        <w:ind w:left="851"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Învățarea pe tot parcursul vieții </w:t>
      </w:r>
    </w:p>
    <w:p w14:paraId="6E54EBE8" w14:textId="77777777" w:rsidR="006F1712" w:rsidRPr="001F6026" w:rsidRDefault="006F1712" w:rsidP="0041118E">
      <w:pPr>
        <w:numPr>
          <w:ilvl w:val="2"/>
          <w:numId w:val="3"/>
        </w:numPr>
        <w:spacing w:after="0" w:line="240" w:lineRule="auto"/>
        <w:ind w:left="1276"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Cadrul general al învățării pe tot parcursul vieții</w:t>
      </w:r>
    </w:p>
    <w:p w14:paraId="4AEB23DC" w14:textId="598B7F77" w:rsidR="006F1712" w:rsidRPr="001F6026" w:rsidRDefault="006F1712" w:rsidP="0041118E">
      <w:pPr>
        <w:numPr>
          <w:ilvl w:val="2"/>
          <w:numId w:val="3"/>
        </w:numPr>
        <w:spacing w:after="0" w:line="240" w:lineRule="auto"/>
        <w:ind w:left="1276"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Organizarea </w:t>
      </w:r>
      <w:r w:rsidR="006B34D6" w:rsidRPr="006B34D6">
        <w:rPr>
          <w:rFonts w:ascii="Times New Roman" w:eastAsia="MS Mincho" w:hAnsi="Times New Roman" w:cs="Times New Roman"/>
          <w:kern w:val="0"/>
          <w:sz w:val="24"/>
          <w:szCs w:val="24"/>
          <w14:ligatures w14:val="none"/>
        </w:rPr>
        <w:t>formării continue a</w:t>
      </w:r>
      <w:r w:rsidRPr="001F6026">
        <w:rPr>
          <w:rFonts w:ascii="Times New Roman" w:eastAsia="MS Mincho" w:hAnsi="Times New Roman" w:cs="Times New Roman"/>
          <w:kern w:val="0"/>
          <w:sz w:val="24"/>
          <w:szCs w:val="24"/>
          <w14:ligatures w14:val="none"/>
        </w:rPr>
        <w:t xml:space="preserve"> adulților</w:t>
      </w:r>
    </w:p>
    <w:p w14:paraId="39CB7D13" w14:textId="77777777" w:rsidR="006F1712" w:rsidRPr="001F6026" w:rsidRDefault="006F1712" w:rsidP="0041118E">
      <w:pPr>
        <w:numPr>
          <w:ilvl w:val="2"/>
          <w:numId w:val="3"/>
        </w:numPr>
        <w:spacing w:after="0" w:line="240" w:lineRule="auto"/>
        <w:ind w:left="1276"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Microcalificări (calificări parțiale)</w:t>
      </w:r>
    </w:p>
    <w:p w14:paraId="4E8A06B0" w14:textId="103D7B48" w:rsidR="006F1712" w:rsidRPr="001F6026" w:rsidRDefault="003F34FE" w:rsidP="00BF18B8">
      <w:pPr>
        <w:keepNext/>
        <w:keepLines/>
        <w:spacing w:after="0" w:line="240"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4. CADRUL NAȚIONAL AL CALIFICĂRILOR (CNC)</w:t>
      </w:r>
    </w:p>
    <w:p w14:paraId="202F5E0A" w14:textId="77777777" w:rsidR="006F1712" w:rsidRPr="001F6026" w:rsidRDefault="006F1712"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Istoria dezvoltării CNC</w:t>
      </w:r>
    </w:p>
    <w:p w14:paraId="54375FC7" w14:textId="3D709375" w:rsidR="006F1712" w:rsidRPr="001F6026" w:rsidRDefault="009C3FFF"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 xml:space="preserve">Carul normativ </w:t>
      </w:r>
      <w:r w:rsidR="006F1712" w:rsidRPr="001F6026">
        <w:rPr>
          <w:rFonts w:ascii="Times New Roman" w:eastAsia="MS Mincho" w:hAnsi="Times New Roman" w:cs="Times New Roman"/>
          <w:kern w:val="0"/>
          <w:sz w:val="24"/>
          <w:szCs w:val="24"/>
          <w14:ligatures w14:val="none"/>
        </w:rPr>
        <w:t>și instituțional</w:t>
      </w:r>
      <w:r w:rsidR="001F2420">
        <w:rPr>
          <w:rFonts w:ascii="Times New Roman" w:eastAsia="MS Mincho" w:hAnsi="Times New Roman" w:cs="Times New Roman"/>
          <w:kern w:val="0"/>
          <w:sz w:val="24"/>
          <w:szCs w:val="24"/>
          <w14:ligatures w14:val="none"/>
        </w:rPr>
        <w:t xml:space="preserve">/ </w:t>
      </w:r>
      <w:r w:rsidR="001F2420" w:rsidRPr="00B81475">
        <w:rPr>
          <w:rFonts w:ascii="Times New Roman" w:eastAsia="MS Mincho" w:hAnsi="Times New Roman" w:cs="Times New Roman"/>
          <w:kern w:val="0"/>
          <w:sz w:val="24"/>
          <w:szCs w:val="24"/>
          <w14:ligatures w14:val="none"/>
        </w:rPr>
        <w:t>Dezvoltarea și operaționalizarea CNC</w:t>
      </w:r>
    </w:p>
    <w:p w14:paraId="6B622D55" w14:textId="236D916C" w:rsidR="006F1712" w:rsidRPr="001F6026" w:rsidRDefault="006F1712"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Obiectivele și funcțiile CNC</w:t>
      </w:r>
    </w:p>
    <w:p w14:paraId="30720021" w14:textId="5927FA7E" w:rsidR="006F1712" w:rsidRPr="001F6026" w:rsidRDefault="006F1712"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Structura</w:t>
      </w:r>
      <w:r w:rsidR="00743FA4">
        <w:rPr>
          <w:rFonts w:ascii="Times New Roman" w:eastAsia="MS Mincho" w:hAnsi="Times New Roman" w:cs="Times New Roman"/>
          <w:kern w:val="0"/>
          <w:sz w:val="24"/>
          <w:szCs w:val="24"/>
          <w14:ligatures w14:val="none"/>
        </w:rPr>
        <w:t xml:space="preserve"> CNC</w:t>
      </w:r>
      <w:r w:rsidR="001513A5">
        <w:rPr>
          <w:rFonts w:ascii="Times New Roman" w:eastAsia="MS Mincho" w:hAnsi="Times New Roman" w:cs="Times New Roman"/>
          <w:kern w:val="0"/>
          <w:sz w:val="24"/>
          <w:szCs w:val="24"/>
          <w14:ligatures w14:val="none"/>
        </w:rPr>
        <w:t xml:space="preserve">: </w:t>
      </w:r>
      <w:r w:rsidRPr="001F6026">
        <w:rPr>
          <w:rFonts w:ascii="Times New Roman" w:eastAsia="MS Mincho" w:hAnsi="Times New Roman" w:cs="Times New Roman"/>
          <w:kern w:val="0"/>
          <w:sz w:val="24"/>
          <w:szCs w:val="24"/>
          <w14:ligatures w14:val="none"/>
        </w:rPr>
        <w:t>niveluri</w:t>
      </w:r>
      <w:r w:rsidR="001513A5">
        <w:rPr>
          <w:rFonts w:ascii="Times New Roman" w:eastAsia="MS Mincho" w:hAnsi="Times New Roman" w:cs="Times New Roman"/>
          <w:kern w:val="0"/>
          <w:sz w:val="24"/>
          <w:szCs w:val="24"/>
          <w14:ligatures w14:val="none"/>
        </w:rPr>
        <w:t>le</w:t>
      </w:r>
      <w:r w:rsidRPr="001F6026">
        <w:rPr>
          <w:rFonts w:ascii="Times New Roman" w:eastAsia="MS Mincho" w:hAnsi="Times New Roman" w:cs="Times New Roman"/>
          <w:kern w:val="0"/>
          <w:sz w:val="24"/>
          <w:szCs w:val="24"/>
          <w14:ligatures w14:val="none"/>
        </w:rPr>
        <w:t>, rezultatele învățării și descriptori</w:t>
      </w:r>
      <w:r w:rsidR="00FC5500">
        <w:rPr>
          <w:rFonts w:ascii="Times New Roman" w:eastAsia="MS Mincho" w:hAnsi="Times New Roman" w:cs="Times New Roman"/>
          <w:kern w:val="0"/>
          <w:sz w:val="24"/>
          <w:szCs w:val="24"/>
          <w14:ligatures w14:val="none"/>
        </w:rPr>
        <w:t>i de nivel</w:t>
      </w:r>
    </w:p>
    <w:p w14:paraId="207BBB58" w14:textId="77777777" w:rsidR="006F1712" w:rsidRPr="001F6026" w:rsidRDefault="006F1712"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Tipuri de calificări în CNC </w:t>
      </w:r>
    </w:p>
    <w:p w14:paraId="45CEF224" w14:textId="77777777" w:rsidR="006F1712" w:rsidRPr="001F6026" w:rsidRDefault="006F1712"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bookmarkStart w:id="3" w:name="_Hlk208206522"/>
      <w:r w:rsidRPr="001F6026">
        <w:rPr>
          <w:rFonts w:ascii="Times New Roman" w:eastAsia="MS Mincho" w:hAnsi="Times New Roman" w:cs="Times New Roman"/>
          <w:kern w:val="0"/>
          <w:sz w:val="24"/>
          <w:szCs w:val="24"/>
          <w14:ligatures w14:val="none"/>
        </w:rPr>
        <w:t>Promovarea incluziunii sociale în CNC</w:t>
      </w:r>
    </w:p>
    <w:p w14:paraId="2F2C1A62" w14:textId="77777777" w:rsidR="006F1712" w:rsidRDefault="006F1712"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Evaluarea în vederea atribuirii calificării </w:t>
      </w:r>
    </w:p>
    <w:p w14:paraId="383D533F" w14:textId="77777777" w:rsidR="00D41F6E" w:rsidRDefault="003D5AB5" w:rsidP="003D5AB5">
      <w:pPr>
        <w:numPr>
          <w:ilvl w:val="1"/>
          <w:numId w:val="4"/>
        </w:numPr>
        <w:spacing w:after="0" w:line="240" w:lineRule="auto"/>
        <w:ind w:hanging="436"/>
        <w:rPr>
          <w:rFonts w:ascii="Times New Roman" w:eastAsia="MS Mincho" w:hAnsi="Times New Roman" w:cs="Times New Roman"/>
          <w:kern w:val="0"/>
          <w:sz w:val="24"/>
          <w:szCs w:val="24"/>
          <w14:ligatures w14:val="none"/>
        </w:rPr>
      </w:pPr>
      <w:r w:rsidRPr="003D5AB5">
        <w:rPr>
          <w:rFonts w:ascii="Times New Roman" w:eastAsia="MS Mincho" w:hAnsi="Times New Roman" w:cs="Times New Roman"/>
          <w:kern w:val="0"/>
          <w:sz w:val="24"/>
          <w:szCs w:val="24"/>
          <w14:ligatures w14:val="none"/>
        </w:rPr>
        <w:t>Atribuirea nivelului calificărilor și înscrierea în Registrul Național al CNC</w:t>
      </w:r>
    </w:p>
    <w:p w14:paraId="379816DB" w14:textId="77777777" w:rsidR="009704DA" w:rsidRDefault="009704DA" w:rsidP="009704DA">
      <w:pPr>
        <w:numPr>
          <w:ilvl w:val="2"/>
          <w:numId w:val="4"/>
        </w:numPr>
        <w:spacing w:after="0" w:line="240" w:lineRule="auto"/>
        <w:ind w:left="1276"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Registrul Național al calificărilor (RNC)</w:t>
      </w:r>
    </w:p>
    <w:p w14:paraId="7549875D" w14:textId="024281D1" w:rsidR="00936228" w:rsidRDefault="00936228" w:rsidP="00BB5499">
      <w:pPr>
        <w:numPr>
          <w:ilvl w:val="2"/>
          <w:numId w:val="4"/>
        </w:numPr>
        <w:spacing w:after="0" w:line="240" w:lineRule="auto"/>
        <w:ind w:left="1276" w:hanging="567"/>
        <w:rPr>
          <w:rFonts w:ascii="Times New Roman" w:eastAsia="MS Mincho" w:hAnsi="Times New Roman" w:cs="Times New Roman"/>
          <w:kern w:val="0"/>
          <w:sz w:val="24"/>
          <w:szCs w:val="24"/>
          <w14:ligatures w14:val="none"/>
        </w:rPr>
      </w:pPr>
      <w:r w:rsidRPr="00936228">
        <w:rPr>
          <w:rFonts w:ascii="Times New Roman" w:eastAsia="MS Mincho" w:hAnsi="Times New Roman" w:cs="Times New Roman"/>
          <w:kern w:val="0"/>
          <w:sz w:val="24"/>
          <w:szCs w:val="24"/>
          <w14:ligatures w14:val="none"/>
        </w:rPr>
        <w:t>Procedura atribuirii nivelului calificării</w:t>
      </w:r>
    </w:p>
    <w:p w14:paraId="5562C735" w14:textId="673A7674" w:rsidR="003D5AB5" w:rsidRPr="00BB5499" w:rsidRDefault="00BB5499" w:rsidP="00BB5499">
      <w:pPr>
        <w:numPr>
          <w:ilvl w:val="2"/>
          <w:numId w:val="4"/>
        </w:numPr>
        <w:spacing w:after="0" w:line="240" w:lineRule="auto"/>
        <w:ind w:left="1276" w:hanging="567"/>
        <w:rPr>
          <w:rFonts w:ascii="Times New Roman" w:eastAsia="MS Mincho" w:hAnsi="Times New Roman" w:cs="Times New Roman"/>
          <w:kern w:val="0"/>
          <w:sz w:val="24"/>
          <w:szCs w:val="24"/>
          <w14:ligatures w14:val="none"/>
        </w:rPr>
      </w:pPr>
      <w:r w:rsidRPr="00BB5499">
        <w:rPr>
          <w:rFonts w:ascii="Times New Roman" w:eastAsia="MS Mincho" w:hAnsi="Times New Roman" w:cs="Times New Roman"/>
          <w:kern w:val="0"/>
          <w:sz w:val="24"/>
          <w:szCs w:val="24"/>
          <w14:ligatures w14:val="none"/>
        </w:rPr>
        <w:t>Digitizarea actelor de studii și sistemul național informațional (SIME)</w:t>
      </w:r>
    </w:p>
    <w:p w14:paraId="36B07087" w14:textId="55934B76" w:rsidR="003D5AB5" w:rsidRPr="001F6026" w:rsidRDefault="009307EC" w:rsidP="0041118E">
      <w:pPr>
        <w:numPr>
          <w:ilvl w:val="1"/>
          <w:numId w:val="4"/>
        </w:numPr>
        <w:spacing w:after="0" w:line="240" w:lineRule="auto"/>
        <w:ind w:hanging="436"/>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Mecanisme de asigurare a calității</w:t>
      </w:r>
      <w:r w:rsidR="000C13A2">
        <w:rPr>
          <w:rFonts w:ascii="Times New Roman" w:eastAsia="MS Mincho" w:hAnsi="Times New Roman" w:cs="Times New Roman"/>
          <w:kern w:val="0"/>
          <w:sz w:val="24"/>
          <w:szCs w:val="24"/>
          <w14:ligatures w14:val="none"/>
        </w:rPr>
        <w:t xml:space="preserve"> calificărilor</w:t>
      </w:r>
    </w:p>
    <w:p w14:paraId="49FCEA22" w14:textId="77777777" w:rsidR="006F1712" w:rsidRPr="001F6026" w:rsidRDefault="006F1712" w:rsidP="009E1677">
      <w:pPr>
        <w:numPr>
          <w:ilvl w:val="1"/>
          <w:numId w:val="4"/>
        </w:numPr>
        <w:spacing w:after="0" w:line="240" w:lineRule="auto"/>
        <w:ind w:left="851"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Validarea și recunoașterea calificărilor</w:t>
      </w:r>
    </w:p>
    <w:p w14:paraId="06AEED9A" w14:textId="77777777" w:rsidR="006F1712" w:rsidRPr="001F6026" w:rsidRDefault="006F1712" w:rsidP="0041118E">
      <w:pPr>
        <w:numPr>
          <w:ilvl w:val="2"/>
          <w:numId w:val="4"/>
        </w:numPr>
        <w:spacing w:after="0" w:line="240" w:lineRule="auto"/>
        <w:ind w:left="1276" w:hanging="567"/>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Recunoașterea calificărilor obținute în străinătate. Mobilitate academică și profesională </w:t>
      </w:r>
    </w:p>
    <w:p w14:paraId="7FDDD8DA" w14:textId="77777777" w:rsidR="006F1712" w:rsidRPr="00B81475" w:rsidRDefault="006F1712" w:rsidP="0041118E">
      <w:pPr>
        <w:numPr>
          <w:ilvl w:val="2"/>
          <w:numId w:val="4"/>
        </w:numPr>
        <w:spacing w:after="0" w:line="240" w:lineRule="auto"/>
        <w:ind w:left="1276" w:hanging="567"/>
        <w:rPr>
          <w:rFonts w:ascii="Times New Roman" w:eastAsia="MS Mincho" w:hAnsi="Times New Roman" w:cs="Times New Roman"/>
          <w:kern w:val="0"/>
          <w:sz w:val="24"/>
          <w:szCs w:val="24"/>
          <w14:ligatures w14:val="none"/>
        </w:rPr>
      </w:pPr>
      <w:r w:rsidRPr="00B81475">
        <w:rPr>
          <w:rFonts w:ascii="Times New Roman" w:eastAsia="MS Mincho" w:hAnsi="Times New Roman" w:cs="Times New Roman"/>
          <w:kern w:val="0"/>
          <w:sz w:val="24"/>
          <w:szCs w:val="24"/>
          <w14:ligatures w14:val="none"/>
        </w:rPr>
        <w:t xml:space="preserve">Recunoașterea învățării anterioare </w:t>
      </w:r>
    </w:p>
    <w:p w14:paraId="7CD50DF7" w14:textId="77777777" w:rsidR="006F1712" w:rsidRPr="00B81475" w:rsidRDefault="006F1712" w:rsidP="0041118E">
      <w:pPr>
        <w:numPr>
          <w:ilvl w:val="2"/>
          <w:numId w:val="4"/>
        </w:numPr>
        <w:spacing w:after="0" w:line="240" w:lineRule="auto"/>
        <w:ind w:left="1276" w:hanging="567"/>
        <w:rPr>
          <w:rFonts w:ascii="Times New Roman" w:eastAsia="MS Mincho" w:hAnsi="Times New Roman" w:cs="Times New Roman"/>
          <w:kern w:val="0"/>
          <w:sz w:val="24"/>
          <w:szCs w:val="24"/>
          <w14:ligatures w14:val="none"/>
        </w:rPr>
      </w:pPr>
      <w:r w:rsidRPr="00B81475">
        <w:rPr>
          <w:rFonts w:ascii="Times New Roman" w:eastAsia="MS Mincho" w:hAnsi="Times New Roman" w:cs="Times New Roman"/>
          <w:kern w:val="0"/>
          <w:sz w:val="24"/>
          <w:szCs w:val="24"/>
          <w14:ligatures w14:val="none"/>
        </w:rPr>
        <w:t xml:space="preserve">Validarea învățării non-formale și informale </w:t>
      </w:r>
    </w:p>
    <w:bookmarkEnd w:id="3"/>
    <w:p w14:paraId="1485B6CB" w14:textId="0803D8D0" w:rsidR="006F1712" w:rsidRPr="00B81475" w:rsidRDefault="00BD6DB4" w:rsidP="00B804B0">
      <w:pPr>
        <w:numPr>
          <w:ilvl w:val="1"/>
          <w:numId w:val="4"/>
        </w:numPr>
        <w:spacing w:after="0" w:line="240" w:lineRule="auto"/>
        <w:ind w:left="851" w:hanging="567"/>
        <w:rPr>
          <w:rFonts w:ascii="Times New Roman" w:eastAsia="MS Mincho" w:hAnsi="Times New Roman" w:cs="Times New Roman"/>
          <w:kern w:val="0"/>
          <w:sz w:val="24"/>
          <w:szCs w:val="24"/>
          <w14:ligatures w14:val="none"/>
        </w:rPr>
      </w:pPr>
      <w:r w:rsidRPr="00BD6DB4">
        <w:rPr>
          <w:rFonts w:ascii="Times New Roman" w:eastAsia="MS Mincho" w:hAnsi="Times New Roman" w:cs="Times New Roman"/>
          <w:kern w:val="0"/>
          <w:sz w:val="24"/>
          <w:szCs w:val="24"/>
          <w14:ligatures w14:val="none"/>
        </w:rPr>
        <w:t>R</w:t>
      </w:r>
      <w:r w:rsidR="006F1712" w:rsidRPr="00BD6DB4">
        <w:rPr>
          <w:rFonts w:ascii="Times New Roman" w:eastAsia="MS Mincho" w:hAnsi="Times New Roman" w:cs="Times New Roman"/>
          <w:kern w:val="0"/>
          <w:sz w:val="24"/>
          <w:szCs w:val="24"/>
          <w14:ligatures w14:val="none"/>
        </w:rPr>
        <w:t>e</w:t>
      </w:r>
      <w:r w:rsidR="006F1712" w:rsidRPr="00B81475">
        <w:rPr>
          <w:rFonts w:ascii="Times New Roman" w:eastAsia="MS Mincho" w:hAnsi="Times New Roman" w:cs="Times New Roman"/>
          <w:kern w:val="0"/>
          <w:sz w:val="24"/>
          <w:szCs w:val="24"/>
          <w14:ligatures w14:val="none"/>
        </w:rPr>
        <w:t>cunoaștere</w:t>
      </w:r>
      <w:r>
        <w:rPr>
          <w:rFonts w:ascii="Times New Roman" w:eastAsia="MS Mincho" w:hAnsi="Times New Roman" w:cs="Times New Roman"/>
          <w:kern w:val="0"/>
          <w:sz w:val="24"/>
          <w:szCs w:val="24"/>
          <w14:ligatures w14:val="none"/>
        </w:rPr>
        <w:t>a</w:t>
      </w:r>
      <w:r w:rsidR="006F1712" w:rsidRPr="00B81475">
        <w:rPr>
          <w:rFonts w:ascii="Times New Roman" w:eastAsia="MS Mincho" w:hAnsi="Times New Roman" w:cs="Times New Roman"/>
          <w:kern w:val="0"/>
          <w:sz w:val="24"/>
          <w:szCs w:val="24"/>
          <w14:ligatures w14:val="none"/>
        </w:rPr>
        <w:t xml:space="preserve"> automată în contextul integrării CNC în spațiul european al calificărilor</w:t>
      </w:r>
    </w:p>
    <w:p w14:paraId="6A004533" w14:textId="77777777" w:rsidR="00F16858" w:rsidRPr="00B81475" w:rsidRDefault="00F16858" w:rsidP="00F16858">
      <w:pPr>
        <w:numPr>
          <w:ilvl w:val="1"/>
          <w:numId w:val="4"/>
        </w:numPr>
        <w:spacing w:after="0" w:line="240" w:lineRule="auto"/>
        <w:ind w:left="851" w:hanging="567"/>
        <w:rPr>
          <w:rFonts w:ascii="Times New Roman" w:eastAsia="MS Mincho" w:hAnsi="Times New Roman" w:cs="Times New Roman"/>
          <w:kern w:val="0"/>
          <w:sz w:val="24"/>
          <w:szCs w:val="24"/>
          <w14:ligatures w14:val="none"/>
        </w:rPr>
      </w:pPr>
      <w:r w:rsidRPr="00B81475">
        <w:rPr>
          <w:rFonts w:ascii="Times New Roman" w:eastAsia="MS Mincho" w:hAnsi="Times New Roman" w:cs="Times New Roman"/>
          <w:kern w:val="0"/>
          <w:sz w:val="24"/>
          <w:szCs w:val="24"/>
          <w14:ligatures w14:val="none"/>
        </w:rPr>
        <w:t>Managementul calificărilor și mecanisme de asigurare a calității</w:t>
      </w:r>
    </w:p>
    <w:p w14:paraId="276B9A4F" w14:textId="77777777" w:rsidR="00F16858" w:rsidRPr="00B81475" w:rsidRDefault="00F16858" w:rsidP="00F16858">
      <w:pPr>
        <w:numPr>
          <w:ilvl w:val="2"/>
          <w:numId w:val="4"/>
        </w:numPr>
        <w:spacing w:after="0" w:line="240" w:lineRule="auto"/>
        <w:ind w:left="1701" w:hanging="850"/>
        <w:rPr>
          <w:rFonts w:ascii="Times New Roman" w:eastAsia="MS Mincho" w:hAnsi="Times New Roman" w:cs="Times New Roman"/>
          <w:kern w:val="0"/>
          <w:sz w:val="24"/>
          <w:szCs w:val="24"/>
          <w14:ligatures w14:val="none"/>
        </w:rPr>
      </w:pPr>
      <w:r w:rsidRPr="00B81475">
        <w:rPr>
          <w:rFonts w:ascii="Times New Roman" w:eastAsia="MS Mincho" w:hAnsi="Times New Roman" w:cs="Times New Roman"/>
          <w:kern w:val="0"/>
          <w:sz w:val="24"/>
          <w:szCs w:val="24"/>
          <w14:ligatures w14:val="none"/>
        </w:rPr>
        <w:t>Evaluarea calității în învățământul general</w:t>
      </w:r>
    </w:p>
    <w:p w14:paraId="660B87F0" w14:textId="77777777" w:rsidR="00F16858" w:rsidRPr="001F6026" w:rsidRDefault="00F16858" w:rsidP="00F16858">
      <w:pPr>
        <w:numPr>
          <w:ilvl w:val="2"/>
          <w:numId w:val="4"/>
        </w:numPr>
        <w:spacing w:after="0" w:line="240" w:lineRule="auto"/>
        <w:ind w:left="1701" w:hanging="850"/>
        <w:rPr>
          <w:rFonts w:ascii="Times New Roman" w:eastAsia="MS Mincho" w:hAnsi="Times New Roman" w:cs="Times New Roman"/>
          <w:kern w:val="0"/>
          <w:sz w:val="24"/>
          <w:szCs w:val="24"/>
          <w14:ligatures w14:val="none"/>
        </w:rPr>
      </w:pPr>
      <w:r w:rsidRPr="00B81475">
        <w:rPr>
          <w:rFonts w:ascii="Times New Roman" w:eastAsia="MS Mincho" w:hAnsi="Times New Roman" w:cs="Times New Roman"/>
          <w:kern w:val="0"/>
          <w:sz w:val="24"/>
          <w:szCs w:val="24"/>
          <w14:ligatures w14:val="none"/>
        </w:rPr>
        <w:lastRenderedPageBreak/>
        <w:t>Evaluarea calității în învățământul profesional</w:t>
      </w:r>
      <w:r w:rsidRPr="001F6026">
        <w:rPr>
          <w:rFonts w:ascii="Times New Roman" w:eastAsia="MS Mincho" w:hAnsi="Times New Roman" w:cs="Times New Roman"/>
          <w:kern w:val="0"/>
          <w:sz w:val="24"/>
          <w:szCs w:val="24"/>
          <w14:ligatures w14:val="none"/>
        </w:rPr>
        <w:t xml:space="preserve"> tehnic.</w:t>
      </w:r>
      <w:r w:rsidRPr="0020102C">
        <w:rPr>
          <w:rFonts w:ascii="Times New Roman" w:eastAsia="Times New Roman" w:hAnsi="Times New Roman" w:cs="Times New Roman"/>
          <w:kern w:val="0"/>
          <w:sz w:val="24"/>
          <w:szCs w:val="24"/>
          <w:lang w:eastAsia="ro-MD"/>
          <w14:ligatures w14:val="none"/>
        </w:rPr>
        <w:t xml:space="preserve"> Legătura cu EQAVET</w:t>
      </w:r>
    </w:p>
    <w:p w14:paraId="636AE7B7" w14:textId="77777777" w:rsidR="00F16858" w:rsidRPr="001F6026" w:rsidRDefault="00F16858" w:rsidP="00F16858">
      <w:pPr>
        <w:numPr>
          <w:ilvl w:val="2"/>
          <w:numId w:val="4"/>
        </w:numPr>
        <w:spacing w:after="0" w:line="240" w:lineRule="auto"/>
        <w:ind w:left="1701" w:hanging="850"/>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Evaluarea calității în învățământul superior. </w:t>
      </w:r>
      <w:r w:rsidRPr="0020102C">
        <w:rPr>
          <w:rFonts w:ascii="Times New Roman" w:eastAsia="Times New Roman" w:hAnsi="Times New Roman" w:cs="Times New Roman"/>
          <w:kern w:val="0"/>
          <w:sz w:val="24"/>
          <w:szCs w:val="24"/>
          <w:lang w:eastAsia="ro-MD"/>
          <w14:ligatures w14:val="none"/>
        </w:rPr>
        <w:t>Legătura cu ESG</w:t>
      </w:r>
    </w:p>
    <w:p w14:paraId="6DAD3ADB" w14:textId="77777777" w:rsidR="00B804B0" w:rsidRPr="00B804B0" w:rsidRDefault="00B804B0" w:rsidP="00B804B0">
      <w:pPr>
        <w:numPr>
          <w:ilvl w:val="1"/>
          <w:numId w:val="4"/>
        </w:numPr>
        <w:spacing w:after="0" w:line="240" w:lineRule="auto"/>
        <w:ind w:left="851" w:hanging="567"/>
        <w:rPr>
          <w:rFonts w:ascii="Times New Roman" w:eastAsia="MS Mincho" w:hAnsi="Times New Roman" w:cs="Times New Roman"/>
          <w:color w:val="C00000"/>
          <w:kern w:val="0"/>
          <w:sz w:val="24"/>
          <w:szCs w:val="24"/>
          <w14:ligatures w14:val="none"/>
        </w:rPr>
      </w:pPr>
      <w:r w:rsidRPr="00B804B0">
        <w:rPr>
          <w:rFonts w:ascii="Times New Roman" w:eastAsia="MS Mincho" w:hAnsi="Times New Roman" w:cs="Times New Roman"/>
          <w:kern w:val="0"/>
          <w:sz w:val="24"/>
          <w:szCs w:val="24"/>
          <w14:ligatures w14:val="none"/>
        </w:rPr>
        <w:t>Dimensiunea internațională a CNC</w:t>
      </w:r>
    </w:p>
    <w:p w14:paraId="39FF4718" w14:textId="77777777" w:rsidR="003E045E" w:rsidRDefault="00091B58" w:rsidP="00A41843">
      <w:pPr>
        <w:pStyle w:val="a7"/>
        <w:numPr>
          <w:ilvl w:val="2"/>
          <w:numId w:val="233"/>
        </w:numPr>
        <w:rPr>
          <w:rFonts w:ascii="Times New Roman" w:eastAsia="MS Mincho" w:hAnsi="Times New Roman" w:cs="Times New Roman"/>
          <w:kern w:val="0"/>
          <w:sz w:val="24"/>
          <w:szCs w:val="24"/>
          <w14:ligatures w14:val="none"/>
        </w:rPr>
      </w:pPr>
      <w:r w:rsidRPr="003E045E">
        <w:rPr>
          <w:rFonts w:ascii="Times New Roman" w:eastAsia="MS Mincho" w:hAnsi="Times New Roman" w:cs="Times New Roman"/>
          <w:kern w:val="0"/>
          <w:sz w:val="24"/>
          <w:szCs w:val="24"/>
          <w14:ligatures w14:val="none"/>
        </w:rPr>
        <w:t>Participarea Republicii Moldova la inițiativele europene și internaționale (ERA, EHEA, ENIC, Convenția Lisabona, Convenția Globală)</w:t>
      </w:r>
    </w:p>
    <w:p w14:paraId="79257FCB" w14:textId="77777777" w:rsidR="00B81198" w:rsidRDefault="00091B58" w:rsidP="00A41843">
      <w:pPr>
        <w:pStyle w:val="a7"/>
        <w:numPr>
          <w:ilvl w:val="2"/>
          <w:numId w:val="233"/>
        </w:numPr>
        <w:rPr>
          <w:rFonts w:ascii="Times New Roman" w:eastAsia="MS Mincho" w:hAnsi="Times New Roman" w:cs="Times New Roman"/>
          <w:kern w:val="0"/>
          <w:sz w:val="24"/>
          <w:szCs w:val="24"/>
          <w14:ligatures w14:val="none"/>
        </w:rPr>
      </w:pPr>
      <w:r w:rsidRPr="003E045E">
        <w:rPr>
          <w:rFonts w:ascii="Times New Roman" w:eastAsia="MS Mincho" w:hAnsi="Times New Roman" w:cs="Times New Roman"/>
          <w:kern w:val="0"/>
          <w:sz w:val="24"/>
          <w:szCs w:val="24"/>
          <w14:ligatures w14:val="none"/>
        </w:rPr>
        <w:t>Participarea la activitatea Grupului consultativ EQF</w:t>
      </w:r>
    </w:p>
    <w:p w14:paraId="4ABDB51E" w14:textId="77777777" w:rsidR="00544B0F" w:rsidRDefault="00091B58" w:rsidP="00A41843">
      <w:pPr>
        <w:pStyle w:val="a7"/>
        <w:numPr>
          <w:ilvl w:val="2"/>
          <w:numId w:val="233"/>
        </w:numPr>
        <w:rPr>
          <w:rFonts w:ascii="Times New Roman" w:eastAsia="MS Mincho" w:hAnsi="Times New Roman" w:cs="Times New Roman"/>
          <w:kern w:val="0"/>
          <w:sz w:val="24"/>
          <w:szCs w:val="24"/>
          <w14:ligatures w14:val="none"/>
        </w:rPr>
      </w:pPr>
      <w:r w:rsidRPr="00B81198">
        <w:rPr>
          <w:rFonts w:ascii="Times New Roman" w:eastAsia="MS Mincho" w:hAnsi="Times New Roman" w:cs="Times New Roman"/>
          <w:kern w:val="0"/>
          <w:sz w:val="24"/>
          <w:szCs w:val="24"/>
          <w14:ligatures w14:val="none"/>
        </w:rPr>
        <w:t>Activitatea punctului de contact EQF</w:t>
      </w:r>
    </w:p>
    <w:p w14:paraId="2E680DFE" w14:textId="16C22CEE" w:rsidR="00B804B0" w:rsidRPr="00544B0F" w:rsidRDefault="00091B58" w:rsidP="00A41843">
      <w:pPr>
        <w:pStyle w:val="a7"/>
        <w:numPr>
          <w:ilvl w:val="2"/>
          <w:numId w:val="233"/>
        </w:numPr>
        <w:rPr>
          <w:rFonts w:ascii="Times New Roman" w:eastAsia="MS Mincho" w:hAnsi="Times New Roman" w:cs="Times New Roman"/>
          <w:kern w:val="0"/>
          <w:sz w:val="24"/>
          <w:szCs w:val="24"/>
          <w14:ligatures w14:val="none"/>
        </w:rPr>
      </w:pPr>
      <w:r w:rsidRPr="00544B0F">
        <w:rPr>
          <w:rFonts w:ascii="Times New Roman" w:eastAsia="MS Mincho" w:hAnsi="Times New Roman" w:cs="Times New Roman"/>
          <w:kern w:val="0"/>
          <w:sz w:val="24"/>
          <w:szCs w:val="24"/>
          <w14:ligatures w14:val="none"/>
        </w:rPr>
        <w:t>Integrarea în rețelele ENIC/NARIC și evaluarea externă</w:t>
      </w:r>
    </w:p>
    <w:p w14:paraId="00121AAE" w14:textId="4C6AFDF0" w:rsidR="006F1712" w:rsidRPr="001F6026" w:rsidRDefault="003F34FE" w:rsidP="00BF18B8">
      <w:pPr>
        <w:keepNext/>
        <w:keepLines/>
        <w:spacing w:after="0" w:line="240" w:lineRule="auto"/>
        <w:outlineLvl w:val="0"/>
        <w:rPr>
          <w:rFonts w:ascii="Times New Roman" w:eastAsia="MS Gothic" w:hAnsi="Times New Roman" w:cs="Times New Roman"/>
          <w:b/>
          <w:bCs/>
          <w:color w:val="3494BA" w:themeColor="accent1"/>
          <w:kern w:val="0"/>
          <w:sz w:val="24"/>
          <w:szCs w:val="24"/>
          <w14:ligatures w14:val="none"/>
        </w:rPr>
      </w:pPr>
      <w:bookmarkStart w:id="4" w:name="_Hlk207696760"/>
      <w:r w:rsidRPr="001F6026">
        <w:rPr>
          <w:rFonts w:ascii="Times New Roman" w:eastAsia="MS Gothic" w:hAnsi="Times New Roman" w:cs="Times New Roman"/>
          <w:b/>
          <w:bCs/>
          <w:color w:val="3494BA" w:themeColor="accent1"/>
          <w:kern w:val="0"/>
          <w:sz w:val="24"/>
          <w:szCs w:val="24"/>
          <w14:ligatures w14:val="none"/>
        </w:rPr>
        <w:t>5. REFERENȚIEREA CNC CU EQF ȘI AUTOCERTIFICAREA CNC ÎN RAPORT CU QF-</w:t>
      </w:r>
      <w:r w:rsidR="002513BE" w:rsidRPr="001F6026">
        <w:rPr>
          <w:rFonts w:ascii="Times New Roman" w:eastAsia="MS Gothic" w:hAnsi="Times New Roman" w:cs="Times New Roman"/>
          <w:b/>
          <w:bCs/>
          <w:color w:val="3494BA" w:themeColor="accent1"/>
          <w:kern w:val="0"/>
          <w:sz w:val="24"/>
          <w:szCs w:val="24"/>
          <w14:ligatures w14:val="none"/>
        </w:rPr>
        <w:t>EHEA</w:t>
      </w:r>
    </w:p>
    <w:bookmarkEnd w:id="4"/>
    <w:p w14:paraId="5E81775F" w14:textId="77777777" w:rsidR="00182E7A" w:rsidRDefault="00182E7A" w:rsidP="00A41843">
      <w:pPr>
        <w:numPr>
          <w:ilvl w:val="1"/>
          <w:numId w:val="7"/>
        </w:numPr>
        <w:spacing w:after="0" w:line="240" w:lineRule="auto"/>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Introducere</w:t>
      </w:r>
    </w:p>
    <w:p w14:paraId="27CD5EEA" w14:textId="77777777" w:rsidR="00182E7A" w:rsidRDefault="00182E7A" w:rsidP="00A41843">
      <w:pPr>
        <w:numPr>
          <w:ilvl w:val="1"/>
          <w:numId w:val="7"/>
        </w:numPr>
        <w:spacing w:after="0" w:line="240" w:lineRule="auto"/>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 xml:space="preserve">Abordarea conceptuală a </w:t>
      </w:r>
      <w:proofErr w:type="spellStart"/>
      <w:r>
        <w:rPr>
          <w:rFonts w:ascii="Times New Roman" w:eastAsia="MS Mincho" w:hAnsi="Times New Roman" w:cs="Times New Roman"/>
          <w:kern w:val="0"/>
          <w:sz w:val="24"/>
          <w:szCs w:val="24"/>
          <w14:ligatures w14:val="none"/>
        </w:rPr>
        <w:t>refere</w:t>
      </w:r>
      <w:bookmarkStart w:id="5" w:name="_GoBack"/>
      <w:bookmarkEnd w:id="5"/>
      <w:r>
        <w:rPr>
          <w:rFonts w:ascii="Times New Roman" w:eastAsia="MS Mincho" w:hAnsi="Times New Roman" w:cs="Times New Roman"/>
          <w:kern w:val="0"/>
          <w:sz w:val="24"/>
          <w:szCs w:val="24"/>
          <w14:ligatures w14:val="none"/>
        </w:rPr>
        <w:t>nțierii</w:t>
      </w:r>
      <w:proofErr w:type="spellEnd"/>
      <w:r>
        <w:rPr>
          <w:rFonts w:ascii="Times New Roman" w:eastAsia="MS Mincho" w:hAnsi="Times New Roman" w:cs="Times New Roman"/>
          <w:kern w:val="0"/>
          <w:sz w:val="24"/>
          <w:szCs w:val="24"/>
          <w14:ligatures w14:val="none"/>
        </w:rPr>
        <w:t xml:space="preserve"> CNC la EQF</w:t>
      </w:r>
    </w:p>
    <w:p w14:paraId="0CBF03F6" w14:textId="77777777" w:rsidR="00182E7A" w:rsidRDefault="00182E7A" w:rsidP="00A41843">
      <w:pPr>
        <w:numPr>
          <w:ilvl w:val="1"/>
          <w:numId w:val="7"/>
        </w:numPr>
        <w:spacing w:after="0" w:line="240" w:lineRule="auto"/>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Corespunderea criteriilor de corelare a CNC la EQF</w:t>
      </w:r>
    </w:p>
    <w:p w14:paraId="4A0DBF85"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1" w:history="1">
        <w:r w:rsidR="006F1712" w:rsidRPr="0020102C">
          <w:rPr>
            <w:rFonts w:ascii="Times New Roman" w:eastAsia="MS Mincho" w:hAnsi="Times New Roman" w:cs="Times New Roman"/>
            <w:kern w:val="0"/>
            <w:sz w:val="24"/>
            <w:szCs w:val="24"/>
            <w14:ligatures w14:val="none"/>
          </w:rPr>
          <w:t xml:space="preserve">Criteriul </w:t>
        </w:r>
        <w:r w:rsidR="006F1712" w:rsidRPr="0020102C">
          <w:rPr>
            <w:rFonts w:ascii="Times New Roman" w:eastAsia="MS Mincho" w:hAnsi="Times New Roman" w:cs="Times New Roman"/>
            <w:spacing w:val="-10"/>
            <w:kern w:val="0"/>
            <w:sz w:val="24"/>
            <w:szCs w:val="24"/>
            <w14:ligatures w14:val="none"/>
          </w:rPr>
          <w:t>1</w:t>
        </w:r>
      </w:hyperlink>
    </w:p>
    <w:p w14:paraId="0C7924A4"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2" w:history="1">
        <w:r w:rsidR="006F1712" w:rsidRPr="0020102C">
          <w:rPr>
            <w:rFonts w:ascii="Times New Roman" w:eastAsia="MS Mincho" w:hAnsi="Times New Roman" w:cs="Times New Roman"/>
            <w:kern w:val="0"/>
            <w:sz w:val="24"/>
            <w:szCs w:val="24"/>
            <w14:ligatures w14:val="none"/>
          </w:rPr>
          <w:t xml:space="preserve">Criteriul </w:t>
        </w:r>
        <w:r w:rsidR="006F1712" w:rsidRPr="0020102C">
          <w:rPr>
            <w:rFonts w:ascii="Times New Roman" w:eastAsia="MS Mincho" w:hAnsi="Times New Roman" w:cs="Times New Roman"/>
            <w:spacing w:val="-10"/>
            <w:kern w:val="0"/>
            <w:sz w:val="24"/>
            <w:szCs w:val="24"/>
            <w14:ligatures w14:val="none"/>
          </w:rPr>
          <w:t>2</w:t>
        </w:r>
      </w:hyperlink>
    </w:p>
    <w:p w14:paraId="1E7F5A75"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3" w:history="1">
        <w:r w:rsidR="006F1712" w:rsidRPr="0020102C">
          <w:rPr>
            <w:rFonts w:ascii="Times New Roman" w:eastAsia="MS Mincho" w:hAnsi="Times New Roman" w:cs="Times New Roman"/>
            <w:kern w:val="0"/>
            <w:sz w:val="24"/>
            <w:szCs w:val="24"/>
            <w14:ligatures w14:val="none"/>
          </w:rPr>
          <w:t>Criteriul</w:t>
        </w:r>
        <w:r w:rsidR="006F1712" w:rsidRPr="0020102C">
          <w:rPr>
            <w:rFonts w:ascii="Times New Roman" w:eastAsia="MS Mincho" w:hAnsi="Times New Roman" w:cs="Times New Roman"/>
            <w:spacing w:val="-6"/>
            <w:kern w:val="0"/>
            <w:sz w:val="24"/>
            <w:szCs w:val="24"/>
            <w14:ligatures w14:val="none"/>
          </w:rPr>
          <w:t xml:space="preserve"> </w:t>
        </w:r>
        <w:r w:rsidR="006F1712" w:rsidRPr="0020102C">
          <w:rPr>
            <w:rFonts w:ascii="Times New Roman" w:eastAsia="MS Mincho" w:hAnsi="Times New Roman" w:cs="Times New Roman"/>
            <w:spacing w:val="-10"/>
            <w:kern w:val="0"/>
            <w:sz w:val="24"/>
            <w:szCs w:val="24"/>
            <w14:ligatures w14:val="none"/>
          </w:rPr>
          <w:t>3</w:t>
        </w:r>
      </w:hyperlink>
    </w:p>
    <w:p w14:paraId="16BDFACC"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4" w:history="1">
        <w:r w:rsidR="006F1712" w:rsidRPr="0020102C">
          <w:rPr>
            <w:rFonts w:ascii="Times New Roman" w:eastAsia="MS Mincho" w:hAnsi="Times New Roman" w:cs="Times New Roman"/>
            <w:kern w:val="0"/>
            <w:sz w:val="24"/>
            <w:szCs w:val="24"/>
            <w14:ligatures w14:val="none"/>
          </w:rPr>
          <w:t>Criteriul</w:t>
        </w:r>
        <w:r w:rsidR="006F1712" w:rsidRPr="0020102C">
          <w:rPr>
            <w:rFonts w:ascii="Times New Roman" w:eastAsia="MS Mincho" w:hAnsi="Times New Roman" w:cs="Times New Roman"/>
            <w:spacing w:val="-6"/>
            <w:kern w:val="0"/>
            <w:sz w:val="24"/>
            <w:szCs w:val="24"/>
            <w14:ligatures w14:val="none"/>
          </w:rPr>
          <w:t xml:space="preserve"> </w:t>
        </w:r>
        <w:r w:rsidR="006F1712" w:rsidRPr="0020102C">
          <w:rPr>
            <w:rFonts w:ascii="Times New Roman" w:eastAsia="MS Mincho" w:hAnsi="Times New Roman" w:cs="Times New Roman"/>
            <w:spacing w:val="-10"/>
            <w:kern w:val="0"/>
            <w:sz w:val="24"/>
            <w:szCs w:val="24"/>
            <w14:ligatures w14:val="none"/>
          </w:rPr>
          <w:t>4</w:t>
        </w:r>
      </w:hyperlink>
    </w:p>
    <w:p w14:paraId="114B11BE"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5" w:history="1">
        <w:r w:rsidR="006F1712" w:rsidRPr="0020102C">
          <w:rPr>
            <w:rFonts w:ascii="Times New Roman" w:eastAsia="MS Mincho" w:hAnsi="Times New Roman" w:cs="Times New Roman"/>
            <w:kern w:val="0"/>
            <w:sz w:val="24"/>
            <w:szCs w:val="24"/>
            <w14:ligatures w14:val="none"/>
          </w:rPr>
          <w:t>Criteriul</w:t>
        </w:r>
        <w:r w:rsidR="006F1712" w:rsidRPr="0020102C">
          <w:rPr>
            <w:rFonts w:ascii="Times New Roman" w:eastAsia="MS Mincho" w:hAnsi="Times New Roman" w:cs="Times New Roman"/>
            <w:spacing w:val="-7"/>
            <w:kern w:val="0"/>
            <w:sz w:val="24"/>
            <w:szCs w:val="24"/>
            <w14:ligatures w14:val="none"/>
          </w:rPr>
          <w:t xml:space="preserve"> </w:t>
        </w:r>
        <w:r w:rsidR="006F1712" w:rsidRPr="0020102C">
          <w:rPr>
            <w:rFonts w:ascii="Times New Roman" w:eastAsia="MS Mincho" w:hAnsi="Times New Roman" w:cs="Times New Roman"/>
            <w:spacing w:val="-10"/>
            <w:kern w:val="0"/>
            <w:sz w:val="24"/>
            <w:szCs w:val="24"/>
            <w14:ligatures w14:val="none"/>
          </w:rPr>
          <w:t>5</w:t>
        </w:r>
      </w:hyperlink>
    </w:p>
    <w:p w14:paraId="07F47141"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6" w:history="1">
        <w:r w:rsidR="006F1712" w:rsidRPr="0020102C">
          <w:rPr>
            <w:rFonts w:ascii="Times New Roman" w:eastAsia="MS Mincho" w:hAnsi="Times New Roman" w:cs="Times New Roman"/>
            <w:kern w:val="0"/>
            <w:sz w:val="24"/>
            <w:szCs w:val="24"/>
            <w14:ligatures w14:val="none"/>
          </w:rPr>
          <w:t>Criteriul</w:t>
        </w:r>
        <w:r w:rsidR="006F1712" w:rsidRPr="0020102C">
          <w:rPr>
            <w:rFonts w:ascii="Times New Roman" w:eastAsia="MS Mincho" w:hAnsi="Times New Roman" w:cs="Times New Roman"/>
            <w:spacing w:val="-6"/>
            <w:kern w:val="0"/>
            <w:sz w:val="24"/>
            <w:szCs w:val="24"/>
            <w14:ligatures w14:val="none"/>
          </w:rPr>
          <w:t xml:space="preserve"> </w:t>
        </w:r>
        <w:r w:rsidR="006F1712" w:rsidRPr="0020102C">
          <w:rPr>
            <w:rFonts w:ascii="Times New Roman" w:eastAsia="MS Mincho" w:hAnsi="Times New Roman" w:cs="Times New Roman"/>
            <w:spacing w:val="-10"/>
            <w:kern w:val="0"/>
            <w:sz w:val="24"/>
            <w:szCs w:val="24"/>
            <w14:ligatures w14:val="none"/>
          </w:rPr>
          <w:t>6</w:t>
        </w:r>
      </w:hyperlink>
    </w:p>
    <w:p w14:paraId="47A98C2D"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7" w:history="1">
        <w:r w:rsidR="006F1712" w:rsidRPr="0020102C">
          <w:rPr>
            <w:rFonts w:ascii="Times New Roman" w:eastAsia="MS Mincho" w:hAnsi="Times New Roman" w:cs="Times New Roman"/>
            <w:kern w:val="0"/>
            <w:sz w:val="24"/>
            <w:szCs w:val="24"/>
            <w14:ligatures w14:val="none"/>
          </w:rPr>
          <w:t>Criteriul</w:t>
        </w:r>
        <w:r w:rsidR="006F1712" w:rsidRPr="0020102C">
          <w:rPr>
            <w:rFonts w:ascii="Times New Roman" w:eastAsia="MS Mincho" w:hAnsi="Times New Roman" w:cs="Times New Roman"/>
            <w:spacing w:val="-6"/>
            <w:kern w:val="0"/>
            <w:sz w:val="24"/>
            <w:szCs w:val="24"/>
            <w14:ligatures w14:val="none"/>
          </w:rPr>
          <w:t xml:space="preserve"> </w:t>
        </w:r>
        <w:r w:rsidR="006F1712" w:rsidRPr="0020102C">
          <w:rPr>
            <w:rFonts w:ascii="Times New Roman" w:eastAsia="MS Mincho" w:hAnsi="Times New Roman" w:cs="Times New Roman"/>
            <w:spacing w:val="-10"/>
            <w:kern w:val="0"/>
            <w:sz w:val="24"/>
            <w:szCs w:val="24"/>
            <w14:ligatures w14:val="none"/>
          </w:rPr>
          <w:t>7</w:t>
        </w:r>
      </w:hyperlink>
    </w:p>
    <w:p w14:paraId="4E7371B7"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8" w:history="1">
        <w:r w:rsidR="006F1712" w:rsidRPr="0020102C">
          <w:rPr>
            <w:rFonts w:ascii="Times New Roman" w:eastAsia="MS Mincho" w:hAnsi="Times New Roman" w:cs="Times New Roman"/>
            <w:kern w:val="0"/>
            <w:sz w:val="24"/>
            <w:szCs w:val="24"/>
            <w14:ligatures w14:val="none"/>
          </w:rPr>
          <w:t>Criteriul</w:t>
        </w:r>
        <w:r w:rsidR="006F1712" w:rsidRPr="0020102C">
          <w:rPr>
            <w:rFonts w:ascii="Times New Roman" w:eastAsia="MS Mincho" w:hAnsi="Times New Roman" w:cs="Times New Roman"/>
            <w:spacing w:val="-6"/>
            <w:kern w:val="0"/>
            <w:sz w:val="24"/>
            <w:szCs w:val="24"/>
            <w14:ligatures w14:val="none"/>
          </w:rPr>
          <w:t xml:space="preserve"> </w:t>
        </w:r>
        <w:r w:rsidR="006F1712" w:rsidRPr="0020102C">
          <w:rPr>
            <w:rFonts w:ascii="Times New Roman" w:eastAsia="MS Mincho" w:hAnsi="Times New Roman" w:cs="Times New Roman"/>
            <w:spacing w:val="-10"/>
            <w:kern w:val="0"/>
            <w:sz w:val="24"/>
            <w:szCs w:val="24"/>
            <w14:ligatures w14:val="none"/>
          </w:rPr>
          <w:t>8</w:t>
        </w:r>
      </w:hyperlink>
    </w:p>
    <w:p w14:paraId="3DDE4B61" w14:textId="77777777" w:rsidR="006F1712" w:rsidRPr="0020102C" w:rsidRDefault="00B81475"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hyperlink w:anchor="_bookmark39" w:history="1">
        <w:r w:rsidR="006F1712" w:rsidRPr="0020102C">
          <w:rPr>
            <w:rFonts w:ascii="Times New Roman" w:eastAsia="MS Mincho" w:hAnsi="Times New Roman" w:cs="Times New Roman"/>
            <w:kern w:val="0"/>
            <w:sz w:val="24"/>
            <w:szCs w:val="24"/>
            <w14:ligatures w14:val="none"/>
          </w:rPr>
          <w:t>Criteriul 9</w:t>
        </w:r>
      </w:hyperlink>
    </w:p>
    <w:p w14:paraId="13FE902C" w14:textId="77777777" w:rsidR="006F1712" w:rsidRPr="0020102C" w:rsidRDefault="006F1712" w:rsidP="00BF18B8">
      <w:pPr>
        <w:widowControl w:val="0"/>
        <w:numPr>
          <w:ilvl w:val="2"/>
          <w:numId w:val="0"/>
        </w:numPr>
        <w:tabs>
          <w:tab w:val="left" w:pos="1929"/>
          <w:tab w:val="right" w:leader="dot" w:pos="9356"/>
        </w:tabs>
        <w:autoSpaceDE w:val="0"/>
        <w:autoSpaceDN w:val="0"/>
        <w:spacing w:after="0" w:line="240" w:lineRule="auto"/>
        <w:ind w:left="1418" w:hanging="709"/>
        <w:rPr>
          <w:rFonts w:ascii="Times New Roman" w:eastAsia="MS Mincho" w:hAnsi="Times New Roman" w:cs="Times New Roman"/>
          <w:kern w:val="0"/>
          <w:sz w:val="24"/>
          <w:szCs w:val="24"/>
          <w14:ligatures w14:val="none"/>
        </w:rPr>
      </w:pPr>
      <w:r w:rsidRPr="0020102C">
        <w:rPr>
          <w:rFonts w:ascii="Times New Roman" w:eastAsia="MS Mincho" w:hAnsi="Times New Roman" w:cs="Times New Roman"/>
          <w:kern w:val="0"/>
          <w:sz w:val="24"/>
          <w:szCs w:val="24"/>
          <w14:ligatures w14:val="none"/>
        </w:rPr>
        <w:t>Criteriul 10</w:t>
      </w:r>
    </w:p>
    <w:p w14:paraId="27EDA9D9" w14:textId="7D48714D" w:rsidR="006F1712" w:rsidRPr="001F6026" w:rsidRDefault="006F1712" w:rsidP="00A41843">
      <w:pPr>
        <w:numPr>
          <w:ilvl w:val="1"/>
          <w:numId w:val="7"/>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Criterii și proceduri de autocertificare a CNC în raport cu QF-</w:t>
      </w:r>
      <w:r w:rsidR="002513BE" w:rsidRPr="001F6026">
        <w:rPr>
          <w:rFonts w:ascii="Times New Roman" w:eastAsia="MS Mincho" w:hAnsi="Times New Roman" w:cs="Times New Roman"/>
          <w:kern w:val="0"/>
          <w:sz w:val="24"/>
          <w:szCs w:val="24"/>
          <w14:ligatures w14:val="none"/>
        </w:rPr>
        <w:t>EHEA</w:t>
      </w:r>
    </w:p>
    <w:p w14:paraId="6399B6B5" w14:textId="77777777" w:rsidR="006F1712" w:rsidRPr="001F6026" w:rsidRDefault="006F1712" w:rsidP="00A41843">
      <w:pPr>
        <w:numPr>
          <w:ilvl w:val="1"/>
          <w:numId w:val="7"/>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Asigurarea calității în procesul de corelare</w:t>
      </w:r>
    </w:p>
    <w:p w14:paraId="1B032588" w14:textId="77777777" w:rsidR="006F1712" w:rsidRPr="001F6026" w:rsidRDefault="006F1712" w:rsidP="00A41843">
      <w:pPr>
        <w:numPr>
          <w:ilvl w:val="1"/>
          <w:numId w:val="7"/>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Declarații oficiale de corelare</w:t>
      </w:r>
    </w:p>
    <w:p w14:paraId="62C39BD6" w14:textId="27DB7B3B" w:rsidR="006F1712" w:rsidRPr="001F6026" w:rsidRDefault="006F1712" w:rsidP="00A41843">
      <w:pPr>
        <w:numPr>
          <w:ilvl w:val="1"/>
          <w:numId w:val="7"/>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 xml:space="preserve">Implicarea </w:t>
      </w:r>
      <w:r w:rsidR="00560C3D">
        <w:rPr>
          <w:rFonts w:ascii="Times New Roman" w:eastAsia="MS Mincho" w:hAnsi="Times New Roman" w:cs="Times New Roman"/>
          <w:kern w:val="0"/>
          <w:sz w:val="24"/>
          <w:szCs w:val="24"/>
          <w14:ligatures w14:val="none"/>
        </w:rPr>
        <w:t>actorilor relevanți</w:t>
      </w:r>
      <w:r w:rsidRPr="001F6026">
        <w:rPr>
          <w:rFonts w:ascii="Times New Roman" w:eastAsia="MS Mincho" w:hAnsi="Times New Roman" w:cs="Times New Roman"/>
          <w:kern w:val="0"/>
          <w:sz w:val="24"/>
          <w:szCs w:val="24"/>
          <w14:ligatures w14:val="none"/>
        </w:rPr>
        <w:t xml:space="preserve"> și procesul de consultare</w:t>
      </w:r>
    </w:p>
    <w:p w14:paraId="053E3AE3" w14:textId="77777777" w:rsidR="006F1712" w:rsidRPr="001F6026" w:rsidRDefault="006F1712" w:rsidP="00A41843">
      <w:pPr>
        <w:numPr>
          <w:ilvl w:val="1"/>
          <w:numId w:val="7"/>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Provocări și lecții învățate</w:t>
      </w:r>
    </w:p>
    <w:p w14:paraId="3F65B749" w14:textId="3F291EA7" w:rsidR="006F1712" w:rsidRPr="001F6026" w:rsidRDefault="003F34FE" w:rsidP="0041118E">
      <w:pPr>
        <w:keepNext/>
        <w:keepLines/>
        <w:numPr>
          <w:ilvl w:val="0"/>
          <w:numId w:val="5"/>
        </w:numPr>
        <w:spacing w:after="0" w:line="240"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PERSPECTIVE DE DEZVOLTARE A CNC</w:t>
      </w:r>
    </w:p>
    <w:p w14:paraId="3C35346D" w14:textId="77777777" w:rsidR="006F1712" w:rsidRPr="001F6026" w:rsidRDefault="006F1712" w:rsidP="0041118E">
      <w:pPr>
        <w:keepNext/>
        <w:keepLines/>
        <w:numPr>
          <w:ilvl w:val="1"/>
          <w:numId w:val="5"/>
        </w:numPr>
        <w:spacing w:after="0" w:line="240" w:lineRule="auto"/>
        <w:ind w:left="709" w:hanging="425"/>
        <w:outlineLvl w:val="0"/>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Acțiuni planificate pentru dezvoltarea CNC</w:t>
      </w:r>
    </w:p>
    <w:p w14:paraId="60290952" w14:textId="77777777" w:rsidR="006F1712" w:rsidRPr="001F6026" w:rsidRDefault="006F1712" w:rsidP="0041118E">
      <w:pPr>
        <w:keepNext/>
        <w:keepLines/>
        <w:numPr>
          <w:ilvl w:val="1"/>
          <w:numId w:val="5"/>
        </w:numPr>
        <w:spacing w:after="0" w:line="240" w:lineRule="auto"/>
        <w:ind w:left="709" w:hanging="425"/>
        <w:outlineLvl w:val="0"/>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Monitorizare și evaluare</w:t>
      </w:r>
    </w:p>
    <w:p w14:paraId="215772D2" w14:textId="6D49071C" w:rsidR="006F1712" w:rsidRPr="001F6026" w:rsidRDefault="003F34FE" w:rsidP="00BF18B8">
      <w:pPr>
        <w:keepNext/>
        <w:keepLines/>
        <w:spacing w:after="0" w:line="240"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7. ANEXE</w:t>
      </w:r>
    </w:p>
    <w:p w14:paraId="32DCA893" w14:textId="77777777" w:rsidR="006F1712" w:rsidRPr="001F6026" w:rsidRDefault="006F1712" w:rsidP="0041118E">
      <w:pPr>
        <w:numPr>
          <w:ilvl w:val="0"/>
          <w:numId w:val="6"/>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Tabele de corelare</w:t>
      </w:r>
    </w:p>
    <w:p w14:paraId="4FDDAA52" w14:textId="77777777" w:rsidR="006F1712" w:rsidRDefault="006F1712" w:rsidP="0041118E">
      <w:pPr>
        <w:numPr>
          <w:ilvl w:val="0"/>
          <w:numId w:val="6"/>
        </w:numPr>
        <w:spacing w:after="0" w:line="240" w:lineRule="auto"/>
        <w:rPr>
          <w:rFonts w:ascii="Times New Roman" w:eastAsia="MS Mincho" w:hAnsi="Times New Roman" w:cs="Times New Roman"/>
          <w:kern w:val="0"/>
          <w:sz w:val="24"/>
          <w:szCs w:val="24"/>
          <w14:ligatures w14:val="none"/>
        </w:rPr>
      </w:pPr>
      <w:r w:rsidRPr="001F6026">
        <w:rPr>
          <w:rFonts w:ascii="Times New Roman" w:eastAsia="MS Mincho" w:hAnsi="Times New Roman" w:cs="Times New Roman"/>
          <w:kern w:val="0"/>
          <w:sz w:val="24"/>
          <w:szCs w:val="24"/>
          <w14:ligatures w14:val="none"/>
        </w:rPr>
        <w:t>Lista părților interesate consultate</w:t>
      </w:r>
    </w:p>
    <w:p w14:paraId="007ACAF6" w14:textId="2350A0C0" w:rsidR="006F65F0" w:rsidRPr="001F6026" w:rsidRDefault="006F65F0" w:rsidP="0041118E">
      <w:pPr>
        <w:numPr>
          <w:ilvl w:val="0"/>
          <w:numId w:val="6"/>
        </w:numPr>
        <w:spacing w:after="0" w:line="240" w:lineRule="auto"/>
        <w:rPr>
          <w:rFonts w:ascii="Times New Roman" w:eastAsia="MS Mincho" w:hAnsi="Times New Roman" w:cs="Times New Roman"/>
          <w:kern w:val="0"/>
          <w:sz w:val="24"/>
          <w:szCs w:val="24"/>
          <w14:ligatures w14:val="none"/>
        </w:rPr>
      </w:pPr>
      <w:r w:rsidRPr="006F65F0">
        <w:rPr>
          <w:rFonts w:ascii="Times New Roman" w:eastAsia="MS Mincho" w:hAnsi="Times New Roman" w:cs="Times New Roman"/>
          <w:kern w:val="0"/>
          <w:sz w:val="24"/>
          <w:szCs w:val="24"/>
          <w14:ligatures w14:val="none"/>
        </w:rPr>
        <w:t xml:space="preserve">Acte </w:t>
      </w:r>
      <w:r w:rsidR="000C2E08" w:rsidRPr="006F65F0">
        <w:rPr>
          <w:rFonts w:ascii="Times New Roman" w:eastAsia="MS Mincho" w:hAnsi="Times New Roman" w:cs="Times New Roman"/>
          <w:kern w:val="0"/>
          <w:sz w:val="24"/>
          <w:szCs w:val="24"/>
          <w14:ligatures w14:val="none"/>
        </w:rPr>
        <w:t>normative</w:t>
      </w:r>
      <w:r w:rsidRPr="006F65F0">
        <w:rPr>
          <w:rFonts w:ascii="Times New Roman" w:eastAsia="MS Mincho" w:hAnsi="Times New Roman" w:cs="Times New Roman"/>
          <w:kern w:val="0"/>
          <w:sz w:val="24"/>
          <w:szCs w:val="24"/>
          <w14:ligatures w14:val="none"/>
        </w:rPr>
        <w:t xml:space="preserve"> și documente de</w:t>
      </w:r>
      <w:r w:rsidR="000C2E08">
        <w:rPr>
          <w:rFonts w:ascii="Times New Roman" w:eastAsia="MS Mincho" w:hAnsi="Times New Roman" w:cs="Times New Roman"/>
          <w:kern w:val="0"/>
          <w:sz w:val="24"/>
          <w:szCs w:val="24"/>
          <w14:ligatures w14:val="none"/>
        </w:rPr>
        <w:t xml:space="preserve"> </w:t>
      </w:r>
      <w:r w:rsidRPr="006F65F0">
        <w:rPr>
          <w:rFonts w:ascii="Times New Roman" w:eastAsia="MS Mincho" w:hAnsi="Times New Roman" w:cs="Times New Roman"/>
          <w:kern w:val="0"/>
          <w:sz w:val="24"/>
          <w:szCs w:val="24"/>
          <w14:ligatures w14:val="none"/>
        </w:rPr>
        <w:t>politici relevante</w:t>
      </w:r>
    </w:p>
    <w:p w14:paraId="60DF9954" w14:textId="77777777" w:rsidR="006F1712" w:rsidRPr="00AB39B4" w:rsidRDefault="006F1712" w:rsidP="0041118E">
      <w:pPr>
        <w:numPr>
          <w:ilvl w:val="0"/>
          <w:numId w:val="6"/>
        </w:numPr>
        <w:spacing w:after="0" w:line="240" w:lineRule="auto"/>
        <w:rPr>
          <w:rFonts w:ascii="Times New Roman" w:eastAsia="MS Mincho" w:hAnsi="Times New Roman" w:cs="Times New Roman"/>
          <w:kern w:val="0"/>
          <w:sz w:val="24"/>
          <w:szCs w:val="24"/>
          <w14:ligatures w14:val="none"/>
        </w:rPr>
      </w:pPr>
      <w:r w:rsidRPr="006B3CE9">
        <w:rPr>
          <w:rFonts w:ascii="Times New Roman" w:eastAsia="Times New Roman" w:hAnsi="Times New Roman" w:cs="Times New Roman"/>
          <w:kern w:val="0"/>
          <w:sz w:val="24"/>
          <w:szCs w:val="24"/>
          <w:lang w:eastAsia="ro-MD"/>
          <w14:ligatures w14:val="none"/>
        </w:rPr>
        <w:t>Exemple de calificări pe niveluri</w:t>
      </w:r>
    </w:p>
    <w:p w14:paraId="35E9B54C" w14:textId="65B07A50" w:rsidR="00AB39B4" w:rsidRPr="00465BB0" w:rsidRDefault="00AB39B4" w:rsidP="00A41843">
      <w:pPr>
        <w:pStyle w:val="a7"/>
        <w:numPr>
          <w:ilvl w:val="0"/>
          <w:numId w:val="234"/>
        </w:numPr>
        <w:spacing w:after="0" w:line="240" w:lineRule="auto"/>
        <w:rPr>
          <w:rFonts w:ascii="Times New Roman" w:eastAsia="Times New Roman" w:hAnsi="Times New Roman" w:cs="Times New Roman"/>
          <w:kern w:val="0"/>
          <w:sz w:val="24"/>
          <w:szCs w:val="24"/>
          <w:lang w:eastAsia="zh-CN"/>
          <w14:ligatures w14:val="none"/>
        </w:rPr>
      </w:pPr>
      <w:r w:rsidRPr="00465BB0">
        <w:rPr>
          <w:rFonts w:ascii="Times New Roman" w:eastAsia="Times New Roman" w:hAnsi="Times New Roman" w:cs="Times New Roman"/>
          <w:kern w:val="0"/>
          <w:sz w:val="24"/>
          <w:szCs w:val="24"/>
          <w:lang w:eastAsia="zh-CN"/>
          <w14:ligatures w14:val="none"/>
        </w:rPr>
        <w:t>învățământ general</w:t>
      </w:r>
    </w:p>
    <w:p w14:paraId="61DCE4F9" w14:textId="75BD4B14" w:rsidR="00AB39B4" w:rsidRPr="00465BB0" w:rsidRDefault="00AB39B4" w:rsidP="00A41843">
      <w:pPr>
        <w:pStyle w:val="a7"/>
        <w:numPr>
          <w:ilvl w:val="0"/>
          <w:numId w:val="234"/>
        </w:numPr>
        <w:spacing w:after="0" w:line="240" w:lineRule="auto"/>
        <w:rPr>
          <w:rFonts w:ascii="Times New Roman" w:eastAsia="Times New Roman" w:hAnsi="Times New Roman" w:cs="Times New Roman"/>
          <w:kern w:val="0"/>
          <w:sz w:val="24"/>
          <w:szCs w:val="24"/>
          <w:lang w:eastAsia="zh-CN"/>
          <w14:ligatures w14:val="none"/>
        </w:rPr>
      </w:pPr>
      <w:r w:rsidRPr="00465BB0">
        <w:rPr>
          <w:rFonts w:ascii="Times New Roman" w:eastAsia="Times New Roman" w:hAnsi="Times New Roman" w:cs="Times New Roman"/>
          <w:kern w:val="0"/>
          <w:sz w:val="24"/>
          <w:szCs w:val="24"/>
          <w:lang w:eastAsia="zh-CN"/>
          <w14:ligatures w14:val="none"/>
        </w:rPr>
        <w:t>învățământ profesional-tehnic</w:t>
      </w:r>
    </w:p>
    <w:p w14:paraId="7248FF6B" w14:textId="37A83318" w:rsidR="00AB39B4" w:rsidRPr="00465BB0" w:rsidRDefault="00AB39B4" w:rsidP="00A41843">
      <w:pPr>
        <w:pStyle w:val="a7"/>
        <w:numPr>
          <w:ilvl w:val="0"/>
          <w:numId w:val="234"/>
        </w:numPr>
        <w:spacing w:after="0" w:line="240" w:lineRule="auto"/>
        <w:rPr>
          <w:rFonts w:ascii="Times New Roman" w:eastAsia="Times New Roman" w:hAnsi="Times New Roman" w:cs="Times New Roman"/>
          <w:kern w:val="0"/>
          <w:sz w:val="24"/>
          <w:szCs w:val="24"/>
          <w:lang w:eastAsia="zh-CN"/>
          <w14:ligatures w14:val="none"/>
        </w:rPr>
      </w:pPr>
      <w:r w:rsidRPr="00465BB0">
        <w:rPr>
          <w:rFonts w:ascii="Times New Roman" w:eastAsia="Times New Roman" w:hAnsi="Times New Roman" w:cs="Times New Roman"/>
          <w:kern w:val="0"/>
          <w:sz w:val="24"/>
          <w:szCs w:val="24"/>
          <w:lang w:eastAsia="zh-CN"/>
          <w14:ligatures w14:val="none"/>
        </w:rPr>
        <w:t>învățământ superior</w:t>
      </w:r>
    </w:p>
    <w:p w14:paraId="3AE868B1" w14:textId="77777777" w:rsidR="00AB39B4" w:rsidRPr="001F6026" w:rsidRDefault="00AB39B4" w:rsidP="00AB39B4">
      <w:pPr>
        <w:spacing w:after="0" w:line="240" w:lineRule="auto"/>
        <w:rPr>
          <w:rFonts w:ascii="Times New Roman" w:eastAsia="MS Mincho" w:hAnsi="Times New Roman" w:cs="Times New Roman"/>
          <w:kern w:val="0"/>
          <w:sz w:val="24"/>
          <w:szCs w:val="24"/>
          <w14:ligatures w14:val="none"/>
        </w:rPr>
      </w:pPr>
    </w:p>
    <w:p w14:paraId="3723EE12" w14:textId="77777777" w:rsidR="00454140" w:rsidRPr="001F6026" w:rsidRDefault="00454140" w:rsidP="00BF18B8">
      <w:pPr>
        <w:spacing w:after="0" w:line="240" w:lineRule="auto"/>
        <w:rPr>
          <w:rFonts w:ascii="Times New Roman" w:hAnsi="Times New Roman" w:cs="Times New Roman"/>
          <w:b/>
          <w:bCs/>
          <w:i/>
          <w:iCs/>
          <w:sz w:val="24"/>
          <w:szCs w:val="24"/>
        </w:rPr>
      </w:pPr>
    </w:p>
    <w:p w14:paraId="21CE5C6A" w14:textId="77777777" w:rsidR="00454140" w:rsidRPr="001F6026" w:rsidRDefault="00454140" w:rsidP="005C4FE9">
      <w:pPr>
        <w:spacing w:before="120" w:after="120" w:line="276" w:lineRule="auto"/>
        <w:rPr>
          <w:rFonts w:ascii="Times New Roman" w:hAnsi="Times New Roman" w:cs="Times New Roman"/>
          <w:b/>
          <w:bCs/>
          <w:i/>
          <w:iCs/>
          <w:sz w:val="24"/>
          <w:szCs w:val="24"/>
        </w:rPr>
      </w:pPr>
    </w:p>
    <w:p w14:paraId="3CE6E3BC" w14:textId="77777777" w:rsidR="00454140" w:rsidRPr="001F6026" w:rsidRDefault="00454140" w:rsidP="005C4FE9">
      <w:pPr>
        <w:spacing w:before="120" w:after="120" w:line="276" w:lineRule="auto"/>
        <w:rPr>
          <w:rFonts w:ascii="Times New Roman" w:hAnsi="Times New Roman" w:cs="Times New Roman"/>
          <w:b/>
          <w:bCs/>
          <w:i/>
          <w:iCs/>
          <w:sz w:val="24"/>
          <w:szCs w:val="24"/>
        </w:rPr>
      </w:pPr>
    </w:p>
    <w:p w14:paraId="337D3C3C" w14:textId="77777777" w:rsidR="00454140" w:rsidRPr="001F6026" w:rsidRDefault="00454140" w:rsidP="005C4FE9">
      <w:pPr>
        <w:spacing w:before="120" w:after="120" w:line="276" w:lineRule="auto"/>
        <w:rPr>
          <w:rFonts w:ascii="Times New Roman" w:hAnsi="Times New Roman" w:cs="Times New Roman"/>
          <w:b/>
          <w:bCs/>
          <w:i/>
          <w:iCs/>
          <w:sz w:val="24"/>
          <w:szCs w:val="24"/>
        </w:rPr>
      </w:pPr>
    </w:p>
    <w:p w14:paraId="52E42C53" w14:textId="77777777" w:rsidR="00454140" w:rsidRPr="001F6026" w:rsidRDefault="00454140" w:rsidP="005C4FE9">
      <w:pPr>
        <w:spacing w:before="120" w:after="120" w:line="276" w:lineRule="auto"/>
        <w:rPr>
          <w:rFonts w:ascii="Times New Roman" w:hAnsi="Times New Roman" w:cs="Times New Roman"/>
          <w:b/>
          <w:bCs/>
          <w:i/>
          <w:iCs/>
          <w:sz w:val="24"/>
          <w:szCs w:val="24"/>
        </w:rPr>
      </w:pPr>
    </w:p>
    <w:p w14:paraId="120BD0C0" w14:textId="77777777" w:rsidR="00454140" w:rsidRDefault="00454140" w:rsidP="005C4FE9">
      <w:pPr>
        <w:spacing w:before="120" w:after="120" w:line="276" w:lineRule="auto"/>
        <w:rPr>
          <w:rFonts w:ascii="Times New Roman" w:hAnsi="Times New Roman" w:cs="Times New Roman"/>
          <w:b/>
          <w:bCs/>
          <w:i/>
          <w:iCs/>
          <w:sz w:val="24"/>
          <w:szCs w:val="24"/>
        </w:rPr>
      </w:pPr>
    </w:p>
    <w:p w14:paraId="56D8380B" w14:textId="77777777" w:rsidR="003E7380" w:rsidRPr="001F6026" w:rsidRDefault="003E7380" w:rsidP="005C4FE9">
      <w:pPr>
        <w:spacing w:before="120" w:after="120" w:line="276" w:lineRule="auto"/>
        <w:rPr>
          <w:rFonts w:ascii="Times New Roman" w:hAnsi="Times New Roman" w:cs="Times New Roman"/>
          <w:b/>
          <w:bCs/>
          <w:i/>
          <w:iCs/>
          <w:sz w:val="24"/>
          <w:szCs w:val="24"/>
        </w:rPr>
      </w:pPr>
    </w:p>
    <w:p w14:paraId="52891363" w14:textId="248F2178" w:rsidR="000B722A" w:rsidRPr="0020102C" w:rsidRDefault="000B722A" w:rsidP="005C4FE9">
      <w:pPr>
        <w:spacing w:before="120" w:after="120" w:line="276" w:lineRule="auto"/>
        <w:outlineLvl w:val="1"/>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lastRenderedPageBreak/>
        <w:t xml:space="preserve">1. </w:t>
      </w:r>
      <w:r w:rsidR="00276694" w:rsidRPr="0020102C">
        <w:rPr>
          <w:rFonts w:ascii="Times New Roman" w:eastAsia="Times New Roman" w:hAnsi="Times New Roman" w:cs="Times New Roman"/>
          <w:b/>
          <w:bCs/>
          <w:color w:val="3494BA" w:themeColor="accent1"/>
          <w:kern w:val="0"/>
          <w:sz w:val="24"/>
          <w:szCs w:val="24"/>
          <w:lang w:eastAsia="ro-MD"/>
          <w14:ligatures w14:val="none"/>
        </w:rPr>
        <w:t>INTRODUCERE</w:t>
      </w:r>
    </w:p>
    <w:p w14:paraId="75C099B9" w14:textId="50E063F9" w:rsidR="00433C33" w:rsidRPr="00433C33" w:rsidRDefault="000B722A" w:rsidP="00433C33">
      <w:pPr>
        <w:spacing w:before="120" w:after="120" w:line="276" w:lineRule="auto"/>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1.1 </w:t>
      </w:r>
      <w:r w:rsidR="00433C33" w:rsidRPr="00433C33">
        <w:rPr>
          <w:rFonts w:ascii="Times New Roman" w:eastAsia="Times New Roman" w:hAnsi="Times New Roman" w:cs="Times New Roman"/>
          <w:b/>
          <w:bCs/>
          <w:color w:val="3494BA" w:themeColor="accent1"/>
          <w:kern w:val="0"/>
          <w:sz w:val="24"/>
          <w:szCs w:val="24"/>
          <w:lang w:eastAsia="ro-MD"/>
          <w14:ligatures w14:val="none"/>
        </w:rPr>
        <w:t>Sumar executiv</w:t>
      </w:r>
    </w:p>
    <w:p w14:paraId="06F0BCB8" w14:textId="4C289825" w:rsidR="000F372B" w:rsidRDefault="000F372B" w:rsidP="000F372B">
      <w:pPr>
        <w:pStyle w:val="af8"/>
        <w:spacing w:before="120" w:beforeAutospacing="0" w:after="120" w:afterAutospacing="0" w:line="276" w:lineRule="auto"/>
        <w:jc w:val="both"/>
        <w:rPr>
          <w:lang w:val="ro-MD"/>
        </w:rPr>
      </w:pPr>
      <w:r>
        <w:t xml:space="preserve">În ultimele două decenii, Republica Moldova a parcurs un proces complex de </w:t>
      </w:r>
      <w:r w:rsidRPr="000F372B">
        <w:rPr>
          <w:rStyle w:val="af9"/>
          <w:rFonts w:eastAsiaTheme="majorEastAsia"/>
          <w:b w:val="0"/>
          <w:bCs w:val="0"/>
        </w:rPr>
        <w:t>modernizare a sistemului de educație și formare profesională</w:t>
      </w:r>
      <w:r w:rsidRPr="000F372B">
        <w:rPr>
          <w:b/>
          <w:bCs/>
        </w:rPr>
        <w:t>,</w:t>
      </w:r>
      <w:r>
        <w:t xml:space="preserve"> </w:t>
      </w:r>
      <w:r w:rsidR="003A649B">
        <w:t xml:space="preserve">orientat spre convergența cu </w:t>
      </w:r>
      <w:r>
        <w:t xml:space="preserve">standardele și valorile europene. În acest parcurs, </w:t>
      </w:r>
      <w:r>
        <w:rPr>
          <w:rStyle w:val="af9"/>
          <w:rFonts w:eastAsiaTheme="majorEastAsia"/>
        </w:rPr>
        <w:t>Cadrul Național al Calificărilor (CNC)</w:t>
      </w:r>
      <w:r>
        <w:t xml:space="preserve"> a devenit instrumentul central pentru structurarea coerentă a calificărilor, consolidarea legăturii dintre educație și piața muncii și promovarea învățării pe tot parcursul vieții.</w:t>
      </w:r>
    </w:p>
    <w:p w14:paraId="12608EEF" w14:textId="77777777" w:rsidR="004C34D7" w:rsidRDefault="000F372B" w:rsidP="000F372B">
      <w:pPr>
        <w:pStyle w:val="af8"/>
        <w:spacing w:before="120" w:beforeAutospacing="0" w:after="120" w:afterAutospacing="0" w:line="276" w:lineRule="auto"/>
        <w:jc w:val="both"/>
      </w:pPr>
      <w:r>
        <w:t xml:space="preserve">Integrarea CNC în instrumentele europene de referință </w:t>
      </w:r>
      <w:r w:rsidR="00E72F49">
        <w:t>-</w:t>
      </w:r>
      <w:r>
        <w:t xml:space="preserve"> </w:t>
      </w:r>
      <w:r>
        <w:rPr>
          <w:rStyle w:val="afd"/>
          <w:rFonts w:eastAsiaTheme="majorEastAsia"/>
        </w:rPr>
        <w:t>Cadrul European al Calificărilor (EQF)</w:t>
      </w:r>
      <w:r>
        <w:t xml:space="preserve"> și </w:t>
      </w:r>
      <w:r>
        <w:rPr>
          <w:rStyle w:val="afd"/>
          <w:rFonts w:eastAsiaTheme="majorEastAsia"/>
        </w:rPr>
        <w:t>Cadrul Calificărilor pentru Spațiul European al Învățământului Superior (QF-EHEA)</w:t>
      </w:r>
      <w:r>
        <w:t xml:space="preserve"> </w:t>
      </w:r>
      <w:r w:rsidR="00051DB2" w:rsidRPr="00051DB2">
        <w:t>constituie o etapă strategică în dezvoltarea sistemului național al calificărilor și un pas esențial pentru conectarea</w:t>
      </w:r>
      <w:r w:rsidR="004C34D7">
        <w:t xml:space="preserve"> </w:t>
      </w:r>
      <w:r w:rsidRPr="00E72F49">
        <w:t xml:space="preserve">Republicii Moldova la </w:t>
      </w:r>
      <w:r w:rsidR="005717E7" w:rsidRPr="00E72F49">
        <w:t>spațiul european al educației</w:t>
      </w:r>
      <w:r w:rsidR="00F105C4">
        <w:t xml:space="preserve"> și muncii</w:t>
      </w:r>
      <w:r w:rsidRPr="00E72F49">
        <w:t>.</w:t>
      </w:r>
      <w:r w:rsidR="009D375E" w:rsidRPr="009D375E">
        <w:t xml:space="preserve"> </w:t>
      </w:r>
    </w:p>
    <w:p w14:paraId="51E0102D" w14:textId="419C429F" w:rsidR="00472FDA" w:rsidRPr="00BB7583" w:rsidRDefault="000F372B" w:rsidP="000F372B">
      <w:pPr>
        <w:pStyle w:val="af8"/>
        <w:spacing w:before="120" w:beforeAutospacing="0" w:after="120" w:afterAutospacing="0" w:line="276" w:lineRule="auto"/>
        <w:jc w:val="both"/>
        <w:rPr>
          <w:b/>
          <w:bCs/>
        </w:rPr>
      </w:pPr>
      <w:r>
        <w:t xml:space="preserve">În acest </w:t>
      </w:r>
      <w:r w:rsidR="006E3163">
        <w:t>context</w:t>
      </w:r>
      <w:r>
        <w:t xml:space="preserve">, Republica Moldova a inițiat </w:t>
      </w:r>
      <w:r w:rsidRPr="001976B9">
        <w:rPr>
          <w:rStyle w:val="af9"/>
          <w:rFonts w:eastAsiaTheme="majorEastAsia"/>
          <w:b w:val="0"/>
          <w:bCs w:val="0"/>
        </w:rPr>
        <w:t>procesul de referențiere a CNC</w:t>
      </w:r>
      <w:r w:rsidR="00D77A08">
        <w:rPr>
          <w:rStyle w:val="af9"/>
          <w:rFonts w:eastAsiaTheme="majorEastAsia"/>
          <w:b w:val="0"/>
          <w:bCs w:val="0"/>
        </w:rPr>
        <w:t xml:space="preserve"> </w:t>
      </w:r>
      <w:r>
        <w:t xml:space="preserve">la </w:t>
      </w:r>
      <w:r w:rsidRPr="006F2BCC">
        <w:rPr>
          <w:rStyle w:val="afd"/>
          <w:rFonts w:eastAsiaTheme="majorEastAsia"/>
          <w:i w:val="0"/>
          <w:iCs w:val="0"/>
        </w:rPr>
        <w:t>EQF</w:t>
      </w:r>
      <w:r w:rsidRPr="006F2BCC">
        <w:rPr>
          <w:i/>
          <w:iCs/>
        </w:rPr>
        <w:t xml:space="preserve"> </w:t>
      </w:r>
      <w:r w:rsidRPr="006F2BCC">
        <w:t xml:space="preserve">și </w:t>
      </w:r>
      <w:proofErr w:type="spellStart"/>
      <w:r w:rsidRPr="006F2BCC">
        <w:rPr>
          <w:rStyle w:val="af9"/>
          <w:rFonts w:eastAsiaTheme="majorEastAsia"/>
          <w:b w:val="0"/>
          <w:bCs w:val="0"/>
        </w:rPr>
        <w:t>autocertificarea</w:t>
      </w:r>
      <w:proofErr w:type="spellEnd"/>
      <w:r w:rsidRPr="006F2BCC">
        <w:rPr>
          <w:rStyle w:val="af9"/>
          <w:rFonts w:eastAsiaTheme="majorEastAsia"/>
          <w:b w:val="0"/>
          <w:bCs w:val="0"/>
        </w:rPr>
        <w:t xml:space="preserve"> compatibilității</w:t>
      </w:r>
      <w:r w:rsidRPr="006F2BCC">
        <w:t xml:space="preserve"> cu </w:t>
      </w:r>
      <w:r w:rsidRPr="006F2BCC">
        <w:rPr>
          <w:rStyle w:val="afd"/>
          <w:rFonts w:eastAsiaTheme="majorEastAsia"/>
          <w:i w:val="0"/>
          <w:iCs w:val="0"/>
        </w:rPr>
        <w:t>QF-EHEA</w:t>
      </w:r>
      <w:r w:rsidR="001C371C">
        <w:rPr>
          <w:rStyle w:val="afd"/>
          <w:rFonts w:eastAsiaTheme="majorEastAsia"/>
        </w:rPr>
        <w:t xml:space="preserve">, </w:t>
      </w:r>
      <w:r w:rsidR="001C371C" w:rsidRPr="001C371C">
        <w:rPr>
          <w:rStyle w:val="afd"/>
          <w:rFonts w:eastAsiaTheme="majorEastAsia"/>
          <w:i w:val="0"/>
          <w:iCs w:val="0"/>
        </w:rPr>
        <w:t xml:space="preserve">care </w:t>
      </w:r>
      <w:r w:rsidR="00BE1669" w:rsidRPr="001C371C">
        <w:t xml:space="preserve">constă </w:t>
      </w:r>
      <w:r w:rsidR="00BE1669" w:rsidRPr="00F712E3">
        <w:t xml:space="preserve">într-o </w:t>
      </w:r>
      <w:r w:rsidR="00BE1669" w:rsidRPr="00F712E3">
        <w:rPr>
          <w:rStyle w:val="af9"/>
          <w:rFonts w:eastAsiaTheme="majorEastAsia"/>
          <w:b w:val="0"/>
          <w:bCs w:val="0"/>
        </w:rPr>
        <w:t>analiză tehnică și politică detaliată</w:t>
      </w:r>
      <w:r w:rsidR="00BE1669" w:rsidRPr="00F712E3">
        <w:t xml:space="preserve">, prin care se stabilesc corespondențele dintre nivelurile naționale ale calificărilor și nivelurile de referință europene, pe baza descriptorilor de rezultate ale învățării. </w:t>
      </w:r>
      <w:r w:rsidR="00BE1669" w:rsidRPr="00F712E3">
        <w:rPr>
          <w:rStyle w:val="af9"/>
          <w:rFonts w:eastAsiaTheme="majorEastAsia"/>
          <w:b w:val="0"/>
          <w:bCs w:val="0"/>
        </w:rPr>
        <w:t xml:space="preserve">Scopul procesului de referențiere și </w:t>
      </w:r>
      <w:proofErr w:type="spellStart"/>
      <w:r w:rsidR="00BE1669" w:rsidRPr="00F712E3">
        <w:rPr>
          <w:rStyle w:val="af9"/>
          <w:rFonts w:eastAsiaTheme="majorEastAsia"/>
          <w:b w:val="0"/>
          <w:bCs w:val="0"/>
        </w:rPr>
        <w:t>autocertificare</w:t>
      </w:r>
      <w:proofErr w:type="spellEnd"/>
      <w:r w:rsidR="00BE1669" w:rsidRPr="00F712E3">
        <w:t xml:space="preserve"> este de a demonstra, prin dovezi și argumente verificabile, </w:t>
      </w:r>
      <w:r w:rsidR="00BE1669" w:rsidRPr="00F712E3">
        <w:rPr>
          <w:rStyle w:val="af9"/>
          <w:rFonts w:eastAsiaTheme="majorEastAsia"/>
          <w:b w:val="0"/>
          <w:bCs w:val="0"/>
        </w:rPr>
        <w:t xml:space="preserve">alinierea </w:t>
      </w:r>
      <w:r w:rsidR="00F35608">
        <w:rPr>
          <w:rStyle w:val="af9"/>
          <w:rFonts w:eastAsiaTheme="majorEastAsia"/>
          <w:b w:val="0"/>
          <w:bCs w:val="0"/>
        </w:rPr>
        <w:t>sistemului național</w:t>
      </w:r>
      <w:r w:rsidR="00BE1669" w:rsidRPr="00F712E3">
        <w:rPr>
          <w:rStyle w:val="af9"/>
          <w:rFonts w:eastAsiaTheme="majorEastAsia"/>
          <w:b w:val="0"/>
          <w:bCs w:val="0"/>
        </w:rPr>
        <w:t xml:space="preserve"> la principiile și criteriile stabilite </w:t>
      </w:r>
      <w:r w:rsidR="00D220FB" w:rsidRPr="00D220FB">
        <w:rPr>
          <w:rStyle w:val="af9"/>
          <w:rFonts w:eastAsiaTheme="majorEastAsia"/>
          <w:b w:val="0"/>
          <w:bCs w:val="0"/>
        </w:rPr>
        <w:t>la nivel european</w:t>
      </w:r>
      <w:r w:rsidR="00BE1669" w:rsidRPr="00F712E3">
        <w:t>.</w:t>
      </w:r>
      <w:r w:rsidR="00C94352" w:rsidRPr="00C94352">
        <w:t xml:space="preserve"> </w:t>
      </w:r>
    </w:p>
    <w:p w14:paraId="1E83F2DE" w14:textId="5DF461E8" w:rsidR="00BE1669" w:rsidRPr="00F712E3" w:rsidRDefault="00BE1669" w:rsidP="00F712E3">
      <w:pPr>
        <w:pStyle w:val="af8"/>
        <w:spacing w:before="120" w:beforeAutospacing="0" w:after="120" w:afterAutospacing="0" w:line="276" w:lineRule="auto"/>
        <w:jc w:val="both"/>
      </w:pPr>
      <w:r w:rsidRPr="00F712E3">
        <w:rPr>
          <w:rStyle w:val="af9"/>
          <w:rFonts w:eastAsiaTheme="majorEastAsia"/>
          <w:b w:val="0"/>
          <w:bCs w:val="0"/>
        </w:rPr>
        <w:t>Rezultatul acestui proces</w:t>
      </w:r>
      <w:r w:rsidRPr="00F712E3">
        <w:t xml:space="preserve"> îl constituie </w:t>
      </w:r>
      <w:r w:rsidRPr="00F712E3">
        <w:rPr>
          <w:rStyle w:val="afd"/>
          <w:rFonts w:eastAsiaTheme="majorEastAsia"/>
        </w:rPr>
        <w:t>Raportul național de referențiere a Cadrului Național al Calificărilor (CNC) al Republicii Moldova la Cadrul European al Calificărilor (EQF)</w:t>
      </w:r>
      <w:r w:rsidRPr="00F712E3">
        <w:t xml:space="preserve"> și de </w:t>
      </w:r>
      <w:proofErr w:type="spellStart"/>
      <w:r w:rsidRPr="00F712E3">
        <w:rPr>
          <w:rStyle w:val="afd"/>
          <w:rFonts w:eastAsiaTheme="majorEastAsia"/>
        </w:rPr>
        <w:t>autocertificare</w:t>
      </w:r>
      <w:proofErr w:type="spellEnd"/>
      <w:r w:rsidRPr="00F712E3">
        <w:rPr>
          <w:rStyle w:val="afd"/>
          <w:rFonts w:eastAsiaTheme="majorEastAsia"/>
        </w:rPr>
        <w:t xml:space="preserve"> a compatibilității cu Cadrul Calificărilor pentru Spațiul European al Învățământului Superior (QF-EHEA)</w:t>
      </w:r>
      <w:r w:rsidR="004A132F">
        <w:t xml:space="preserve">, </w:t>
      </w:r>
      <w:r w:rsidR="0096790A" w:rsidRPr="0096790A">
        <w:t>un document strategic de politică publică, cu un dublu obiectiv</w:t>
      </w:r>
      <w:r w:rsidRPr="00F712E3">
        <w:t>:</w:t>
      </w:r>
    </w:p>
    <w:p w14:paraId="4708F54E" w14:textId="647CB370" w:rsidR="00BE1669" w:rsidRPr="00F712E3" w:rsidRDefault="00BE1669" w:rsidP="00A41843">
      <w:pPr>
        <w:pStyle w:val="af8"/>
        <w:numPr>
          <w:ilvl w:val="0"/>
          <w:numId w:val="237"/>
        </w:numPr>
        <w:spacing w:before="120" w:beforeAutospacing="0" w:after="120" w:afterAutospacing="0" w:line="276" w:lineRule="auto"/>
        <w:jc w:val="both"/>
      </w:pPr>
      <w:proofErr w:type="spellStart"/>
      <w:r w:rsidRPr="00F712E3">
        <w:rPr>
          <w:rStyle w:val="af9"/>
          <w:rFonts w:eastAsiaTheme="majorEastAsia"/>
          <w:b w:val="0"/>
          <w:bCs w:val="0"/>
        </w:rPr>
        <w:t>referențierea</w:t>
      </w:r>
      <w:proofErr w:type="spellEnd"/>
      <w:r w:rsidRPr="00F712E3">
        <w:rPr>
          <w:rStyle w:val="af9"/>
          <w:rFonts w:eastAsiaTheme="majorEastAsia"/>
          <w:b w:val="0"/>
          <w:bCs w:val="0"/>
        </w:rPr>
        <w:t xml:space="preserve"> Cadrului Național al Calificărilor (CNC)</w:t>
      </w:r>
      <w:r w:rsidRPr="00F712E3">
        <w:t xml:space="preserve"> al Republicii Moldova la </w:t>
      </w:r>
      <w:r w:rsidRPr="00F712E3">
        <w:rPr>
          <w:rStyle w:val="afd"/>
          <w:rFonts w:eastAsiaTheme="majorEastAsia"/>
        </w:rPr>
        <w:t>Cadrul European al Calificărilor (EQF)</w:t>
      </w:r>
      <w:r w:rsidRPr="00F712E3">
        <w:t xml:space="preserve">, în conformitate cu </w:t>
      </w:r>
      <w:bookmarkStart w:id="6" w:name="_Hlk211453660"/>
      <w:r w:rsidRPr="00F712E3">
        <w:rPr>
          <w:rStyle w:val="afd"/>
          <w:rFonts w:eastAsiaTheme="majorEastAsia"/>
        </w:rPr>
        <w:t>Recomandarea Consiliului Uniunii Europene privind EQF (2017/C 189/03)</w:t>
      </w:r>
      <w:bookmarkEnd w:id="6"/>
      <w:r w:rsidR="00B54B3B">
        <w:rPr>
          <w:rStyle w:val="afc"/>
          <w:rFonts w:eastAsiaTheme="majorEastAsia"/>
          <w:i/>
          <w:iCs/>
        </w:rPr>
        <w:footnoteReference w:id="1"/>
      </w:r>
      <w:r w:rsidRPr="00F712E3">
        <w:t>;</w:t>
      </w:r>
    </w:p>
    <w:p w14:paraId="3DB79631" w14:textId="77777777" w:rsidR="00BE1669" w:rsidRPr="00F712E3" w:rsidRDefault="00BE1669" w:rsidP="00A41843">
      <w:pPr>
        <w:pStyle w:val="af8"/>
        <w:numPr>
          <w:ilvl w:val="0"/>
          <w:numId w:val="237"/>
        </w:numPr>
        <w:spacing w:before="120" w:beforeAutospacing="0" w:after="120" w:afterAutospacing="0" w:line="276" w:lineRule="auto"/>
        <w:jc w:val="both"/>
      </w:pPr>
      <w:proofErr w:type="spellStart"/>
      <w:r w:rsidRPr="00F712E3">
        <w:rPr>
          <w:rStyle w:val="af9"/>
          <w:rFonts w:eastAsiaTheme="majorEastAsia"/>
          <w:b w:val="0"/>
          <w:bCs w:val="0"/>
        </w:rPr>
        <w:t>autocertificarea</w:t>
      </w:r>
      <w:proofErr w:type="spellEnd"/>
      <w:r w:rsidRPr="00F712E3">
        <w:rPr>
          <w:rStyle w:val="af9"/>
          <w:rFonts w:eastAsiaTheme="majorEastAsia"/>
          <w:b w:val="0"/>
          <w:bCs w:val="0"/>
        </w:rPr>
        <w:t xml:space="preserve"> compatibilității CNC</w:t>
      </w:r>
      <w:r w:rsidRPr="00F712E3">
        <w:t xml:space="preserve"> cu </w:t>
      </w:r>
      <w:r w:rsidRPr="00F712E3">
        <w:rPr>
          <w:rStyle w:val="afd"/>
          <w:rFonts w:eastAsiaTheme="majorEastAsia"/>
        </w:rPr>
        <w:t>Cadrul Calificărilor pentru Spațiul European al Învățământului Superior (QF-EHEA)</w:t>
      </w:r>
      <w:r w:rsidRPr="00F712E3">
        <w:t xml:space="preserve">, în conformitate cu </w:t>
      </w:r>
      <w:r w:rsidRPr="00F712E3">
        <w:rPr>
          <w:rStyle w:val="af9"/>
          <w:rFonts w:eastAsiaTheme="majorEastAsia"/>
          <w:b w:val="0"/>
          <w:bCs w:val="0"/>
        </w:rPr>
        <w:t>procedurile și criteriile aprobate de miniștrii educației</w:t>
      </w:r>
      <w:r w:rsidRPr="00F712E3">
        <w:t xml:space="preserve"> din țările participante la </w:t>
      </w:r>
      <w:r w:rsidRPr="00F712E3">
        <w:rPr>
          <w:rStyle w:val="afd"/>
          <w:rFonts w:eastAsiaTheme="majorEastAsia"/>
        </w:rPr>
        <w:t>Procesul Bologna</w:t>
      </w:r>
      <w:r w:rsidRPr="00F712E3">
        <w:t>.</w:t>
      </w:r>
    </w:p>
    <w:p w14:paraId="294ACDF3" w14:textId="2F0871CB" w:rsidR="004C5CE0" w:rsidRPr="004C5CE0" w:rsidRDefault="004C5CE0" w:rsidP="00360CE7">
      <w:pPr>
        <w:pStyle w:val="af8"/>
        <w:spacing w:before="120" w:beforeAutospacing="0" w:after="120" w:afterAutospacing="0" w:line="276" w:lineRule="auto"/>
        <w:jc w:val="both"/>
        <w:rPr>
          <w:lang w:val="ro-MD"/>
        </w:rPr>
      </w:pPr>
      <w:r w:rsidRPr="004C5CE0">
        <w:t xml:space="preserve">Prin realizarea acestor obiective, raportul contribuie la </w:t>
      </w:r>
      <w:r w:rsidRPr="004C5CE0">
        <w:rPr>
          <w:rStyle w:val="af9"/>
          <w:rFonts w:eastAsiaTheme="majorEastAsia"/>
          <w:b w:val="0"/>
          <w:bCs w:val="0"/>
        </w:rPr>
        <w:t>transparența, comparabilitatea și recunoașterea calificărilor</w:t>
      </w:r>
      <w:r w:rsidRPr="004C5CE0">
        <w:t xml:space="preserve"> din Republica Moldova la nivel european și internațional, facilitând mobilitatea academică și profesională și consolidând integrarea țării în </w:t>
      </w:r>
      <w:r w:rsidR="00360CE7" w:rsidRPr="004C5CE0">
        <w:t>spațiul european al educației și formării profesionale</w:t>
      </w:r>
      <w:r w:rsidRPr="004C5CE0">
        <w:t>.</w:t>
      </w:r>
    </w:p>
    <w:p w14:paraId="35CBA1C5" w14:textId="77777777" w:rsidR="004C5CE0" w:rsidRPr="004C5CE0" w:rsidRDefault="004C5CE0" w:rsidP="00360CE7">
      <w:pPr>
        <w:pStyle w:val="af8"/>
        <w:spacing w:before="120" w:beforeAutospacing="0" w:after="120" w:afterAutospacing="0" w:line="276" w:lineRule="auto"/>
        <w:jc w:val="both"/>
      </w:pPr>
      <w:r w:rsidRPr="004C5CE0">
        <w:t>Raportul descrie evoluția sistemului național al calificărilor, arhitectura actuală a educației și formării profesionale, procesul de dezvoltare și operaționalizare a CNC, corelarea nivelurilor naționale cu descriptorii EQF și QF-EHEA, precum și mecanismele instituționale de asigurare a calității și de recunoaștere a rezultatelor învățării.</w:t>
      </w:r>
    </w:p>
    <w:p w14:paraId="22D3032E" w14:textId="3ABD3972" w:rsidR="004C5CE0" w:rsidRPr="004C5CE0" w:rsidRDefault="004C5CE0" w:rsidP="00360CE7">
      <w:pPr>
        <w:pStyle w:val="af8"/>
        <w:spacing w:before="120" w:beforeAutospacing="0" w:after="120" w:afterAutospacing="0" w:line="276" w:lineRule="auto"/>
        <w:jc w:val="both"/>
      </w:pPr>
      <w:r w:rsidRPr="004C5CE0">
        <w:t xml:space="preserve">Corelarea CNC cu instrumentele europene depășește simpla aliniere tehnică a descriptorilor de nivel </w:t>
      </w:r>
      <w:r w:rsidR="00F04A85">
        <w:t>- aceasta</w:t>
      </w:r>
      <w:r w:rsidRPr="004C5CE0">
        <w:t xml:space="preserve"> reflectă maturizarea sistemului național de educație și formare, orientarea către calitate și transparență, și consolidarea încrederii reciproce între Republica Moldova și partenerii europeni.</w:t>
      </w:r>
      <w:r w:rsidR="00BB393B">
        <w:t xml:space="preserve"> </w:t>
      </w:r>
      <w:r w:rsidRPr="004C5CE0">
        <w:t>Prin acest proces, țara își propune să asigure:</w:t>
      </w:r>
    </w:p>
    <w:p w14:paraId="142DB496" w14:textId="77777777" w:rsidR="004C5CE0" w:rsidRPr="004C5CE0" w:rsidRDefault="004C5CE0" w:rsidP="00A41843">
      <w:pPr>
        <w:pStyle w:val="af8"/>
        <w:numPr>
          <w:ilvl w:val="0"/>
          <w:numId w:val="239"/>
        </w:numPr>
        <w:spacing w:before="0" w:beforeAutospacing="0" w:after="0" w:afterAutospacing="0" w:line="276" w:lineRule="auto"/>
        <w:ind w:left="714" w:hanging="357"/>
        <w:jc w:val="both"/>
      </w:pPr>
      <w:r w:rsidRPr="004C5CE0">
        <w:rPr>
          <w:rStyle w:val="af9"/>
          <w:rFonts w:eastAsiaTheme="majorEastAsia"/>
          <w:b w:val="0"/>
          <w:bCs w:val="0"/>
        </w:rPr>
        <w:t>interoperabilitatea calificărilor</w:t>
      </w:r>
      <w:r w:rsidRPr="004C5CE0">
        <w:t xml:space="preserve"> și recunoașterea acestora la nivel european;</w:t>
      </w:r>
    </w:p>
    <w:p w14:paraId="38758CCC" w14:textId="77777777" w:rsidR="004C5CE0" w:rsidRPr="004C5CE0" w:rsidRDefault="004C5CE0" w:rsidP="00A41843">
      <w:pPr>
        <w:pStyle w:val="af8"/>
        <w:numPr>
          <w:ilvl w:val="0"/>
          <w:numId w:val="239"/>
        </w:numPr>
        <w:spacing w:before="0" w:beforeAutospacing="0" w:after="0" w:afterAutospacing="0" w:line="276" w:lineRule="auto"/>
        <w:ind w:left="714" w:hanging="357"/>
        <w:jc w:val="both"/>
      </w:pPr>
      <w:r w:rsidRPr="004C5CE0">
        <w:rPr>
          <w:rStyle w:val="af9"/>
          <w:rFonts w:eastAsiaTheme="majorEastAsia"/>
          <w:b w:val="0"/>
          <w:bCs w:val="0"/>
        </w:rPr>
        <w:lastRenderedPageBreak/>
        <w:t>creșterea vizibilității și credibilității internaționale</w:t>
      </w:r>
      <w:r w:rsidRPr="004C5CE0">
        <w:t xml:space="preserve"> a sistemului național de educație și formare;</w:t>
      </w:r>
    </w:p>
    <w:p w14:paraId="10A751B1" w14:textId="77777777" w:rsidR="004C5CE0" w:rsidRPr="004C5CE0" w:rsidRDefault="004C5CE0" w:rsidP="00A41843">
      <w:pPr>
        <w:pStyle w:val="af8"/>
        <w:numPr>
          <w:ilvl w:val="0"/>
          <w:numId w:val="239"/>
        </w:numPr>
        <w:spacing w:before="0" w:beforeAutospacing="0" w:after="0" w:afterAutospacing="0" w:line="276" w:lineRule="auto"/>
        <w:ind w:left="714" w:hanging="357"/>
        <w:jc w:val="both"/>
      </w:pPr>
      <w:r w:rsidRPr="004C5CE0">
        <w:rPr>
          <w:rStyle w:val="af9"/>
          <w:rFonts w:eastAsiaTheme="majorEastAsia"/>
          <w:b w:val="0"/>
          <w:bCs w:val="0"/>
        </w:rPr>
        <w:t>alinierea la cerințele economiei moderne</w:t>
      </w:r>
      <w:r w:rsidRPr="004C5CE0">
        <w:t>, prin adaptarea continuă a calificărilor la schimbările tehnologice și la nevoile pieței muncii;</w:t>
      </w:r>
    </w:p>
    <w:p w14:paraId="51972016" w14:textId="59853A64" w:rsidR="00EF0869" w:rsidRDefault="004C5CE0" w:rsidP="00360CE7">
      <w:pPr>
        <w:pStyle w:val="af8"/>
        <w:spacing w:before="120" w:beforeAutospacing="0" w:after="120" w:afterAutospacing="0" w:line="276" w:lineRule="auto"/>
        <w:jc w:val="both"/>
      </w:pPr>
      <w:r w:rsidRPr="004C5CE0">
        <w:t xml:space="preserve">Într-o perspectivă mai amplă, procesul de referențiere și </w:t>
      </w:r>
      <w:proofErr w:type="spellStart"/>
      <w:r w:rsidRPr="004C5CE0">
        <w:t>autocertificare</w:t>
      </w:r>
      <w:proofErr w:type="spellEnd"/>
      <w:r w:rsidRPr="004C5CE0">
        <w:t xml:space="preserve"> contribuie la </w:t>
      </w:r>
      <w:r w:rsidRPr="004C5CE0">
        <w:rPr>
          <w:rStyle w:val="af9"/>
          <w:rFonts w:eastAsiaTheme="majorEastAsia"/>
          <w:b w:val="0"/>
          <w:bCs w:val="0"/>
        </w:rPr>
        <w:t>integrarea deplină a Republicii Moldova în spațiul european al educației și formării profesionale</w:t>
      </w:r>
      <w:r w:rsidRPr="004C5CE0">
        <w:t xml:space="preserve">, oferind o bază comună pentru recunoașterea calificărilor și a rezultatelor învățării, indiferent de contextul de dobândire </w:t>
      </w:r>
      <w:r w:rsidR="00EF0869">
        <w:t>-</w:t>
      </w:r>
      <w:r w:rsidRPr="004C5CE0">
        <w:t xml:space="preserve"> formal, nonformal sau informal.</w:t>
      </w:r>
      <w:r w:rsidR="00EF0869">
        <w:t xml:space="preserve"> </w:t>
      </w:r>
    </w:p>
    <w:p w14:paraId="76B6AFA1" w14:textId="77777777" w:rsidR="007B1F6A" w:rsidRPr="004C5CE0" w:rsidRDefault="007B1F6A" w:rsidP="007B1F6A">
      <w:pPr>
        <w:pStyle w:val="af8"/>
        <w:spacing w:before="120" w:beforeAutospacing="0" w:after="120" w:afterAutospacing="0" w:line="276" w:lineRule="auto"/>
        <w:jc w:val="both"/>
      </w:pPr>
      <w:r w:rsidRPr="004C5CE0">
        <w:t xml:space="preserve">Astfel, corelarea CNC cu EQF și QF-EHEA nu reprezintă doar un exercițiu tehnic de compatibilitate, ci un </w:t>
      </w:r>
      <w:r w:rsidRPr="004C5CE0">
        <w:rPr>
          <w:rStyle w:val="af9"/>
          <w:rFonts w:eastAsiaTheme="majorEastAsia"/>
          <w:b w:val="0"/>
          <w:bCs w:val="0"/>
        </w:rPr>
        <w:t>instrument de modernizare sistemică</w:t>
      </w:r>
      <w:r w:rsidRPr="004C5CE0">
        <w:t xml:space="preserve">, care susține dezvoltarea unui sistem educațional deschis, echitabil și orientat spre rezultate, în deplină concordanță cu </w:t>
      </w:r>
      <w:r w:rsidRPr="004C5CE0">
        <w:rPr>
          <w:rStyle w:val="af9"/>
          <w:rFonts w:eastAsiaTheme="majorEastAsia"/>
          <w:b w:val="0"/>
          <w:bCs w:val="0"/>
        </w:rPr>
        <w:t>viziunea europeană privind învățarea pe tot parcursul vieții</w:t>
      </w:r>
      <w:r w:rsidRPr="004C5CE0">
        <w:t>.</w:t>
      </w:r>
    </w:p>
    <w:p w14:paraId="0CE5289A" w14:textId="1414A9AE" w:rsidR="006A3BD2" w:rsidRPr="004C5CE0" w:rsidRDefault="006A3BD2" w:rsidP="006A3BD2">
      <w:pPr>
        <w:pStyle w:val="af8"/>
        <w:spacing w:before="120" w:beforeAutospacing="0" w:after="120" w:afterAutospacing="0" w:line="276" w:lineRule="auto"/>
        <w:jc w:val="both"/>
      </w:pPr>
      <w:r w:rsidRPr="004C5CE0">
        <w:t xml:space="preserve">Inițiativa </w:t>
      </w:r>
      <w:r w:rsidR="00D1354C">
        <w:t xml:space="preserve">de referențiere </w:t>
      </w:r>
      <w:r w:rsidRPr="004C5CE0">
        <w:t xml:space="preserve">se înscrie în contextul </w:t>
      </w:r>
      <w:r w:rsidRPr="004C5CE0">
        <w:rPr>
          <w:rStyle w:val="af9"/>
          <w:rFonts w:eastAsiaTheme="majorEastAsia"/>
          <w:b w:val="0"/>
          <w:bCs w:val="0"/>
        </w:rPr>
        <w:t>reformelor structurale și strategice</w:t>
      </w:r>
      <w:r w:rsidRPr="004C5CE0">
        <w:t xml:space="preserve"> orientate spre un sistem educațional coerent, bazat pe competențe, calitate și rezultate ale învățării, în acord cu angajamentele Republicii Moldova privind integrarea europeană și dezvoltarea capitalului uman.</w:t>
      </w:r>
    </w:p>
    <w:p w14:paraId="1E93DAB7" w14:textId="5CE60726" w:rsidR="00433C33" w:rsidRPr="00EE5D44" w:rsidRDefault="00EE5D44" w:rsidP="00EE5D44">
      <w:pPr>
        <w:spacing w:before="120" w:after="120" w:line="276" w:lineRule="auto"/>
        <w:outlineLvl w:val="2"/>
        <w:rPr>
          <w:rFonts w:ascii="Times New Roman" w:eastAsia="Times New Roman" w:hAnsi="Times New Roman" w:cs="Times New Roman"/>
          <w:b/>
          <w:bCs/>
          <w:color w:val="3494BA" w:themeColor="accent1"/>
          <w:kern w:val="0"/>
          <w:sz w:val="24"/>
          <w:szCs w:val="24"/>
          <w:lang w:val="ro-MD" w:eastAsia="ro-MD"/>
          <w14:ligatures w14:val="none"/>
        </w:rPr>
      </w:pPr>
      <w:r>
        <w:rPr>
          <w:rFonts w:ascii="Times New Roman" w:eastAsia="Times New Roman" w:hAnsi="Times New Roman" w:cs="Times New Roman"/>
          <w:b/>
          <w:bCs/>
          <w:color w:val="3494BA" w:themeColor="accent1"/>
          <w:kern w:val="0"/>
          <w:sz w:val="24"/>
          <w:szCs w:val="24"/>
          <w:lang w:val="ro-MD" w:eastAsia="ro-MD"/>
          <w14:ligatures w14:val="none"/>
        </w:rPr>
        <w:t xml:space="preserve">1.2 </w:t>
      </w:r>
      <w:r w:rsidR="00433C33" w:rsidRPr="00EE5D44">
        <w:rPr>
          <w:rFonts w:ascii="Times New Roman" w:eastAsia="Times New Roman" w:hAnsi="Times New Roman" w:cs="Times New Roman"/>
          <w:b/>
          <w:bCs/>
          <w:color w:val="3494BA" w:themeColor="accent1"/>
          <w:kern w:val="0"/>
          <w:sz w:val="24"/>
          <w:szCs w:val="24"/>
          <w:lang w:val="ro-MD" w:eastAsia="ro-MD"/>
          <w14:ligatures w14:val="none"/>
        </w:rPr>
        <w:t>Context istoric al dezvoltării Cadrului Național al Calificărilor</w:t>
      </w:r>
    </w:p>
    <w:p w14:paraId="6BA596D6" w14:textId="17E2E531" w:rsidR="00E277C8" w:rsidRPr="00FA2114" w:rsidRDefault="00E277C8" w:rsidP="003F1254">
      <w:pPr>
        <w:pStyle w:val="af8"/>
        <w:jc w:val="both"/>
        <w:rPr>
          <w:lang w:val="ro-MD"/>
        </w:rPr>
      </w:pPr>
      <w:r w:rsidRPr="00FA2114">
        <w:rPr>
          <w:lang w:val="ro-MD"/>
        </w:rPr>
        <w:t xml:space="preserve">Evoluția </w:t>
      </w:r>
      <w:r w:rsidR="006550F6">
        <w:rPr>
          <w:lang w:val="ro-MD"/>
        </w:rPr>
        <w:t>CNC</w:t>
      </w:r>
      <w:r w:rsidRPr="00FA2114">
        <w:rPr>
          <w:lang w:val="ro-MD"/>
        </w:rPr>
        <w:t xml:space="preserve"> în Republica Moldova </w:t>
      </w:r>
      <w:r w:rsidR="00C05C3F">
        <w:rPr>
          <w:lang w:val="ro-MD"/>
        </w:rPr>
        <w:t xml:space="preserve">reflectă un </w:t>
      </w:r>
      <w:r w:rsidR="00AC4E53">
        <w:t>proces continuu de modernizare a sistemului de educație și formare profesională, orientat spre crearea unui mecanism unitar, transparent și compatibil cu standardele europene.</w:t>
      </w:r>
      <w:r w:rsidR="002C28BF" w:rsidRPr="002C28BF">
        <w:t xml:space="preserve"> </w:t>
      </w:r>
      <w:r w:rsidR="0078226A">
        <w:t xml:space="preserve">Aceasta </w:t>
      </w:r>
      <w:r w:rsidR="002C28BF" w:rsidRPr="002C28BF">
        <w:t xml:space="preserve">este rezultatul unui proces </w:t>
      </w:r>
      <w:r w:rsidR="003F1254">
        <w:t xml:space="preserve">de </w:t>
      </w:r>
      <w:r w:rsidRPr="00FA2114">
        <w:rPr>
          <w:lang w:val="ro-MD"/>
        </w:rPr>
        <w:t>transformare graduală, de la un cadru universitar sectorial la un cadru comprehensiv, care acoperă toate formele și nivelurile educației și formării profesionale.</w:t>
      </w:r>
    </w:p>
    <w:p w14:paraId="071E171C" w14:textId="0B7193F1" w:rsidR="006C138E" w:rsidRPr="0086080D" w:rsidRDefault="006C138E" w:rsidP="00B2345B">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86080D">
        <w:rPr>
          <w:rFonts w:ascii="Times New Roman" w:eastAsia="Times New Roman" w:hAnsi="Times New Roman" w:cs="Times New Roman"/>
          <w:b/>
          <w:bCs/>
          <w:color w:val="3494BA" w:themeColor="accent1"/>
          <w:kern w:val="0"/>
          <w:sz w:val="24"/>
          <w:szCs w:val="24"/>
          <w:lang w:val="ro-MD" w:eastAsia="ro-MD"/>
          <w14:ligatures w14:val="none"/>
        </w:rPr>
        <w:t>Etapa I – Faza inițială (2005–2010): fundamentarea prin Procesul Bologna</w:t>
      </w:r>
    </w:p>
    <w:p w14:paraId="6D68FC5D" w14:textId="4C039D33" w:rsidR="00B2345B" w:rsidRPr="00433C33" w:rsidRDefault="00433C33" w:rsidP="00B2345B">
      <w:pPr>
        <w:spacing w:before="120" w:after="120" w:line="276" w:lineRule="auto"/>
        <w:jc w:val="both"/>
        <w:rPr>
          <w:rFonts w:ascii="Times New Roman" w:hAnsi="Times New Roman" w:cs="Times New Roman"/>
          <w:sz w:val="24"/>
          <w:szCs w:val="24"/>
        </w:rPr>
      </w:pPr>
      <w:r w:rsidRPr="00433C33">
        <w:rPr>
          <w:rFonts w:ascii="Times New Roman" w:eastAsia="Times New Roman" w:hAnsi="Times New Roman" w:cs="Times New Roman"/>
          <w:kern w:val="0"/>
          <w:sz w:val="24"/>
          <w:szCs w:val="24"/>
          <w:lang w:val="ro-MD" w:eastAsia="ro-MD"/>
          <w14:ligatures w14:val="none"/>
        </w:rPr>
        <w:t>Primele acțiuni</w:t>
      </w:r>
      <w:r w:rsidR="008F3612">
        <w:rPr>
          <w:rFonts w:ascii="Times New Roman" w:eastAsia="Times New Roman" w:hAnsi="Times New Roman" w:cs="Times New Roman"/>
          <w:kern w:val="0"/>
          <w:sz w:val="24"/>
          <w:szCs w:val="24"/>
          <w:lang w:val="ro-MD" w:eastAsia="ro-MD"/>
          <w14:ligatures w14:val="none"/>
        </w:rPr>
        <w:t xml:space="preserve"> în procesul de dezvoltarea a CNC</w:t>
      </w:r>
      <w:r w:rsidRPr="00433C33">
        <w:rPr>
          <w:rFonts w:ascii="Times New Roman" w:eastAsia="Times New Roman" w:hAnsi="Times New Roman" w:cs="Times New Roman"/>
          <w:kern w:val="0"/>
          <w:sz w:val="24"/>
          <w:szCs w:val="24"/>
          <w:lang w:val="ro-MD" w:eastAsia="ro-MD"/>
          <w14:ligatures w14:val="none"/>
        </w:rPr>
        <w:t xml:space="preserve"> au fost inițiate odată cu aderarea Republicii Moldova la Procesul Bologna (2005), </w:t>
      </w:r>
      <w:r w:rsidR="00631B00" w:rsidRPr="00631B00">
        <w:rPr>
          <w:rFonts w:ascii="Times New Roman" w:eastAsia="Times New Roman" w:hAnsi="Times New Roman" w:cs="Times New Roman"/>
          <w:kern w:val="0"/>
          <w:sz w:val="24"/>
          <w:szCs w:val="24"/>
          <w:lang w:val="ro-MD" w:eastAsia="ro-MD"/>
          <w14:ligatures w14:val="none"/>
        </w:rPr>
        <w:t xml:space="preserve">moment care a marcat integrarea </w:t>
      </w:r>
      <w:r w:rsidR="00106B8E">
        <w:rPr>
          <w:rFonts w:ascii="Times New Roman" w:eastAsia="Times New Roman" w:hAnsi="Times New Roman" w:cs="Times New Roman"/>
          <w:kern w:val="0"/>
          <w:sz w:val="24"/>
          <w:szCs w:val="24"/>
          <w:lang w:val="ro-MD" w:eastAsia="ro-MD"/>
          <w14:ligatures w14:val="none"/>
        </w:rPr>
        <w:t xml:space="preserve">țării </w:t>
      </w:r>
      <w:r w:rsidR="00631B00" w:rsidRPr="00631B00">
        <w:rPr>
          <w:rFonts w:ascii="Times New Roman" w:eastAsia="Times New Roman" w:hAnsi="Times New Roman" w:cs="Times New Roman"/>
          <w:kern w:val="0"/>
          <w:sz w:val="24"/>
          <w:szCs w:val="24"/>
          <w:lang w:val="ro-MD" w:eastAsia="ro-MD"/>
          <w14:ligatures w14:val="none"/>
        </w:rPr>
        <w:t xml:space="preserve">în </w:t>
      </w:r>
      <w:r w:rsidRPr="00433C33">
        <w:rPr>
          <w:rFonts w:ascii="Times New Roman" w:eastAsia="Times New Roman" w:hAnsi="Times New Roman" w:cs="Times New Roman"/>
          <w:kern w:val="0"/>
          <w:sz w:val="24"/>
          <w:szCs w:val="24"/>
          <w:lang w:val="ro-MD" w:eastAsia="ro-MD"/>
          <w14:ligatures w14:val="none"/>
        </w:rPr>
        <w:t xml:space="preserve">Spațiului European al Învățământului Superior (EHEA). În baza </w:t>
      </w:r>
      <w:r w:rsidR="003A6EE3" w:rsidRPr="003A6EE3">
        <w:rPr>
          <w:rFonts w:ascii="Times New Roman" w:hAnsi="Times New Roman" w:cs="Times New Roman"/>
          <w:sz w:val="24"/>
          <w:szCs w:val="24"/>
        </w:rPr>
        <w:t xml:space="preserve">angajamentelor asumate prin </w:t>
      </w:r>
      <w:r w:rsidRPr="00433C33">
        <w:rPr>
          <w:rFonts w:ascii="Times New Roman" w:eastAsia="Times New Roman" w:hAnsi="Times New Roman" w:cs="Times New Roman"/>
          <w:kern w:val="0"/>
          <w:sz w:val="24"/>
          <w:szCs w:val="24"/>
          <w:lang w:val="ro-MD" w:eastAsia="ro-MD"/>
          <w14:ligatures w14:val="none"/>
        </w:rPr>
        <w:t>Declarați</w:t>
      </w:r>
      <w:r w:rsidR="003A6EE3">
        <w:rPr>
          <w:rFonts w:ascii="Times New Roman" w:eastAsia="Times New Roman" w:hAnsi="Times New Roman" w:cs="Times New Roman"/>
          <w:kern w:val="0"/>
          <w:sz w:val="24"/>
          <w:szCs w:val="24"/>
          <w:lang w:val="ro-MD" w:eastAsia="ro-MD"/>
          <w14:ligatures w14:val="none"/>
        </w:rPr>
        <w:t>a</w:t>
      </w:r>
      <w:r w:rsidRPr="00433C33">
        <w:rPr>
          <w:rFonts w:ascii="Times New Roman" w:eastAsia="Times New Roman" w:hAnsi="Times New Roman" w:cs="Times New Roman"/>
          <w:kern w:val="0"/>
          <w:sz w:val="24"/>
          <w:szCs w:val="24"/>
          <w:lang w:val="ro-MD" w:eastAsia="ro-MD"/>
          <w14:ligatures w14:val="none"/>
        </w:rPr>
        <w:t xml:space="preserve"> de la Bergen (2005) și </w:t>
      </w:r>
      <w:r w:rsidR="008A35EF" w:rsidRPr="008A35EF">
        <w:rPr>
          <w:rFonts w:ascii="Times New Roman" w:hAnsi="Times New Roman" w:cs="Times New Roman"/>
          <w:sz w:val="24"/>
          <w:szCs w:val="24"/>
        </w:rPr>
        <w:t>ulterior</w:t>
      </w:r>
      <w:r w:rsidR="008A35EF" w:rsidRPr="008A35EF">
        <w:rPr>
          <w:rFonts w:ascii="Times New Roman" w:eastAsia="Times New Roman" w:hAnsi="Times New Roman" w:cs="Times New Roman"/>
          <w:kern w:val="0"/>
          <w:sz w:val="24"/>
          <w:szCs w:val="24"/>
          <w:lang w:val="ro-MD" w:eastAsia="ro-MD"/>
          <w14:ligatures w14:val="none"/>
        </w:rPr>
        <w:t xml:space="preserve"> </w:t>
      </w:r>
      <w:r w:rsidR="008A35EF">
        <w:rPr>
          <w:rFonts w:ascii="Times New Roman" w:eastAsia="Times New Roman" w:hAnsi="Times New Roman" w:cs="Times New Roman"/>
          <w:kern w:val="0"/>
          <w:sz w:val="24"/>
          <w:szCs w:val="24"/>
          <w:lang w:val="ro-MD" w:eastAsia="ro-MD"/>
          <w14:ligatures w14:val="none"/>
        </w:rPr>
        <w:t>prin</w:t>
      </w:r>
      <w:r w:rsidRPr="00433C33">
        <w:rPr>
          <w:rFonts w:ascii="Times New Roman" w:eastAsia="Times New Roman" w:hAnsi="Times New Roman" w:cs="Times New Roman"/>
          <w:kern w:val="0"/>
          <w:sz w:val="24"/>
          <w:szCs w:val="24"/>
          <w:lang w:val="ro-MD" w:eastAsia="ro-MD"/>
          <w14:ligatures w14:val="none"/>
        </w:rPr>
        <w:t xml:space="preserve"> Comunicatul de la Budapesta–Viena (2010), </w:t>
      </w:r>
      <w:r w:rsidR="00FB04C8">
        <w:rPr>
          <w:rFonts w:ascii="Times New Roman" w:eastAsia="Times New Roman" w:hAnsi="Times New Roman" w:cs="Times New Roman"/>
          <w:kern w:val="0"/>
          <w:sz w:val="24"/>
          <w:szCs w:val="24"/>
          <w:lang w:val="ro-MD" w:eastAsia="ro-MD"/>
          <w14:ligatures w14:val="none"/>
        </w:rPr>
        <w:t>Republica Moldova</w:t>
      </w:r>
      <w:r w:rsidR="003A6EE3">
        <w:rPr>
          <w:rFonts w:ascii="Times New Roman" w:eastAsia="Times New Roman" w:hAnsi="Times New Roman" w:cs="Times New Roman"/>
          <w:kern w:val="0"/>
          <w:sz w:val="24"/>
          <w:szCs w:val="24"/>
          <w:lang w:val="ro-MD" w:eastAsia="ro-MD"/>
          <w14:ligatures w14:val="none"/>
        </w:rPr>
        <w:t xml:space="preserve"> a</w:t>
      </w:r>
      <w:r w:rsidRPr="00433C33">
        <w:rPr>
          <w:rFonts w:ascii="Times New Roman" w:eastAsia="Times New Roman" w:hAnsi="Times New Roman" w:cs="Times New Roman"/>
          <w:kern w:val="0"/>
          <w:sz w:val="24"/>
          <w:szCs w:val="24"/>
          <w:lang w:val="ro-MD" w:eastAsia="ro-MD"/>
          <w14:ligatures w14:val="none"/>
        </w:rPr>
        <w:t xml:space="preserve"> lansat procesul de reformă a sistemului de învățământ superior în conformitate cu principiile Bologna: structura pe cicluri</w:t>
      </w:r>
      <w:r w:rsidR="006E3A78" w:rsidRPr="006E3A78">
        <w:rPr>
          <w:rFonts w:ascii="Times New Roman" w:eastAsia="Times New Roman" w:hAnsi="Times New Roman" w:cs="Times New Roman"/>
          <w:kern w:val="0"/>
          <w:sz w:val="24"/>
          <w:szCs w:val="24"/>
          <w:lang w:val="ro-MD" w:eastAsia="ro-MD"/>
          <w14:ligatures w14:val="none"/>
        </w:rPr>
        <w:t xml:space="preserve"> </w:t>
      </w:r>
      <w:r w:rsidR="006E3A78">
        <w:rPr>
          <w:rFonts w:ascii="Times New Roman" w:eastAsia="Times New Roman" w:hAnsi="Times New Roman" w:cs="Times New Roman"/>
          <w:kern w:val="0"/>
          <w:sz w:val="24"/>
          <w:szCs w:val="24"/>
          <w:lang w:val="ro-MD" w:eastAsia="ro-MD"/>
          <w14:ligatures w14:val="none"/>
        </w:rPr>
        <w:t>(</w:t>
      </w:r>
      <w:r w:rsidR="006E3A78" w:rsidRPr="00FA2114">
        <w:rPr>
          <w:rFonts w:ascii="Times New Roman" w:eastAsia="Times New Roman" w:hAnsi="Times New Roman" w:cs="Times New Roman"/>
          <w:kern w:val="0"/>
          <w:sz w:val="24"/>
          <w:szCs w:val="24"/>
          <w:lang w:val="ro-MD" w:eastAsia="ro-MD"/>
          <w14:ligatures w14:val="none"/>
        </w:rPr>
        <w:t>licență, masterat, doctorat</w:t>
      </w:r>
      <w:r w:rsidR="006E3A78">
        <w:rPr>
          <w:rFonts w:ascii="Times New Roman" w:eastAsia="Times New Roman" w:hAnsi="Times New Roman" w:cs="Times New Roman"/>
          <w:kern w:val="0"/>
          <w:sz w:val="24"/>
          <w:szCs w:val="24"/>
          <w:lang w:val="ro-MD" w:eastAsia="ro-MD"/>
          <w14:ligatures w14:val="none"/>
        </w:rPr>
        <w:t>)</w:t>
      </w:r>
      <w:r w:rsidRPr="00433C33">
        <w:rPr>
          <w:rFonts w:ascii="Times New Roman" w:eastAsia="Times New Roman" w:hAnsi="Times New Roman" w:cs="Times New Roman"/>
          <w:kern w:val="0"/>
          <w:sz w:val="24"/>
          <w:szCs w:val="24"/>
          <w:lang w:val="ro-MD" w:eastAsia="ro-MD"/>
          <w14:ligatures w14:val="none"/>
        </w:rPr>
        <w:t xml:space="preserve">, sistemul </w:t>
      </w:r>
      <w:r w:rsidR="00B244C0">
        <w:rPr>
          <w:rFonts w:ascii="Times New Roman" w:eastAsia="Times New Roman" w:hAnsi="Times New Roman" w:cs="Times New Roman"/>
          <w:kern w:val="0"/>
          <w:sz w:val="24"/>
          <w:szCs w:val="24"/>
          <w:lang w:val="ro-MD" w:eastAsia="ro-MD"/>
          <w14:ligatures w14:val="none"/>
        </w:rPr>
        <w:t>de credite (</w:t>
      </w:r>
      <w:r w:rsidRPr="00433C33">
        <w:rPr>
          <w:rFonts w:ascii="Times New Roman" w:eastAsia="Times New Roman" w:hAnsi="Times New Roman" w:cs="Times New Roman"/>
          <w:kern w:val="0"/>
          <w:sz w:val="24"/>
          <w:szCs w:val="24"/>
          <w:lang w:val="ro-MD" w:eastAsia="ro-MD"/>
          <w14:ligatures w14:val="none"/>
        </w:rPr>
        <w:t>ECTS</w:t>
      </w:r>
      <w:r w:rsidR="00B244C0">
        <w:rPr>
          <w:rFonts w:ascii="Times New Roman" w:eastAsia="Times New Roman" w:hAnsi="Times New Roman" w:cs="Times New Roman"/>
          <w:kern w:val="0"/>
          <w:sz w:val="24"/>
          <w:szCs w:val="24"/>
          <w:lang w:val="ro-MD" w:eastAsia="ro-MD"/>
          <w14:ligatures w14:val="none"/>
        </w:rPr>
        <w:t>)</w:t>
      </w:r>
      <w:r w:rsidRPr="00433C33">
        <w:rPr>
          <w:rFonts w:ascii="Times New Roman" w:eastAsia="Times New Roman" w:hAnsi="Times New Roman" w:cs="Times New Roman"/>
          <w:kern w:val="0"/>
          <w:sz w:val="24"/>
          <w:szCs w:val="24"/>
          <w:lang w:val="ro-MD" w:eastAsia="ro-MD"/>
          <w14:ligatures w14:val="none"/>
        </w:rPr>
        <w:t>, asigurarea calității și recunoașterea diplomelor.</w:t>
      </w:r>
      <w:r w:rsidR="001C036D" w:rsidRPr="00272DAC">
        <w:rPr>
          <w:rFonts w:ascii="Times New Roman" w:hAnsi="Times New Roman" w:cs="Times New Roman"/>
          <w:sz w:val="24"/>
          <w:szCs w:val="24"/>
        </w:rPr>
        <w:t xml:space="preserve"> </w:t>
      </w:r>
      <w:r w:rsidR="00272DAC" w:rsidRPr="00272DAC">
        <w:rPr>
          <w:rFonts w:ascii="Times New Roman" w:hAnsi="Times New Roman" w:cs="Times New Roman"/>
          <w:sz w:val="24"/>
          <w:szCs w:val="24"/>
        </w:rPr>
        <w:t xml:space="preserve">Astfel, </w:t>
      </w:r>
      <w:r w:rsidR="00272DAC">
        <w:rPr>
          <w:rFonts w:ascii="Times New Roman" w:hAnsi="Times New Roman" w:cs="Times New Roman"/>
          <w:sz w:val="24"/>
          <w:szCs w:val="24"/>
        </w:rPr>
        <w:t>p</w:t>
      </w:r>
      <w:r w:rsidR="001C036D" w:rsidRPr="00272DAC">
        <w:rPr>
          <w:rFonts w:ascii="Times New Roman" w:hAnsi="Times New Roman" w:cs="Times New Roman"/>
          <w:sz w:val="24"/>
          <w:szCs w:val="24"/>
        </w:rPr>
        <w:t xml:space="preserve">rimul </w:t>
      </w:r>
      <w:r w:rsidR="00106B8E">
        <w:rPr>
          <w:rFonts w:ascii="Times New Roman" w:hAnsi="Times New Roman" w:cs="Times New Roman"/>
          <w:sz w:val="24"/>
          <w:szCs w:val="24"/>
        </w:rPr>
        <w:t>demers</w:t>
      </w:r>
      <w:r w:rsidR="001C036D" w:rsidRPr="00272DAC">
        <w:rPr>
          <w:rFonts w:ascii="Times New Roman" w:hAnsi="Times New Roman" w:cs="Times New Roman"/>
          <w:sz w:val="24"/>
          <w:szCs w:val="24"/>
        </w:rPr>
        <w:t xml:space="preserve"> în dezvoltarea unui sistem coerent de calificări a fost elaborarea </w:t>
      </w:r>
      <w:r w:rsidR="00AF763C">
        <w:rPr>
          <w:rFonts w:ascii="Times New Roman" w:hAnsi="Times New Roman" w:cs="Times New Roman"/>
          <w:sz w:val="24"/>
          <w:szCs w:val="24"/>
        </w:rPr>
        <w:t>CNC</w:t>
      </w:r>
      <w:r w:rsidR="001C036D" w:rsidRPr="001C036D">
        <w:rPr>
          <w:rFonts w:ascii="Times New Roman" w:hAnsi="Times New Roman" w:cs="Times New Roman"/>
          <w:sz w:val="24"/>
          <w:szCs w:val="24"/>
        </w:rPr>
        <w:t xml:space="preserve"> pentru învățământul superio</w:t>
      </w:r>
      <w:r w:rsidR="009A74A1">
        <w:rPr>
          <w:rFonts w:ascii="Times New Roman" w:hAnsi="Times New Roman" w:cs="Times New Roman"/>
          <w:sz w:val="24"/>
          <w:szCs w:val="24"/>
        </w:rPr>
        <w:t>r</w:t>
      </w:r>
      <w:r w:rsidR="001C036D" w:rsidRPr="001C036D">
        <w:rPr>
          <w:rFonts w:ascii="Times New Roman" w:hAnsi="Times New Roman" w:cs="Times New Roman"/>
          <w:sz w:val="24"/>
          <w:szCs w:val="24"/>
        </w:rPr>
        <w:t xml:space="preserve">, </w:t>
      </w:r>
      <w:r w:rsidR="001C036D" w:rsidRPr="00C24FE6">
        <w:rPr>
          <w:rFonts w:ascii="Times New Roman" w:hAnsi="Times New Roman" w:cs="Times New Roman"/>
          <w:sz w:val="24"/>
          <w:szCs w:val="24"/>
        </w:rPr>
        <w:t xml:space="preserve">care a stabilit </w:t>
      </w:r>
      <w:r w:rsidR="00C960A9" w:rsidRPr="00C24FE6">
        <w:rPr>
          <w:rFonts w:ascii="Times New Roman" w:hAnsi="Times New Roman" w:cs="Times New Roman"/>
          <w:sz w:val="24"/>
          <w:szCs w:val="24"/>
        </w:rPr>
        <w:t xml:space="preserve">relația dintre nivelurile studiilor universitare </w:t>
      </w:r>
      <w:r w:rsidR="00C24FE6" w:rsidRPr="00C24FE6">
        <w:rPr>
          <w:rFonts w:ascii="Times New Roman" w:hAnsi="Times New Roman" w:cs="Times New Roman"/>
          <w:sz w:val="24"/>
          <w:szCs w:val="24"/>
        </w:rPr>
        <w:t xml:space="preserve">și </w:t>
      </w:r>
      <w:r w:rsidR="001C036D" w:rsidRPr="00C24FE6">
        <w:rPr>
          <w:rFonts w:ascii="Times New Roman" w:hAnsi="Times New Roman" w:cs="Times New Roman"/>
          <w:sz w:val="24"/>
          <w:szCs w:val="24"/>
        </w:rPr>
        <w:t>corelarea</w:t>
      </w:r>
      <w:r w:rsidR="001C036D" w:rsidRPr="001C036D">
        <w:rPr>
          <w:rFonts w:ascii="Times New Roman" w:hAnsi="Times New Roman" w:cs="Times New Roman"/>
          <w:sz w:val="24"/>
          <w:szCs w:val="24"/>
        </w:rPr>
        <w:t xml:space="preserve"> diplomelor universitare cu </w:t>
      </w:r>
      <w:r w:rsidR="009D0319" w:rsidRPr="00433C33">
        <w:rPr>
          <w:rFonts w:ascii="Times New Roman" w:eastAsia="Times New Roman" w:hAnsi="Times New Roman" w:cs="Times New Roman"/>
          <w:kern w:val="0"/>
          <w:sz w:val="24"/>
          <w:szCs w:val="24"/>
          <w:lang w:val="ro-MD" w:eastAsia="ro-MD"/>
          <w14:ligatures w14:val="none"/>
        </w:rPr>
        <w:t>QF-EHEA</w:t>
      </w:r>
      <w:r w:rsidR="00E7055C">
        <w:rPr>
          <w:rFonts w:ascii="Times New Roman" w:eastAsia="Times New Roman" w:hAnsi="Times New Roman" w:cs="Times New Roman"/>
          <w:kern w:val="0"/>
          <w:sz w:val="24"/>
          <w:szCs w:val="24"/>
          <w:lang w:val="ro-MD" w:eastAsia="ro-MD"/>
          <w14:ligatures w14:val="none"/>
        </w:rPr>
        <w:t>.</w:t>
      </w:r>
    </w:p>
    <w:p w14:paraId="2015373E" w14:textId="77777777" w:rsidR="006C138E" w:rsidRPr="0086080D" w:rsidRDefault="006C138E" w:rsidP="006C138E">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86080D">
        <w:rPr>
          <w:rFonts w:ascii="Times New Roman" w:eastAsia="Times New Roman" w:hAnsi="Times New Roman" w:cs="Times New Roman"/>
          <w:b/>
          <w:bCs/>
          <w:color w:val="3494BA" w:themeColor="accent1"/>
          <w:kern w:val="0"/>
          <w:sz w:val="24"/>
          <w:szCs w:val="24"/>
          <w:lang w:val="ro-MD" w:eastAsia="ro-MD"/>
          <w14:ligatures w14:val="none"/>
        </w:rPr>
        <w:t>Etapa II – Dezvoltarea cadrului național sectorial (2014–2017)</w:t>
      </w:r>
    </w:p>
    <w:p w14:paraId="68F50EBA" w14:textId="4EA7811A" w:rsidR="006C138E" w:rsidRPr="00FA2114" w:rsidRDefault="006C138E" w:rsidP="006C138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FA2114">
        <w:rPr>
          <w:rFonts w:ascii="Times New Roman" w:eastAsia="Times New Roman" w:hAnsi="Times New Roman" w:cs="Times New Roman"/>
          <w:kern w:val="0"/>
          <w:sz w:val="24"/>
          <w:szCs w:val="24"/>
          <w:lang w:val="ro-MD" w:eastAsia="ro-MD"/>
          <w14:ligatures w14:val="none"/>
        </w:rPr>
        <w:t xml:space="preserve">Adoptarea Codului educației </w:t>
      </w:r>
      <w:r w:rsidR="00BA1284">
        <w:rPr>
          <w:rFonts w:ascii="Times New Roman" w:eastAsia="Times New Roman" w:hAnsi="Times New Roman" w:cs="Times New Roman"/>
          <w:kern w:val="0"/>
          <w:sz w:val="24"/>
          <w:szCs w:val="24"/>
          <w:lang w:val="ro-MD" w:eastAsia="ro-MD"/>
          <w14:ligatures w14:val="none"/>
        </w:rPr>
        <w:t xml:space="preserve">al Republicii Moldova </w:t>
      </w:r>
      <w:r w:rsidRPr="00FA2114">
        <w:rPr>
          <w:rFonts w:ascii="Times New Roman" w:eastAsia="Times New Roman" w:hAnsi="Times New Roman" w:cs="Times New Roman"/>
          <w:kern w:val="0"/>
          <w:sz w:val="24"/>
          <w:szCs w:val="24"/>
          <w:lang w:val="ro-MD" w:eastAsia="ro-MD"/>
          <w14:ligatures w14:val="none"/>
        </w:rPr>
        <w:t>nr. 152/2014</w:t>
      </w:r>
      <w:r w:rsidR="00BA1284">
        <w:rPr>
          <w:rStyle w:val="afc"/>
          <w:rFonts w:ascii="Times New Roman" w:eastAsia="Times New Roman" w:hAnsi="Times New Roman" w:cs="Times New Roman"/>
          <w:kern w:val="0"/>
          <w:sz w:val="24"/>
          <w:szCs w:val="24"/>
          <w:lang w:val="ro-MD" w:eastAsia="ro-MD"/>
          <w14:ligatures w14:val="none"/>
        </w:rPr>
        <w:footnoteReference w:id="2"/>
      </w:r>
      <w:r w:rsidRPr="00FA2114">
        <w:rPr>
          <w:rFonts w:ascii="Times New Roman" w:eastAsia="Times New Roman" w:hAnsi="Times New Roman" w:cs="Times New Roman"/>
          <w:kern w:val="0"/>
          <w:sz w:val="24"/>
          <w:szCs w:val="24"/>
          <w:lang w:val="ro-MD" w:eastAsia="ro-MD"/>
          <w14:ligatures w14:val="none"/>
        </w:rPr>
        <w:t xml:space="preserve"> a consacrat conceptul de </w:t>
      </w:r>
      <w:r w:rsidRPr="00AB79C9">
        <w:rPr>
          <w:rFonts w:ascii="Times New Roman" w:eastAsia="Times New Roman" w:hAnsi="Times New Roman" w:cs="Times New Roman"/>
          <w:i/>
          <w:iCs/>
          <w:kern w:val="0"/>
          <w:sz w:val="24"/>
          <w:szCs w:val="24"/>
          <w:lang w:val="ro-MD" w:eastAsia="ro-MD"/>
          <w14:ligatures w14:val="none"/>
        </w:rPr>
        <w:t>Cadrul Național al Calificărilor</w:t>
      </w:r>
      <w:r w:rsidRPr="00FA2114">
        <w:rPr>
          <w:rFonts w:ascii="Times New Roman" w:eastAsia="Times New Roman" w:hAnsi="Times New Roman" w:cs="Times New Roman"/>
          <w:kern w:val="0"/>
          <w:sz w:val="24"/>
          <w:szCs w:val="24"/>
          <w:lang w:val="ro-MD" w:eastAsia="ro-MD"/>
          <w14:ligatures w14:val="none"/>
        </w:rPr>
        <w:t xml:space="preserve"> ca instrument de corelare între sistemele de educație, formare profesională și piața muncii (articolele 66 și 96). Ulterior, </w:t>
      </w:r>
      <w:r w:rsidR="001D12BD">
        <w:rPr>
          <w:rFonts w:ascii="Times New Roman" w:eastAsia="Times New Roman" w:hAnsi="Times New Roman" w:cs="Times New Roman"/>
          <w:kern w:val="0"/>
          <w:sz w:val="24"/>
          <w:szCs w:val="24"/>
          <w:lang w:val="ro-MD" w:eastAsia="ro-MD"/>
          <w14:ligatures w14:val="none"/>
        </w:rPr>
        <w:t>HG</w:t>
      </w:r>
      <w:r w:rsidRPr="00FA2114">
        <w:rPr>
          <w:rFonts w:ascii="Times New Roman" w:eastAsia="Times New Roman" w:hAnsi="Times New Roman" w:cs="Times New Roman"/>
          <w:kern w:val="0"/>
          <w:sz w:val="24"/>
          <w:szCs w:val="24"/>
          <w:lang w:val="ro-MD" w:eastAsia="ro-MD"/>
          <w14:ligatures w14:val="none"/>
        </w:rPr>
        <w:t xml:space="preserve"> nr. 1016/2017 a aprobat Cadrul Național al Calificărilor din Republica Moldova, care a introdus </w:t>
      </w:r>
      <w:r w:rsidRPr="00433C33">
        <w:rPr>
          <w:rFonts w:ascii="Times New Roman" w:eastAsia="Times New Roman" w:hAnsi="Times New Roman" w:cs="Times New Roman"/>
          <w:kern w:val="0"/>
          <w:sz w:val="24"/>
          <w:szCs w:val="24"/>
          <w:lang w:val="ro-MD" w:eastAsia="ro-MD"/>
          <w14:ligatures w14:val="none"/>
        </w:rPr>
        <w:t>o viziune unificată asupra sistemului de calificări, bazată pe rezultate ale învățării, a creat baza juridică pentru elaborarea standardelor de calificare și a consolidat relația dintre educație și piața muncii.</w:t>
      </w:r>
    </w:p>
    <w:p w14:paraId="1C42ECAC" w14:textId="1E92AC0B" w:rsidR="006C138E" w:rsidRPr="0086080D" w:rsidRDefault="006C138E" w:rsidP="006C138E">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86080D">
        <w:rPr>
          <w:rFonts w:ascii="Times New Roman" w:eastAsia="Times New Roman" w:hAnsi="Times New Roman" w:cs="Times New Roman"/>
          <w:b/>
          <w:bCs/>
          <w:color w:val="3494BA" w:themeColor="accent1"/>
          <w:kern w:val="0"/>
          <w:sz w:val="24"/>
          <w:szCs w:val="24"/>
          <w:lang w:val="ro-MD" w:eastAsia="ro-MD"/>
          <w14:ligatures w14:val="none"/>
        </w:rPr>
        <w:t xml:space="preserve">Etapa III – Extinderea și </w:t>
      </w:r>
      <w:r w:rsidR="008761C6">
        <w:rPr>
          <w:rFonts w:ascii="Times New Roman" w:eastAsia="Times New Roman" w:hAnsi="Times New Roman" w:cs="Times New Roman"/>
          <w:b/>
          <w:bCs/>
          <w:color w:val="3494BA" w:themeColor="accent1"/>
          <w:kern w:val="0"/>
          <w:sz w:val="24"/>
          <w:szCs w:val="24"/>
          <w:lang w:val="ro-MD" w:eastAsia="ro-MD"/>
          <w14:ligatures w14:val="none"/>
        </w:rPr>
        <w:t>operaționalizarea</w:t>
      </w:r>
      <w:r w:rsidRPr="0086080D">
        <w:rPr>
          <w:rFonts w:ascii="Times New Roman" w:eastAsia="Times New Roman" w:hAnsi="Times New Roman" w:cs="Times New Roman"/>
          <w:b/>
          <w:bCs/>
          <w:color w:val="3494BA" w:themeColor="accent1"/>
          <w:kern w:val="0"/>
          <w:sz w:val="24"/>
          <w:szCs w:val="24"/>
          <w:lang w:val="ro-MD" w:eastAsia="ro-MD"/>
          <w14:ligatures w14:val="none"/>
        </w:rPr>
        <w:t xml:space="preserve"> (2023–prezent)</w:t>
      </w:r>
    </w:p>
    <w:p w14:paraId="2268267F" w14:textId="66696B99" w:rsidR="001F7407" w:rsidRPr="00A508A8" w:rsidRDefault="00917A4C" w:rsidP="00F9055C">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val="ro-MD" w:eastAsia="ro-MD"/>
          <w14:ligatures w14:val="none"/>
        </w:rPr>
        <w:lastRenderedPageBreak/>
        <w:t xml:space="preserve">Versiunea actuală a </w:t>
      </w:r>
      <w:r w:rsidR="006C138E" w:rsidRPr="00FA2114">
        <w:rPr>
          <w:rFonts w:ascii="Times New Roman" w:eastAsia="Times New Roman" w:hAnsi="Times New Roman" w:cs="Times New Roman"/>
          <w:kern w:val="0"/>
          <w:sz w:val="24"/>
          <w:szCs w:val="24"/>
          <w:lang w:val="ro-MD" w:eastAsia="ro-MD"/>
          <w14:ligatures w14:val="none"/>
        </w:rPr>
        <w:t>Cadrul Național al Calificărilor și Foaia de parcurs pentru operaționalizarea CNC 2023–2027</w:t>
      </w:r>
      <w:r w:rsidRPr="00917A4C">
        <w:rPr>
          <w:rFonts w:ascii="Times New Roman" w:eastAsia="Times New Roman" w:hAnsi="Times New Roman" w:cs="Times New Roman"/>
          <w:kern w:val="0"/>
          <w:sz w:val="24"/>
          <w:szCs w:val="24"/>
          <w:lang w:val="ro-MD" w:eastAsia="ro-MD"/>
          <w14:ligatures w14:val="none"/>
        </w:rPr>
        <w:t xml:space="preserve"> </w:t>
      </w:r>
      <w:r w:rsidR="00656A67" w:rsidRPr="00FA2114">
        <w:rPr>
          <w:rFonts w:ascii="Times New Roman" w:eastAsia="Times New Roman" w:hAnsi="Times New Roman" w:cs="Times New Roman"/>
          <w:kern w:val="0"/>
          <w:sz w:val="24"/>
          <w:szCs w:val="24"/>
          <w:lang w:val="ro-MD" w:eastAsia="ro-MD"/>
          <w14:ligatures w14:val="none"/>
        </w:rPr>
        <w:t xml:space="preserve">a fost aprobat </w:t>
      </w:r>
      <w:r w:rsidR="00656A67">
        <w:rPr>
          <w:rFonts w:ascii="Times New Roman" w:eastAsia="Times New Roman" w:hAnsi="Times New Roman" w:cs="Times New Roman"/>
          <w:kern w:val="0"/>
          <w:sz w:val="24"/>
          <w:szCs w:val="24"/>
          <w:lang w:val="ro-MD" w:eastAsia="ro-MD"/>
          <w14:ligatures w14:val="none"/>
        </w:rPr>
        <w:t>p</w:t>
      </w:r>
      <w:r w:rsidRPr="00FA2114">
        <w:rPr>
          <w:rFonts w:ascii="Times New Roman" w:eastAsia="Times New Roman" w:hAnsi="Times New Roman" w:cs="Times New Roman"/>
          <w:kern w:val="0"/>
          <w:sz w:val="24"/>
          <w:szCs w:val="24"/>
          <w:lang w:val="ro-MD" w:eastAsia="ro-MD"/>
          <w14:ligatures w14:val="none"/>
        </w:rPr>
        <w:t xml:space="preserve">rin </w:t>
      </w:r>
      <w:r>
        <w:rPr>
          <w:rFonts w:ascii="Times New Roman" w:eastAsia="Times New Roman" w:hAnsi="Times New Roman" w:cs="Times New Roman"/>
          <w:kern w:val="0"/>
          <w:sz w:val="24"/>
          <w:szCs w:val="24"/>
          <w:lang w:val="ro-MD" w:eastAsia="ro-MD"/>
          <w14:ligatures w14:val="none"/>
        </w:rPr>
        <w:t>HG</w:t>
      </w:r>
      <w:r w:rsidRPr="00FA2114">
        <w:rPr>
          <w:rFonts w:ascii="Times New Roman" w:eastAsia="Times New Roman" w:hAnsi="Times New Roman" w:cs="Times New Roman"/>
          <w:kern w:val="0"/>
          <w:sz w:val="24"/>
          <w:szCs w:val="24"/>
          <w:lang w:val="ro-MD" w:eastAsia="ro-MD"/>
          <w14:ligatures w14:val="none"/>
        </w:rPr>
        <w:t xml:space="preserve"> nr. 330/2023</w:t>
      </w:r>
      <w:r w:rsidR="005B0A32">
        <w:rPr>
          <w:rStyle w:val="afc"/>
          <w:rFonts w:ascii="Times New Roman" w:eastAsia="Times New Roman" w:hAnsi="Times New Roman" w:cs="Times New Roman"/>
          <w:kern w:val="0"/>
          <w:sz w:val="24"/>
          <w:szCs w:val="24"/>
          <w:lang w:val="ro-MD" w:eastAsia="ro-MD"/>
          <w14:ligatures w14:val="none"/>
        </w:rPr>
        <w:footnoteReference w:id="3"/>
      </w:r>
      <w:r w:rsidR="006C138E" w:rsidRPr="00FA2114">
        <w:rPr>
          <w:rFonts w:ascii="Times New Roman" w:eastAsia="Times New Roman" w:hAnsi="Times New Roman" w:cs="Times New Roman"/>
          <w:kern w:val="0"/>
          <w:sz w:val="24"/>
          <w:szCs w:val="24"/>
          <w:lang w:val="ro-MD" w:eastAsia="ro-MD"/>
          <w14:ligatures w14:val="none"/>
        </w:rPr>
        <w:t xml:space="preserve">. Noua versiune constituie un cadru comprehensiv, structurat pe opt niveluri, care acoperă </w:t>
      </w:r>
      <w:r w:rsidR="006C138E" w:rsidRPr="00433C33">
        <w:rPr>
          <w:rFonts w:ascii="Times New Roman" w:eastAsia="Times New Roman" w:hAnsi="Times New Roman" w:cs="Times New Roman"/>
          <w:kern w:val="0"/>
          <w:sz w:val="24"/>
          <w:szCs w:val="24"/>
          <w:lang w:val="ro-MD" w:eastAsia="ro-MD"/>
          <w14:ligatures w14:val="none"/>
        </w:rPr>
        <w:t xml:space="preserve">întregul sistem educațional și de formare — de la </w:t>
      </w:r>
      <w:r w:rsidR="00647C29">
        <w:rPr>
          <w:rFonts w:ascii="Times New Roman" w:eastAsia="Times New Roman" w:hAnsi="Times New Roman" w:cs="Times New Roman"/>
          <w:kern w:val="0"/>
          <w:sz w:val="24"/>
          <w:szCs w:val="24"/>
          <w:lang w:val="ro-MD" w:eastAsia="ro-MD"/>
          <w14:ligatures w14:val="none"/>
        </w:rPr>
        <w:t>învățământul</w:t>
      </w:r>
      <w:r w:rsidR="006C138E" w:rsidRPr="00433C33">
        <w:rPr>
          <w:rFonts w:ascii="Times New Roman" w:eastAsia="Times New Roman" w:hAnsi="Times New Roman" w:cs="Times New Roman"/>
          <w:kern w:val="0"/>
          <w:sz w:val="24"/>
          <w:szCs w:val="24"/>
          <w:lang w:val="ro-MD" w:eastAsia="ro-MD"/>
          <w14:ligatures w14:val="none"/>
        </w:rPr>
        <w:t xml:space="preserve"> general, învățământul profesional tehnic și superior, până la educația adulților</w:t>
      </w:r>
      <w:r w:rsidR="006A3C48">
        <w:rPr>
          <w:rFonts w:ascii="Times New Roman" w:eastAsia="Times New Roman" w:hAnsi="Times New Roman" w:cs="Times New Roman"/>
          <w:kern w:val="0"/>
          <w:sz w:val="24"/>
          <w:szCs w:val="24"/>
          <w:lang w:val="ro-MD" w:eastAsia="ro-MD"/>
          <w14:ligatures w14:val="none"/>
        </w:rPr>
        <w:t xml:space="preserve">. </w:t>
      </w:r>
      <w:r w:rsidR="001F7407" w:rsidRPr="00A508A8">
        <w:rPr>
          <w:rFonts w:ascii="Times New Roman" w:hAnsi="Times New Roman" w:cs="Times New Roman"/>
          <w:sz w:val="24"/>
          <w:szCs w:val="24"/>
        </w:rPr>
        <w:t xml:space="preserve">CNC include, de asemenea, recunoașterea rezultatelor învățării </w:t>
      </w:r>
      <w:proofErr w:type="spellStart"/>
      <w:r w:rsidR="001F7407" w:rsidRPr="00A508A8">
        <w:rPr>
          <w:rFonts w:ascii="Times New Roman" w:hAnsi="Times New Roman" w:cs="Times New Roman"/>
          <w:sz w:val="24"/>
          <w:szCs w:val="24"/>
        </w:rPr>
        <w:t>nonformale</w:t>
      </w:r>
      <w:proofErr w:type="spellEnd"/>
      <w:r w:rsidR="001F7407" w:rsidRPr="00A508A8">
        <w:rPr>
          <w:rFonts w:ascii="Times New Roman" w:hAnsi="Times New Roman" w:cs="Times New Roman"/>
          <w:sz w:val="24"/>
          <w:szCs w:val="24"/>
        </w:rPr>
        <w:t xml:space="preserve"> și informale, promovând o înțelegere comună a calificărilor bazată pe rezultate ale învățării, competențe și autonomie profesională</w:t>
      </w:r>
      <w:r w:rsidR="005B0A32">
        <w:rPr>
          <w:rFonts w:ascii="Times New Roman" w:hAnsi="Times New Roman" w:cs="Times New Roman"/>
          <w:sz w:val="24"/>
          <w:szCs w:val="24"/>
        </w:rPr>
        <w:t>.</w:t>
      </w:r>
    </w:p>
    <w:p w14:paraId="05F306C1" w14:textId="1AA6F06C" w:rsidR="008E0B19" w:rsidRPr="00983160" w:rsidRDefault="008E0B19" w:rsidP="008E0B19">
      <w:pPr>
        <w:spacing w:before="120" w:after="120" w:line="276" w:lineRule="auto"/>
        <w:jc w:val="both"/>
        <w:rPr>
          <w:rFonts w:ascii="Times New Roman" w:hAnsi="Times New Roman" w:cs="Times New Roman"/>
          <w:b/>
          <w:bCs/>
          <w:color w:val="3494BA" w:themeColor="accent1"/>
          <w:sz w:val="24"/>
          <w:szCs w:val="24"/>
        </w:rPr>
      </w:pPr>
      <w:r w:rsidRPr="00983160">
        <w:rPr>
          <w:rFonts w:ascii="Times New Roman" w:hAnsi="Times New Roman" w:cs="Times New Roman"/>
          <w:b/>
          <w:bCs/>
          <w:color w:val="3494BA" w:themeColor="accent1"/>
          <w:sz w:val="24"/>
          <w:szCs w:val="24"/>
        </w:rPr>
        <w:t xml:space="preserve">Statutul actual al Cadrului Național al Calificărilor </w:t>
      </w:r>
    </w:p>
    <w:p w14:paraId="3989DAF9" w14:textId="50BB1B2F" w:rsidR="008E0B19" w:rsidRPr="008E0B19" w:rsidRDefault="008E0B19" w:rsidP="008E0B19">
      <w:pPr>
        <w:spacing w:before="120" w:after="120" w:line="276" w:lineRule="auto"/>
        <w:jc w:val="both"/>
        <w:rPr>
          <w:rFonts w:ascii="Times New Roman" w:hAnsi="Times New Roman" w:cs="Times New Roman"/>
          <w:sz w:val="24"/>
          <w:szCs w:val="24"/>
        </w:rPr>
      </w:pPr>
      <w:r w:rsidRPr="008E0B19">
        <w:rPr>
          <w:rFonts w:ascii="Times New Roman" w:hAnsi="Times New Roman" w:cs="Times New Roman"/>
          <w:sz w:val="24"/>
          <w:szCs w:val="24"/>
        </w:rPr>
        <w:t>La etapa actuală, CNC funcționează ca instrument strategic integrator al sistemului de educație și formare profesională din Republica Moldova, orientând dezvoltarea acestuia în conformitate cu principiile europene și cu angajamentele asumate în domeniul educației și ocupării. CNC este pe deplin aliniat la EQF și la QF-EHEA, oferind un limbaj comun pentru descrierea și compararea calificărilor, bazat pe rezultate ale învățării, competențe și niveluri de autonomie profesională.</w:t>
      </w:r>
    </w:p>
    <w:p w14:paraId="091A5182" w14:textId="4075BB23" w:rsidR="008E0B19" w:rsidRPr="008E0B19" w:rsidRDefault="008E0B19" w:rsidP="008E0B19">
      <w:pPr>
        <w:spacing w:before="120" w:after="120" w:line="276" w:lineRule="auto"/>
        <w:jc w:val="both"/>
        <w:rPr>
          <w:rFonts w:ascii="Times New Roman" w:hAnsi="Times New Roman" w:cs="Times New Roman"/>
          <w:sz w:val="24"/>
          <w:szCs w:val="24"/>
        </w:rPr>
      </w:pPr>
      <w:r w:rsidRPr="008E0B19">
        <w:rPr>
          <w:rFonts w:ascii="Times New Roman" w:hAnsi="Times New Roman" w:cs="Times New Roman"/>
          <w:sz w:val="24"/>
          <w:szCs w:val="24"/>
        </w:rPr>
        <w:t xml:space="preserve">În prezent, CNC asigură corelarea dintre standardele de calificare și standardele ocupaționale, contribuind la relevanța programelor de formare pentru piața muncii și la consolidarea calității și transferabilității calificărilor. Prin această abordare, </w:t>
      </w:r>
      <w:r w:rsidR="00C60E06">
        <w:rPr>
          <w:rFonts w:ascii="Times New Roman" w:hAnsi="Times New Roman" w:cs="Times New Roman"/>
          <w:sz w:val="24"/>
          <w:szCs w:val="24"/>
        </w:rPr>
        <w:t>acesta</w:t>
      </w:r>
      <w:r w:rsidRPr="008E0B19">
        <w:rPr>
          <w:rFonts w:ascii="Times New Roman" w:hAnsi="Times New Roman" w:cs="Times New Roman"/>
          <w:sz w:val="24"/>
          <w:szCs w:val="24"/>
        </w:rPr>
        <w:t xml:space="preserve"> facilitează interoperabilitatea între educație, formare profesională și ocupare, creând punți între sistemele de învățare formală, </w:t>
      </w:r>
      <w:proofErr w:type="spellStart"/>
      <w:r w:rsidRPr="008E0B19">
        <w:rPr>
          <w:rFonts w:ascii="Times New Roman" w:hAnsi="Times New Roman" w:cs="Times New Roman"/>
          <w:sz w:val="24"/>
          <w:szCs w:val="24"/>
        </w:rPr>
        <w:t>nonformală</w:t>
      </w:r>
      <w:proofErr w:type="spellEnd"/>
      <w:r w:rsidRPr="008E0B19">
        <w:rPr>
          <w:rFonts w:ascii="Times New Roman" w:hAnsi="Times New Roman" w:cs="Times New Roman"/>
          <w:sz w:val="24"/>
          <w:szCs w:val="24"/>
        </w:rPr>
        <w:t xml:space="preserve"> și informală.</w:t>
      </w:r>
    </w:p>
    <w:p w14:paraId="3E76A1D3" w14:textId="4A0DF2B8" w:rsidR="008E0B19" w:rsidRPr="008E0B19" w:rsidRDefault="008E0B19" w:rsidP="008E0B19">
      <w:pPr>
        <w:spacing w:before="120" w:after="120" w:line="276" w:lineRule="auto"/>
        <w:jc w:val="both"/>
        <w:rPr>
          <w:rFonts w:ascii="Times New Roman" w:hAnsi="Times New Roman" w:cs="Times New Roman"/>
          <w:sz w:val="24"/>
          <w:szCs w:val="24"/>
        </w:rPr>
      </w:pPr>
      <w:r w:rsidRPr="008E0B19">
        <w:rPr>
          <w:rFonts w:ascii="Times New Roman" w:hAnsi="Times New Roman" w:cs="Times New Roman"/>
          <w:sz w:val="24"/>
          <w:szCs w:val="24"/>
        </w:rPr>
        <w:t xml:space="preserve">CNC îndeplinește, astfel, un rol dublu: pe de o parte, sprijină modernizarea și transparența sistemului național de calificări, iar pe de altă parte, contribuie la integrarea Republicii Moldova în spațiul european al educației și formării profesionale. În același timp, </w:t>
      </w:r>
      <w:r w:rsidR="00D80080">
        <w:rPr>
          <w:rFonts w:ascii="Times New Roman" w:hAnsi="Times New Roman" w:cs="Times New Roman"/>
          <w:sz w:val="24"/>
          <w:szCs w:val="24"/>
        </w:rPr>
        <w:t>CNC</w:t>
      </w:r>
      <w:r w:rsidRPr="008E0B19">
        <w:rPr>
          <w:rFonts w:ascii="Times New Roman" w:hAnsi="Times New Roman" w:cs="Times New Roman"/>
          <w:sz w:val="24"/>
          <w:szCs w:val="24"/>
        </w:rPr>
        <w:t xml:space="preserve"> promovează o cultură a învățării pe tot parcursul vieții, oferind indivizilor posibilitatea de a-și valorifica competențele dobândite în contexte diverse și de a-și continua parcursul profesional și educațional într-un mod flexibil și recunoscut.</w:t>
      </w:r>
    </w:p>
    <w:p w14:paraId="4C612C44" w14:textId="77777777" w:rsidR="00DE54F2" w:rsidRDefault="008E0B19" w:rsidP="008E0B19">
      <w:pPr>
        <w:spacing w:before="120" w:after="120" w:line="276" w:lineRule="auto"/>
        <w:jc w:val="both"/>
        <w:rPr>
          <w:rFonts w:ascii="Times New Roman" w:hAnsi="Times New Roman" w:cs="Times New Roman"/>
          <w:sz w:val="24"/>
          <w:szCs w:val="24"/>
        </w:rPr>
      </w:pPr>
      <w:r w:rsidRPr="008E0B19">
        <w:rPr>
          <w:rFonts w:ascii="Times New Roman" w:hAnsi="Times New Roman" w:cs="Times New Roman"/>
          <w:sz w:val="24"/>
          <w:szCs w:val="24"/>
        </w:rPr>
        <w:t>Prin rolul său de mecanism de coerență și transparență, CNC devine o componentă esențială a arhitecturii educaționale și instituționale a țării, contribuind la creșterea încrederii în calificările naționale, la mobilitatea academică și profesională și la consolidarea dimensiunii europene a politicilor educaționale ale Republicii Moldova.</w:t>
      </w:r>
    </w:p>
    <w:p w14:paraId="3E5760F0" w14:textId="062173B9" w:rsidR="00B94119" w:rsidRDefault="009B0773" w:rsidP="008E0B19">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Astfel, e</w:t>
      </w:r>
      <w:r w:rsidRPr="001102D2">
        <w:rPr>
          <w:rFonts w:ascii="Times New Roman" w:eastAsia="Times New Roman" w:hAnsi="Times New Roman" w:cs="Times New Roman"/>
          <w:kern w:val="0"/>
          <w:sz w:val="24"/>
          <w:szCs w:val="24"/>
          <w:lang w:val="ro-MD" w:eastAsia="ro-MD"/>
          <w14:ligatures w14:val="none"/>
        </w:rPr>
        <w:t xml:space="preserve">voluția </w:t>
      </w:r>
      <w:r w:rsidR="00B94119">
        <w:rPr>
          <w:rFonts w:ascii="Times New Roman" w:eastAsia="Times New Roman" w:hAnsi="Times New Roman" w:cs="Times New Roman"/>
          <w:kern w:val="0"/>
          <w:sz w:val="24"/>
          <w:szCs w:val="24"/>
          <w:lang w:val="ro-MD" w:eastAsia="ro-MD"/>
          <w14:ligatures w14:val="none"/>
        </w:rPr>
        <w:t>CNC</w:t>
      </w:r>
      <w:r w:rsidRPr="001102D2">
        <w:rPr>
          <w:rFonts w:ascii="Times New Roman" w:eastAsia="Times New Roman" w:hAnsi="Times New Roman" w:cs="Times New Roman"/>
          <w:kern w:val="0"/>
          <w:sz w:val="24"/>
          <w:szCs w:val="24"/>
          <w:lang w:val="ro-MD" w:eastAsia="ro-MD"/>
          <w14:ligatures w14:val="none"/>
        </w:rPr>
        <w:t xml:space="preserve"> în Republica Moldova a fost una progresivă și etapizată, reflectând maturizarea instituțională și politică a sistemului național de educație și formare profesională.</w:t>
      </w:r>
      <w:r w:rsidR="00CA1BC2">
        <w:rPr>
          <w:rFonts w:ascii="Times New Roman" w:eastAsia="Times New Roman" w:hAnsi="Times New Roman" w:cs="Times New Roman"/>
          <w:kern w:val="0"/>
          <w:sz w:val="24"/>
          <w:szCs w:val="24"/>
          <w:lang w:val="ro-MD" w:eastAsia="ro-MD"/>
          <w14:ligatures w14:val="none"/>
        </w:rPr>
        <w:t xml:space="preserve"> </w:t>
      </w:r>
    </w:p>
    <w:p w14:paraId="6F40C6AF" w14:textId="02D84839" w:rsidR="001F7407" w:rsidRDefault="001F7407" w:rsidP="00CA1BC2">
      <w:pPr>
        <w:spacing w:before="120" w:after="120" w:line="276" w:lineRule="auto"/>
        <w:jc w:val="both"/>
      </w:pPr>
      <w:r w:rsidRPr="00CA1BC2">
        <w:rPr>
          <w:rFonts w:ascii="Times New Roman" w:eastAsia="Times New Roman" w:hAnsi="Times New Roman" w:cs="Times New Roman"/>
          <w:kern w:val="0"/>
          <w:sz w:val="24"/>
          <w:szCs w:val="24"/>
          <w:lang w:val="ro-MD" w:eastAsia="ro-MD"/>
          <w14:ligatures w14:val="none"/>
        </w:rPr>
        <w:t>Implementarea CNC se realizează în baza Foii de parcurs pentru operaționalizarea CNC 2023–2027</w:t>
      </w:r>
      <w:r w:rsidR="005611FC" w:rsidRPr="00CA1BC2">
        <w:rPr>
          <w:rFonts w:ascii="Times New Roman" w:eastAsia="Times New Roman" w:hAnsi="Times New Roman" w:cs="Times New Roman"/>
          <w:kern w:val="0"/>
          <w:sz w:val="24"/>
          <w:szCs w:val="24"/>
          <w:lang w:val="ro-MD" w:eastAsia="ro-MD"/>
          <w14:ligatures w14:val="none"/>
        </w:rPr>
        <w:t xml:space="preserve"> (HG 330/2023)</w:t>
      </w:r>
      <w:r w:rsidRPr="00CA1BC2">
        <w:rPr>
          <w:rFonts w:ascii="Times New Roman" w:eastAsia="Times New Roman" w:hAnsi="Times New Roman" w:cs="Times New Roman"/>
          <w:kern w:val="0"/>
          <w:sz w:val="24"/>
          <w:szCs w:val="24"/>
          <w:lang w:val="ro-MD" w:eastAsia="ro-MD"/>
          <w14:ligatures w14:val="none"/>
        </w:rPr>
        <w:t>, sub coordonarea Ministerului Educației și Cercetării, în calitate de Punct Național de Coordonare EQF (MD NCP-EQF).</w:t>
      </w:r>
    </w:p>
    <w:p w14:paraId="5823FC17" w14:textId="28705DBE" w:rsidR="00433C33" w:rsidRPr="00433C33" w:rsidRDefault="00EE5D44" w:rsidP="009F019B">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Pr>
          <w:rFonts w:ascii="Times New Roman" w:eastAsia="Times New Roman" w:hAnsi="Times New Roman" w:cs="Times New Roman"/>
          <w:b/>
          <w:bCs/>
          <w:color w:val="3494BA" w:themeColor="accent1"/>
          <w:kern w:val="0"/>
          <w:sz w:val="24"/>
          <w:szCs w:val="24"/>
          <w:lang w:val="ro-MD" w:eastAsia="ro-MD"/>
          <w14:ligatures w14:val="none"/>
        </w:rPr>
        <w:t xml:space="preserve">1.3 </w:t>
      </w:r>
      <w:r w:rsidR="00433C33" w:rsidRPr="00433C33">
        <w:rPr>
          <w:rFonts w:ascii="Times New Roman" w:eastAsia="Times New Roman" w:hAnsi="Times New Roman" w:cs="Times New Roman"/>
          <w:b/>
          <w:bCs/>
          <w:color w:val="3494BA" w:themeColor="accent1"/>
          <w:kern w:val="0"/>
          <w:sz w:val="24"/>
          <w:szCs w:val="24"/>
          <w:lang w:val="ro-MD" w:eastAsia="ro-MD"/>
          <w14:ligatures w14:val="none"/>
        </w:rPr>
        <w:t xml:space="preserve">Cadrul european de cooperare și </w:t>
      </w:r>
      <w:r w:rsidR="00862FC5" w:rsidRPr="00433C33">
        <w:rPr>
          <w:rFonts w:ascii="Times New Roman" w:eastAsia="Times New Roman" w:hAnsi="Times New Roman" w:cs="Times New Roman"/>
          <w:b/>
          <w:bCs/>
          <w:color w:val="3494BA" w:themeColor="accent1"/>
          <w:kern w:val="0"/>
          <w:sz w:val="24"/>
          <w:szCs w:val="24"/>
          <w:lang w:val="ro-MD" w:eastAsia="ro-MD"/>
          <w14:ligatures w14:val="none"/>
        </w:rPr>
        <w:t>internaționalizarea sistemului educațional</w:t>
      </w:r>
    </w:p>
    <w:p w14:paraId="7B94BB5B" w14:textId="77777777" w:rsidR="00D20654" w:rsidRPr="00D20654" w:rsidRDefault="00D20654" w:rsidP="00211645">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20654">
        <w:rPr>
          <w:rFonts w:ascii="Times New Roman" w:eastAsia="Times New Roman" w:hAnsi="Times New Roman" w:cs="Times New Roman"/>
          <w:kern w:val="0"/>
          <w:sz w:val="24"/>
          <w:szCs w:val="24"/>
          <w:lang w:val="ro-MD" w:eastAsia="ro-MD"/>
          <w14:ligatures w14:val="none"/>
        </w:rPr>
        <w:t xml:space="preserve">Cadrul european de cooperare în domeniul calificărilor oferă fundamentele conceptuale și metodologice care ghidează procesul de referențiere și </w:t>
      </w:r>
      <w:proofErr w:type="spellStart"/>
      <w:r w:rsidRPr="00D20654">
        <w:rPr>
          <w:rFonts w:ascii="Times New Roman" w:eastAsia="Times New Roman" w:hAnsi="Times New Roman" w:cs="Times New Roman"/>
          <w:kern w:val="0"/>
          <w:sz w:val="24"/>
          <w:szCs w:val="24"/>
          <w:lang w:val="ro-MD" w:eastAsia="ro-MD"/>
          <w14:ligatures w14:val="none"/>
        </w:rPr>
        <w:t>autocertificare</w:t>
      </w:r>
      <w:proofErr w:type="spellEnd"/>
      <w:r w:rsidRPr="00D20654">
        <w:rPr>
          <w:rFonts w:ascii="Times New Roman" w:eastAsia="Times New Roman" w:hAnsi="Times New Roman" w:cs="Times New Roman"/>
          <w:kern w:val="0"/>
          <w:sz w:val="24"/>
          <w:szCs w:val="24"/>
          <w:lang w:val="ro-MD" w:eastAsia="ro-MD"/>
          <w14:ligatures w14:val="none"/>
        </w:rPr>
        <w:t>.</w:t>
      </w:r>
    </w:p>
    <w:p w14:paraId="2BFA2A7B" w14:textId="77777777" w:rsidR="007E6709" w:rsidRPr="0086080D" w:rsidRDefault="00D20654" w:rsidP="00211645">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D20654">
        <w:rPr>
          <w:rFonts w:ascii="Times New Roman" w:eastAsia="Times New Roman" w:hAnsi="Times New Roman" w:cs="Times New Roman"/>
          <w:b/>
          <w:bCs/>
          <w:color w:val="3494BA" w:themeColor="accent1"/>
          <w:kern w:val="0"/>
          <w:sz w:val="24"/>
          <w:szCs w:val="24"/>
          <w:lang w:val="ro-MD" w:eastAsia="ro-MD"/>
          <w14:ligatures w14:val="none"/>
        </w:rPr>
        <w:t>Integrarea europeană și Acordul de Asociere RM–UE</w:t>
      </w:r>
    </w:p>
    <w:p w14:paraId="24FEC3D7" w14:textId="240A3968" w:rsidR="00FC640E" w:rsidRPr="00211645" w:rsidRDefault="006C2AB8" w:rsidP="00211645">
      <w:pPr>
        <w:spacing w:before="120" w:after="120" w:line="276" w:lineRule="auto"/>
        <w:jc w:val="both"/>
        <w:rPr>
          <w:rFonts w:ascii="Times New Roman" w:hAnsi="Times New Roman" w:cs="Times New Roman"/>
          <w:sz w:val="24"/>
          <w:szCs w:val="24"/>
        </w:rPr>
      </w:pPr>
      <w:r w:rsidRPr="00211645">
        <w:rPr>
          <w:rFonts w:ascii="Times New Roman" w:hAnsi="Times New Roman" w:cs="Times New Roman"/>
          <w:sz w:val="24"/>
          <w:szCs w:val="24"/>
        </w:rPr>
        <w:t xml:space="preserve">În plan politic și strategic, </w:t>
      </w:r>
      <w:r w:rsidR="00FC640E" w:rsidRPr="00211645">
        <w:rPr>
          <w:rStyle w:val="afd"/>
          <w:rFonts w:ascii="Times New Roman" w:hAnsi="Times New Roman" w:cs="Times New Roman"/>
          <w:sz w:val="24"/>
          <w:szCs w:val="24"/>
        </w:rPr>
        <w:t>Acordul de Asociere dintre Republica Moldova și Uniunea Europeană (2014)</w:t>
      </w:r>
      <w:r w:rsidR="00CB3F5A">
        <w:rPr>
          <w:rStyle w:val="afc"/>
          <w:rFonts w:ascii="Times New Roman" w:hAnsi="Times New Roman" w:cs="Times New Roman"/>
          <w:i/>
          <w:iCs/>
          <w:sz w:val="24"/>
          <w:szCs w:val="24"/>
        </w:rPr>
        <w:footnoteReference w:id="4"/>
      </w:r>
      <w:r w:rsidR="00FC640E" w:rsidRPr="00211645">
        <w:rPr>
          <w:rFonts w:ascii="Times New Roman" w:hAnsi="Times New Roman" w:cs="Times New Roman"/>
          <w:sz w:val="24"/>
          <w:szCs w:val="24"/>
        </w:rPr>
        <w:t xml:space="preserve">, în special </w:t>
      </w:r>
      <w:r w:rsidR="00FC640E" w:rsidRPr="00211645">
        <w:rPr>
          <w:rStyle w:val="afd"/>
          <w:rFonts w:ascii="Times New Roman" w:hAnsi="Times New Roman" w:cs="Times New Roman"/>
          <w:sz w:val="24"/>
          <w:szCs w:val="24"/>
        </w:rPr>
        <w:t>Capitolul 4 – Ocuparea forței de muncă, politica socială și egalitatea de șanse</w:t>
      </w:r>
      <w:r w:rsidR="00FC640E" w:rsidRPr="00211645">
        <w:rPr>
          <w:rFonts w:ascii="Times New Roman" w:hAnsi="Times New Roman" w:cs="Times New Roman"/>
          <w:sz w:val="24"/>
          <w:szCs w:val="24"/>
        </w:rPr>
        <w:t xml:space="preserve">, stabilește angajamente clare privind alinierea cadrului național la standardele Uniunii Europene, inclusiv în domeniul </w:t>
      </w:r>
      <w:r w:rsidR="00FC640E" w:rsidRPr="00211645">
        <w:rPr>
          <w:rFonts w:ascii="Times New Roman" w:hAnsi="Times New Roman" w:cs="Times New Roman"/>
          <w:sz w:val="24"/>
          <w:szCs w:val="24"/>
        </w:rPr>
        <w:lastRenderedPageBreak/>
        <w:t xml:space="preserve">calificărilor, educației și formării profesionale. </w:t>
      </w:r>
      <w:r w:rsidR="00FC640E" w:rsidRPr="00211645">
        <w:rPr>
          <w:rStyle w:val="afd"/>
          <w:rFonts w:ascii="Times New Roman" w:hAnsi="Times New Roman" w:cs="Times New Roman"/>
          <w:sz w:val="24"/>
          <w:szCs w:val="24"/>
        </w:rPr>
        <w:t>Agenda de Asociere RM–UE (2021–2027)</w:t>
      </w:r>
      <w:r w:rsidR="00D84570">
        <w:rPr>
          <w:rStyle w:val="afc"/>
          <w:rFonts w:ascii="Times New Roman" w:hAnsi="Times New Roman" w:cs="Times New Roman"/>
          <w:i/>
          <w:iCs/>
          <w:sz w:val="24"/>
          <w:szCs w:val="24"/>
        </w:rPr>
        <w:footnoteReference w:id="5"/>
      </w:r>
      <w:r w:rsidR="00FC640E" w:rsidRPr="00211645">
        <w:rPr>
          <w:rFonts w:ascii="Times New Roman" w:hAnsi="Times New Roman" w:cs="Times New Roman"/>
          <w:sz w:val="24"/>
          <w:szCs w:val="24"/>
        </w:rPr>
        <w:t xml:space="preserve"> confirmă continuarea acestui proces prin promovarea educației incluzive, </w:t>
      </w:r>
      <w:r w:rsidR="006D26A4" w:rsidRPr="00D20654">
        <w:rPr>
          <w:rFonts w:ascii="Times New Roman" w:eastAsia="Times New Roman" w:hAnsi="Times New Roman" w:cs="Times New Roman"/>
          <w:kern w:val="0"/>
          <w:sz w:val="24"/>
          <w:szCs w:val="24"/>
          <w:lang w:val="ro-MD" w:eastAsia="ro-MD"/>
          <w14:ligatures w14:val="none"/>
        </w:rPr>
        <w:t>formarea competențelor digitale și verzi</w:t>
      </w:r>
      <w:r w:rsidR="00FC640E" w:rsidRPr="00211645">
        <w:rPr>
          <w:rFonts w:ascii="Times New Roman" w:hAnsi="Times New Roman" w:cs="Times New Roman"/>
          <w:sz w:val="24"/>
          <w:szCs w:val="24"/>
        </w:rPr>
        <w:t>, precum și prin consolidarea Cadrului Național al Calificărilor</w:t>
      </w:r>
      <w:r w:rsidR="009F08DD">
        <w:rPr>
          <w:rFonts w:ascii="Times New Roman" w:hAnsi="Times New Roman" w:cs="Times New Roman"/>
          <w:sz w:val="24"/>
          <w:szCs w:val="24"/>
        </w:rPr>
        <w:t>.</w:t>
      </w:r>
    </w:p>
    <w:p w14:paraId="028D284F" w14:textId="77777777" w:rsidR="00967937" w:rsidRPr="0086080D" w:rsidRDefault="00967937" w:rsidP="00967937">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D20654">
        <w:rPr>
          <w:rFonts w:ascii="Times New Roman" w:eastAsia="Times New Roman" w:hAnsi="Times New Roman" w:cs="Times New Roman"/>
          <w:b/>
          <w:bCs/>
          <w:color w:val="3494BA" w:themeColor="accent1"/>
          <w:kern w:val="0"/>
          <w:sz w:val="24"/>
          <w:szCs w:val="24"/>
          <w:lang w:val="ro-MD" w:eastAsia="ro-MD"/>
          <w14:ligatures w14:val="none"/>
        </w:rPr>
        <w:t>Participarea Republicii Moldova la Procesul Bologna</w:t>
      </w:r>
    </w:p>
    <w:p w14:paraId="7C501EFC" w14:textId="77777777" w:rsidR="00967937" w:rsidRPr="00211645" w:rsidRDefault="00967937" w:rsidP="0096793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20654">
        <w:rPr>
          <w:rFonts w:ascii="Times New Roman" w:eastAsia="Times New Roman" w:hAnsi="Times New Roman" w:cs="Times New Roman"/>
          <w:kern w:val="0"/>
          <w:sz w:val="24"/>
          <w:szCs w:val="24"/>
          <w:lang w:val="ro-MD" w:eastAsia="ro-MD"/>
          <w14:ligatures w14:val="none"/>
        </w:rPr>
        <w:t xml:space="preserve">Prin aderarea la </w:t>
      </w:r>
      <w:r w:rsidRPr="00D20654">
        <w:rPr>
          <w:rFonts w:ascii="Times New Roman" w:eastAsia="Times New Roman" w:hAnsi="Times New Roman" w:cs="Times New Roman"/>
          <w:i/>
          <w:iCs/>
          <w:kern w:val="0"/>
          <w:sz w:val="24"/>
          <w:szCs w:val="24"/>
          <w:lang w:val="ro-MD" w:eastAsia="ro-MD"/>
          <w14:ligatures w14:val="none"/>
        </w:rPr>
        <w:t>Procesul Bologna</w:t>
      </w:r>
      <w:r w:rsidRPr="00D20654">
        <w:rPr>
          <w:rFonts w:ascii="Times New Roman" w:eastAsia="Times New Roman" w:hAnsi="Times New Roman" w:cs="Times New Roman"/>
          <w:kern w:val="0"/>
          <w:sz w:val="24"/>
          <w:szCs w:val="24"/>
          <w:lang w:val="ro-MD" w:eastAsia="ro-MD"/>
          <w14:ligatures w14:val="none"/>
        </w:rPr>
        <w:t xml:space="preserve"> (2005), Republica Moldova a devenit parte a </w:t>
      </w:r>
      <w:r w:rsidRPr="00D20654">
        <w:rPr>
          <w:rFonts w:ascii="Times New Roman" w:eastAsia="Times New Roman" w:hAnsi="Times New Roman" w:cs="Times New Roman"/>
          <w:i/>
          <w:iCs/>
          <w:kern w:val="0"/>
          <w:sz w:val="24"/>
          <w:szCs w:val="24"/>
          <w:lang w:val="ro-MD" w:eastAsia="ro-MD"/>
          <w14:ligatures w14:val="none"/>
        </w:rPr>
        <w:t>Spațiului European al Învățământului Superior (EHEA)</w:t>
      </w:r>
      <w:r w:rsidRPr="00D20654">
        <w:rPr>
          <w:rFonts w:ascii="Times New Roman" w:eastAsia="Times New Roman" w:hAnsi="Times New Roman" w:cs="Times New Roman"/>
          <w:kern w:val="0"/>
          <w:sz w:val="24"/>
          <w:szCs w:val="24"/>
          <w:lang w:val="ro-MD" w:eastAsia="ro-MD"/>
          <w14:ligatures w14:val="none"/>
        </w:rPr>
        <w:t xml:space="preserve">, asumând reforme esențiale precum: structura pe cicluri, implementarea sistemului de credite (ECTS), asigurarea calității și recunoașterea diplomelor. În 2010, prin </w:t>
      </w:r>
      <w:r w:rsidRPr="00D20654">
        <w:rPr>
          <w:rFonts w:ascii="Times New Roman" w:eastAsia="Times New Roman" w:hAnsi="Times New Roman" w:cs="Times New Roman"/>
          <w:i/>
          <w:iCs/>
          <w:kern w:val="0"/>
          <w:sz w:val="24"/>
          <w:szCs w:val="24"/>
          <w:lang w:val="ro-MD" w:eastAsia="ro-MD"/>
          <w14:ligatures w14:val="none"/>
        </w:rPr>
        <w:t>Declarația de la Budapesta–Viena</w:t>
      </w:r>
      <w:r w:rsidRPr="00D20654">
        <w:rPr>
          <w:rFonts w:ascii="Times New Roman" w:eastAsia="Times New Roman" w:hAnsi="Times New Roman" w:cs="Times New Roman"/>
          <w:kern w:val="0"/>
          <w:sz w:val="24"/>
          <w:szCs w:val="24"/>
          <w:lang w:val="ro-MD" w:eastAsia="ro-MD"/>
          <w14:ligatures w14:val="none"/>
        </w:rPr>
        <w:t xml:space="preserve">, Republica Moldova a confirmat angajamentul pentru consolidarea QF-EHEA, participând activ în </w:t>
      </w:r>
      <w:r w:rsidRPr="00D20654">
        <w:rPr>
          <w:rFonts w:ascii="Times New Roman" w:eastAsia="Times New Roman" w:hAnsi="Times New Roman" w:cs="Times New Roman"/>
          <w:i/>
          <w:iCs/>
          <w:kern w:val="0"/>
          <w:sz w:val="24"/>
          <w:szCs w:val="24"/>
          <w:lang w:val="ro-MD" w:eastAsia="ro-MD"/>
          <w14:ligatures w14:val="none"/>
        </w:rPr>
        <w:t>Bologna Follow-Up Group (BFUG)</w:t>
      </w:r>
      <w:r w:rsidRPr="00D20654">
        <w:rPr>
          <w:rFonts w:ascii="Times New Roman" w:eastAsia="Times New Roman" w:hAnsi="Times New Roman" w:cs="Times New Roman"/>
          <w:kern w:val="0"/>
          <w:sz w:val="24"/>
          <w:szCs w:val="24"/>
          <w:lang w:val="ro-MD" w:eastAsia="ro-MD"/>
          <w14:ligatures w14:val="none"/>
        </w:rPr>
        <w:t>.</w:t>
      </w:r>
    </w:p>
    <w:p w14:paraId="74FD6811" w14:textId="77777777" w:rsidR="007E6709" w:rsidRPr="008761C6" w:rsidRDefault="00D20654" w:rsidP="00211645">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D20654">
        <w:rPr>
          <w:rFonts w:ascii="Times New Roman" w:eastAsia="Times New Roman" w:hAnsi="Times New Roman" w:cs="Times New Roman"/>
          <w:b/>
          <w:bCs/>
          <w:color w:val="3494BA" w:themeColor="accent1"/>
          <w:kern w:val="0"/>
          <w:sz w:val="24"/>
          <w:szCs w:val="24"/>
          <w:lang w:val="ro-MD" w:eastAsia="ro-MD"/>
          <w14:ligatures w14:val="none"/>
        </w:rPr>
        <w:t>Instrumente și cadre internaționale de referință</w:t>
      </w:r>
    </w:p>
    <w:p w14:paraId="084BCA02" w14:textId="7F8610C0" w:rsidR="00D20654" w:rsidRPr="00D20654" w:rsidRDefault="00D20654" w:rsidP="00211645">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20654">
        <w:rPr>
          <w:rFonts w:ascii="Times New Roman" w:eastAsia="Times New Roman" w:hAnsi="Times New Roman" w:cs="Times New Roman"/>
          <w:kern w:val="0"/>
          <w:sz w:val="24"/>
          <w:szCs w:val="24"/>
          <w:lang w:val="ro-MD" w:eastAsia="ro-MD"/>
          <w14:ligatures w14:val="none"/>
        </w:rPr>
        <w:t xml:space="preserve">Republica Moldova este parte la </w:t>
      </w:r>
      <w:r w:rsidRPr="00D20654">
        <w:rPr>
          <w:rFonts w:ascii="Times New Roman" w:eastAsia="Times New Roman" w:hAnsi="Times New Roman" w:cs="Times New Roman"/>
          <w:i/>
          <w:iCs/>
          <w:kern w:val="0"/>
          <w:sz w:val="24"/>
          <w:szCs w:val="24"/>
          <w:lang w:val="ro-MD" w:eastAsia="ro-MD"/>
          <w14:ligatures w14:val="none"/>
        </w:rPr>
        <w:t>Convenția de la Lisabona privind recunoașterea calificărilor în învățământul superior în regiunea europeană (1997)</w:t>
      </w:r>
      <w:r w:rsidRPr="00D20654">
        <w:rPr>
          <w:rFonts w:ascii="Times New Roman" w:eastAsia="Times New Roman" w:hAnsi="Times New Roman" w:cs="Times New Roman"/>
          <w:kern w:val="0"/>
          <w:sz w:val="24"/>
          <w:szCs w:val="24"/>
          <w:lang w:val="ro-MD" w:eastAsia="ro-MD"/>
          <w14:ligatures w14:val="none"/>
        </w:rPr>
        <w:t xml:space="preserve"> și semnatară a </w:t>
      </w:r>
      <w:r w:rsidRPr="00D20654">
        <w:rPr>
          <w:rFonts w:ascii="Times New Roman" w:eastAsia="Times New Roman" w:hAnsi="Times New Roman" w:cs="Times New Roman"/>
          <w:i/>
          <w:iCs/>
          <w:kern w:val="0"/>
          <w:sz w:val="24"/>
          <w:szCs w:val="24"/>
          <w:lang w:val="ro-MD" w:eastAsia="ro-MD"/>
          <w14:ligatures w14:val="none"/>
        </w:rPr>
        <w:t>Convenției Globale UNESCO privind recunoașterea calificărilor în învățământul superior (2019)</w:t>
      </w:r>
      <w:r w:rsidRPr="00D20654">
        <w:rPr>
          <w:rFonts w:ascii="Times New Roman" w:eastAsia="Times New Roman" w:hAnsi="Times New Roman" w:cs="Times New Roman"/>
          <w:kern w:val="0"/>
          <w:sz w:val="24"/>
          <w:szCs w:val="24"/>
          <w:lang w:val="ro-MD" w:eastAsia="ro-MD"/>
          <w14:ligatures w14:val="none"/>
        </w:rPr>
        <w:t xml:space="preserve">, </w:t>
      </w:r>
      <w:r w:rsidR="000936C7" w:rsidRPr="00211645">
        <w:rPr>
          <w:rFonts w:ascii="Times New Roman" w:hAnsi="Times New Roman" w:cs="Times New Roman"/>
          <w:sz w:val="24"/>
          <w:szCs w:val="24"/>
        </w:rPr>
        <w:t xml:space="preserve">reafirmând angajamentul față de principiile recunoașterii echitabile, </w:t>
      </w:r>
      <w:r w:rsidR="008B4318" w:rsidRPr="00D20654">
        <w:rPr>
          <w:rFonts w:ascii="Times New Roman" w:eastAsia="Times New Roman" w:hAnsi="Times New Roman" w:cs="Times New Roman"/>
          <w:kern w:val="0"/>
          <w:sz w:val="24"/>
          <w:szCs w:val="24"/>
          <w:lang w:val="ro-MD" w:eastAsia="ro-MD"/>
          <w14:ligatures w14:val="none"/>
        </w:rPr>
        <w:t>transparenței</w:t>
      </w:r>
      <w:r w:rsidR="008B4318" w:rsidRPr="00211645">
        <w:rPr>
          <w:rFonts w:ascii="Times New Roman" w:eastAsia="Times New Roman" w:hAnsi="Times New Roman" w:cs="Times New Roman"/>
          <w:kern w:val="0"/>
          <w:sz w:val="24"/>
          <w:szCs w:val="24"/>
          <w:lang w:val="ro-MD" w:eastAsia="ro-MD"/>
          <w14:ligatures w14:val="none"/>
        </w:rPr>
        <w:t>,</w:t>
      </w:r>
      <w:r w:rsidR="008B4318" w:rsidRPr="00D20654">
        <w:rPr>
          <w:rFonts w:ascii="Times New Roman" w:eastAsia="Times New Roman" w:hAnsi="Times New Roman" w:cs="Times New Roman"/>
          <w:kern w:val="0"/>
          <w:sz w:val="24"/>
          <w:szCs w:val="24"/>
          <w:lang w:val="ro-MD" w:eastAsia="ro-MD"/>
          <w14:ligatures w14:val="none"/>
        </w:rPr>
        <w:t xml:space="preserve"> </w:t>
      </w:r>
      <w:r w:rsidR="000936C7" w:rsidRPr="00211645">
        <w:rPr>
          <w:rFonts w:ascii="Times New Roman" w:hAnsi="Times New Roman" w:cs="Times New Roman"/>
          <w:sz w:val="24"/>
          <w:szCs w:val="24"/>
        </w:rPr>
        <w:t xml:space="preserve">mobilității </w:t>
      </w:r>
      <w:r w:rsidR="00937E78" w:rsidRPr="00D20654">
        <w:rPr>
          <w:rFonts w:ascii="Times New Roman" w:eastAsia="Times New Roman" w:hAnsi="Times New Roman" w:cs="Times New Roman"/>
          <w:kern w:val="0"/>
          <w:sz w:val="24"/>
          <w:szCs w:val="24"/>
          <w:lang w:val="ro-MD" w:eastAsia="ro-MD"/>
          <w14:ligatures w14:val="none"/>
        </w:rPr>
        <w:t>internaționale</w:t>
      </w:r>
      <w:r w:rsidR="00937E78" w:rsidRPr="00211645">
        <w:rPr>
          <w:rFonts w:ascii="Times New Roman" w:hAnsi="Times New Roman" w:cs="Times New Roman"/>
          <w:sz w:val="24"/>
          <w:szCs w:val="24"/>
        </w:rPr>
        <w:t xml:space="preserve"> </w:t>
      </w:r>
      <w:r w:rsidR="000936C7" w:rsidRPr="00211645">
        <w:rPr>
          <w:rFonts w:ascii="Times New Roman" w:hAnsi="Times New Roman" w:cs="Times New Roman"/>
          <w:sz w:val="24"/>
          <w:szCs w:val="24"/>
        </w:rPr>
        <w:t>și învățării continue</w:t>
      </w:r>
      <w:r w:rsidR="008B4318" w:rsidRPr="00211645">
        <w:rPr>
          <w:rFonts w:ascii="Times New Roman" w:eastAsia="Times New Roman" w:hAnsi="Times New Roman" w:cs="Times New Roman"/>
          <w:kern w:val="0"/>
          <w:sz w:val="24"/>
          <w:szCs w:val="24"/>
          <w:lang w:val="ro-MD" w:eastAsia="ro-MD"/>
          <w14:ligatures w14:val="none"/>
        </w:rPr>
        <w:t>.</w:t>
      </w:r>
    </w:p>
    <w:p w14:paraId="5E917409" w14:textId="5B626178" w:rsidR="00D20654" w:rsidRPr="00D20654" w:rsidRDefault="00D20654" w:rsidP="00211645">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20654">
        <w:rPr>
          <w:rFonts w:ascii="Times New Roman" w:eastAsia="Times New Roman" w:hAnsi="Times New Roman" w:cs="Times New Roman"/>
          <w:kern w:val="0"/>
          <w:sz w:val="24"/>
          <w:szCs w:val="24"/>
          <w:lang w:val="ro-MD" w:eastAsia="ro-MD"/>
          <w14:ligatures w14:val="none"/>
        </w:rPr>
        <w:t xml:space="preserve">De asemenea, Republica Moldova participă activ la inițiativele </w:t>
      </w:r>
      <w:r w:rsidRPr="00D20654">
        <w:rPr>
          <w:rFonts w:ascii="Times New Roman" w:eastAsia="Times New Roman" w:hAnsi="Times New Roman" w:cs="Times New Roman"/>
          <w:i/>
          <w:iCs/>
          <w:kern w:val="0"/>
          <w:sz w:val="24"/>
          <w:szCs w:val="24"/>
          <w:lang w:val="ro-MD" w:eastAsia="ro-MD"/>
          <w14:ligatures w14:val="none"/>
        </w:rPr>
        <w:t>European Training Foundation (ETF)</w:t>
      </w:r>
      <w:r w:rsidRPr="00D20654">
        <w:rPr>
          <w:rFonts w:ascii="Times New Roman" w:eastAsia="Times New Roman" w:hAnsi="Times New Roman" w:cs="Times New Roman"/>
          <w:kern w:val="0"/>
          <w:sz w:val="24"/>
          <w:szCs w:val="24"/>
          <w:lang w:val="ro-MD" w:eastAsia="ro-MD"/>
          <w14:ligatures w14:val="none"/>
        </w:rPr>
        <w:t xml:space="preserve"> și la </w:t>
      </w:r>
      <w:r w:rsidRPr="00D20654">
        <w:rPr>
          <w:rFonts w:ascii="Times New Roman" w:eastAsia="Times New Roman" w:hAnsi="Times New Roman" w:cs="Times New Roman"/>
          <w:i/>
          <w:iCs/>
          <w:kern w:val="0"/>
          <w:sz w:val="24"/>
          <w:szCs w:val="24"/>
          <w:lang w:val="ro-MD" w:eastAsia="ro-MD"/>
          <w14:ligatures w14:val="none"/>
        </w:rPr>
        <w:t>Grupul Consultativ EQF</w:t>
      </w:r>
      <w:r w:rsidRPr="00D20654">
        <w:rPr>
          <w:rFonts w:ascii="Times New Roman" w:eastAsia="Times New Roman" w:hAnsi="Times New Roman" w:cs="Times New Roman"/>
          <w:kern w:val="0"/>
          <w:sz w:val="24"/>
          <w:szCs w:val="24"/>
          <w:lang w:val="ro-MD" w:eastAsia="ro-MD"/>
          <w14:ligatures w14:val="none"/>
        </w:rPr>
        <w:t xml:space="preserve">, beneficiind de sprijin metodologic în procesul de aliniere la </w:t>
      </w:r>
      <w:r w:rsidRPr="00D20654">
        <w:rPr>
          <w:rFonts w:ascii="Times New Roman" w:eastAsia="Times New Roman" w:hAnsi="Times New Roman" w:cs="Times New Roman"/>
          <w:i/>
          <w:iCs/>
          <w:kern w:val="0"/>
          <w:sz w:val="24"/>
          <w:szCs w:val="24"/>
          <w:lang w:val="ro-MD" w:eastAsia="ro-MD"/>
          <w14:ligatures w14:val="none"/>
        </w:rPr>
        <w:t>Recomandarea Consiliului Uniunii Europene privind Cadrul European al Calificărilor pentru învățarea pe tot parcursul vieții (2017/C 189/03)</w:t>
      </w:r>
      <w:r w:rsidRPr="00D20654">
        <w:rPr>
          <w:rFonts w:ascii="Times New Roman" w:eastAsia="Times New Roman" w:hAnsi="Times New Roman" w:cs="Times New Roman"/>
          <w:kern w:val="0"/>
          <w:sz w:val="24"/>
          <w:szCs w:val="24"/>
          <w:lang w:val="ro-MD" w:eastAsia="ro-MD"/>
          <w14:ligatures w14:val="none"/>
        </w:rPr>
        <w:t>, care constituie documentul-cadru de referință pentru procesul actual de referențiere.</w:t>
      </w:r>
    </w:p>
    <w:p w14:paraId="193CF296" w14:textId="42CCE42E" w:rsidR="00433C33" w:rsidRPr="00433C33" w:rsidRDefault="00433C33"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kern w:val="0"/>
          <w:sz w:val="24"/>
          <w:szCs w:val="24"/>
          <w:lang w:val="ro-MD" w:eastAsia="ro-MD"/>
          <w14:ligatures w14:val="none"/>
        </w:rPr>
        <w:t>Prin aceste angajamente, Republica Moldova consolidează internaționalizarea sistemului educațional și participarea activă la Spațiul European al Învățământului Superior (EHEA) și la Spațiul European al Competențelor, confirmând orientarea strategică spre integrare și recunoaștere reciprocă a calificărilor.</w:t>
      </w:r>
    </w:p>
    <w:p w14:paraId="5233326B" w14:textId="36C913C0" w:rsidR="00433C33" w:rsidRPr="00433C33" w:rsidRDefault="00EE5D44" w:rsidP="009F019B">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EE5D44">
        <w:rPr>
          <w:rFonts w:ascii="Times New Roman" w:eastAsia="Times New Roman" w:hAnsi="Times New Roman" w:cs="Times New Roman"/>
          <w:b/>
          <w:bCs/>
          <w:color w:val="3494BA" w:themeColor="accent1"/>
          <w:kern w:val="0"/>
          <w:sz w:val="24"/>
          <w:szCs w:val="24"/>
          <w:lang w:val="ro-MD" w:eastAsia="ro-MD"/>
          <w14:ligatures w14:val="none"/>
        </w:rPr>
        <w:t xml:space="preserve">1.4 </w:t>
      </w:r>
      <w:r w:rsidR="00433C33" w:rsidRPr="00433C33">
        <w:rPr>
          <w:rFonts w:ascii="Times New Roman" w:eastAsia="Times New Roman" w:hAnsi="Times New Roman" w:cs="Times New Roman"/>
          <w:b/>
          <w:bCs/>
          <w:color w:val="3494BA" w:themeColor="accent1"/>
          <w:kern w:val="0"/>
          <w:sz w:val="24"/>
          <w:szCs w:val="24"/>
          <w:lang w:val="ro-MD" w:eastAsia="ro-MD"/>
          <w14:ligatures w14:val="none"/>
        </w:rPr>
        <w:t>Metodologia și procesul de elaborare a raportului</w:t>
      </w:r>
    </w:p>
    <w:p w14:paraId="1122091E" w14:textId="7F058DD1" w:rsidR="00433C33" w:rsidRPr="00433C33" w:rsidRDefault="00433C33"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kern w:val="0"/>
          <w:sz w:val="24"/>
          <w:szCs w:val="24"/>
          <w:lang w:val="ro-MD" w:eastAsia="ro-MD"/>
          <w14:ligatures w14:val="none"/>
        </w:rPr>
        <w:t xml:space="preserve">Metodologia utilizată în elaborarea prezentului raport s-a bazat pe </w:t>
      </w:r>
      <w:r w:rsidRPr="00433C33">
        <w:rPr>
          <w:rFonts w:ascii="Times New Roman" w:eastAsia="Times New Roman" w:hAnsi="Times New Roman" w:cs="Times New Roman"/>
          <w:i/>
          <w:iCs/>
          <w:kern w:val="0"/>
          <w:sz w:val="24"/>
          <w:szCs w:val="24"/>
          <w:lang w:val="ro-MD" w:eastAsia="ro-MD"/>
          <w14:ligatures w14:val="none"/>
        </w:rPr>
        <w:t xml:space="preserve">Recomandarea Consiliului Uniunii Europene privind EQF </w:t>
      </w:r>
      <w:r w:rsidR="00E81632" w:rsidRPr="00E81632">
        <w:rPr>
          <w:rFonts w:ascii="Times New Roman" w:eastAsia="Times New Roman" w:hAnsi="Times New Roman" w:cs="Times New Roman"/>
          <w:i/>
          <w:iCs/>
          <w:kern w:val="0"/>
          <w:sz w:val="24"/>
          <w:szCs w:val="24"/>
          <w:lang w:val="ro-MD" w:eastAsia="ro-MD"/>
          <w14:ligatures w14:val="none"/>
        </w:rPr>
        <w:t>pentru învățarea pe tot parcursul vieții (2017/C 189/03)</w:t>
      </w:r>
      <w:r w:rsidR="00E81632">
        <w:rPr>
          <w:rFonts w:ascii="Times New Roman" w:eastAsia="Times New Roman" w:hAnsi="Times New Roman" w:cs="Times New Roman"/>
          <w:i/>
          <w:iCs/>
          <w:kern w:val="0"/>
          <w:sz w:val="24"/>
          <w:szCs w:val="24"/>
          <w:lang w:val="ro-MD" w:eastAsia="ro-MD"/>
          <w14:ligatures w14:val="none"/>
        </w:rPr>
        <w:t xml:space="preserve"> </w:t>
      </w:r>
      <w:r w:rsidRPr="00433C33">
        <w:rPr>
          <w:rFonts w:ascii="Times New Roman" w:eastAsia="Times New Roman" w:hAnsi="Times New Roman" w:cs="Times New Roman"/>
          <w:kern w:val="0"/>
          <w:sz w:val="24"/>
          <w:szCs w:val="24"/>
          <w:lang w:val="ro-MD" w:eastAsia="ro-MD"/>
          <w14:ligatures w14:val="none"/>
        </w:rPr>
        <w:t xml:space="preserve">și pe </w:t>
      </w:r>
      <w:r w:rsidR="00A55048">
        <w:rPr>
          <w:rFonts w:ascii="Times New Roman" w:eastAsia="Times New Roman" w:hAnsi="Times New Roman" w:cs="Times New Roman"/>
          <w:kern w:val="0"/>
          <w:sz w:val="24"/>
          <w:szCs w:val="24"/>
          <w:lang w:val="ro-MD" w:eastAsia="ro-MD"/>
          <w14:ligatures w14:val="none"/>
        </w:rPr>
        <w:t xml:space="preserve">Ghidul de </w:t>
      </w:r>
      <w:r w:rsidR="00120275" w:rsidRPr="0015296C">
        <w:rPr>
          <w:rFonts w:ascii="Times New Roman" w:eastAsia="Times New Roman" w:hAnsi="Times New Roman" w:cs="Times New Roman"/>
          <w:i/>
          <w:iCs/>
          <w:kern w:val="0"/>
          <w:sz w:val="24"/>
          <w:szCs w:val="24"/>
          <w:lang w:val="ro-MD" w:eastAsia="ro-MD"/>
          <w14:ligatures w14:val="none"/>
        </w:rPr>
        <w:t>Elaborare</w:t>
      </w:r>
      <w:r w:rsidR="00A55048">
        <w:rPr>
          <w:rFonts w:ascii="Times New Roman" w:eastAsia="Times New Roman" w:hAnsi="Times New Roman" w:cs="Times New Roman"/>
          <w:i/>
          <w:iCs/>
          <w:kern w:val="0"/>
          <w:sz w:val="24"/>
          <w:szCs w:val="24"/>
          <w:lang w:val="ro-MD" w:eastAsia="ro-MD"/>
          <w14:ligatures w14:val="none"/>
        </w:rPr>
        <w:t xml:space="preserve"> </w:t>
      </w:r>
      <w:r w:rsidR="00120275" w:rsidRPr="0015296C">
        <w:rPr>
          <w:rFonts w:ascii="Times New Roman" w:eastAsia="Times New Roman" w:hAnsi="Times New Roman" w:cs="Times New Roman"/>
          <w:i/>
          <w:iCs/>
          <w:kern w:val="0"/>
          <w:sz w:val="24"/>
          <w:szCs w:val="24"/>
          <w:lang w:val="ro-MD" w:eastAsia="ro-MD"/>
          <w14:ligatures w14:val="none"/>
        </w:rPr>
        <w:t xml:space="preserve">a rapoartelor de </w:t>
      </w:r>
      <w:proofErr w:type="spellStart"/>
      <w:r w:rsidR="00120275" w:rsidRPr="0015296C">
        <w:rPr>
          <w:rFonts w:ascii="Times New Roman" w:eastAsia="Times New Roman" w:hAnsi="Times New Roman" w:cs="Times New Roman"/>
          <w:i/>
          <w:iCs/>
          <w:kern w:val="0"/>
          <w:sz w:val="24"/>
          <w:szCs w:val="24"/>
          <w:lang w:val="ro-MD" w:eastAsia="ro-MD"/>
          <w14:ligatures w14:val="none"/>
        </w:rPr>
        <w:t>autocertificare</w:t>
      </w:r>
      <w:proofErr w:type="spellEnd"/>
      <w:r w:rsidR="00120275" w:rsidRPr="0015296C">
        <w:rPr>
          <w:rFonts w:ascii="Times New Roman" w:eastAsia="Times New Roman" w:hAnsi="Times New Roman" w:cs="Times New Roman"/>
          <w:i/>
          <w:iCs/>
          <w:kern w:val="0"/>
          <w:sz w:val="24"/>
          <w:szCs w:val="24"/>
          <w:lang w:val="ro-MD" w:eastAsia="ro-MD"/>
          <w14:ligatures w14:val="none"/>
        </w:rPr>
        <w:t xml:space="preserve"> în cadrul Procesului Bologna </w:t>
      </w:r>
      <w:r w:rsidRPr="00433C33">
        <w:rPr>
          <w:rFonts w:ascii="Times New Roman" w:eastAsia="Times New Roman" w:hAnsi="Times New Roman" w:cs="Times New Roman"/>
          <w:i/>
          <w:iCs/>
          <w:kern w:val="0"/>
          <w:sz w:val="24"/>
          <w:szCs w:val="24"/>
          <w:lang w:val="ro-MD" w:eastAsia="ro-MD"/>
          <w14:ligatures w14:val="none"/>
        </w:rPr>
        <w:t>(20</w:t>
      </w:r>
      <w:r w:rsidR="00A55048">
        <w:rPr>
          <w:rFonts w:ascii="Times New Roman" w:eastAsia="Times New Roman" w:hAnsi="Times New Roman" w:cs="Times New Roman"/>
          <w:i/>
          <w:iCs/>
          <w:kern w:val="0"/>
          <w:sz w:val="24"/>
          <w:szCs w:val="24"/>
          <w:lang w:val="ro-MD" w:eastAsia="ro-MD"/>
          <w14:ligatures w14:val="none"/>
        </w:rPr>
        <w:t>23</w:t>
      </w:r>
      <w:r w:rsidRPr="00433C33">
        <w:rPr>
          <w:rFonts w:ascii="Times New Roman" w:eastAsia="Times New Roman" w:hAnsi="Times New Roman" w:cs="Times New Roman"/>
          <w:i/>
          <w:iCs/>
          <w:kern w:val="0"/>
          <w:sz w:val="24"/>
          <w:szCs w:val="24"/>
          <w:lang w:val="ro-MD" w:eastAsia="ro-MD"/>
          <w14:ligatures w14:val="none"/>
        </w:rPr>
        <w:t>)</w:t>
      </w:r>
      <w:r w:rsidR="00A55048">
        <w:rPr>
          <w:rStyle w:val="afc"/>
          <w:rFonts w:ascii="Times New Roman" w:eastAsia="Times New Roman" w:hAnsi="Times New Roman" w:cs="Times New Roman"/>
          <w:i/>
          <w:iCs/>
          <w:kern w:val="0"/>
          <w:sz w:val="24"/>
          <w:szCs w:val="24"/>
          <w:lang w:val="ro-MD" w:eastAsia="ro-MD"/>
          <w14:ligatures w14:val="none"/>
        </w:rPr>
        <w:footnoteReference w:id="6"/>
      </w:r>
      <w:r w:rsidRPr="00433C33">
        <w:rPr>
          <w:rFonts w:ascii="Times New Roman" w:eastAsia="Times New Roman" w:hAnsi="Times New Roman" w:cs="Times New Roman"/>
          <w:kern w:val="0"/>
          <w:sz w:val="24"/>
          <w:szCs w:val="24"/>
          <w:lang w:val="ro-MD" w:eastAsia="ro-MD"/>
          <w14:ligatures w14:val="none"/>
        </w:rPr>
        <w:t>, care stabilesc criteriile și procedurile pentru asigurarea compatibilității între cadrele naționale și cele europene.</w:t>
      </w:r>
    </w:p>
    <w:p w14:paraId="61C479FF" w14:textId="0B648AEA" w:rsidR="00433C33" w:rsidRPr="00433C33" w:rsidRDefault="00CD4D42"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A3A30">
        <w:rPr>
          <w:rFonts w:ascii="Times New Roman" w:eastAsia="Times New Roman" w:hAnsi="Times New Roman" w:cs="Times New Roman"/>
          <w:kern w:val="0"/>
          <w:sz w:val="24"/>
          <w:szCs w:val="24"/>
          <w:lang w:val="ro-MD" w:eastAsia="ro-MD"/>
          <w14:ligatures w14:val="none"/>
        </w:rPr>
        <w:t>R</w:t>
      </w:r>
      <w:r w:rsidR="005A5DFF" w:rsidRPr="00DA3A30">
        <w:rPr>
          <w:rFonts w:ascii="Times New Roman" w:eastAsia="Times New Roman" w:hAnsi="Times New Roman" w:cs="Times New Roman"/>
          <w:kern w:val="0"/>
          <w:sz w:val="24"/>
          <w:szCs w:val="24"/>
          <w:lang w:val="ro-MD" w:eastAsia="ro-MD"/>
          <w14:ligatures w14:val="none"/>
        </w:rPr>
        <w:t xml:space="preserve">aport de referențiere și </w:t>
      </w:r>
      <w:proofErr w:type="spellStart"/>
      <w:r w:rsidR="005A5DFF" w:rsidRPr="00DA3A30">
        <w:rPr>
          <w:rFonts w:ascii="Times New Roman" w:eastAsia="Times New Roman" w:hAnsi="Times New Roman" w:cs="Times New Roman"/>
          <w:kern w:val="0"/>
          <w:sz w:val="24"/>
          <w:szCs w:val="24"/>
          <w:lang w:val="ro-MD" w:eastAsia="ro-MD"/>
          <w14:ligatures w14:val="none"/>
        </w:rPr>
        <w:t>autocertificare</w:t>
      </w:r>
      <w:proofErr w:type="spellEnd"/>
      <w:r w:rsidR="005A5DFF" w:rsidRPr="006E4E60">
        <w:rPr>
          <w:rFonts w:ascii="Times New Roman" w:eastAsia="Times New Roman" w:hAnsi="Times New Roman" w:cs="Times New Roman"/>
          <w:kern w:val="0"/>
          <w:sz w:val="24"/>
          <w:szCs w:val="24"/>
          <w:lang w:val="ro-MD" w:eastAsia="ro-MD"/>
          <w14:ligatures w14:val="none"/>
        </w:rPr>
        <w:t xml:space="preserve"> a fost </w:t>
      </w:r>
      <w:r w:rsidR="005A5DFF">
        <w:rPr>
          <w:rFonts w:ascii="Times New Roman" w:eastAsia="Times New Roman" w:hAnsi="Times New Roman" w:cs="Times New Roman"/>
          <w:kern w:val="0"/>
          <w:sz w:val="24"/>
          <w:szCs w:val="24"/>
          <w:lang w:val="ro-MD" w:eastAsia="ro-MD"/>
          <w14:ligatures w14:val="none"/>
        </w:rPr>
        <w:t>elaborat</w:t>
      </w:r>
      <w:r w:rsidR="005A5DFF" w:rsidRPr="006E4E60">
        <w:rPr>
          <w:rFonts w:ascii="Times New Roman" w:eastAsia="Times New Roman" w:hAnsi="Times New Roman" w:cs="Times New Roman"/>
          <w:kern w:val="0"/>
          <w:sz w:val="24"/>
          <w:szCs w:val="24"/>
          <w:lang w:val="ro-MD" w:eastAsia="ro-MD"/>
          <w14:ligatures w14:val="none"/>
        </w:rPr>
        <w:t xml:space="preserve"> printr-un parteneriat amplu între autoritățile publice, instituțiile de învățământ, </w:t>
      </w:r>
      <w:r w:rsidR="00151AA1" w:rsidRPr="00433C33">
        <w:rPr>
          <w:rFonts w:ascii="Times New Roman" w:eastAsia="Times New Roman" w:hAnsi="Times New Roman" w:cs="Times New Roman"/>
          <w:kern w:val="0"/>
          <w:sz w:val="24"/>
          <w:szCs w:val="24"/>
          <w:lang w:val="ro-MD" w:eastAsia="ro-MD"/>
          <w14:ligatures w14:val="none"/>
        </w:rPr>
        <w:t>comitetel</w:t>
      </w:r>
      <w:r w:rsidR="003B1DA8">
        <w:rPr>
          <w:rFonts w:ascii="Times New Roman" w:eastAsia="Times New Roman" w:hAnsi="Times New Roman" w:cs="Times New Roman"/>
          <w:kern w:val="0"/>
          <w:sz w:val="24"/>
          <w:szCs w:val="24"/>
          <w:lang w:val="ro-MD" w:eastAsia="ro-MD"/>
          <w14:ligatures w14:val="none"/>
        </w:rPr>
        <w:t>e</w:t>
      </w:r>
      <w:r w:rsidR="00151AA1" w:rsidRPr="00433C33">
        <w:rPr>
          <w:rFonts w:ascii="Times New Roman" w:eastAsia="Times New Roman" w:hAnsi="Times New Roman" w:cs="Times New Roman"/>
          <w:kern w:val="0"/>
          <w:sz w:val="24"/>
          <w:szCs w:val="24"/>
          <w:lang w:val="ro-MD" w:eastAsia="ro-MD"/>
          <w14:ligatures w14:val="none"/>
        </w:rPr>
        <w:t xml:space="preserve"> sectoriale</w:t>
      </w:r>
      <w:r w:rsidR="00151AA1">
        <w:rPr>
          <w:rFonts w:ascii="Times New Roman" w:eastAsia="Times New Roman" w:hAnsi="Times New Roman" w:cs="Times New Roman"/>
          <w:kern w:val="0"/>
          <w:sz w:val="24"/>
          <w:szCs w:val="24"/>
          <w:lang w:val="ro-MD" w:eastAsia="ro-MD"/>
          <w14:ligatures w14:val="none"/>
        </w:rPr>
        <w:t>,</w:t>
      </w:r>
      <w:r w:rsidR="00151AA1" w:rsidRPr="006E4E60">
        <w:rPr>
          <w:rFonts w:ascii="Times New Roman" w:eastAsia="Times New Roman" w:hAnsi="Times New Roman" w:cs="Times New Roman"/>
          <w:kern w:val="0"/>
          <w:sz w:val="24"/>
          <w:szCs w:val="24"/>
          <w:lang w:val="ro-MD" w:eastAsia="ro-MD"/>
          <w14:ligatures w14:val="none"/>
        </w:rPr>
        <w:t xml:space="preserve"> </w:t>
      </w:r>
      <w:r w:rsidR="005A5DFF" w:rsidRPr="006E4E60">
        <w:rPr>
          <w:rFonts w:ascii="Times New Roman" w:eastAsia="Times New Roman" w:hAnsi="Times New Roman" w:cs="Times New Roman"/>
          <w:kern w:val="0"/>
          <w:sz w:val="24"/>
          <w:szCs w:val="24"/>
          <w:lang w:val="ro-MD" w:eastAsia="ro-MD"/>
          <w14:ligatures w14:val="none"/>
        </w:rPr>
        <w:t xml:space="preserve">partenerii sociali și </w:t>
      </w:r>
      <w:r w:rsidR="003B1DA8">
        <w:rPr>
          <w:rFonts w:ascii="Times New Roman" w:eastAsia="Times New Roman" w:hAnsi="Times New Roman" w:cs="Times New Roman"/>
          <w:kern w:val="0"/>
          <w:sz w:val="24"/>
          <w:szCs w:val="24"/>
          <w:lang w:val="ro-MD" w:eastAsia="ro-MD"/>
          <w14:ligatures w14:val="none"/>
        </w:rPr>
        <w:t xml:space="preserve">experții și </w:t>
      </w:r>
      <w:r w:rsidR="005A5DFF" w:rsidRPr="006E4E60">
        <w:rPr>
          <w:rFonts w:ascii="Times New Roman" w:eastAsia="Times New Roman" w:hAnsi="Times New Roman" w:cs="Times New Roman"/>
          <w:kern w:val="0"/>
          <w:sz w:val="24"/>
          <w:szCs w:val="24"/>
          <w:lang w:val="ro-MD" w:eastAsia="ro-MD"/>
          <w14:ligatures w14:val="none"/>
        </w:rPr>
        <w:t>organizațiile internaționale, valorificând bunele practici europene și expertiza obținută prin proiecte de cooperare și schimb de experiență</w:t>
      </w:r>
      <w:r w:rsidR="005A5DFF">
        <w:rPr>
          <w:rFonts w:ascii="Times New Roman" w:eastAsia="Times New Roman" w:hAnsi="Times New Roman" w:cs="Times New Roman"/>
          <w:kern w:val="0"/>
          <w:sz w:val="24"/>
          <w:szCs w:val="24"/>
          <w:lang w:val="ro-MD" w:eastAsia="ro-MD"/>
          <w14:ligatures w14:val="none"/>
        </w:rPr>
        <w:t xml:space="preserve">. </w:t>
      </w:r>
      <w:r w:rsidR="00433C33" w:rsidRPr="00433C33">
        <w:rPr>
          <w:rFonts w:ascii="Times New Roman" w:eastAsia="Times New Roman" w:hAnsi="Times New Roman" w:cs="Times New Roman"/>
          <w:kern w:val="0"/>
          <w:sz w:val="24"/>
          <w:szCs w:val="24"/>
          <w:lang w:val="ro-MD" w:eastAsia="ro-MD"/>
          <w14:ligatures w14:val="none"/>
        </w:rPr>
        <w:t xml:space="preserve">Procesul </w:t>
      </w:r>
      <w:r w:rsidR="00BB762D">
        <w:rPr>
          <w:rFonts w:ascii="Times New Roman" w:eastAsia="Times New Roman" w:hAnsi="Times New Roman" w:cs="Times New Roman"/>
          <w:kern w:val="0"/>
          <w:sz w:val="24"/>
          <w:szCs w:val="24"/>
          <w:lang w:val="ro-MD" w:eastAsia="ro-MD"/>
          <w14:ligatures w14:val="none"/>
        </w:rPr>
        <w:t>de elaborare a ra</w:t>
      </w:r>
      <w:r w:rsidR="002B0453">
        <w:rPr>
          <w:rFonts w:ascii="Times New Roman" w:eastAsia="Times New Roman" w:hAnsi="Times New Roman" w:cs="Times New Roman"/>
          <w:kern w:val="0"/>
          <w:sz w:val="24"/>
          <w:szCs w:val="24"/>
          <w:lang w:val="ro-MD" w:eastAsia="ro-MD"/>
          <w14:ligatures w14:val="none"/>
        </w:rPr>
        <w:t xml:space="preserve">portului de referențiere și </w:t>
      </w:r>
      <w:proofErr w:type="spellStart"/>
      <w:r w:rsidR="002B0453">
        <w:rPr>
          <w:rFonts w:ascii="Times New Roman" w:eastAsia="Times New Roman" w:hAnsi="Times New Roman" w:cs="Times New Roman"/>
          <w:kern w:val="0"/>
          <w:sz w:val="24"/>
          <w:szCs w:val="24"/>
          <w:lang w:val="ro-MD" w:eastAsia="ro-MD"/>
          <w14:ligatures w14:val="none"/>
        </w:rPr>
        <w:t>autocertificare</w:t>
      </w:r>
      <w:proofErr w:type="spellEnd"/>
      <w:r w:rsidR="002B0453">
        <w:rPr>
          <w:rFonts w:ascii="Times New Roman" w:eastAsia="Times New Roman" w:hAnsi="Times New Roman" w:cs="Times New Roman"/>
          <w:kern w:val="0"/>
          <w:sz w:val="24"/>
          <w:szCs w:val="24"/>
          <w:lang w:val="ro-MD" w:eastAsia="ro-MD"/>
          <w14:ligatures w14:val="none"/>
        </w:rPr>
        <w:t xml:space="preserve"> </w:t>
      </w:r>
      <w:r w:rsidR="00433C33" w:rsidRPr="00433C33">
        <w:rPr>
          <w:rFonts w:ascii="Times New Roman" w:eastAsia="Times New Roman" w:hAnsi="Times New Roman" w:cs="Times New Roman"/>
          <w:kern w:val="0"/>
          <w:sz w:val="24"/>
          <w:szCs w:val="24"/>
          <w:lang w:val="ro-MD" w:eastAsia="ro-MD"/>
          <w14:ligatures w14:val="none"/>
        </w:rPr>
        <w:t>a fost coordonat de Ministerul Educației și Cercetării (MEC), în calitate de autoritate națională competentă și Punct Național de Coordonare EQF, cu implicarea ANACEC</w:t>
      </w:r>
      <w:r w:rsidR="00416046">
        <w:rPr>
          <w:rFonts w:ascii="Times New Roman" w:eastAsia="Times New Roman" w:hAnsi="Times New Roman" w:cs="Times New Roman"/>
          <w:kern w:val="0"/>
          <w:sz w:val="24"/>
          <w:szCs w:val="24"/>
          <w:lang w:val="ro-MD" w:eastAsia="ro-MD"/>
          <w14:ligatures w14:val="none"/>
        </w:rPr>
        <w:t xml:space="preserve"> și</w:t>
      </w:r>
      <w:r w:rsidR="00433C33" w:rsidRPr="00433C33">
        <w:rPr>
          <w:rFonts w:ascii="Times New Roman" w:eastAsia="Times New Roman" w:hAnsi="Times New Roman" w:cs="Times New Roman"/>
          <w:kern w:val="0"/>
          <w:sz w:val="24"/>
          <w:szCs w:val="24"/>
          <w:lang w:val="ro-MD" w:eastAsia="ro-MD"/>
          <w14:ligatures w14:val="none"/>
        </w:rPr>
        <w:t xml:space="preserve"> Consiliului Național pentru Calificări.</w:t>
      </w:r>
    </w:p>
    <w:p w14:paraId="49890B05" w14:textId="77777777" w:rsidR="00433C33" w:rsidRPr="00433C33" w:rsidRDefault="00433C33"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kern w:val="0"/>
          <w:sz w:val="24"/>
          <w:szCs w:val="24"/>
          <w:lang w:val="ro-MD" w:eastAsia="ro-MD"/>
          <w14:ligatures w14:val="none"/>
        </w:rPr>
        <w:t>Datele, analiza și concluziile din raport se bazează pe un cadru legislativ și de politici solid, structurat pe trei niveluri interdependente:</w:t>
      </w:r>
    </w:p>
    <w:p w14:paraId="2978A16C" w14:textId="41E9C1E6" w:rsidR="00433C33" w:rsidRPr="00433C33" w:rsidRDefault="00433C33" w:rsidP="00A41843">
      <w:pPr>
        <w:numPr>
          <w:ilvl w:val="0"/>
          <w:numId w:val="23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b/>
          <w:bCs/>
          <w:kern w:val="0"/>
          <w:sz w:val="24"/>
          <w:szCs w:val="24"/>
          <w:lang w:val="ro-MD" w:eastAsia="ro-MD"/>
          <w14:ligatures w14:val="none"/>
        </w:rPr>
        <w:t>Nivel strategic de politici</w:t>
      </w:r>
      <w:r w:rsidRPr="00433C33">
        <w:rPr>
          <w:rFonts w:ascii="Times New Roman" w:eastAsia="Times New Roman" w:hAnsi="Times New Roman" w:cs="Times New Roman"/>
          <w:kern w:val="0"/>
          <w:sz w:val="24"/>
          <w:szCs w:val="24"/>
          <w:lang w:val="ro-MD" w:eastAsia="ro-MD"/>
          <w14:ligatures w14:val="none"/>
        </w:rPr>
        <w:t xml:space="preserve"> – documente naționale armonizate cu cele europene, care stabilesc direcțiile de dezvoltare a educației, formării și ocupării (ex.: </w:t>
      </w:r>
      <w:r w:rsidRPr="00433C33">
        <w:rPr>
          <w:rFonts w:ascii="Times New Roman" w:eastAsia="Times New Roman" w:hAnsi="Times New Roman" w:cs="Times New Roman"/>
          <w:i/>
          <w:iCs/>
          <w:kern w:val="0"/>
          <w:sz w:val="24"/>
          <w:szCs w:val="24"/>
          <w:lang w:val="ro-MD" w:eastAsia="ro-MD"/>
          <w14:ligatures w14:val="none"/>
        </w:rPr>
        <w:t>Strategia „Educația 2030”</w:t>
      </w:r>
      <w:r w:rsidRPr="00433C33">
        <w:rPr>
          <w:rFonts w:ascii="Times New Roman" w:eastAsia="Times New Roman" w:hAnsi="Times New Roman" w:cs="Times New Roman"/>
          <w:kern w:val="0"/>
          <w:sz w:val="24"/>
          <w:szCs w:val="24"/>
          <w:lang w:val="ro-MD" w:eastAsia="ro-MD"/>
          <w14:ligatures w14:val="none"/>
        </w:rPr>
        <w:t xml:space="preserve">, </w:t>
      </w:r>
      <w:r w:rsidRPr="00433C33">
        <w:rPr>
          <w:rFonts w:ascii="Times New Roman" w:eastAsia="Times New Roman" w:hAnsi="Times New Roman" w:cs="Times New Roman"/>
          <w:i/>
          <w:iCs/>
          <w:kern w:val="0"/>
          <w:sz w:val="24"/>
          <w:szCs w:val="24"/>
          <w:lang w:val="ro-MD" w:eastAsia="ro-MD"/>
          <w14:ligatures w14:val="none"/>
        </w:rPr>
        <w:t>Programul Național pentru Ocuparea Forței de Muncă 2022–2026</w:t>
      </w:r>
      <w:r w:rsidRPr="00433C33">
        <w:rPr>
          <w:rFonts w:ascii="Times New Roman" w:eastAsia="Times New Roman" w:hAnsi="Times New Roman" w:cs="Times New Roman"/>
          <w:kern w:val="0"/>
          <w:sz w:val="24"/>
          <w:szCs w:val="24"/>
          <w:lang w:val="ro-MD" w:eastAsia="ro-MD"/>
          <w14:ligatures w14:val="none"/>
        </w:rPr>
        <w:t>);</w:t>
      </w:r>
    </w:p>
    <w:p w14:paraId="13D58793" w14:textId="394EE82D" w:rsidR="00433C33" w:rsidRPr="00433C33" w:rsidRDefault="00433C33" w:rsidP="00A41843">
      <w:pPr>
        <w:numPr>
          <w:ilvl w:val="0"/>
          <w:numId w:val="23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b/>
          <w:bCs/>
          <w:kern w:val="0"/>
          <w:sz w:val="24"/>
          <w:szCs w:val="24"/>
          <w:lang w:val="ro-MD" w:eastAsia="ro-MD"/>
          <w14:ligatures w14:val="none"/>
        </w:rPr>
        <w:lastRenderedPageBreak/>
        <w:t>Nivel legislativ și normativ</w:t>
      </w:r>
      <w:r w:rsidRPr="00433C33">
        <w:rPr>
          <w:rFonts w:ascii="Times New Roman" w:eastAsia="Times New Roman" w:hAnsi="Times New Roman" w:cs="Times New Roman"/>
          <w:kern w:val="0"/>
          <w:sz w:val="24"/>
          <w:szCs w:val="24"/>
          <w:lang w:val="ro-MD" w:eastAsia="ro-MD"/>
          <w14:ligatures w14:val="none"/>
        </w:rPr>
        <w:t xml:space="preserve"> – </w:t>
      </w:r>
      <w:r w:rsidRPr="00433C33">
        <w:rPr>
          <w:rFonts w:ascii="Times New Roman" w:eastAsia="Times New Roman" w:hAnsi="Times New Roman" w:cs="Times New Roman"/>
          <w:i/>
          <w:iCs/>
          <w:kern w:val="0"/>
          <w:sz w:val="24"/>
          <w:szCs w:val="24"/>
          <w:lang w:val="ro-MD" w:eastAsia="ro-MD"/>
          <w14:ligatures w14:val="none"/>
        </w:rPr>
        <w:t>legi, hotărâri de Guvern</w:t>
      </w:r>
      <w:r w:rsidRPr="00433C33">
        <w:rPr>
          <w:rFonts w:ascii="Times New Roman" w:eastAsia="Times New Roman" w:hAnsi="Times New Roman" w:cs="Times New Roman"/>
          <w:kern w:val="0"/>
          <w:sz w:val="24"/>
          <w:szCs w:val="24"/>
          <w:lang w:val="ro-MD" w:eastAsia="ro-MD"/>
          <w14:ligatures w14:val="none"/>
        </w:rPr>
        <w:t xml:space="preserve"> și alte acte cu </w:t>
      </w:r>
      <w:r w:rsidR="003F16A0">
        <w:rPr>
          <w:rFonts w:ascii="Times New Roman" w:eastAsia="Times New Roman" w:hAnsi="Times New Roman" w:cs="Times New Roman"/>
          <w:kern w:val="0"/>
          <w:sz w:val="24"/>
          <w:szCs w:val="24"/>
          <w:lang w:val="ro-MD" w:eastAsia="ro-MD"/>
          <w14:ligatures w14:val="none"/>
        </w:rPr>
        <w:t>putere</w:t>
      </w:r>
      <w:r w:rsidRPr="00433C33">
        <w:rPr>
          <w:rFonts w:ascii="Times New Roman" w:eastAsia="Times New Roman" w:hAnsi="Times New Roman" w:cs="Times New Roman"/>
          <w:kern w:val="0"/>
          <w:sz w:val="24"/>
          <w:szCs w:val="24"/>
          <w:lang w:val="ro-MD" w:eastAsia="ro-MD"/>
          <w14:ligatures w14:val="none"/>
        </w:rPr>
        <w:t xml:space="preserve"> juridică ce reglementează domeniile calificărilor, educației și formării profesionale (ex.: </w:t>
      </w:r>
      <w:r w:rsidRPr="00433C33">
        <w:rPr>
          <w:rFonts w:ascii="Times New Roman" w:eastAsia="Times New Roman" w:hAnsi="Times New Roman" w:cs="Times New Roman"/>
          <w:i/>
          <w:iCs/>
          <w:kern w:val="0"/>
          <w:sz w:val="24"/>
          <w:szCs w:val="24"/>
          <w:lang w:val="ro-MD" w:eastAsia="ro-MD"/>
          <w14:ligatures w14:val="none"/>
        </w:rPr>
        <w:t>Codul educației</w:t>
      </w:r>
      <w:r w:rsidRPr="00433C33">
        <w:rPr>
          <w:rFonts w:ascii="Times New Roman" w:eastAsia="Times New Roman" w:hAnsi="Times New Roman" w:cs="Times New Roman"/>
          <w:kern w:val="0"/>
          <w:sz w:val="24"/>
          <w:szCs w:val="24"/>
          <w:lang w:val="ro-MD" w:eastAsia="ro-MD"/>
          <w14:ligatures w14:val="none"/>
        </w:rPr>
        <w:t xml:space="preserve">, </w:t>
      </w:r>
      <w:r w:rsidRPr="00433C33">
        <w:rPr>
          <w:rFonts w:ascii="Times New Roman" w:eastAsia="Times New Roman" w:hAnsi="Times New Roman" w:cs="Times New Roman"/>
          <w:i/>
          <w:iCs/>
          <w:kern w:val="0"/>
          <w:sz w:val="24"/>
          <w:szCs w:val="24"/>
          <w:lang w:val="ro-MD" w:eastAsia="ro-MD"/>
          <w14:ligatures w14:val="none"/>
        </w:rPr>
        <w:t>Legea privind învățământul dual</w:t>
      </w:r>
      <w:r w:rsidRPr="00433C33">
        <w:rPr>
          <w:rFonts w:ascii="Times New Roman" w:eastAsia="Times New Roman" w:hAnsi="Times New Roman" w:cs="Times New Roman"/>
          <w:kern w:val="0"/>
          <w:sz w:val="24"/>
          <w:szCs w:val="24"/>
          <w:lang w:val="ro-MD" w:eastAsia="ro-MD"/>
          <w14:ligatures w14:val="none"/>
        </w:rPr>
        <w:t xml:space="preserve">, </w:t>
      </w:r>
      <w:r w:rsidRPr="00433C33">
        <w:rPr>
          <w:rFonts w:ascii="Times New Roman" w:eastAsia="Times New Roman" w:hAnsi="Times New Roman" w:cs="Times New Roman"/>
          <w:i/>
          <w:iCs/>
          <w:kern w:val="0"/>
          <w:sz w:val="24"/>
          <w:szCs w:val="24"/>
          <w:lang w:val="ro-MD" w:eastAsia="ro-MD"/>
          <w14:ligatures w14:val="none"/>
        </w:rPr>
        <w:t>HG nr. 330/2023</w:t>
      </w:r>
      <w:r w:rsidRPr="00433C33">
        <w:rPr>
          <w:rFonts w:ascii="Times New Roman" w:eastAsia="Times New Roman" w:hAnsi="Times New Roman" w:cs="Times New Roman"/>
          <w:kern w:val="0"/>
          <w:sz w:val="24"/>
          <w:szCs w:val="24"/>
          <w:lang w:val="ro-MD" w:eastAsia="ro-MD"/>
          <w14:ligatures w14:val="none"/>
        </w:rPr>
        <w:t>);</w:t>
      </w:r>
    </w:p>
    <w:p w14:paraId="01BED5FE" w14:textId="77777777" w:rsidR="00433C33" w:rsidRPr="00433C33" w:rsidRDefault="00433C33" w:rsidP="00A41843">
      <w:pPr>
        <w:numPr>
          <w:ilvl w:val="0"/>
          <w:numId w:val="23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b/>
          <w:bCs/>
          <w:kern w:val="0"/>
          <w:sz w:val="24"/>
          <w:szCs w:val="24"/>
          <w:lang w:val="ro-MD" w:eastAsia="ro-MD"/>
          <w14:ligatures w14:val="none"/>
        </w:rPr>
        <w:t>Nivel operațional și metodologic</w:t>
      </w:r>
      <w:r w:rsidRPr="00433C33">
        <w:rPr>
          <w:rFonts w:ascii="Times New Roman" w:eastAsia="Times New Roman" w:hAnsi="Times New Roman" w:cs="Times New Roman"/>
          <w:kern w:val="0"/>
          <w:sz w:val="24"/>
          <w:szCs w:val="24"/>
          <w:lang w:val="ro-MD" w:eastAsia="ro-MD"/>
          <w14:ligatures w14:val="none"/>
        </w:rPr>
        <w:t xml:space="preserve"> – </w:t>
      </w:r>
      <w:r w:rsidRPr="00433C33">
        <w:rPr>
          <w:rFonts w:ascii="Times New Roman" w:eastAsia="Times New Roman" w:hAnsi="Times New Roman" w:cs="Times New Roman"/>
          <w:i/>
          <w:iCs/>
          <w:kern w:val="0"/>
          <w:sz w:val="24"/>
          <w:szCs w:val="24"/>
          <w:lang w:val="ro-MD" w:eastAsia="ro-MD"/>
          <w14:ligatures w14:val="none"/>
        </w:rPr>
        <w:t>ordine și regulamente ale MEC</w:t>
      </w:r>
      <w:r w:rsidRPr="00433C33">
        <w:rPr>
          <w:rFonts w:ascii="Times New Roman" w:eastAsia="Times New Roman" w:hAnsi="Times New Roman" w:cs="Times New Roman"/>
          <w:kern w:val="0"/>
          <w:sz w:val="24"/>
          <w:szCs w:val="24"/>
          <w:lang w:val="ro-MD" w:eastAsia="ro-MD"/>
          <w14:ligatures w14:val="none"/>
        </w:rPr>
        <w:t xml:space="preserve"> ce stabilesc procedurile tehnice de elaborare și actualizare a standardelor de calificare, de validare a rezultatelor învățării și de gestionare a Registrului Național al Calificărilor.</w:t>
      </w:r>
    </w:p>
    <w:p w14:paraId="11241E9C" w14:textId="751E2AD4" w:rsidR="00433C33" w:rsidRPr="00433C33" w:rsidRDefault="00433C33"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kern w:val="0"/>
          <w:sz w:val="24"/>
          <w:szCs w:val="24"/>
          <w:lang w:val="ro-MD" w:eastAsia="ro-MD"/>
          <w14:ligatures w14:val="none"/>
        </w:rPr>
        <w:t>Procesul de elaborare</w:t>
      </w:r>
      <w:r w:rsidR="00AB4BDE">
        <w:rPr>
          <w:rFonts w:ascii="Times New Roman" w:eastAsia="Times New Roman" w:hAnsi="Times New Roman" w:cs="Times New Roman"/>
          <w:kern w:val="0"/>
          <w:sz w:val="24"/>
          <w:szCs w:val="24"/>
          <w:lang w:val="ro-MD" w:eastAsia="ro-MD"/>
          <w14:ligatures w14:val="none"/>
        </w:rPr>
        <w:t xml:space="preserve"> a raportului</w:t>
      </w:r>
      <w:r w:rsidR="00966312">
        <w:rPr>
          <w:rFonts w:ascii="Times New Roman" w:eastAsia="Times New Roman" w:hAnsi="Times New Roman" w:cs="Times New Roman"/>
          <w:kern w:val="0"/>
          <w:sz w:val="24"/>
          <w:szCs w:val="24"/>
          <w:lang w:val="ro-MD" w:eastAsia="ro-MD"/>
          <w14:ligatures w14:val="none"/>
        </w:rPr>
        <w:t xml:space="preserve"> s-a desfășurat în perioada anilor </w:t>
      </w:r>
      <w:r w:rsidRPr="00433C33">
        <w:rPr>
          <w:rFonts w:ascii="Times New Roman" w:eastAsia="Times New Roman" w:hAnsi="Times New Roman" w:cs="Times New Roman"/>
          <w:kern w:val="0"/>
          <w:sz w:val="24"/>
          <w:szCs w:val="24"/>
          <w:lang w:val="ro-MD" w:eastAsia="ro-MD"/>
          <w14:ligatures w14:val="none"/>
        </w:rPr>
        <w:t>2023–2025</w:t>
      </w:r>
      <w:r w:rsidR="00966312">
        <w:rPr>
          <w:rFonts w:ascii="Times New Roman" w:eastAsia="Times New Roman" w:hAnsi="Times New Roman" w:cs="Times New Roman"/>
          <w:kern w:val="0"/>
          <w:sz w:val="24"/>
          <w:szCs w:val="24"/>
          <w:lang w:val="ro-MD" w:eastAsia="ro-MD"/>
          <w14:ligatures w14:val="none"/>
        </w:rPr>
        <w:t xml:space="preserve"> și</w:t>
      </w:r>
      <w:r w:rsidRPr="00433C33">
        <w:rPr>
          <w:rFonts w:ascii="Times New Roman" w:eastAsia="Times New Roman" w:hAnsi="Times New Roman" w:cs="Times New Roman"/>
          <w:kern w:val="0"/>
          <w:sz w:val="24"/>
          <w:szCs w:val="24"/>
          <w:lang w:val="ro-MD" w:eastAsia="ro-MD"/>
          <w14:ligatures w14:val="none"/>
        </w:rPr>
        <w:t xml:space="preserve"> a inclus etape succesive </w:t>
      </w:r>
      <w:r w:rsidRPr="00870FEF">
        <w:rPr>
          <w:rFonts w:ascii="Times New Roman" w:eastAsia="Times New Roman" w:hAnsi="Times New Roman" w:cs="Times New Roman"/>
          <w:kern w:val="0"/>
          <w:sz w:val="24"/>
          <w:szCs w:val="24"/>
          <w:lang w:val="ro-MD" w:eastAsia="ro-MD"/>
          <w14:ligatures w14:val="none"/>
        </w:rPr>
        <w:t>de analiză, consultare și validare</w:t>
      </w:r>
      <w:r w:rsidRPr="00433C33">
        <w:rPr>
          <w:rFonts w:ascii="Times New Roman" w:eastAsia="Times New Roman" w:hAnsi="Times New Roman" w:cs="Times New Roman"/>
          <w:kern w:val="0"/>
          <w:sz w:val="24"/>
          <w:szCs w:val="24"/>
          <w:lang w:val="ro-MD" w:eastAsia="ro-MD"/>
          <w14:ligatures w14:val="none"/>
        </w:rPr>
        <w:t>:</w:t>
      </w:r>
    </w:p>
    <w:p w14:paraId="67C4ACB1" w14:textId="77777777" w:rsidR="00C05792" w:rsidRPr="0020102C" w:rsidRDefault="00C05792" w:rsidP="00A41843">
      <w:pPr>
        <w:numPr>
          <w:ilvl w:val="0"/>
          <w:numId w:val="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analiza cadrului legislativ și normativ</w:t>
      </w:r>
      <w:r w:rsidRPr="0020102C">
        <w:rPr>
          <w:rFonts w:ascii="Times New Roman" w:eastAsia="Times New Roman" w:hAnsi="Times New Roman" w:cs="Times New Roman"/>
          <w:kern w:val="0"/>
          <w:sz w:val="24"/>
          <w:szCs w:val="24"/>
          <w:lang w:eastAsia="ro-MD"/>
          <w14:ligatures w14:val="none"/>
        </w:rPr>
        <w:t xml:space="preserve"> național și european, relevant pentru dezvoltarea și implementarea CNC;</w:t>
      </w:r>
    </w:p>
    <w:p w14:paraId="7F21EDD2" w14:textId="77777777" w:rsidR="00C05792" w:rsidRPr="0020102C" w:rsidRDefault="00C05792" w:rsidP="00A41843">
      <w:pPr>
        <w:numPr>
          <w:ilvl w:val="0"/>
          <w:numId w:val="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corelarea tehnică</w:t>
      </w:r>
      <w:r w:rsidRPr="0020102C">
        <w:rPr>
          <w:rFonts w:ascii="Times New Roman" w:eastAsia="Times New Roman" w:hAnsi="Times New Roman" w:cs="Times New Roman"/>
          <w:kern w:val="0"/>
          <w:sz w:val="24"/>
          <w:szCs w:val="24"/>
          <w:lang w:eastAsia="ro-MD"/>
          <w14:ligatures w14:val="none"/>
        </w:rPr>
        <w:t xml:space="preserve"> a descriptorilor de nivel și a rezultatelor învățării cu instrumentele europene de referință;</w:t>
      </w:r>
    </w:p>
    <w:p w14:paraId="44C1BFCC" w14:textId="77777777" w:rsidR="00C05792" w:rsidRPr="0020102C" w:rsidRDefault="00C05792" w:rsidP="00A41843">
      <w:pPr>
        <w:numPr>
          <w:ilvl w:val="0"/>
          <w:numId w:val="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utilizarea datelor statistice și a exemplelor de calificări</w:t>
      </w:r>
      <w:r w:rsidRPr="0020102C">
        <w:rPr>
          <w:rFonts w:ascii="Times New Roman" w:eastAsia="Times New Roman" w:hAnsi="Times New Roman" w:cs="Times New Roman"/>
          <w:kern w:val="0"/>
          <w:sz w:val="24"/>
          <w:szCs w:val="24"/>
          <w:lang w:eastAsia="ro-MD"/>
          <w14:ligatures w14:val="none"/>
        </w:rPr>
        <w:t xml:space="preserve"> pentru a demonstra </w:t>
      </w:r>
      <w:r w:rsidRPr="00C73B5B">
        <w:rPr>
          <w:rFonts w:ascii="Times New Roman" w:eastAsia="Times New Roman" w:hAnsi="Times New Roman" w:cs="Times New Roman"/>
          <w:kern w:val="0"/>
          <w:sz w:val="24"/>
          <w:szCs w:val="24"/>
          <w:lang w:eastAsia="ro-MD"/>
          <w14:ligatures w14:val="none"/>
        </w:rPr>
        <w:t>relevanța și corelarea</w:t>
      </w:r>
      <w:r w:rsidRPr="0020102C">
        <w:rPr>
          <w:rFonts w:ascii="Times New Roman" w:eastAsia="Times New Roman" w:hAnsi="Times New Roman" w:cs="Times New Roman"/>
          <w:kern w:val="0"/>
          <w:sz w:val="24"/>
          <w:szCs w:val="24"/>
          <w:lang w:eastAsia="ro-MD"/>
          <w14:ligatures w14:val="none"/>
        </w:rPr>
        <w:t xml:space="preserve"> CNC cu standardele europene</w:t>
      </w:r>
      <w:r>
        <w:rPr>
          <w:rFonts w:ascii="Times New Roman" w:eastAsia="Times New Roman" w:hAnsi="Times New Roman" w:cs="Times New Roman"/>
          <w:kern w:val="0"/>
          <w:sz w:val="24"/>
          <w:szCs w:val="24"/>
          <w:lang w:eastAsia="ro-MD"/>
          <w14:ligatures w14:val="none"/>
        </w:rPr>
        <w:t>;</w:t>
      </w:r>
    </w:p>
    <w:p w14:paraId="31B6F608" w14:textId="6BBBB143" w:rsidR="00433C33" w:rsidRPr="00433C33" w:rsidRDefault="0027734A" w:rsidP="00A41843">
      <w:pPr>
        <w:numPr>
          <w:ilvl w:val="0"/>
          <w:numId w:val="9"/>
        </w:num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b/>
          <w:bCs/>
          <w:kern w:val="0"/>
          <w:sz w:val="24"/>
          <w:szCs w:val="24"/>
          <w:lang w:val="ro-MD" w:eastAsia="ro-MD"/>
          <w14:ligatures w14:val="none"/>
        </w:rPr>
        <w:t>c</w:t>
      </w:r>
      <w:r w:rsidR="00433C33" w:rsidRPr="00433C33">
        <w:rPr>
          <w:rFonts w:ascii="Times New Roman" w:eastAsia="Times New Roman" w:hAnsi="Times New Roman" w:cs="Times New Roman"/>
          <w:b/>
          <w:bCs/>
          <w:kern w:val="0"/>
          <w:sz w:val="24"/>
          <w:szCs w:val="24"/>
          <w:lang w:val="ro-MD" w:eastAsia="ro-MD"/>
          <w14:ligatures w14:val="none"/>
        </w:rPr>
        <w:t>onsultare națională</w:t>
      </w:r>
      <w:r w:rsidR="00BE66FE">
        <w:rPr>
          <w:rFonts w:ascii="Times New Roman" w:eastAsia="Times New Roman" w:hAnsi="Times New Roman" w:cs="Times New Roman"/>
          <w:b/>
          <w:bCs/>
          <w:kern w:val="0"/>
          <w:sz w:val="24"/>
          <w:szCs w:val="24"/>
          <w:lang w:eastAsia="ro-MD"/>
          <w14:ligatures w14:val="none"/>
        </w:rPr>
        <w:t>,</w:t>
      </w:r>
      <w:r w:rsidR="00FE4A2E" w:rsidRPr="0020102C">
        <w:rPr>
          <w:rFonts w:ascii="Times New Roman" w:eastAsia="Times New Roman" w:hAnsi="Times New Roman" w:cs="Times New Roman"/>
          <w:kern w:val="0"/>
          <w:sz w:val="24"/>
          <w:szCs w:val="24"/>
          <w:lang w:eastAsia="ro-MD"/>
          <w14:ligatures w14:val="none"/>
        </w:rPr>
        <w:t xml:space="preserve"> </w:t>
      </w:r>
      <w:r w:rsidR="00BE66FE" w:rsidRPr="00433C33">
        <w:rPr>
          <w:rFonts w:ascii="Times New Roman" w:eastAsia="Times New Roman" w:hAnsi="Times New Roman" w:cs="Times New Roman"/>
          <w:kern w:val="0"/>
          <w:sz w:val="24"/>
          <w:szCs w:val="24"/>
          <w:lang w:val="ro-MD" w:eastAsia="ro-MD"/>
          <w14:ligatures w14:val="none"/>
        </w:rPr>
        <w:t xml:space="preserve">implicând </w:t>
      </w:r>
      <w:r w:rsidR="00237A7A" w:rsidRPr="0020102C">
        <w:rPr>
          <w:rFonts w:ascii="Times New Roman" w:eastAsia="Times New Roman" w:hAnsi="Times New Roman" w:cs="Times New Roman"/>
          <w:kern w:val="0"/>
          <w:sz w:val="24"/>
          <w:szCs w:val="24"/>
          <w:lang w:eastAsia="ro-MD"/>
          <w14:ligatures w14:val="none"/>
        </w:rPr>
        <w:t xml:space="preserve">autorități publice, </w:t>
      </w:r>
      <w:r w:rsidR="00BE66FE" w:rsidRPr="00433C33">
        <w:rPr>
          <w:rFonts w:ascii="Times New Roman" w:eastAsia="Times New Roman" w:hAnsi="Times New Roman" w:cs="Times New Roman"/>
          <w:kern w:val="0"/>
          <w:sz w:val="24"/>
          <w:szCs w:val="24"/>
          <w:lang w:val="ro-MD" w:eastAsia="ro-MD"/>
          <w14:ligatures w14:val="none"/>
        </w:rPr>
        <w:t>parteneri sociali, comitete sectoriale</w:t>
      </w:r>
      <w:r w:rsidR="00237A7A">
        <w:rPr>
          <w:rFonts w:ascii="Times New Roman" w:eastAsia="Times New Roman" w:hAnsi="Times New Roman" w:cs="Times New Roman"/>
          <w:kern w:val="0"/>
          <w:sz w:val="24"/>
          <w:szCs w:val="24"/>
          <w:lang w:val="ro-MD" w:eastAsia="ro-MD"/>
          <w14:ligatures w14:val="none"/>
        </w:rPr>
        <w:t>,</w:t>
      </w:r>
      <w:r w:rsidR="00BE66FE" w:rsidRPr="00433C33">
        <w:rPr>
          <w:rFonts w:ascii="Times New Roman" w:eastAsia="Times New Roman" w:hAnsi="Times New Roman" w:cs="Times New Roman"/>
          <w:kern w:val="0"/>
          <w:sz w:val="24"/>
          <w:szCs w:val="24"/>
          <w:lang w:val="ro-MD" w:eastAsia="ro-MD"/>
          <w14:ligatures w14:val="none"/>
        </w:rPr>
        <w:t xml:space="preserve"> instituții </w:t>
      </w:r>
      <w:r w:rsidR="00FE4A2E" w:rsidRPr="0020102C">
        <w:rPr>
          <w:rFonts w:ascii="Times New Roman" w:eastAsia="Times New Roman" w:hAnsi="Times New Roman" w:cs="Times New Roman"/>
          <w:kern w:val="0"/>
          <w:sz w:val="24"/>
          <w:szCs w:val="24"/>
          <w:lang w:eastAsia="ro-MD"/>
          <w14:ligatures w14:val="none"/>
        </w:rPr>
        <w:t>de învățământ, reprezentanți ai sectorului economic și experți independenți;</w:t>
      </w:r>
    </w:p>
    <w:p w14:paraId="53095397" w14:textId="139FF17D" w:rsidR="00433C33" w:rsidRPr="00433C33" w:rsidRDefault="0027734A" w:rsidP="00A41843">
      <w:pPr>
        <w:numPr>
          <w:ilvl w:val="0"/>
          <w:numId w:val="23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b/>
          <w:bCs/>
          <w:kern w:val="0"/>
          <w:sz w:val="24"/>
          <w:szCs w:val="24"/>
          <w:lang w:val="ro-MD" w:eastAsia="ro-MD"/>
          <w14:ligatures w14:val="none"/>
        </w:rPr>
        <w:t>c</w:t>
      </w:r>
      <w:r w:rsidR="00433C33" w:rsidRPr="00433C33">
        <w:rPr>
          <w:rFonts w:ascii="Times New Roman" w:eastAsia="Times New Roman" w:hAnsi="Times New Roman" w:cs="Times New Roman"/>
          <w:b/>
          <w:bCs/>
          <w:kern w:val="0"/>
          <w:sz w:val="24"/>
          <w:szCs w:val="24"/>
          <w:lang w:val="ro-MD" w:eastAsia="ro-MD"/>
          <w14:ligatures w14:val="none"/>
        </w:rPr>
        <w:t>onsultare internațională</w:t>
      </w:r>
      <w:r w:rsidR="00433C33" w:rsidRPr="00433C33">
        <w:rPr>
          <w:rFonts w:ascii="Times New Roman" w:eastAsia="Times New Roman" w:hAnsi="Times New Roman" w:cs="Times New Roman"/>
          <w:kern w:val="0"/>
          <w:sz w:val="24"/>
          <w:szCs w:val="24"/>
          <w:lang w:val="ro-MD" w:eastAsia="ro-MD"/>
          <w14:ligatures w14:val="none"/>
        </w:rPr>
        <w:t xml:space="preserve">, cu participarea European Training Foundation (ETF), a EQF </w:t>
      </w:r>
      <w:proofErr w:type="spellStart"/>
      <w:r w:rsidR="00433C33" w:rsidRPr="00433C33">
        <w:rPr>
          <w:rFonts w:ascii="Times New Roman" w:eastAsia="Times New Roman" w:hAnsi="Times New Roman" w:cs="Times New Roman"/>
          <w:kern w:val="0"/>
          <w:sz w:val="24"/>
          <w:szCs w:val="24"/>
          <w:lang w:val="ro-MD" w:eastAsia="ro-MD"/>
          <w14:ligatures w14:val="none"/>
        </w:rPr>
        <w:t>Advisory</w:t>
      </w:r>
      <w:proofErr w:type="spellEnd"/>
      <w:r w:rsidR="00433C33" w:rsidRPr="00433C33">
        <w:rPr>
          <w:rFonts w:ascii="Times New Roman" w:eastAsia="Times New Roman" w:hAnsi="Times New Roman" w:cs="Times New Roman"/>
          <w:kern w:val="0"/>
          <w:sz w:val="24"/>
          <w:szCs w:val="24"/>
          <w:lang w:val="ro-MD" w:eastAsia="ro-MD"/>
          <w14:ligatures w14:val="none"/>
        </w:rPr>
        <w:t xml:space="preserve"> Group și a experților Bologna;</w:t>
      </w:r>
    </w:p>
    <w:p w14:paraId="27D8BB06" w14:textId="6B2A33C0" w:rsidR="00433C33" w:rsidRPr="00433C33" w:rsidRDefault="0027734A" w:rsidP="00A41843">
      <w:pPr>
        <w:numPr>
          <w:ilvl w:val="0"/>
          <w:numId w:val="23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b/>
          <w:bCs/>
          <w:kern w:val="0"/>
          <w:sz w:val="24"/>
          <w:szCs w:val="24"/>
          <w:lang w:val="ro-MD" w:eastAsia="ro-MD"/>
          <w14:ligatures w14:val="none"/>
        </w:rPr>
        <w:t>v</w:t>
      </w:r>
      <w:r w:rsidR="00433C33" w:rsidRPr="00433C33">
        <w:rPr>
          <w:rFonts w:ascii="Times New Roman" w:eastAsia="Times New Roman" w:hAnsi="Times New Roman" w:cs="Times New Roman"/>
          <w:b/>
          <w:bCs/>
          <w:kern w:val="0"/>
          <w:sz w:val="24"/>
          <w:szCs w:val="24"/>
          <w:lang w:val="ro-MD" w:eastAsia="ro-MD"/>
          <w14:ligatures w14:val="none"/>
        </w:rPr>
        <w:t>alidare interinstituțională</w:t>
      </w:r>
      <w:r w:rsidR="00433C33" w:rsidRPr="00433C33">
        <w:rPr>
          <w:rFonts w:ascii="Times New Roman" w:eastAsia="Times New Roman" w:hAnsi="Times New Roman" w:cs="Times New Roman"/>
          <w:kern w:val="0"/>
          <w:sz w:val="24"/>
          <w:szCs w:val="24"/>
          <w:lang w:val="ro-MD" w:eastAsia="ro-MD"/>
          <w14:ligatures w14:val="none"/>
        </w:rPr>
        <w:t xml:space="preserve">, prin avizarea raportului de către </w:t>
      </w:r>
      <w:r w:rsidR="00356F18" w:rsidRPr="00433C33">
        <w:rPr>
          <w:rFonts w:ascii="Times New Roman" w:eastAsia="Times New Roman" w:hAnsi="Times New Roman" w:cs="Times New Roman"/>
          <w:kern w:val="0"/>
          <w:sz w:val="24"/>
          <w:szCs w:val="24"/>
          <w:lang w:val="ro-MD" w:eastAsia="ro-MD"/>
          <w14:ligatures w14:val="none"/>
        </w:rPr>
        <w:t>Consiliului Național pentru Calificări</w:t>
      </w:r>
      <w:r w:rsidR="00433C33" w:rsidRPr="00433C33">
        <w:rPr>
          <w:rFonts w:ascii="Times New Roman" w:eastAsia="Times New Roman" w:hAnsi="Times New Roman" w:cs="Times New Roman"/>
          <w:kern w:val="0"/>
          <w:sz w:val="24"/>
          <w:szCs w:val="24"/>
          <w:lang w:val="ro-MD" w:eastAsia="ro-MD"/>
          <w14:ligatures w14:val="none"/>
        </w:rPr>
        <w:t>, ANACEC și Ministerul Educației și Cercetării, în urma discuțiilor publice și analizelor tehnice de specialitate.</w:t>
      </w:r>
    </w:p>
    <w:p w14:paraId="4511BAAD" w14:textId="2C9A33F7" w:rsidR="00433C33" w:rsidRPr="00433C33" w:rsidRDefault="00433C33"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kern w:val="0"/>
          <w:sz w:val="24"/>
          <w:szCs w:val="24"/>
          <w:lang w:val="ro-MD" w:eastAsia="ro-MD"/>
          <w14:ligatures w14:val="none"/>
        </w:rPr>
        <w:t>Această abordare integrată – strategică, legislativă și operațională – garantează credibilitatea, coerența și alinierea raportului la standardele internaționale privind transparența și calitatea cadrelor naționale ale calificărilor.</w:t>
      </w:r>
    </w:p>
    <w:p w14:paraId="50DB49BD" w14:textId="18A6D0FB" w:rsidR="00433C33" w:rsidRPr="00433C33" w:rsidRDefault="00CF424C"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Astfel, p</w:t>
      </w:r>
      <w:r w:rsidR="00433C33" w:rsidRPr="00433C33">
        <w:rPr>
          <w:rFonts w:ascii="Times New Roman" w:eastAsia="Times New Roman" w:hAnsi="Times New Roman" w:cs="Times New Roman"/>
          <w:kern w:val="0"/>
          <w:sz w:val="24"/>
          <w:szCs w:val="24"/>
          <w:lang w:val="ro-MD" w:eastAsia="ro-MD"/>
          <w14:ligatures w14:val="none"/>
        </w:rPr>
        <w:t xml:space="preserve">rin conținutul său, </w:t>
      </w:r>
      <w:r w:rsidR="00DA3A30">
        <w:rPr>
          <w:rFonts w:ascii="Times New Roman" w:eastAsia="Times New Roman" w:hAnsi="Times New Roman" w:cs="Times New Roman"/>
          <w:kern w:val="0"/>
          <w:sz w:val="24"/>
          <w:szCs w:val="24"/>
          <w:lang w:val="ro-MD" w:eastAsia="ro-MD"/>
          <w14:ligatures w14:val="none"/>
        </w:rPr>
        <w:t>r</w:t>
      </w:r>
      <w:r w:rsidR="00433C33" w:rsidRPr="00DA3A30">
        <w:rPr>
          <w:rFonts w:ascii="Times New Roman" w:eastAsia="Times New Roman" w:hAnsi="Times New Roman" w:cs="Times New Roman"/>
          <w:kern w:val="0"/>
          <w:sz w:val="24"/>
          <w:szCs w:val="24"/>
          <w:lang w:val="ro-MD" w:eastAsia="ro-MD"/>
          <w14:ligatures w14:val="none"/>
        </w:rPr>
        <w:t xml:space="preserve">aportul național de referențiere și </w:t>
      </w:r>
      <w:proofErr w:type="spellStart"/>
      <w:r w:rsidR="00433C33" w:rsidRPr="00DA3A30">
        <w:rPr>
          <w:rFonts w:ascii="Times New Roman" w:eastAsia="Times New Roman" w:hAnsi="Times New Roman" w:cs="Times New Roman"/>
          <w:kern w:val="0"/>
          <w:sz w:val="24"/>
          <w:szCs w:val="24"/>
          <w:lang w:val="ro-MD" w:eastAsia="ro-MD"/>
          <w14:ligatures w14:val="none"/>
        </w:rPr>
        <w:t>autocertificare</w:t>
      </w:r>
      <w:proofErr w:type="spellEnd"/>
      <w:r w:rsidR="00433C33" w:rsidRPr="00433C33">
        <w:rPr>
          <w:rFonts w:ascii="Times New Roman" w:eastAsia="Times New Roman" w:hAnsi="Times New Roman" w:cs="Times New Roman"/>
          <w:kern w:val="0"/>
          <w:sz w:val="24"/>
          <w:szCs w:val="24"/>
          <w:lang w:val="ro-MD" w:eastAsia="ro-MD"/>
          <w14:ligatures w14:val="none"/>
        </w:rPr>
        <w:t xml:space="preserve"> confirmă maturitatea instituțională și metodologică a Republicii Moldova în dezvoltarea unui sistem de calificări integrat, comprehensiv și compatibil la nivel european, bazat pe rezultate ale învățării și pe principiile calității, echității și recunoașterii reciproce.</w:t>
      </w:r>
    </w:p>
    <w:p w14:paraId="07A8B52D" w14:textId="77777777" w:rsidR="00433C33" w:rsidRDefault="00433C33" w:rsidP="009F019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33C33">
        <w:rPr>
          <w:rFonts w:ascii="Times New Roman" w:eastAsia="Times New Roman" w:hAnsi="Times New Roman" w:cs="Times New Roman"/>
          <w:kern w:val="0"/>
          <w:sz w:val="24"/>
          <w:szCs w:val="24"/>
          <w:lang w:val="ro-MD" w:eastAsia="ro-MD"/>
          <w14:ligatures w14:val="none"/>
        </w:rPr>
        <w:t>Acest raport marchează o etapă decisivă în procesul de integrare europeană în domeniul educației și formării profesionale, consolidând legătura dintre educație, economie și societate și reafirmând angajamentul Republicii Moldova pentru valori europene fundamentale – mobilitate, incluziune, calitate și învățare pe tot parcursul vieții.</w:t>
      </w:r>
    </w:p>
    <w:p w14:paraId="3B6F6E2B" w14:textId="6761A05A" w:rsidR="004064D5" w:rsidRPr="0020102C" w:rsidRDefault="008B7F83" w:rsidP="004064D5">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Pr>
          <w:rFonts w:ascii="Times New Roman" w:eastAsia="Times New Roman" w:hAnsi="Times New Roman" w:cs="Times New Roman"/>
          <w:b/>
          <w:bCs/>
          <w:color w:val="3494BA" w:themeColor="accent1"/>
          <w:kern w:val="0"/>
          <w:sz w:val="24"/>
          <w:szCs w:val="24"/>
          <w:lang w:eastAsia="ro-MD"/>
          <w14:ligatures w14:val="none"/>
        </w:rPr>
        <w:t>1</w:t>
      </w:r>
      <w:r w:rsidR="004064D5" w:rsidRPr="00EE264C">
        <w:rPr>
          <w:rFonts w:ascii="Times New Roman" w:eastAsia="Times New Roman" w:hAnsi="Times New Roman" w:cs="Times New Roman"/>
          <w:b/>
          <w:bCs/>
          <w:color w:val="3494BA" w:themeColor="accent1"/>
          <w:kern w:val="0"/>
          <w:sz w:val="24"/>
          <w:szCs w:val="24"/>
          <w:lang w:eastAsia="ro-MD"/>
          <w14:ligatures w14:val="none"/>
        </w:rPr>
        <w:t xml:space="preserve">.5 Cadrul </w:t>
      </w:r>
      <w:r w:rsidR="00AF6E32">
        <w:rPr>
          <w:rFonts w:ascii="Times New Roman" w:eastAsia="Times New Roman" w:hAnsi="Times New Roman" w:cs="Times New Roman"/>
          <w:b/>
          <w:bCs/>
          <w:color w:val="3494BA" w:themeColor="accent1"/>
          <w:kern w:val="0"/>
          <w:sz w:val="24"/>
          <w:szCs w:val="24"/>
          <w:lang w:eastAsia="ro-MD"/>
          <w14:ligatures w14:val="none"/>
        </w:rPr>
        <w:t>normativ</w:t>
      </w:r>
      <w:r w:rsidR="004064D5" w:rsidRPr="00EE264C">
        <w:rPr>
          <w:rFonts w:ascii="Times New Roman" w:eastAsia="Times New Roman" w:hAnsi="Times New Roman" w:cs="Times New Roman"/>
          <w:b/>
          <w:bCs/>
          <w:color w:val="3494BA" w:themeColor="accent1"/>
          <w:kern w:val="0"/>
          <w:sz w:val="24"/>
          <w:szCs w:val="24"/>
          <w:lang w:eastAsia="ro-MD"/>
          <w14:ligatures w14:val="none"/>
        </w:rPr>
        <w:t xml:space="preserve"> și instituțional </w:t>
      </w:r>
      <w:r w:rsidR="004064D5">
        <w:rPr>
          <w:rFonts w:ascii="Times New Roman" w:eastAsia="Times New Roman" w:hAnsi="Times New Roman" w:cs="Times New Roman"/>
          <w:b/>
          <w:bCs/>
          <w:color w:val="3494BA" w:themeColor="accent1"/>
          <w:kern w:val="0"/>
          <w:sz w:val="24"/>
          <w:szCs w:val="24"/>
          <w:lang w:eastAsia="ro-MD"/>
          <w14:ligatures w14:val="none"/>
        </w:rPr>
        <w:t>pentru elaborarea</w:t>
      </w:r>
      <w:r w:rsidR="004064D5" w:rsidRPr="00EE264C">
        <w:rPr>
          <w:rFonts w:ascii="Times New Roman" w:eastAsia="Times New Roman" w:hAnsi="Times New Roman" w:cs="Times New Roman"/>
          <w:b/>
          <w:bCs/>
          <w:color w:val="3494BA" w:themeColor="accent1"/>
          <w:kern w:val="0"/>
          <w:sz w:val="24"/>
          <w:szCs w:val="24"/>
          <w:lang w:eastAsia="ro-MD"/>
          <w14:ligatures w14:val="none"/>
        </w:rPr>
        <w:t xml:space="preserve"> </w:t>
      </w:r>
      <w:r w:rsidR="004064D5">
        <w:rPr>
          <w:rFonts w:ascii="Times New Roman" w:eastAsia="Times New Roman" w:hAnsi="Times New Roman" w:cs="Times New Roman"/>
          <w:b/>
          <w:bCs/>
          <w:color w:val="3494BA" w:themeColor="accent1"/>
          <w:kern w:val="0"/>
          <w:sz w:val="24"/>
          <w:szCs w:val="24"/>
          <w:lang w:eastAsia="ro-MD"/>
          <w14:ligatures w14:val="none"/>
        </w:rPr>
        <w:t>Raportului</w:t>
      </w:r>
      <w:r w:rsidR="004064D5" w:rsidRPr="00EE264C">
        <w:rPr>
          <w:rFonts w:ascii="Times New Roman" w:eastAsia="Times New Roman" w:hAnsi="Times New Roman" w:cs="Times New Roman"/>
          <w:b/>
          <w:bCs/>
          <w:color w:val="3494BA" w:themeColor="accent1"/>
          <w:kern w:val="0"/>
          <w:sz w:val="24"/>
          <w:szCs w:val="24"/>
          <w:lang w:eastAsia="ro-MD"/>
          <w14:ligatures w14:val="none"/>
        </w:rPr>
        <w:t xml:space="preserve"> de </w:t>
      </w:r>
      <w:r w:rsidR="004064D5" w:rsidRPr="00913E5C">
        <w:rPr>
          <w:rFonts w:ascii="Times New Roman" w:eastAsia="Times New Roman" w:hAnsi="Times New Roman" w:cs="Times New Roman"/>
          <w:b/>
          <w:bCs/>
          <w:color w:val="3494BA" w:themeColor="accent1"/>
          <w:kern w:val="0"/>
          <w:sz w:val="24"/>
          <w:szCs w:val="24"/>
          <w:lang w:eastAsia="ro-MD"/>
          <w14:ligatures w14:val="none"/>
        </w:rPr>
        <w:t xml:space="preserve">referențiere și </w:t>
      </w:r>
      <w:proofErr w:type="spellStart"/>
      <w:r w:rsidR="004064D5" w:rsidRPr="00913E5C">
        <w:rPr>
          <w:rFonts w:ascii="Times New Roman" w:eastAsia="Times New Roman" w:hAnsi="Times New Roman" w:cs="Times New Roman"/>
          <w:b/>
          <w:bCs/>
          <w:color w:val="3494BA" w:themeColor="accent1"/>
          <w:kern w:val="0"/>
          <w:sz w:val="24"/>
          <w:szCs w:val="24"/>
          <w:lang w:eastAsia="ro-MD"/>
          <w14:ligatures w14:val="none"/>
        </w:rPr>
        <w:t>autocertificare</w:t>
      </w:r>
      <w:proofErr w:type="spellEnd"/>
    </w:p>
    <w:p w14:paraId="3CE23805" w14:textId="3BD54FC2" w:rsidR="004064D5" w:rsidRPr="000D5791"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111CE2">
        <w:rPr>
          <w:rFonts w:ascii="Times New Roman" w:eastAsia="Times New Roman" w:hAnsi="Times New Roman" w:cs="Times New Roman"/>
          <w:kern w:val="0"/>
          <w:sz w:val="24"/>
          <w:szCs w:val="24"/>
          <w:lang w:eastAsia="ro-MD"/>
          <w14:ligatures w14:val="none"/>
        </w:rPr>
        <w:t xml:space="preserve">Elaborarea </w:t>
      </w:r>
      <w:r w:rsidRPr="00335093">
        <w:rPr>
          <w:rFonts w:ascii="Times New Roman" w:eastAsia="Times New Roman" w:hAnsi="Times New Roman" w:cs="Times New Roman"/>
          <w:i/>
          <w:iCs/>
          <w:kern w:val="0"/>
          <w:sz w:val="24"/>
          <w:szCs w:val="24"/>
          <w:lang w:eastAsia="ro-MD"/>
          <w14:ligatures w14:val="none"/>
        </w:rPr>
        <w:t xml:space="preserve">Raportului național de referențiere a CNC la EQF și </w:t>
      </w:r>
      <w:proofErr w:type="spellStart"/>
      <w:r w:rsidRPr="00335093">
        <w:rPr>
          <w:rFonts w:ascii="Times New Roman" w:eastAsia="Times New Roman" w:hAnsi="Times New Roman" w:cs="Times New Roman"/>
          <w:i/>
          <w:iCs/>
          <w:kern w:val="0"/>
          <w:sz w:val="24"/>
          <w:szCs w:val="24"/>
          <w:lang w:eastAsia="ro-MD"/>
          <w14:ligatures w14:val="none"/>
        </w:rPr>
        <w:t>autocertificarea</w:t>
      </w:r>
      <w:proofErr w:type="spellEnd"/>
      <w:r w:rsidRPr="00335093">
        <w:rPr>
          <w:rFonts w:ascii="Times New Roman" w:eastAsia="Times New Roman" w:hAnsi="Times New Roman" w:cs="Times New Roman"/>
          <w:i/>
          <w:iCs/>
          <w:kern w:val="0"/>
          <w:sz w:val="24"/>
          <w:szCs w:val="24"/>
          <w:lang w:eastAsia="ro-MD"/>
          <w14:ligatures w14:val="none"/>
        </w:rPr>
        <w:t xml:space="preserve"> compatibilității acestuia cu QF-EHEA</w:t>
      </w:r>
      <w:r w:rsidRPr="00111CE2">
        <w:rPr>
          <w:rFonts w:ascii="Times New Roman" w:eastAsia="Times New Roman" w:hAnsi="Times New Roman" w:cs="Times New Roman"/>
          <w:kern w:val="0"/>
          <w:sz w:val="24"/>
          <w:szCs w:val="24"/>
          <w:lang w:eastAsia="ro-MD"/>
          <w14:ligatures w14:val="none"/>
        </w:rPr>
        <w:t xml:space="preserve"> se realizează în baza unui cadru </w:t>
      </w:r>
      <w:r w:rsidR="00335093">
        <w:rPr>
          <w:rFonts w:ascii="Times New Roman" w:eastAsia="Times New Roman" w:hAnsi="Times New Roman" w:cs="Times New Roman"/>
          <w:kern w:val="0"/>
          <w:sz w:val="24"/>
          <w:szCs w:val="24"/>
          <w:lang w:eastAsia="ro-MD"/>
          <w14:ligatures w14:val="none"/>
        </w:rPr>
        <w:t>normativ și instituțional</w:t>
      </w:r>
      <w:r w:rsidRPr="00111CE2">
        <w:rPr>
          <w:rFonts w:ascii="Times New Roman" w:eastAsia="Times New Roman" w:hAnsi="Times New Roman" w:cs="Times New Roman"/>
          <w:kern w:val="0"/>
          <w:sz w:val="24"/>
          <w:szCs w:val="24"/>
          <w:lang w:eastAsia="ro-MD"/>
          <w14:ligatures w14:val="none"/>
        </w:rPr>
        <w:t xml:space="preserve"> clar și coerent, care </w:t>
      </w:r>
      <w:r w:rsidRPr="00C84DB6">
        <w:rPr>
          <w:rFonts w:ascii="Times New Roman" w:eastAsia="Times New Roman" w:hAnsi="Times New Roman" w:cs="Times New Roman"/>
          <w:kern w:val="0"/>
          <w:sz w:val="24"/>
          <w:szCs w:val="24"/>
          <w:lang w:eastAsia="ro-MD"/>
          <w14:ligatures w14:val="none"/>
        </w:rPr>
        <w:t>stabilește</w:t>
      </w:r>
      <w:r w:rsidRPr="00111CE2">
        <w:rPr>
          <w:rFonts w:ascii="Times New Roman" w:eastAsia="Times New Roman" w:hAnsi="Times New Roman" w:cs="Times New Roman"/>
          <w:kern w:val="0"/>
          <w:sz w:val="24"/>
          <w:szCs w:val="24"/>
          <w:lang w:eastAsia="ro-MD"/>
          <w14:ligatures w14:val="none"/>
        </w:rPr>
        <w:t xml:space="preserve"> atribuțiile instituționale</w:t>
      </w:r>
      <w:r>
        <w:rPr>
          <w:rFonts w:ascii="Times New Roman" w:eastAsia="Times New Roman" w:hAnsi="Times New Roman" w:cs="Times New Roman"/>
          <w:kern w:val="0"/>
          <w:sz w:val="24"/>
          <w:szCs w:val="24"/>
          <w:lang w:eastAsia="ro-MD"/>
          <w14:ligatures w14:val="none"/>
        </w:rPr>
        <w:t xml:space="preserve"> și</w:t>
      </w:r>
      <w:r w:rsidRPr="00111CE2">
        <w:rPr>
          <w:rFonts w:ascii="Times New Roman" w:eastAsia="Times New Roman" w:hAnsi="Times New Roman" w:cs="Times New Roman"/>
          <w:kern w:val="0"/>
          <w:sz w:val="24"/>
          <w:szCs w:val="24"/>
          <w:lang w:eastAsia="ro-MD"/>
          <w14:ligatures w14:val="none"/>
        </w:rPr>
        <w:t xml:space="preserve"> </w:t>
      </w:r>
      <w:r>
        <w:rPr>
          <w:rFonts w:ascii="Times New Roman" w:eastAsia="Times New Roman" w:hAnsi="Times New Roman" w:cs="Times New Roman"/>
          <w:kern w:val="0"/>
          <w:sz w:val="24"/>
          <w:szCs w:val="24"/>
          <w:lang w:eastAsia="ro-MD"/>
          <w14:ligatures w14:val="none"/>
        </w:rPr>
        <w:t>procedurile</w:t>
      </w:r>
      <w:r w:rsidRPr="00111CE2">
        <w:rPr>
          <w:rFonts w:ascii="Times New Roman" w:eastAsia="Times New Roman" w:hAnsi="Times New Roman" w:cs="Times New Roman"/>
          <w:kern w:val="0"/>
          <w:sz w:val="24"/>
          <w:szCs w:val="24"/>
          <w:lang w:eastAsia="ro-MD"/>
          <w14:ligatures w14:val="none"/>
        </w:rPr>
        <w:t xml:space="preserve"> de coordonare </w:t>
      </w:r>
      <w:r>
        <w:rPr>
          <w:rFonts w:ascii="Times New Roman" w:eastAsia="Times New Roman" w:hAnsi="Times New Roman" w:cs="Times New Roman"/>
          <w:kern w:val="0"/>
          <w:sz w:val="24"/>
          <w:szCs w:val="24"/>
          <w:lang w:eastAsia="ro-MD"/>
          <w14:ligatures w14:val="none"/>
        </w:rPr>
        <w:t>a procesului de elaborare a raportului</w:t>
      </w:r>
      <w:r w:rsidRPr="00111CE2">
        <w:rPr>
          <w:rFonts w:ascii="Times New Roman" w:eastAsia="Times New Roman" w:hAnsi="Times New Roman" w:cs="Times New Roman"/>
          <w:kern w:val="0"/>
          <w:sz w:val="24"/>
          <w:szCs w:val="24"/>
          <w:lang w:eastAsia="ro-MD"/>
          <w14:ligatures w14:val="none"/>
        </w:rPr>
        <w:t xml:space="preserve">. </w:t>
      </w:r>
      <w:r w:rsidRPr="000D5791">
        <w:rPr>
          <w:rFonts w:ascii="Times New Roman" w:hAnsi="Times New Roman" w:cs="Times New Roman"/>
          <w:sz w:val="24"/>
          <w:szCs w:val="24"/>
        </w:rPr>
        <w:t xml:space="preserve">Acest cadru reflectă angajamentele Republicii Moldova privind integrarea europeană și participarea activă la mecanismele de cooperare în domeniul calificărilor, </w:t>
      </w:r>
      <w:r w:rsidRPr="000D5791">
        <w:rPr>
          <w:rStyle w:val="af9"/>
          <w:rFonts w:ascii="Times New Roman" w:hAnsi="Times New Roman" w:cs="Times New Roman"/>
          <w:b w:val="0"/>
          <w:bCs w:val="0"/>
          <w:sz w:val="24"/>
          <w:szCs w:val="24"/>
        </w:rPr>
        <w:t>în conformitate cu art. 123 lit. e) din Acordul de Asociere RM–UE</w:t>
      </w:r>
      <w:r w:rsidRPr="000D5791">
        <w:rPr>
          <w:rFonts w:ascii="Times New Roman" w:hAnsi="Times New Roman" w:cs="Times New Roman"/>
          <w:b/>
          <w:bCs/>
          <w:sz w:val="24"/>
          <w:szCs w:val="24"/>
        </w:rPr>
        <w:t>,</w:t>
      </w:r>
      <w:r w:rsidRPr="000D5791">
        <w:rPr>
          <w:rFonts w:ascii="Times New Roman" w:hAnsi="Times New Roman" w:cs="Times New Roman"/>
          <w:sz w:val="24"/>
          <w:szCs w:val="24"/>
        </w:rPr>
        <w:t xml:space="preserve"> care prevede promovarea convergenței cu politicile europene privind recunoașterea calificărilor și asigurarea calității învățământului.</w:t>
      </w:r>
    </w:p>
    <w:p w14:paraId="4D8BEDD5" w14:textId="77777777" w:rsidR="004064D5" w:rsidRPr="00111CE2"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111CE2">
        <w:rPr>
          <w:rFonts w:ascii="Times New Roman" w:eastAsia="Times New Roman" w:hAnsi="Times New Roman" w:cs="Times New Roman"/>
          <w:kern w:val="0"/>
          <w:sz w:val="24"/>
          <w:szCs w:val="24"/>
          <w:lang w:eastAsia="ro-MD"/>
          <w14:ligatures w14:val="none"/>
        </w:rPr>
        <w:lastRenderedPageBreak/>
        <w:t xml:space="preserve">Baza legală </w:t>
      </w:r>
      <w:r>
        <w:rPr>
          <w:rFonts w:ascii="Times New Roman" w:eastAsia="Times New Roman" w:hAnsi="Times New Roman" w:cs="Times New Roman"/>
          <w:kern w:val="0"/>
          <w:sz w:val="24"/>
          <w:szCs w:val="24"/>
          <w:lang w:eastAsia="ro-MD"/>
          <w14:ligatures w14:val="none"/>
        </w:rPr>
        <w:t>pentru</w:t>
      </w:r>
      <w:r w:rsidRPr="00111CE2">
        <w:rPr>
          <w:rFonts w:ascii="Times New Roman" w:eastAsia="Times New Roman" w:hAnsi="Times New Roman" w:cs="Times New Roman"/>
          <w:kern w:val="0"/>
          <w:sz w:val="24"/>
          <w:szCs w:val="24"/>
          <w:lang w:eastAsia="ro-MD"/>
          <w14:ligatures w14:val="none"/>
        </w:rPr>
        <w:t xml:space="preserve"> elabor</w:t>
      </w:r>
      <w:r>
        <w:rPr>
          <w:rFonts w:ascii="Times New Roman" w:eastAsia="Times New Roman" w:hAnsi="Times New Roman" w:cs="Times New Roman"/>
          <w:kern w:val="0"/>
          <w:sz w:val="24"/>
          <w:szCs w:val="24"/>
          <w:lang w:eastAsia="ro-MD"/>
          <w14:ligatures w14:val="none"/>
        </w:rPr>
        <w:t>area</w:t>
      </w:r>
      <w:r w:rsidRPr="00111CE2">
        <w:rPr>
          <w:rFonts w:ascii="Times New Roman" w:eastAsia="Times New Roman" w:hAnsi="Times New Roman" w:cs="Times New Roman"/>
          <w:kern w:val="0"/>
          <w:sz w:val="24"/>
          <w:szCs w:val="24"/>
          <w:lang w:eastAsia="ro-MD"/>
          <w14:ligatures w14:val="none"/>
        </w:rPr>
        <w:t xml:space="preserve"> raportului este stabilită prin Codul educației nr. 152/2014</w:t>
      </w:r>
      <w:r>
        <w:rPr>
          <w:rFonts w:ascii="Times New Roman" w:eastAsia="Times New Roman" w:hAnsi="Times New Roman" w:cs="Times New Roman"/>
          <w:kern w:val="0"/>
          <w:sz w:val="24"/>
          <w:szCs w:val="24"/>
          <w:lang w:eastAsia="ro-MD"/>
          <w14:ligatures w14:val="none"/>
        </w:rPr>
        <w:t xml:space="preserve">, </w:t>
      </w:r>
      <w:r w:rsidRPr="00111CE2">
        <w:rPr>
          <w:rFonts w:ascii="Times New Roman" w:eastAsia="Times New Roman" w:hAnsi="Times New Roman" w:cs="Times New Roman"/>
          <w:kern w:val="0"/>
          <w:sz w:val="24"/>
          <w:szCs w:val="24"/>
          <w:lang w:eastAsia="ro-MD"/>
          <w14:ligatures w14:val="none"/>
        </w:rPr>
        <w:t>art</w:t>
      </w:r>
      <w:r>
        <w:rPr>
          <w:rFonts w:ascii="Times New Roman" w:eastAsia="Times New Roman" w:hAnsi="Times New Roman" w:cs="Times New Roman"/>
          <w:kern w:val="0"/>
          <w:sz w:val="24"/>
          <w:szCs w:val="24"/>
          <w:lang w:eastAsia="ro-MD"/>
          <w14:ligatures w14:val="none"/>
        </w:rPr>
        <w:t>.</w:t>
      </w:r>
      <w:r w:rsidRPr="00111CE2">
        <w:rPr>
          <w:rFonts w:ascii="Times New Roman" w:eastAsia="Times New Roman" w:hAnsi="Times New Roman" w:cs="Times New Roman"/>
          <w:kern w:val="0"/>
          <w:sz w:val="24"/>
          <w:szCs w:val="24"/>
          <w:lang w:eastAsia="ro-MD"/>
          <w14:ligatures w14:val="none"/>
        </w:rPr>
        <w:t xml:space="preserve"> 11</w:t>
      </w:r>
      <w:r w:rsidRPr="00B9000D">
        <w:rPr>
          <w:rFonts w:ascii="Times New Roman" w:eastAsia="Times New Roman" w:hAnsi="Times New Roman" w:cs="Times New Roman"/>
          <w:kern w:val="0"/>
          <w:sz w:val="24"/>
          <w:szCs w:val="24"/>
          <w:vertAlign w:val="superscript"/>
          <w:lang w:eastAsia="ro-MD"/>
          <w14:ligatures w14:val="none"/>
        </w:rPr>
        <w:t>1</w:t>
      </w:r>
      <w:r w:rsidRPr="00111CE2">
        <w:rPr>
          <w:rFonts w:ascii="Times New Roman" w:eastAsia="Times New Roman" w:hAnsi="Times New Roman" w:cs="Times New Roman"/>
          <w:kern w:val="0"/>
          <w:sz w:val="24"/>
          <w:szCs w:val="24"/>
          <w:lang w:eastAsia="ro-MD"/>
          <w14:ligatures w14:val="none"/>
        </w:rPr>
        <w:t xml:space="preserve"> alin. (6) din, care conferă MEC mandatul explicit de a elabora și coordona procesul de referențiere și </w:t>
      </w:r>
      <w:proofErr w:type="spellStart"/>
      <w:r w:rsidRPr="00111CE2">
        <w:rPr>
          <w:rFonts w:ascii="Times New Roman" w:eastAsia="Times New Roman" w:hAnsi="Times New Roman" w:cs="Times New Roman"/>
          <w:kern w:val="0"/>
          <w:sz w:val="24"/>
          <w:szCs w:val="24"/>
          <w:lang w:eastAsia="ro-MD"/>
          <w14:ligatures w14:val="none"/>
        </w:rPr>
        <w:t>autocertificare</w:t>
      </w:r>
      <w:proofErr w:type="spellEnd"/>
      <w:r w:rsidRPr="00111CE2">
        <w:rPr>
          <w:rFonts w:ascii="Times New Roman" w:eastAsia="Times New Roman" w:hAnsi="Times New Roman" w:cs="Times New Roman"/>
          <w:kern w:val="0"/>
          <w:sz w:val="24"/>
          <w:szCs w:val="24"/>
          <w:lang w:eastAsia="ro-MD"/>
          <w14:ligatures w14:val="none"/>
        </w:rPr>
        <w:t>.</w:t>
      </w:r>
    </w:p>
    <w:p w14:paraId="0C2FF24D" w14:textId="77777777" w:rsidR="004064D5"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111CE2">
        <w:rPr>
          <w:rFonts w:ascii="Times New Roman" w:eastAsia="Times New Roman" w:hAnsi="Times New Roman" w:cs="Times New Roman"/>
          <w:kern w:val="0"/>
          <w:sz w:val="24"/>
          <w:szCs w:val="24"/>
          <w:lang w:eastAsia="ro-MD"/>
          <w14:ligatures w14:val="none"/>
        </w:rPr>
        <w:t xml:space="preserve">În temeiul </w:t>
      </w:r>
      <w:r>
        <w:rPr>
          <w:rFonts w:ascii="Times New Roman" w:eastAsia="Times New Roman" w:hAnsi="Times New Roman" w:cs="Times New Roman"/>
          <w:kern w:val="0"/>
          <w:sz w:val="24"/>
          <w:szCs w:val="24"/>
          <w:lang w:eastAsia="ro-MD"/>
          <w14:ligatures w14:val="none"/>
        </w:rPr>
        <w:t>HG</w:t>
      </w:r>
      <w:r w:rsidRPr="00111CE2">
        <w:rPr>
          <w:rFonts w:ascii="Times New Roman" w:eastAsia="Times New Roman" w:hAnsi="Times New Roman" w:cs="Times New Roman"/>
          <w:kern w:val="0"/>
          <w:sz w:val="24"/>
          <w:szCs w:val="24"/>
          <w:lang w:eastAsia="ro-MD"/>
          <w14:ligatures w14:val="none"/>
        </w:rPr>
        <w:t xml:space="preserve"> nr. 330/2023 privind aprobarea </w:t>
      </w:r>
      <w:r w:rsidRPr="009844C4">
        <w:rPr>
          <w:rFonts w:ascii="Times New Roman" w:eastAsia="Times New Roman" w:hAnsi="Times New Roman" w:cs="Times New Roman"/>
          <w:i/>
          <w:iCs/>
          <w:kern w:val="0"/>
          <w:sz w:val="24"/>
          <w:szCs w:val="24"/>
          <w:lang w:eastAsia="ro-MD"/>
          <w14:ligatures w14:val="none"/>
        </w:rPr>
        <w:t>Cadrului Național al Calificărilor</w:t>
      </w:r>
      <w:r w:rsidRPr="00111CE2">
        <w:rPr>
          <w:rFonts w:ascii="Times New Roman" w:eastAsia="Times New Roman" w:hAnsi="Times New Roman" w:cs="Times New Roman"/>
          <w:kern w:val="0"/>
          <w:sz w:val="24"/>
          <w:szCs w:val="24"/>
          <w:lang w:eastAsia="ro-MD"/>
          <w14:ligatures w14:val="none"/>
        </w:rPr>
        <w:t xml:space="preserve"> și a </w:t>
      </w:r>
      <w:r w:rsidRPr="009844C4">
        <w:rPr>
          <w:rFonts w:ascii="Times New Roman" w:eastAsia="Times New Roman" w:hAnsi="Times New Roman" w:cs="Times New Roman"/>
          <w:i/>
          <w:iCs/>
          <w:kern w:val="0"/>
          <w:sz w:val="24"/>
          <w:szCs w:val="24"/>
          <w:lang w:eastAsia="ro-MD"/>
          <w14:ligatures w14:val="none"/>
        </w:rPr>
        <w:t>Foii de parcurs pentru operaționalizarea CNC pentru anii 2023–2027</w:t>
      </w:r>
      <w:r w:rsidRPr="00111CE2">
        <w:rPr>
          <w:rFonts w:ascii="Times New Roman" w:eastAsia="Times New Roman" w:hAnsi="Times New Roman" w:cs="Times New Roman"/>
          <w:kern w:val="0"/>
          <w:sz w:val="24"/>
          <w:szCs w:val="24"/>
          <w:lang w:eastAsia="ro-MD"/>
          <w14:ligatures w14:val="none"/>
        </w:rPr>
        <w:t xml:space="preserve">, Guvernul a inclus printre prioritățile-cheie </w:t>
      </w:r>
      <w:proofErr w:type="spellStart"/>
      <w:r w:rsidRPr="00111CE2">
        <w:rPr>
          <w:rFonts w:ascii="Times New Roman" w:eastAsia="Times New Roman" w:hAnsi="Times New Roman" w:cs="Times New Roman"/>
          <w:kern w:val="0"/>
          <w:sz w:val="24"/>
          <w:szCs w:val="24"/>
          <w:lang w:eastAsia="ro-MD"/>
          <w14:ligatures w14:val="none"/>
        </w:rPr>
        <w:t>referențierea</w:t>
      </w:r>
      <w:proofErr w:type="spellEnd"/>
      <w:r w:rsidRPr="00111CE2">
        <w:rPr>
          <w:rFonts w:ascii="Times New Roman" w:eastAsia="Times New Roman" w:hAnsi="Times New Roman" w:cs="Times New Roman"/>
          <w:kern w:val="0"/>
          <w:sz w:val="24"/>
          <w:szCs w:val="24"/>
          <w:lang w:eastAsia="ro-MD"/>
          <w14:ligatures w14:val="none"/>
        </w:rPr>
        <w:t xml:space="preserve"> CNC la EQF și QF-EHEA și elaborarea Raportului național de referențiere. </w:t>
      </w:r>
    </w:p>
    <w:p w14:paraId="266F395C" w14:textId="77777777" w:rsidR="004064D5" w:rsidRPr="00111CE2"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111CE2">
        <w:rPr>
          <w:rFonts w:ascii="Times New Roman" w:eastAsia="Times New Roman" w:hAnsi="Times New Roman" w:cs="Times New Roman"/>
          <w:kern w:val="0"/>
          <w:sz w:val="24"/>
          <w:szCs w:val="24"/>
          <w:lang w:eastAsia="ro-MD"/>
          <w14:ligatures w14:val="none"/>
        </w:rPr>
        <w:t>Prin același act normativ, MEC a fost desemnat Punct Național de Coordonare pentru Cadrul European al Calificărilor (MD NCP-EQF), cu responsabilități de coordonare administrativă și metodologică.</w:t>
      </w:r>
      <w:r>
        <w:rPr>
          <w:rFonts w:ascii="Times New Roman" w:eastAsia="Times New Roman" w:hAnsi="Times New Roman" w:cs="Times New Roman"/>
          <w:kern w:val="0"/>
          <w:sz w:val="24"/>
          <w:szCs w:val="24"/>
          <w:lang w:eastAsia="ro-MD"/>
          <w14:ligatures w14:val="none"/>
        </w:rPr>
        <w:t xml:space="preserve"> </w:t>
      </w:r>
      <w:r w:rsidRPr="00111CE2">
        <w:rPr>
          <w:rFonts w:ascii="Times New Roman" w:eastAsia="Times New Roman" w:hAnsi="Times New Roman" w:cs="Times New Roman"/>
          <w:kern w:val="0"/>
          <w:sz w:val="24"/>
          <w:szCs w:val="24"/>
          <w:lang w:eastAsia="ro-MD"/>
          <w14:ligatures w14:val="none"/>
        </w:rPr>
        <w:t xml:space="preserve">Activitatea Punctului Național de Coordonare este reglementată prin </w:t>
      </w:r>
      <w:r w:rsidRPr="00502049">
        <w:rPr>
          <w:rFonts w:ascii="Times New Roman" w:eastAsia="Times New Roman" w:hAnsi="Times New Roman" w:cs="Times New Roman"/>
          <w:i/>
          <w:iCs/>
          <w:kern w:val="0"/>
          <w:sz w:val="24"/>
          <w:szCs w:val="24"/>
          <w:lang w:eastAsia="ro-MD"/>
          <w14:ligatures w14:val="none"/>
        </w:rPr>
        <w:t>Regulamentul de organizare și funcționare al MD NCP-EQF</w:t>
      </w:r>
      <w:r>
        <w:rPr>
          <w:rFonts w:ascii="Times New Roman" w:eastAsia="Times New Roman" w:hAnsi="Times New Roman" w:cs="Times New Roman"/>
          <w:i/>
          <w:iCs/>
          <w:kern w:val="0"/>
          <w:sz w:val="24"/>
          <w:szCs w:val="24"/>
          <w:lang w:eastAsia="ro-MD"/>
          <w14:ligatures w14:val="none"/>
        </w:rPr>
        <w:t xml:space="preserve"> </w:t>
      </w:r>
      <w:r w:rsidRPr="00BD546B">
        <w:rPr>
          <w:rFonts w:ascii="Times New Roman" w:eastAsia="Times New Roman" w:hAnsi="Times New Roman" w:cs="Times New Roman"/>
          <w:i/>
          <w:iCs/>
          <w:kern w:val="0"/>
          <w:sz w:val="24"/>
          <w:szCs w:val="24"/>
          <w:lang w:eastAsia="ro-MD"/>
          <w14:ligatures w14:val="none"/>
        </w:rPr>
        <w:t>pentru învățarea pe tot parcursul vieții</w:t>
      </w:r>
      <w:r w:rsidRPr="00111CE2">
        <w:rPr>
          <w:rFonts w:ascii="Times New Roman" w:eastAsia="Times New Roman" w:hAnsi="Times New Roman" w:cs="Times New Roman"/>
          <w:kern w:val="0"/>
          <w:sz w:val="24"/>
          <w:szCs w:val="24"/>
          <w:lang w:eastAsia="ro-MD"/>
          <w14:ligatures w14:val="none"/>
        </w:rPr>
        <w:t>, aprobat prin Ordinul MEC nr. 1717/2024</w:t>
      </w:r>
      <w:r>
        <w:rPr>
          <w:rStyle w:val="afc"/>
          <w:rFonts w:ascii="Times New Roman" w:eastAsia="Times New Roman" w:hAnsi="Times New Roman" w:cs="Times New Roman"/>
          <w:kern w:val="0"/>
          <w:sz w:val="24"/>
          <w:szCs w:val="24"/>
          <w:lang w:eastAsia="ro-MD"/>
          <w14:ligatures w14:val="none"/>
        </w:rPr>
        <w:footnoteReference w:id="7"/>
      </w:r>
      <w:r w:rsidRPr="00111CE2">
        <w:rPr>
          <w:rFonts w:ascii="Times New Roman" w:eastAsia="Times New Roman" w:hAnsi="Times New Roman" w:cs="Times New Roman"/>
          <w:kern w:val="0"/>
          <w:sz w:val="24"/>
          <w:szCs w:val="24"/>
          <w:lang w:eastAsia="ro-MD"/>
          <w14:ligatures w14:val="none"/>
        </w:rPr>
        <w:t>, care stabilește scopul, obiectivele și funcțiile acestuia, inclusiv: coordonarea procesului de corelare a CNC cu EQF, monitorizarea etapelor de referențiere și publicarea raportului pe pagina web oficială a ministerului</w:t>
      </w:r>
      <w:r>
        <w:rPr>
          <w:rFonts w:ascii="Times New Roman" w:eastAsia="Times New Roman" w:hAnsi="Times New Roman" w:cs="Times New Roman"/>
          <w:kern w:val="0"/>
          <w:sz w:val="24"/>
          <w:szCs w:val="24"/>
          <w:lang w:eastAsia="ro-MD"/>
          <w14:ligatures w14:val="none"/>
        </w:rPr>
        <w:t>.</w:t>
      </w:r>
    </w:p>
    <w:p w14:paraId="13F8398B" w14:textId="77777777" w:rsidR="004064D5" w:rsidRPr="00111CE2"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111CE2">
        <w:rPr>
          <w:rFonts w:ascii="Times New Roman" w:eastAsia="Times New Roman" w:hAnsi="Times New Roman" w:cs="Times New Roman"/>
          <w:kern w:val="0"/>
          <w:sz w:val="24"/>
          <w:szCs w:val="24"/>
          <w:lang w:eastAsia="ro-MD"/>
          <w14:ligatures w14:val="none"/>
        </w:rPr>
        <w:t>P</w:t>
      </w:r>
      <w:r>
        <w:rPr>
          <w:rFonts w:ascii="Times New Roman" w:eastAsia="Times New Roman" w:hAnsi="Times New Roman" w:cs="Times New Roman"/>
          <w:kern w:val="0"/>
          <w:sz w:val="24"/>
          <w:szCs w:val="24"/>
          <w:lang w:eastAsia="ro-MD"/>
          <w14:ligatures w14:val="none"/>
        </w:rPr>
        <w:t xml:space="preserve">rin </w:t>
      </w:r>
      <w:r w:rsidRPr="00111CE2">
        <w:rPr>
          <w:rFonts w:ascii="Times New Roman" w:eastAsia="Times New Roman" w:hAnsi="Times New Roman" w:cs="Times New Roman"/>
          <w:kern w:val="0"/>
          <w:sz w:val="24"/>
          <w:szCs w:val="24"/>
          <w:lang w:eastAsia="ro-MD"/>
          <w14:ligatures w14:val="none"/>
        </w:rPr>
        <w:t>Ordinul nr. 944/2024</w:t>
      </w:r>
      <w:r>
        <w:rPr>
          <w:rStyle w:val="afc"/>
          <w:rFonts w:ascii="Times New Roman" w:eastAsia="Times New Roman" w:hAnsi="Times New Roman" w:cs="Times New Roman"/>
          <w:kern w:val="0"/>
          <w:sz w:val="24"/>
          <w:szCs w:val="24"/>
          <w:lang w:eastAsia="ro-MD"/>
          <w14:ligatures w14:val="none"/>
        </w:rPr>
        <w:footnoteReference w:id="8"/>
      </w:r>
      <w:r w:rsidRPr="00111CE2">
        <w:rPr>
          <w:rFonts w:ascii="Times New Roman" w:eastAsia="Times New Roman" w:hAnsi="Times New Roman" w:cs="Times New Roman"/>
          <w:kern w:val="0"/>
          <w:sz w:val="24"/>
          <w:szCs w:val="24"/>
          <w:lang w:eastAsia="ro-MD"/>
          <w14:ligatures w14:val="none"/>
        </w:rPr>
        <w:t>, MEC a constituit Grupul de lucru pentru elaborarea Raportului național de referențiere, i</w:t>
      </w:r>
      <w:r>
        <w:rPr>
          <w:rFonts w:ascii="Times New Roman" w:eastAsia="Times New Roman" w:hAnsi="Times New Roman" w:cs="Times New Roman"/>
          <w:kern w:val="0"/>
          <w:sz w:val="24"/>
          <w:szCs w:val="24"/>
          <w:lang w:eastAsia="ro-MD"/>
          <w14:ligatures w14:val="none"/>
        </w:rPr>
        <w:t>ar prin</w:t>
      </w:r>
      <w:r w:rsidRPr="00111CE2">
        <w:rPr>
          <w:rFonts w:ascii="Times New Roman" w:eastAsia="Times New Roman" w:hAnsi="Times New Roman" w:cs="Times New Roman"/>
          <w:kern w:val="0"/>
          <w:sz w:val="24"/>
          <w:szCs w:val="24"/>
          <w:lang w:eastAsia="ro-MD"/>
          <w14:ligatures w14:val="none"/>
        </w:rPr>
        <w:t xml:space="preserve"> </w:t>
      </w:r>
      <w:bookmarkStart w:id="7" w:name="_Hlk211276214"/>
      <w:r w:rsidRPr="00111CE2">
        <w:rPr>
          <w:rFonts w:ascii="Times New Roman" w:eastAsia="Times New Roman" w:hAnsi="Times New Roman" w:cs="Times New Roman"/>
          <w:kern w:val="0"/>
          <w:sz w:val="24"/>
          <w:szCs w:val="24"/>
          <w:lang w:eastAsia="ro-MD"/>
          <w14:ligatures w14:val="none"/>
        </w:rPr>
        <w:t>Ordinul nr. 1623/2024</w:t>
      </w:r>
      <w:bookmarkEnd w:id="7"/>
      <w:r>
        <w:rPr>
          <w:rStyle w:val="afc"/>
          <w:rFonts w:ascii="Times New Roman" w:eastAsia="Times New Roman" w:hAnsi="Times New Roman" w:cs="Times New Roman"/>
          <w:kern w:val="0"/>
          <w:sz w:val="24"/>
          <w:szCs w:val="24"/>
          <w:lang w:eastAsia="ro-MD"/>
          <w14:ligatures w14:val="none"/>
        </w:rPr>
        <w:footnoteReference w:id="9"/>
      </w:r>
      <w:r w:rsidRPr="00111CE2">
        <w:rPr>
          <w:rFonts w:ascii="Times New Roman" w:eastAsia="Times New Roman" w:hAnsi="Times New Roman" w:cs="Times New Roman"/>
          <w:kern w:val="0"/>
          <w:sz w:val="24"/>
          <w:szCs w:val="24"/>
          <w:lang w:eastAsia="ro-MD"/>
          <w14:ligatures w14:val="none"/>
        </w:rPr>
        <w:t xml:space="preserve">, </w:t>
      </w:r>
      <w:r>
        <w:rPr>
          <w:rFonts w:ascii="Times New Roman" w:eastAsia="Times New Roman" w:hAnsi="Times New Roman" w:cs="Times New Roman"/>
          <w:kern w:val="0"/>
          <w:sz w:val="24"/>
          <w:szCs w:val="24"/>
          <w:lang w:eastAsia="ro-MD"/>
          <w14:ligatures w14:val="none"/>
        </w:rPr>
        <w:t>a</w:t>
      </w:r>
      <w:r w:rsidRPr="00111CE2">
        <w:rPr>
          <w:rFonts w:ascii="Times New Roman" w:eastAsia="Times New Roman" w:hAnsi="Times New Roman" w:cs="Times New Roman"/>
          <w:kern w:val="0"/>
          <w:sz w:val="24"/>
          <w:szCs w:val="24"/>
          <w:lang w:eastAsia="ro-MD"/>
          <w14:ligatures w14:val="none"/>
        </w:rPr>
        <w:t xml:space="preserve"> fost aprobat</w:t>
      </w:r>
      <w:r>
        <w:rPr>
          <w:rFonts w:ascii="Times New Roman" w:eastAsia="Times New Roman" w:hAnsi="Times New Roman" w:cs="Times New Roman"/>
          <w:kern w:val="0"/>
          <w:sz w:val="24"/>
          <w:szCs w:val="24"/>
          <w:lang w:eastAsia="ro-MD"/>
          <w14:ligatures w14:val="none"/>
        </w:rPr>
        <w:t>ă</w:t>
      </w:r>
      <w:r w:rsidRPr="00111CE2">
        <w:rPr>
          <w:rFonts w:ascii="Times New Roman" w:eastAsia="Times New Roman" w:hAnsi="Times New Roman" w:cs="Times New Roman"/>
          <w:kern w:val="0"/>
          <w:sz w:val="24"/>
          <w:szCs w:val="24"/>
          <w:lang w:eastAsia="ro-MD"/>
          <w14:ligatures w14:val="none"/>
        </w:rPr>
        <w:t xml:space="preserve"> structura raportului.</w:t>
      </w:r>
      <w:r>
        <w:rPr>
          <w:rFonts w:ascii="Times New Roman" w:eastAsia="Times New Roman" w:hAnsi="Times New Roman" w:cs="Times New Roman"/>
          <w:kern w:val="0"/>
          <w:sz w:val="24"/>
          <w:szCs w:val="24"/>
          <w:lang w:eastAsia="ro-MD"/>
          <w14:ligatures w14:val="none"/>
        </w:rPr>
        <w:t xml:space="preserve"> </w:t>
      </w:r>
      <w:r w:rsidRPr="00111CE2">
        <w:rPr>
          <w:rFonts w:ascii="Times New Roman" w:eastAsia="Times New Roman" w:hAnsi="Times New Roman" w:cs="Times New Roman"/>
          <w:kern w:val="0"/>
          <w:sz w:val="24"/>
          <w:szCs w:val="24"/>
          <w:lang w:eastAsia="ro-MD"/>
          <w14:ligatures w14:val="none"/>
        </w:rPr>
        <w:t>Coordonarea metodologică a procesului este asigurată de Direcția Cadrul Național al Calificărilor din cadrul MEC, care acționează ca secretariat tehnic al MD NCP-EQF, oferind suport grupului de lucru, monitorizând conformitatea activităților cu cadrul legal și facilitând dialogul cu părțile interesate.</w:t>
      </w:r>
    </w:p>
    <w:p w14:paraId="34C44909" w14:textId="77777777" w:rsidR="004064D5"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634B6D">
        <w:rPr>
          <w:rFonts w:ascii="Times New Roman" w:eastAsia="Times New Roman" w:hAnsi="Times New Roman" w:cs="Times New Roman"/>
          <w:kern w:val="0"/>
          <w:sz w:val="24"/>
          <w:szCs w:val="24"/>
          <w:lang w:eastAsia="ro-MD"/>
          <w14:ligatures w14:val="none"/>
        </w:rPr>
        <w:t xml:space="preserve">Pentru a asigura transparența și validarea interinstituțională a procesului, </w:t>
      </w:r>
      <w:r w:rsidRPr="0098771C">
        <w:rPr>
          <w:rFonts w:ascii="Times New Roman" w:eastAsia="Times New Roman" w:hAnsi="Times New Roman" w:cs="Times New Roman"/>
          <w:i/>
          <w:iCs/>
          <w:kern w:val="0"/>
          <w:sz w:val="24"/>
          <w:szCs w:val="24"/>
          <w:lang w:eastAsia="ro-MD"/>
          <w14:ligatures w14:val="none"/>
        </w:rPr>
        <w:t>Raportul național de referențiere</w:t>
      </w:r>
      <w:r w:rsidRPr="00634B6D">
        <w:rPr>
          <w:rFonts w:ascii="Times New Roman" w:eastAsia="Times New Roman" w:hAnsi="Times New Roman" w:cs="Times New Roman"/>
          <w:kern w:val="0"/>
          <w:sz w:val="24"/>
          <w:szCs w:val="24"/>
          <w:lang w:eastAsia="ro-MD"/>
          <w14:ligatures w14:val="none"/>
        </w:rPr>
        <w:t xml:space="preserve"> este supus avizării Consiliului Național pentru Calificări și ANACEC. Ulterior, raportul este transmis Guvernului Republicii Moldova pentru aprobare și prezentare oficială Grupului consultativ EQF (EQF </w:t>
      </w:r>
      <w:proofErr w:type="spellStart"/>
      <w:r w:rsidRPr="00634B6D">
        <w:rPr>
          <w:rFonts w:ascii="Times New Roman" w:eastAsia="Times New Roman" w:hAnsi="Times New Roman" w:cs="Times New Roman"/>
          <w:kern w:val="0"/>
          <w:sz w:val="24"/>
          <w:szCs w:val="24"/>
          <w:lang w:eastAsia="ro-MD"/>
          <w14:ligatures w14:val="none"/>
        </w:rPr>
        <w:t>Advisory</w:t>
      </w:r>
      <w:proofErr w:type="spellEnd"/>
      <w:r w:rsidRPr="00634B6D">
        <w:rPr>
          <w:rFonts w:ascii="Times New Roman" w:eastAsia="Times New Roman" w:hAnsi="Times New Roman" w:cs="Times New Roman"/>
          <w:kern w:val="0"/>
          <w:sz w:val="24"/>
          <w:szCs w:val="24"/>
          <w:lang w:eastAsia="ro-MD"/>
          <w14:ligatures w14:val="none"/>
        </w:rPr>
        <w:t xml:space="preserve"> Group)</w:t>
      </w:r>
      <w:r>
        <w:rPr>
          <w:rStyle w:val="afc"/>
          <w:rFonts w:ascii="Times New Roman" w:eastAsia="Times New Roman" w:hAnsi="Times New Roman" w:cs="Times New Roman"/>
          <w:kern w:val="0"/>
          <w:sz w:val="24"/>
          <w:szCs w:val="24"/>
          <w:lang w:eastAsia="ro-MD"/>
          <w14:ligatures w14:val="none"/>
        </w:rPr>
        <w:footnoteReference w:id="10"/>
      </w:r>
      <w:r>
        <w:rPr>
          <w:rFonts w:ascii="Times New Roman" w:eastAsia="Times New Roman" w:hAnsi="Times New Roman" w:cs="Times New Roman"/>
          <w:kern w:val="0"/>
          <w:sz w:val="24"/>
          <w:szCs w:val="24"/>
          <w:lang w:eastAsia="ro-MD"/>
          <w14:ligatures w14:val="none"/>
        </w:rPr>
        <w:t>.</w:t>
      </w:r>
    </w:p>
    <w:p w14:paraId="6932B94E" w14:textId="77777777" w:rsidR="004064D5" w:rsidRDefault="004064D5" w:rsidP="004064D5">
      <w:pPr>
        <w:spacing w:before="120" w:after="120" w:line="276" w:lineRule="auto"/>
        <w:jc w:val="both"/>
        <w:rPr>
          <w:rFonts w:ascii="Times New Roman" w:eastAsia="Times New Roman" w:hAnsi="Times New Roman" w:cs="Times New Roman"/>
          <w:kern w:val="0"/>
          <w:sz w:val="24"/>
          <w:szCs w:val="24"/>
          <w:lang w:eastAsia="ro-MD"/>
          <w14:ligatures w14:val="none"/>
        </w:rPr>
      </w:pPr>
      <w:r w:rsidRPr="00111CE2">
        <w:rPr>
          <w:rFonts w:ascii="Times New Roman" w:eastAsia="Times New Roman" w:hAnsi="Times New Roman" w:cs="Times New Roman"/>
          <w:kern w:val="0"/>
          <w:sz w:val="24"/>
          <w:szCs w:val="24"/>
          <w:lang w:eastAsia="ro-MD"/>
          <w14:ligatures w14:val="none"/>
        </w:rPr>
        <w:t xml:space="preserve">Acest cadru juridic și instituțional conferă legitimitate, transparență și coerență procesului de elaborare a raportului, asigurând totodată alinierea </w:t>
      </w:r>
      <w:r>
        <w:rPr>
          <w:rFonts w:ascii="Times New Roman" w:eastAsia="Times New Roman" w:hAnsi="Times New Roman" w:cs="Times New Roman"/>
          <w:kern w:val="0"/>
          <w:sz w:val="24"/>
          <w:szCs w:val="24"/>
          <w:lang w:eastAsia="ro-MD"/>
          <w14:ligatures w14:val="none"/>
        </w:rPr>
        <w:t>acestuia</w:t>
      </w:r>
      <w:r w:rsidRPr="00111CE2">
        <w:rPr>
          <w:rFonts w:ascii="Times New Roman" w:eastAsia="Times New Roman" w:hAnsi="Times New Roman" w:cs="Times New Roman"/>
          <w:kern w:val="0"/>
          <w:sz w:val="24"/>
          <w:szCs w:val="24"/>
          <w:lang w:eastAsia="ro-MD"/>
          <w14:ligatures w14:val="none"/>
        </w:rPr>
        <w:t xml:space="preserve"> la criteriile și procedurile europene de referențiere.</w:t>
      </w:r>
    </w:p>
    <w:p w14:paraId="4C8FC416" w14:textId="39256670" w:rsidR="000B722A" w:rsidRPr="0020102C" w:rsidRDefault="000B722A" w:rsidP="005C4FE9">
      <w:pPr>
        <w:spacing w:before="120" w:after="120" w:line="276" w:lineRule="auto"/>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1.</w:t>
      </w:r>
      <w:r w:rsidR="00B36EBC">
        <w:rPr>
          <w:rFonts w:ascii="Times New Roman" w:eastAsia="Times New Roman" w:hAnsi="Times New Roman" w:cs="Times New Roman"/>
          <w:b/>
          <w:bCs/>
          <w:color w:val="3494BA" w:themeColor="accent1"/>
          <w:kern w:val="0"/>
          <w:sz w:val="24"/>
          <w:szCs w:val="24"/>
          <w:lang w:eastAsia="ro-MD"/>
          <w14:ligatures w14:val="none"/>
        </w:rPr>
        <w:t>6</w:t>
      </w:r>
      <w:r w:rsidRPr="0020102C">
        <w:rPr>
          <w:rFonts w:ascii="Times New Roman" w:eastAsia="Times New Roman" w:hAnsi="Times New Roman" w:cs="Times New Roman"/>
          <w:b/>
          <w:bCs/>
          <w:color w:val="3494BA" w:themeColor="accent1"/>
          <w:kern w:val="0"/>
          <w:sz w:val="24"/>
          <w:szCs w:val="24"/>
          <w:lang w:eastAsia="ro-MD"/>
          <w14:ligatures w14:val="none"/>
        </w:rPr>
        <w:t xml:space="preserve"> Structura raportului</w:t>
      </w:r>
    </w:p>
    <w:p w14:paraId="4262667F" w14:textId="6DB157B8" w:rsidR="000B722A" w:rsidRPr="0020102C" w:rsidRDefault="000B722A"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Raportul este organizat în mod logic și progresiv, ofer</w:t>
      </w:r>
      <w:r w:rsidR="00BA2084">
        <w:rPr>
          <w:rFonts w:ascii="Times New Roman" w:eastAsia="Times New Roman" w:hAnsi="Times New Roman" w:cs="Times New Roman"/>
          <w:kern w:val="0"/>
          <w:sz w:val="24"/>
          <w:szCs w:val="24"/>
          <w:lang w:eastAsia="ro-MD"/>
          <w14:ligatures w14:val="none"/>
        </w:rPr>
        <w:t>ind</w:t>
      </w:r>
      <w:r w:rsidRPr="0020102C">
        <w:rPr>
          <w:rFonts w:ascii="Times New Roman" w:eastAsia="Times New Roman" w:hAnsi="Times New Roman" w:cs="Times New Roman"/>
          <w:kern w:val="0"/>
          <w:sz w:val="24"/>
          <w:szCs w:val="24"/>
          <w:lang w:eastAsia="ro-MD"/>
          <w14:ligatures w14:val="none"/>
        </w:rPr>
        <w:t xml:space="preserve"> o imagine completă a</w:t>
      </w:r>
      <w:r w:rsidR="00E07766">
        <w:rPr>
          <w:rFonts w:ascii="Times New Roman" w:eastAsia="Times New Roman" w:hAnsi="Times New Roman" w:cs="Times New Roman"/>
          <w:kern w:val="0"/>
          <w:sz w:val="24"/>
          <w:szCs w:val="24"/>
          <w:lang w:eastAsia="ro-MD"/>
          <w14:ligatures w14:val="none"/>
        </w:rPr>
        <w:t>supra</w:t>
      </w:r>
      <w:r w:rsidRPr="0020102C">
        <w:rPr>
          <w:rFonts w:ascii="Times New Roman" w:eastAsia="Times New Roman" w:hAnsi="Times New Roman" w:cs="Times New Roman"/>
          <w:kern w:val="0"/>
          <w:sz w:val="24"/>
          <w:szCs w:val="24"/>
          <w:lang w:eastAsia="ro-MD"/>
          <w14:ligatures w14:val="none"/>
        </w:rPr>
        <w:t xml:space="preserve"> contextului național, a arhitecturii sistemului de educație și formare profesională și a modului în care </w:t>
      </w:r>
      <w:r w:rsidR="001E59C4" w:rsidRPr="001F6026">
        <w:rPr>
          <w:rFonts w:ascii="Times New Roman" w:eastAsia="Times New Roman" w:hAnsi="Times New Roman" w:cs="Times New Roman"/>
          <w:kern w:val="0"/>
          <w:sz w:val="24"/>
          <w:szCs w:val="24"/>
          <w:lang w:eastAsia="ro-MD"/>
          <w14:ligatures w14:val="none"/>
        </w:rPr>
        <w:t>CNC</w:t>
      </w:r>
      <w:r w:rsidRPr="0020102C">
        <w:rPr>
          <w:rFonts w:ascii="Times New Roman" w:eastAsia="Times New Roman" w:hAnsi="Times New Roman" w:cs="Times New Roman"/>
          <w:kern w:val="0"/>
          <w:sz w:val="24"/>
          <w:szCs w:val="24"/>
          <w:lang w:eastAsia="ro-MD"/>
          <w14:ligatures w14:val="none"/>
        </w:rPr>
        <w:t xml:space="preserve"> core</w:t>
      </w:r>
      <w:r w:rsidR="00E07766">
        <w:rPr>
          <w:rFonts w:ascii="Times New Roman" w:eastAsia="Times New Roman" w:hAnsi="Times New Roman" w:cs="Times New Roman"/>
          <w:kern w:val="0"/>
          <w:sz w:val="24"/>
          <w:szCs w:val="24"/>
          <w:lang w:eastAsia="ro-MD"/>
          <w14:ligatures w14:val="none"/>
        </w:rPr>
        <w:t>lează</w:t>
      </w:r>
      <w:r w:rsidRPr="0020102C">
        <w:rPr>
          <w:rFonts w:ascii="Times New Roman" w:eastAsia="Times New Roman" w:hAnsi="Times New Roman" w:cs="Times New Roman"/>
          <w:kern w:val="0"/>
          <w:sz w:val="24"/>
          <w:szCs w:val="24"/>
          <w:lang w:eastAsia="ro-MD"/>
          <w14:ligatures w14:val="none"/>
        </w:rPr>
        <w:t xml:space="preserve"> cu instrumentele europene de referință.</w:t>
      </w:r>
    </w:p>
    <w:p w14:paraId="5402DC32" w14:textId="337FE32D" w:rsidR="000B722A" w:rsidRPr="0020102C" w:rsidRDefault="00586943"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 xml:space="preserve">Raportul este structurat pe următoarele </w:t>
      </w:r>
      <w:r w:rsidR="000B722A" w:rsidRPr="0020102C">
        <w:rPr>
          <w:rFonts w:ascii="Times New Roman" w:eastAsia="Times New Roman" w:hAnsi="Times New Roman" w:cs="Times New Roman"/>
          <w:kern w:val="0"/>
          <w:sz w:val="24"/>
          <w:szCs w:val="24"/>
          <w:lang w:eastAsia="ro-MD"/>
          <w14:ligatures w14:val="none"/>
        </w:rPr>
        <w:t>șapte capitole:</w:t>
      </w:r>
    </w:p>
    <w:p w14:paraId="0CC63DA3" w14:textId="77777777"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Introducere</w:t>
      </w:r>
      <w:r w:rsidRPr="0020102C">
        <w:rPr>
          <w:rFonts w:ascii="Times New Roman" w:eastAsia="Times New Roman" w:hAnsi="Times New Roman" w:cs="Times New Roman"/>
          <w:kern w:val="0"/>
          <w:sz w:val="24"/>
          <w:szCs w:val="24"/>
          <w:lang w:eastAsia="ro-MD"/>
          <w14:ligatures w14:val="none"/>
        </w:rPr>
        <w:t xml:space="preserve"> – prezintă contextul, scopul, domeniul de aplicare, metodologia și structura raportului.</w:t>
      </w:r>
    </w:p>
    <w:p w14:paraId="2C375708" w14:textId="1383D8F5"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Context politic național</w:t>
      </w:r>
      <w:r w:rsidRPr="0020102C">
        <w:rPr>
          <w:rFonts w:ascii="Times New Roman" w:eastAsia="Times New Roman" w:hAnsi="Times New Roman" w:cs="Times New Roman"/>
          <w:kern w:val="0"/>
          <w:sz w:val="24"/>
          <w:szCs w:val="24"/>
          <w:lang w:eastAsia="ro-MD"/>
          <w14:ligatures w14:val="none"/>
        </w:rPr>
        <w:t xml:space="preserve"> – descrie </w:t>
      </w:r>
      <w:r w:rsidR="007B6010">
        <w:rPr>
          <w:rFonts w:ascii="Times New Roman" w:eastAsia="Times New Roman" w:hAnsi="Times New Roman" w:cs="Times New Roman"/>
          <w:kern w:val="0"/>
          <w:sz w:val="24"/>
          <w:szCs w:val="24"/>
          <w:lang w:eastAsia="ro-MD"/>
          <w14:ligatures w14:val="none"/>
        </w:rPr>
        <w:t>cadrul</w:t>
      </w:r>
      <w:r w:rsidRPr="0020102C">
        <w:rPr>
          <w:rFonts w:ascii="Times New Roman" w:eastAsia="Times New Roman" w:hAnsi="Times New Roman" w:cs="Times New Roman"/>
          <w:kern w:val="0"/>
          <w:sz w:val="24"/>
          <w:szCs w:val="24"/>
          <w:lang w:eastAsia="ro-MD"/>
          <w14:ligatures w14:val="none"/>
        </w:rPr>
        <w:t xml:space="preserve"> politic, economic și social care a influențat dezvoltarea CNC, inclusiv politicile privind educația, formarea profesională și ocuparea forței de muncă.</w:t>
      </w:r>
    </w:p>
    <w:p w14:paraId="621285F3" w14:textId="2E3E94DB"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Structura sistemului de educație și formare profesională</w:t>
      </w:r>
      <w:r w:rsidRPr="0020102C">
        <w:rPr>
          <w:rFonts w:ascii="Times New Roman" w:eastAsia="Times New Roman" w:hAnsi="Times New Roman" w:cs="Times New Roman"/>
          <w:kern w:val="0"/>
          <w:sz w:val="24"/>
          <w:szCs w:val="24"/>
          <w:lang w:eastAsia="ro-MD"/>
          <w14:ligatures w14:val="none"/>
        </w:rPr>
        <w:t xml:space="preserve"> – oferă o imagine detaliată a nivelurilor, traseelor educaționale, instituțiilor </w:t>
      </w:r>
      <w:r w:rsidR="00D96227">
        <w:rPr>
          <w:rFonts w:ascii="Times New Roman" w:eastAsia="Times New Roman" w:hAnsi="Times New Roman" w:cs="Times New Roman"/>
          <w:kern w:val="0"/>
          <w:sz w:val="24"/>
          <w:szCs w:val="24"/>
          <w:lang w:eastAsia="ro-MD"/>
          <w14:ligatures w14:val="none"/>
        </w:rPr>
        <w:t>de învățământ</w:t>
      </w:r>
      <w:r w:rsidRPr="0020102C">
        <w:rPr>
          <w:rFonts w:ascii="Times New Roman" w:eastAsia="Times New Roman" w:hAnsi="Times New Roman" w:cs="Times New Roman"/>
          <w:kern w:val="0"/>
          <w:sz w:val="24"/>
          <w:szCs w:val="24"/>
          <w:lang w:eastAsia="ro-MD"/>
          <w14:ligatures w14:val="none"/>
        </w:rPr>
        <w:t xml:space="preserve"> și modului în care CNC este integrat în arhitectura națională a educației.</w:t>
      </w:r>
    </w:p>
    <w:p w14:paraId="7BA9B662" w14:textId="3D1C24DD"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lastRenderedPageBreak/>
        <w:t>Cadrul Național al Calificărilor</w:t>
      </w:r>
      <w:r w:rsidRPr="0020102C">
        <w:rPr>
          <w:rFonts w:ascii="Times New Roman" w:eastAsia="Times New Roman" w:hAnsi="Times New Roman" w:cs="Times New Roman"/>
          <w:kern w:val="0"/>
          <w:sz w:val="24"/>
          <w:szCs w:val="24"/>
          <w:lang w:eastAsia="ro-MD"/>
          <w14:ligatures w14:val="none"/>
        </w:rPr>
        <w:t xml:space="preserve"> – </w:t>
      </w:r>
      <w:r w:rsidR="00D96227">
        <w:rPr>
          <w:rFonts w:ascii="Times New Roman" w:eastAsia="Times New Roman" w:hAnsi="Times New Roman" w:cs="Times New Roman"/>
          <w:kern w:val="0"/>
          <w:sz w:val="24"/>
          <w:szCs w:val="24"/>
          <w:lang w:eastAsia="ro-MD"/>
          <w14:ligatures w14:val="none"/>
        </w:rPr>
        <w:t>explică</w:t>
      </w:r>
      <w:r w:rsidRPr="0020102C">
        <w:rPr>
          <w:rFonts w:ascii="Times New Roman" w:eastAsia="Times New Roman" w:hAnsi="Times New Roman" w:cs="Times New Roman"/>
          <w:kern w:val="0"/>
          <w:sz w:val="24"/>
          <w:szCs w:val="24"/>
          <w:lang w:eastAsia="ro-MD"/>
          <w14:ligatures w14:val="none"/>
        </w:rPr>
        <w:t xml:space="preserve"> obiectivele, funcțiile, structura pe niveluri, tipurile de calificări, mecanismele de recunoaștere și validare, precum și procedurile de asigurare a calității.</w:t>
      </w:r>
    </w:p>
    <w:p w14:paraId="38C6B826" w14:textId="3A6DCE40"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Referențierea CNC la EQF și autocertificarea CNC la QF-</w:t>
      </w:r>
      <w:r w:rsidR="002513BE" w:rsidRPr="0020102C">
        <w:rPr>
          <w:rFonts w:ascii="Times New Roman" w:eastAsia="Times New Roman" w:hAnsi="Times New Roman" w:cs="Times New Roman"/>
          <w:b/>
          <w:bCs/>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 xml:space="preserve"> – demonstrează </w:t>
      </w:r>
      <w:r w:rsidR="00255FF1">
        <w:rPr>
          <w:rFonts w:ascii="Times New Roman" w:eastAsia="Times New Roman" w:hAnsi="Times New Roman" w:cs="Times New Roman"/>
          <w:kern w:val="0"/>
          <w:sz w:val="24"/>
          <w:szCs w:val="24"/>
          <w:lang w:eastAsia="ro-MD"/>
          <w14:ligatures w14:val="none"/>
        </w:rPr>
        <w:t xml:space="preserve">conformitatea </w:t>
      </w:r>
      <w:r w:rsidR="00000ABB">
        <w:rPr>
          <w:rFonts w:ascii="Times New Roman" w:eastAsia="Times New Roman" w:hAnsi="Times New Roman" w:cs="Times New Roman"/>
          <w:kern w:val="0"/>
          <w:sz w:val="24"/>
          <w:szCs w:val="24"/>
          <w:lang w:eastAsia="ro-MD"/>
          <w14:ligatures w14:val="none"/>
        </w:rPr>
        <w:t xml:space="preserve">cu </w:t>
      </w:r>
      <w:r w:rsidRPr="0020102C">
        <w:rPr>
          <w:rFonts w:ascii="Times New Roman" w:eastAsia="Times New Roman" w:hAnsi="Times New Roman" w:cs="Times New Roman"/>
          <w:kern w:val="0"/>
          <w:sz w:val="24"/>
          <w:szCs w:val="24"/>
          <w:lang w:eastAsia="ro-MD"/>
          <w14:ligatures w14:val="none"/>
        </w:rPr>
        <w:t>criteriil</w:t>
      </w:r>
      <w:r w:rsidR="00000ABB">
        <w:rPr>
          <w:rFonts w:ascii="Times New Roman" w:eastAsia="Times New Roman" w:hAnsi="Times New Roman" w:cs="Times New Roman"/>
          <w:kern w:val="0"/>
          <w:sz w:val="24"/>
          <w:szCs w:val="24"/>
          <w:lang w:eastAsia="ro-MD"/>
          <w14:ligatures w14:val="none"/>
        </w:rPr>
        <w:t>e</w:t>
      </w:r>
      <w:r w:rsidRPr="0020102C">
        <w:rPr>
          <w:rFonts w:ascii="Times New Roman" w:eastAsia="Times New Roman" w:hAnsi="Times New Roman" w:cs="Times New Roman"/>
          <w:kern w:val="0"/>
          <w:sz w:val="24"/>
          <w:szCs w:val="24"/>
          <w:lang w:eastAsia="ro-MD"/>
          <w14:ligatures w14:val="none"/>
        </w:rPr>
        <w:t xml:space="preserve"> europene prin </w:t>
      </w:r>
      <w:r w:rsidR="00000ABB">
        <w:rPr>
          <w:rFonts w:ascii="Times New Roman" w:eastAsia="Times New Roman" w:hAnsi="Times New Roman" w:cs="Times New Roman"/>
          <w:kern w:val="0"/>
          <w:sz w:val="24"/>
          <w:szCs w:val="24"/>
          <w:lang w:eastAsia="ro-MD"/>
          <w14:ligatures w14:val="none"/>
        </w:rPr>
        <w:t xml:space="preserve">analize și </w:t>
      </w:r>
      <w:r w:rsidR="00996EF9" w:rsidRPr="0020102C">
        <w:rPr>
          <w:rFonts w:ascii="Times New Roman" w:eastAsia="Times New Roman" w:hAnsi="Times New Roman" w:cs="Times New Roman"/>
          <w:kern w:val="0"/>
          <w:sz w:val="24"/>
          <w:szCs w:val="24"/>
          <w:lang w:eastAsia="ro-MD"/>
          <w14:ligatures w14:val="none"/>
        </w:rPr>
        <w:t>dovezi</w:t>
      </w:r>
      <w:r w:rsidRPr="0020102C">
        <w:rPr>
          <w:rFonts w:ascii="Times New Roman" w:eastAsia="Times New Roman" w:hAnsi="Times New Roman" w:cs="Times New Roman"/>
          <w:kern w:val="0"/>
          <w:sz w:val="24"/>
          <w:szCs w:val="24"/>
          <w:lang w:eastAsia="ro-MD"/>
          <w14:ligatures w14:val="none"/>
        </w:rPr>
        <w:t xml:space="preserve"> concrete.</w:t>
      </w:r>
    </w:p>
    <w:p w14:paraId="3A936F09" w14:textId="13C4627E"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Perspective de dezvoltare a CNC</w:t>
      </w:r>
      <w:r w:rsidRPr="0020102C">
        <w:rPr>
          <w:rFonts w:ascii="Times New Roman" w:eastAsia="Times New Roman" w:hAnsi="Times New Roman" w:cs="Times New Roman"/>
          <w:kern w:val="0"/>
          <w:sz w:val="24"/>
          <w:szCs w:val="24"/>
          <w:lang w:eastAsia="ro-MD"/>
          <w14:ligatures w14:val="none"/>
        </w:rPr>
        <w:t xml:space="preserve"> – prezintă direcțiile strategice, acțiunile planificate și mecanismele de monitorizare și evaluare a </w:t>
      </w:r>
      <w:r w:rsidR="00754263">
        <w:rPr>
          <w:rFonts w:ascii="Times New Roman" w:eastAsia="Times New Roman" w:hAnsi="Times New Roman" w:cs="Times New Roman"/>
          <w:kern w:val="0"/>
          <w:sz w:val="24"/>
          <w:szCs w:val="24"/>
          <w:lang w:eastAsia="ro-MD"/>
          <w14:ligatures w14:val="none"/>
        </w:rPr>
        <w:t>CNC</w:t>
      </w:r>
      <w:r w:rsidRPr="0020102C">
        <w:rPr>
          <w:rFonts w:ascii="Times New Roman" w:eastAsia="Times New Roman" w:hAnsi="Times New Roman" w:cs="Times New Roman"/>
          <w:kern w:val="0"/>
          <w:sz w:val="24"/>
          <w:szCs w:val="24"/>
          <w:lang w:eastAsia="ro-MD"/>
          <w14:ligatures w14:val="none"/>
        </w:rPr>
        <w:t>.</w:t>
      </w:r>
    </w:p>
    <w:p w14:paraId="45176EF5" w14:textId="77BD5C75" w:rsidR="000B722A" w:rsidRPr="0020102C" w:rsidRDefault="000B722A" w:rsidP="00A41843">
      <w:pPr>
        <w:numPr>
          <w:ilvl w:val="0"/>
          <w:numId w:val="1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Anexe</w:t>
      </w:r>
      <w:r w:rsidRPr="0020102C">
        <w:rPr>
          <w:rFonts w:ascii="Times New Roman" w:eastAsia="Times New Roman" w:hAnsi="Times New Roman" w:cs="Times New Roman"/>
          <w:kern w:val="0"/>
          <w:sz w:val="24"/>
          <w:szCs w:val="24"/>
          <w:lang w:eastAsia="ro-MD"/>
          <w14:ligatures w14:val="none"/>
        </w:rPr>
        <w:t xml:space="preserve"> – </w:t>
      </w:r>
      <w:r w:rsidR="0049423F">
        <w:rPr>
          <w:rFonts w:ascii="Times New Roman" w:eastAsia="Times New Roman" w:hAnsi="Times New Roman" w:cs="Times New Roman"/>
          <w:kern w:val="0"/>
          <w:sz w:val="24"/>
          <w:szCs w:val="24"/>
          <w:lang w:eastAsia="ro-MD"/>
          <w14:ligatures w14:val="none"/>
        </w:rPr>
        <w:t>includ</w:t>
      </w:r>
      <w:r w:rsidRPr="0020102C">
        <w:rPr>
          <w:rFonts w:ascii="Times New Roman" w:eastAsia="Times New Roman" w:hAnsi="Times New Roman" w:cs="Times New Roman"/>
          <w:kern w:val="0"/>
          <w:sz w:val="24"/>
          <w:szCs w:val="24"/>
          <w:lang w:eastAsia="ro-MD"/>
          <w14:ligatures w14:val="none"/>
        </w:rPr>
        <w:t xml:space="preserve"> </w:t>
      </w:r>
      <w:r w:rsidR="00754263">
        <w:rPr>
          <w:rFonts w:ascii="Times New Roman" w:eastAsia="Times New Roman" w:hAnsi="Times New Roman" w:cs="Times New Roman"/>
          <w:kern w:val="0"/>
          <w:sz w:val="24"/>
          <w:szCs w:val="24"/>
          <w:lang w:eastAsia="ro-MD"/>
          <w14:ligatures w14:val="none"/>
        </w:rPr>
        <w:t xml:space="preserve">date statistice, </w:t>
      </w:r>
      <w:r w:rsidRPr="0020102C">
        <w:rPr>
          <w:rFonts w:ascii="Times New Roman" w:eastAsia="Times New Roman" w:hAnsi="Times New Roman" w:cs="Times New Roman"/>
          <w:kern w:val="0"/>
          <w:sz w:val="24"/>
          <w:szCs w:val="24"/>
          <w:lang w:eastAsia="ro-MD"/>
          <w14:ligatures w14:val="none"/>
        </w:rPr>
        <w:t>tabele de corelare, lista părților interesate consultate și documente juridice și de politică relevante.</w:t>
      </w:r>
    </w:p>
    <w:p w14:paraId="2F0879CF" w14:textId="0DB5552D" w:rsidR="000B722A" w:rsidRPr="0020102C" w:rsidRDefault="000B722A"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Această structură asigură o </w:t>
      </w:r>
      <w:r w:rsidR="00FF391A" w:rsidRPr="00FF391A">
        <w:rPr>
          <w:rFonts w:ascii="Times New Roman" w:eastAsia="Times New Roman" w:hAnsi="Times New Roman" w:cs="Times New Roman"/>
          <w:kern w:val="0"/>
          <w:sz w:val="24"/>
          <w:szCs w:val="24"/>
          <w:lang w:eastAsia="ro-MD"/>
          <w14:ligatures w14:val="none"/>
        </w:rPr>
        <w:t>prezentare clară</w:t>
      </w:r>
      <w:r w:rsidR="00FF391A">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 xml:space="preserve"> transparentă și ușor de urmărit, facilitând </w:t>
      </w:r>
      <w:r w:rsidR="00E676E7">
        <w:rPr>
          <w:rFonts w:ascii="Times New Roman" w:eastAsia="Times New Roman" w:hAnsi="Times New Roman" w:cs="Times New Roman"/>
          <w:kern w:val="0"/>
          <w:sz w:val="24"/>
          <w:szCs w:val="24"/>
          <w:lang w:eastAsia="ro-MD"/>
          <w14:ligatures w14:val="none"/>
        </w:rPr>
        <w:t>evaluarea</w:t>
      </w:r>
      <w:r w:rsidRPr="0020102C">
        <w:rPr>
          <w:rFonts w:ascii="Times New Roman" w:eastAsia="Times New Roman" w:hAnsi="Times New Roman" w:cs="Times New Roman"/>
          <w:kern w:val="0"/>
          <w:sz w:val="24"/>
          <w:szCs w:val="24"/>
          <w:lang w:eastAsia="ro-MD"/>
          <w14:ligatures w14:val="none"/>
        </w:rPr>
        <w:t xml:space="preserve"> </w:t>
      </w:r>
      <w:r w:rsidR="00353C4B" w:rsidRPr="00353C4B">
        <w:rPr>
          <w:rFonts w:ascii="Times New Roman" w:eastAsia="Times New Roman" w:hAnsi="Times New Roman" w:cs="Times New Roman"/>
          <w:kern w:val="0"/>
          <w:sz w:val="24"/>
          <w:szCs w:val="24"/>
          <w:lang w:eastAsia="ro-MD"/>
          <w14:ligatures w14:val="none"/>
        </w:rPr>
        <w:t>coerenței și conformității CNC cu EQF și QF-EHEA</w:t>
      </w:r>
      <w:r w:rsidRPr="0020102C">
        <w:rPr>
          <w:rFonts w:ascii="Times New Roman" w:eastAsia="Times New Roman" w:hAnsi="Times New Roman" w:cs="Times New Roman"/>
          <w:kern w:val="0"/>
          <w:sz w:val="24"/>
          <w:szCs w:val="24"/>
          <w:lang w:eastAsia="ro-MD"/>
          <w14:ligatures w14:val="none"/>
        </w:rPr>
        <w:t>.</w:t>
      </w:r>
    </w:p>
    <w:p w14:paraId="543DAB90" w14:textId="77777777" w:rsidR="004A104B" w:rsidRDefault="004A104B" w:rsidP="005C4FE9">
      <w:pPr>
        <w:spacing w:before="120" w:after="120" w:line="276" w:lineRule="auto"/>
        <w:jc w:val="both"/>
        <w:rPr>
          <w:rFonts w:ascii="Times New Roman" w:eastAsia="Times New Roman" w:hAnsi="Times New Roman" w:cs="Times New Roman"/>
          <w:kern w:val="0"/>
          <w:sz w:val="24"/>
          <w:szCs w:val="24"/>
          <w:lang w:eastAsia="ro-MD"/>
          <w14:ligatures w14:val="none"/>
        </w:rPr>
      </w:pPr>
    </w:p>
    <w:p w14:paraId="71DB01A9" w14:textId="373006F2" w:rsidR="00B8310C" w:rsidRPr="0020102C" w:rsidRDefault="0017136C" w:rsidP="005C4FE9">
      <w:pPr>
        <w:spacing w:before="120" w:after="120" w:line="276" w:lineRule="auto"/>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2. CONTEXT</w:t>
      </w:r>
      <w:r w:rsidR="008F1511">
        <w:rPr>
          <w:rFonts w:ascii="Times New Roman" w:eastAsia="Times New Roman" w:hAnsi="Times New Roman" w:cs="Times New Roman"/>
          <w:b/>
          <w:bCs/>
          <w:color w:val="3494BA" w:themeColor="accent1"/>
          <w:kern w:val="0"/>
          <w:sz w:val="24"/>
          <w:szCs w:val="24"/>
          <w:lang w:eastAsia="ro-MD"/>
          <w14:ligatures w14:val="none"/>
        </w:rPr>
        <w:t>UL</w:t>
      </w:r>
      <w:r w:rsidRPr="0020102C">
        <w:rPr>
          <w:rFonts w:ascii="Times New Roman" w:eastAsia="Times New Roman" w:hAnsi="Times New Roman" w:cs="Times New Roman"/>
          <w:b/>
          <w:bCs/>
          <w:color w:val="3494BA" w:themeColor="accent1"/>
          <w:kern w:val="0"/>
          <w:sz w:val="24"/>
          <w:szCs w:val="24"/>
          <w:lang w:eastAsia="ro-MD"/>
          <w14:ligatures w14:val="none"/>
        </w:rPr>
        <w:t xml:space="preserve"> NAȚIONAL</w:t>
      </w:r>
      <w:r w:rsidR="00FE12D9">
        <w:rPr>
          <w:rFonts w:ascii="Times New Roman" w:eastAsia="Times New Roman" w:hAnsi="Times New Roman" w:cs="Times New Roman"/>
          <w:b/>
          <w:bCs/>
          <w:color w:val="3494BA" w:themeColor="accent1"/>
          <w:kern w:val="0"/>
          <w:sz w:val="24"/>
          <w:szCs w:val="24"/>
          <w:lang w:eastAsia="ro-MD"/>
          <w14:ligatures w14:val="none"/>
        </w:rPr>
        <w:t xml:space="preserve"> AL SISTEMULUI EDUCAȚIONAL</w:t>
      </w:r>
    </w:p>
    <w:p w14:paraId="79DBAB59" w14:textId="77777777" w:rsidR="00B8310C" w:rsidRPr="0020102C" w:rsidRDefault="00B8310C" w:rsidP="005C4FE9">
      <w:pPr>
        <w:spacing w:before="120" w:after="120" w:line="276" w:lineRule="auto"/>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2.1 </w:t>
      </w:r>
      <w:r w:rsidRPr="007E0423">
        <w:rPr>
          <w:rFonts w:ascii="Times New Roman" w:eastAsia="Times New Roman" w:hAnsi="Times New Roman" w:cs="Times New Roman"/>
          <w:b/>
          <w:bCs/>
          <w:color w:val="3494BA" w:themeColor="accent1"/>
          <w:kern w:val="0"/>
          <w:sz w:val="24"/>
          <w:szCs w:val="24"/>
          <w:lang w:eastAsia="ro-MD"/>
          <w14:ligatures w14:val="none"/>
        </w:rPr>
        <w:t>Context general în Republica Moldova</w:t>
      </w:r>
    </w:p>
    <w:p w14:paraId="2A64C870" w14:textId="176B7D9D" w:rsidR="007E0423" w:rsidRPr="007E0423" w:rsidRDefault="007E0423" w:rsidP="007E0423">
      <w:pPr>
        <w:spacing w:before="120" w:after="120" w:line="276" w:lineRule="auto"/>
        <w:jc w:val="both"/>
        <w:rPr>
          <w:rFonts w:ascii="Times New Roman" w:eastAsia="Times New Roman" w:hAnsi="Times New Roman" w:cs="Times New Roman"/>
          <w:kern w:val="0"/>
          <w:sz w:val="24"/>
          <w:szCs w:val="24"/>
          <w:lang w:eastAsia="ro-MD"/>
          <w14:ligatures w14:val="none"/>
        </w:rPr>
      </w:pPr>
      <w:r w:rsidRPr="007E0423">
        <w:rPr>
          <w:rFonts w:ascii="Times New Roman" w:eastAsia="Times New Roman" w:hAnsi="Times New Roman" w:cs="Times New Roman"/>
          <w:kern w:val="0"/>
          <w:sz w:val="24"/>
          <w:szCs w:val="24"/>
          <w:lang w:eastAsia="ro-MD"/>
          <w14:ligatures w14:val="none"/>
        </w:rPr>
        <w:t>Republica Moldova traversează o etapă complexă de transformare economică, socială și instituțională, marcată de angajamentele asumate în procesul de integrare europeană și de eforturile de modernizare a sistemului național de guvernanță și dezvoltare a capitalului uman. În acest context, educația și formarea profesională au devenit domenii strategice pentru creșterea competitivității economice și consolidarea coeziunii sociale. Reconfigurarea sistemului educațional s-a realizat treptat, printr-un set coerent de reforme structurale și curriculare, aliniate la standardele și principiile europene privind transparența, calitatea și recunoașterea calificărilor.</w:t>
      </w:r>
    </w:p>
    <w:p w14:paraId="643AE679" w14:textId="5C5B47FD" w:rsidR="00812C49" w:rsidRDefault="007E0423" w:rsidP="007E0423">
      <w:pPr>
        <w:spacing w:before="120" w:after="120" w:line="276" w:lineRule="auto"/>
        <w:jc w:val="both"/>
        <w:rPr>
          <w:rFonts w:ascii="Times New Roman" w:eastAsia="Times New Roman" w:hAnsi="Times New Roman" w:cs="Times New Roman"/>
          <w:kern w:val="0"/>
          <w:sz w:val="24"/>
          <w:szCs w:val="24"/>
          <w:lang w:eastAsia="ro-MD"/>
          <w14:ligatures w14:val="none"/>
        </w:rPr>
      </w:pPr>
      <w:r w:rsidRPr="007E0423">
        <w:rPr>
          <w:rFonts w:ascii="Times New Roman" w:eastAsia="Times New Roman" w:hAnsi="Times New Roman" w:cs="Times New Roman"/>
          <w:kern w:val="0"/>
          <w:sz w:val="24"/>
          <w:szCs w:val="24"/>
          <w:lang w:eastAsia="ro-MD"/>
          <w14:ligatures w14:val="none"/>
        </w:rPr>
        <w:t>Aceste procese au fost sprijinite de dezvoltarea cadrului normativ și strategic al educației, care a definit viziunea națională asupra învățării pe tot parcursul vieții, formării bazate pe competențe și corelării calificărilor cu cerințele pieței muncii. Codul educației al Republicii Moldova nr. 152/2014 reprezintă una dintre pietrele de temelie ale acestei transformări, instituind principiile generale de organizare a sistemului educațional și fundamentele pentru dezvoltarea CNC.</w:t>
      </w:r>
    </w:p>
    <w:p w14:paraId="452A9B92" w14:textId="344C0A7B" w:rsidR="00693184" w:rsidRDefault="00666621" w:rsidP="007E0423">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Pe plan economic, tranziția către o economie competitivă, bazată pe cunoaștere și inovare, impune a</w:t>
      </w:r>
      <w:r w:rsidR="009C7484">
        <w:rPr>
          <w:rFonts w:ascii="Times New Roman" w:eastAsia="Times New Roman" w:hAnsi="Times New Roman" w:cs="Times New Roman"/>
          <w:kern w:val="0"/>
          <w:sz w:val="24"/>
          <w:szCs w:val="24"/>
          <w:lang w:eastAsia="ro-MD"/>
          <w14:ligatures w14:val="none"/>
        </w:rPr>
        <w:t>ctualizarea continuă și</w:t>
      </w:r>
      <w:r w:rsidRPr="0020102C">
        <w:rPr>
          <w:rFonts w:ascii="Times New Roman" w:eastAsia="Times New Roman" w:hAnsi="Times New Roman" w:cs="Times New Roman"/>
          <w:kern w:val="0"/>
          <w:sz w:val="24"/>
          <w:szCs w:val="24"/>
          <w:lang w:eastAsia="ro-MD"/>
          <w14:ligatures w14:val="none"/>
        </w:rPr>
        <w:t xml:space="preserve"> rapidă a calificărilor </w:t>
      </w:r>
      <w:r w:rsidR="0024681C">
        <w:rPr>
          <w:rFonts w:ascii="Times New Roman" w:eastAsia="Times New Roman" w:hAnsi="Times New Roman" w:cs="Times New Roman"/>
          <w:kern w:val="0"/>
          <w:sz w:val="24"/>
          <w:szCs w:val="24"/>
          <w:lang w:eastAsia="ro-MD"/>
          <w14:ligatures w14:val="none"/>
        </w:rPr>
        <w:t>în raport cu</w:t>
      </w:r>
      <w:r w:rsidRPr="0020102C">
        <w:rPr>
          <w:rFonts w:ascii="Times New Roman" w:eastAsia="Times New Roman" w:hAnsi="Times New Roman" w:cs="Times New Roman"/>
          <w:kern w:val="0"/>
          <w:sz w:val="24"/>
          <w:szCs w:val="24"/>
          <w:lang w:eastAsia="ro-MD"/>
          <w14:ligatures w14:val="none"/>
        </w:rPr>
        <w:t xml:space="preserve"> cerințele pieței muncii. Migrația forței de muncă și schimbările demografice influențează structura populației active și amplifică </w:t>
      </w:r>
      <w:r w:rsidR="000D46E1" w:rsidRPr="000D46E1">
        <w:rPr>
          <w:rFonts w:ascii="Times New Roman" w:eastAsia="Times New Roman" w:hAnsi="Times New Roman" w:cs="Times New Roman"/>
          <w:kern w:val="0"/>
          <w:sz w:val="24"/>
          <w:szCs w:val="24"/>
          <w:lang w:eastAsia="ro-MD"/>
          <w14:ligatures w14:val="none"/>
        </w:rPr>
        <w:t>necesitatea unor</w:t>
      </w:r>
      <w:r w:rsidR="00693184">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mecanisme flexibile de recunoaștere a competențelor dobândite în contexte formale, non-formale și informale. </w:t>
      </w:r>
    </w:p>
    <w:p w14:paraId="27B4A7EA" w14:textId="577EDB59" w:rsidR="00866D17" w:rsidRDefault="0066662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La nivel social, </w:t>
      </w:r>
      <w:r w:rsidR="005158AA" w:rsidRPr="005158AA">
        <w:rPr>
          <w:rFonts w:ascii="Times New Roman" w:eastAsia="Times New Roman" w:hAnsi="Times New Roman" w:cs="Times New Roman"/>
          <w:kern w:val="0"/>
          <w:sz w:val="24"/>
          <w:szCs w:val="24"/>
          <w:lang w:eastAsia="ro-MD"/>
          <w14:ligatures w14:val="none"/>
        </w:rPr>
        <w:t xml:space="preserve">politicile publice promovează incluziunea, egalitatea de șanse și coeziunea socială, prin măsuri orientate spre reducerea abandonului școlar și extinderea accesului la educație </w:t>
      </w:r>
      <w:r w:rsidR="00B910FE">
        <w:rPr>
          <w:rFonts w:ascii="Times New Roman" w:eastAsia="Times New Roman" w:hAnsi="Times New Roman" w:cs="Times New Roman"/>
          <w:kern w:val="0"/>
          <w:sz w:val="24"/>
          <w:szCs w:val="24"/>
          <w:lang w:eastAsia="ro-MD"/>
          <w14:ligatures w14:val="none"/>
        </w:rPr>
        <w:t xml:space="preserve">și formare </w:t>
      </w:r>
      <w:r w:rsidR="005158AA" w:rsidRPr="005158AA">
        <w:rPr>
          <w:rFonts w:ascii="Times New Roman" w:eastAsia="Times New Roman" w:hAnsi="Times New Roman" w:cs="Times New Roman"/>
          <w:kern w:val="0"/>
          <w:sz w:val="24"/>
          <w:szCs w:val="24"/>
          <w:lang w:eastAsia="ro-MD"/>
          <w14:ligatures w14:val="none"/>
        </w:rPr>
        <w:t xml:space="preserve">de calitate pentru toți, pe tot parcursul vieții. </w:t>
      </w:r>
    </w:p>
    <w:p w14:paraId="13141998" w14:textId="7304A554" w:rsidR="00666621" w:rsidRPr="0020102C" w:rsidRDefault="000A032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0A0322">
        <w:rPr>
          <w:rFonts w:ascii="Times New Roman" w:eastAsia="Times New Roman" w:hAnsi="Times New Roman" w:cs="Times New Roman"/>
          <w:kern w:val="0"/>
          <w:sz w:val="24"/>
          <w:szCs w:val="24"/>
          <w:lang w:eastAsia="ro-MD"/>
          <w14:ligatures w14:val="none"/>
        </w:rPr>
        <w:t>În anul 2025, Republica Moldova a făcut un pas semnificativ în procesul de aderare la Uniunea Europeană, prin participarea la screening-</w:t>
      </w:r>
      <w:proofErr w:type="spellStart"/>
      <w:r w:rsidRPr="000A0322">
        <w:rPr>
          <w:rFonts w:ascii="Times New Roman" w:eastAsia="Times New Roman" w:hAnsi="Times New Roman" w:cs="Times New Roman"/>
          <w:kern w:val="0"/>
          <w:sz w:val="24"/>
          <w:szCs w:val="24"/>
          <w:lang w:eastAsia="ro-MD"/>
          <w14:ligatures w14:val="none"/>
        </w:rPr>
        <w:t>ul</w:t>
      </w:r>
      <w:proofErr w:type="spellEnd"/>
      <w:r w:rsidRPr="000A0322">
        <w:rPr>
          <w:rFonts w:ascii="Times New Roman" w:eastAsia="Times New Roman" w:hAnsi="Times New Roman" w:cs="Times New Roman"/>
          <w:kern w:val="0"/>
          <w:sz w:val="24"/>
          <w:szCs w:val="24"/>
          <w:lang w:eastAsia="ro-MD"/>
          <w14:ligatures w14:val="none"/>
        </w:rPr>
        <w:t xml:space="preserve"> bilateral – o procedură tehnică de evaluare comparativă între legislația, politicile și practicile naționale și </w:t>
      </w:r>
      <w:r w:rsidR="00666621" w:rsidRPr="00821581">
        <w:rPr>
          <w:rFonts w:ascii="Times New Roman" w:eastAsia="Times New Roman" w:hAnsi="Times New Roman" w:cs="Times New Roman"/>
          <w:i/>
          <w:iCs/>
          <w:kern w:val="0"/>
          <w:sz w:val="24"/>
          <w:szCs w:val="24"/>
          <w:lang w:eastAsia="ro-MD"/>
          <w14:ligatures w14:val="none"/>
        </w:rPr>
        <w:t>acquis-</w:t>
      </w:r>
      <w:proofErr w:type="spellStart"/>
      <w:r w:rsidR="00666621" w:rsidRPr="00821581">
        <w:rPr>
          <w:rFonts w:ascii="Times New Roman" w:eastAsia="Times New Roman" w:hAnsi="Times New Roman" w:cs="Times New Roman"/>
          <w:i/>
          <w:iCs/>
          <w:kern w:val="0"/>
          <w:sz w:val="24"/>
          <w:szCs w:val="24"/>
          <w:lang w:eastAsia="ro-MD"/>
          <w14:ligatures w14:val="none"/>
        </w:rPr>
        <w:t>ul</w:t>
      </w:r>
      <w:proofErr w:type="spellEnd"/>
      <w:r w:rsidR="00666621" w:rsidRPr="00821581">
        <w:rPr>
          <w:rFonts w:ascii="Times New Roman" w:eastAsia="Times New Roman" w:hAnsi="Times New Roman" w:cs="Times New Roman"/>
          <w:i/>
          <w:iCs/>
          <w:kern w:val="0"/>
          <w:sz w:val="24"/>
          <w:szCs w:val="24"/>
          <w:lang w:eastAsia="ro-MD"/>
          <w14:ligatures w14:val="none"/>
        </w:rPr>
        <w:t xml:space="preserve"> comunitar</w:t>
      </w:r>
      <w:r w:rsidR="00A24039" w:rsidRPr="0020102C">
        <w:rPr>
          <w:rStyle w:val="afc"/>
          <w:rFonts w:ascii="Times New Roman" w:eastAsia="Times New Roman" w:hAnsi="Times New Roman" w:cs="Times New Roman"/>
          <w:kern w:val="0"/>
          <w:sz w:val="24"/>
          <w:szCs w:val="24"/>
          <w:lang w:eastAsia="ro-MD"/>
          <w14:ligatures w14:val="none"/>
        </w:rPr>
        <w:footnoteReference w:id="11"/>
      </w:r>
      <w:r w:rsidR="00666621" w:rsidRPr="0020102C">
        <w:rPr>
          <w:rFonts w:ascii="Times New Roman" w:eastAsia="Times New Roman" w:hAnsi="Times New Roman" w:cs="Times New Roman"/>
          <w:kern w:val="0"/>
          <w:sz w:val="24"/>
          <w:szCs w:val="24"/>
          <w:lang w:eastAsia="ro-MD"/>
          <w14:ligatures w14:val="none"/>
        </w:rPr>
        <w:t xml:space="preserve">. </w:t>
      </w:r>
      <w:r w:rsidR="000F08CE" w:rsidRPr="000A0322">
        <w:rPr>
          <w:rFonts w:ascii="Times New Roman" w:eastAsia="Times New Roman" w:hAnsi="Times New Roman" w:cs="Times New Roman"/>
          <w:kern w:val="0"/>
          <w:sz w:val="24"/>
          <w:szCs w:val="24"/>
          <w:lang w:eastAsia="ro-MD"/>
          <w14:ligatures w14:val="none"/>
        </w:rPr>
        <w:t xml:space="preserve">Prin acest exercițiu </w:t>
      </w:r>
      <w:r w:rsidR="000A570C">
        <w:rPr>
          <w:rFonts w:ascii="Times New Roman" w:eastAsia="Times New Roman" w:hAnsi="Times New Roman" w:cs="Times New Roman"/>
          <w:kern w:val="0"/>
          <w:sz w:val="24"/>
          <w:szCs w:val="24"/>
          <w:lang w:eastAsia="ro-MD"/>
          <w14:ligatures w14:val="none"/>
        </w:rPr>
        <w:t>au fost</w:t>
      </w:r>
      <w:r w:rsidR="000F08CE" w:rsidRPr="000A0322">
        <w:rPr>
          <w:rFonts w:ascii="Times New Roman" w:eastAsia="Times New Roman" w:hAnsi="Times New Roman" w:cs="Times New Roman"/>
          <w:kern w:val="0"/>
          <w:sz w:val="24"/>
          <w:szCs w:val="24"/>
          <w:lang w:eastAsia="ro-MD"/>
          <w14:ligatures w14:val="none"/>
        </w:rPr>
        <w:t xml:space="preserve"> identificate nivelul de aliniere și domeniile care necesită ajustări sau reforme suplimentare, constituind o bază solidă pentru planificarea etapelor ulterioare ale procesului de aderare.</w:t>
      </w:r>
    </w:p>
    <w:p w14:paraId="05269E02" w14:textId="612834BF" w:rsidR="00666621" w:rsidRPr="0020102C" w:rsidRDefault="0060213F"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lastRenderedPageBreak/>
        <w:t>Astfel, l</w:t>
      </w:r>
      <w:r w:rsidR="00666621" w:rsidRPr="0020102C">
        <w:rPr>
          <w:rFonts w:ascii="Times New Roman" w:eastAsia="Times New Roman" w:hAnsi="Times New Roman" w:cs="Times New Roman"/>
          <w:kern w:val="0"/>
          <w:sz w:val="24"/>
          <w:szCs w:val="24"/>
          <w:lang w:eastAsia="ro-MD"/>
          <w14:ligatures w14:val="none"/>
        </w:rPr>
        <w:t xml:space="preserve">a 13 mai 2025, Republica Moldova a prezentat, la Bruxelles, </w:t>
      </w:r>
      <w:r w:rsidR="00CF2FAA" w:rsidRPr="0020102C">
        <w:rPr>
          <w:rFonts w:ascii="Times New Roman" w:eastAsia="Times New Roman" w:hAnsi="Times New Roman" w:cs="Times New Roman"/>
          <w:kern w:val="0"/>
          <w:sz w:val="24"/>
          <w:szCs w:val="24"/>
          <w:lang w:eastAsia="ro-MD"/>
          <w14:ligatures w14:val="none"/>
        </w:rPr>
        <w:t xml:space="preserve">angajamentele asumate </w:t>
      </w:r>
      <w:r w:rsidR="00CF2FAA">
        <w:rPr>
          <w:rFonts w:ascii="Times New Roman" w:eastAsia="Times New Roman" w:hAnsi="Times New Roman" w:cs="Times New Roman"/>
          <w:kern w:val="0"/>
          <w:sz w:val="24"/>
          <w:szCs w:val="24"/>
          <w:lang w:eastAsia="ro-MD"/>
          <w14:ligatures w14:val="none"/>
        </w:rPr>
        <w:t xml:space="preserve">și </w:t>
      </w:r>
      <w:r w:rsidR="00666621" w:rsidRPr="0020102C">
        <w:rPr>
          <w:rFonts w:ascii="Times New Roman" w:eastAsia="Times New Roman" w:hAnsi="Times New Roman" w:cs="Times New Roman"/>
          <w:kern w:val="0"/>
          <w:sz w:val="24"/>
          <w:szCs w:val="24"/>
          <w:lang w:eastAsia="ro-MD"/>
          <w14:ligatures w14:val="none"/>
        </w:rPr>
        <w:t xml:space="preserve">progresele </w:t>
      </w:r>
      <w:r w:rsidR="0030385C">
        <w:rPr>
          <w:rFonts w:ascii="Times New Roman" w:eastAsia="Times New Roman" w:hAnsi="Times New Roman" w:cs="Times New Roman"/>
          <w:kern w:val="0"/>
          <w:sz w:val="24"/>
          <w:szCs w:val="24"/>
          <w:lang w:eastAsia="ro-MD"/>
          <w14:ligatures w14:val="none"/>
        </w:rPr>
        <w:t>înregistrate</w:t>
      </w:r>
      <w:r w:rsidR="00666621" w:rsidRPr="0020102C">
        <w:rPr>
          <w:rFonts w:ascii="Times New Roman" w:eastAsia="Times New Roman" w:hAnsi="Times New Roman" w:cs="Times New Roman"/>
          <w:kern w:val="0"/>
          <w:sz w:val="24"/>
          <w:szCs w:val="24"/>
          <w:lang w:eastAsia="ro-MD"/>
          <w14:ligatures w14:val="none"/>
        </w:rPr>
        <w:t xml:space="preserve"> în cadrul </w:t>
      </w:r>
      <w:r w:rsidR="00666621" w:rsidRPr="0020102C">
        <w:rPr>
          <w:rFonts w:ascii="Times New Roman" w:eastAsia="Times New Roman" w:hAnsi="Times New Roman" w:cs="Times New Roman"/>
          <w:i/>
          <w:iCs/>
          <w:kern w:val="0"/>
          <w:sz w:val="24"/>
          <w:szCs w:val="24"/>
          <w:lang w:eastAsia="ro-MD"/>
          <w14:ligatures w14:val="none"/>
        </w:rPr>
        <w:t>Clusterului 3: Competitivitate și creștere incluzivă</w:t>
      </w:r>
      <w:r w:rsidR="00666621" w:rsidRPr="0020102C">
        <w:rPr>
          <w:rFonts w:ascii="Times New Roman" w:eastAsia="Times New Roman" w:hAnsi="Times New Roman" w:cs="Times New Roman"/>
          <w:kern w:val="0"/>
          <w:sz w:val="24"/>
          <w:szCs w:val="24"/>
          <w:lang w:eastAsia="ro-MD"/>
          <w14:ligatures w14:val="none"/>
        </w:rPr>
        <w:t xml:space="preserve">, care </w:t>
      </w:r>
      <w:r w:rsidR="005263F0">
        <w:rPr>
          <w:rFonts w:ascii="Times New Roman" w:eastAsia="Times New Roman" w:hAnsi="Times New Roman" w:cs="Times New Roman"/>
          <w:kern w:val="0"/>
          <w:sz w:val="24"/>
          <w:szCs w:val="24"/>
          <w:lang w:eastAsia="ro-MD"/>
          <w14:ligatures w14:val="none"/>
        </w:rPr>
        <w:t>include</w:t>
      </w:r>
      <w:r w:rsidR="00666621" w:rsidRPr="0020102C">
        <w:rPr>
          <w:rFonts w:ascii="Times New Roman" w:eastAsia="Times New Roman" w:hAnsi="Times New Roman" w:cs="Times New Roman"/>
          <w:kern w:val="0"/>
          <w:sz w:val="24"/>
          <w:szCs w:val="24"/>
          <w:lang w:eastAsia="ro-MD"/>
          <w14:ligatures w14:val="none"/>
        </w:rPr>
        <w:t xml:space="preserve"> domenii-</w:t>
      </w:r>
      <w:r w:rsidR="00071CAF" w:rsidRPr="0020102C">
        <w:rPr>
          <w:rFonts w:ascii="Times New Roman" w:eastAsia="Times New Roman" w:hAnsi="Times New Roman" w:cs="Times New Roman"/>
          <w:kern w:val="0"/>
          <w:sz w:val="24"/>
          <w:szCs w:val="24"/>
          <w:lang w:eastAsia="ro-MD"/>
          <w14:ligatures w14:val="none"/>
        </w:rPr>
        <w:t>cheie</w:t>
      </w:r>
      <w:r w:rsidR="00666621" w:rsidRPr="0020102C">
        <w:rPr>
          <w:rFonts w:ascii="Times New Roman" w:eastAsia="Times New Roman" w:hAnsi="Times New Roman" w:cs="Times New Roman"/>
          <w:kern w:val="0"/>
          <w:sz w:val="24"/>
          <w:szCs w:val="24"/>
          <w:lang w:eastAsia="ro-MD"/>
          <w14:ligatures w14:val="none"/>
        </w:rPr>
        <w:t xml:space="preserve"> precum politicile de competențe, ocuparea forței de muncă, incluziunea socială, educația, cercetarea și inovarea. </w:t>
      </w:r>
      <w:r w:rsidR="001D6C1D">
        <w:rPr>
          <w:rFonts w:ascii="Times New Roman" w:eastAsia="Times New Roman" w:hAnsi="Times New Roman" w:cs="Times New Roman"/>
          <w:kern w:val="0"/>
          <w:sz w:val="24"/>
          <w:szCs w:val="24"/>
          <w:lang w:eastAsia="ro-MD"/>
          <w14:ligatures w14:val="none"/>
        </w:rPr>
        <w:t>În cadrul</w:t>
      </w:r>
      <w:r w:rsidR="00666621" w:rsidRPr="0020102C">
        <w:rPr>
          <w:rFonts w:ascii="Times New Roman" w:eastAsia="Times New Roman" w:hAnsi="Times New Roman" w:cs="Times New Roman"/>
          <w:kern w:val="0"/>
          <w:sz w:val="24"/>
          <w:szCs w:val="24"/>
          <w:lang w:eastAsia="ro-MD"/>
          <w14:ligatures w14:val="none"/>
        </w:rPr>
        <w:t xml:space="preserve"> </w:t>
      </w:r>
      <w:r w:rsidR="00666621" w:rsidRPr="0020102C">
        <w:rPr>
          <w:rFonts w:ascii="Times New Roman" w:eastAsia="Times New Roman" w:hAnsi="Times New Roman" w:cs="Times New Roman"/>
          <w:i/>
          <w:iCs/>
          <w:kern w:val="0"/>
          <w:sz w:val="24"/>
          <w:szCs w:val="24"/>
          <w:lang w:eastAsia="ro-MD"/>
          <w14:ligatures w14:val="none"/>
        </w:rPr>
        <w:t>Capitolul</w:t>
      </w:r>
      <w:r w:rsidR="001D6C1D">
        <w:rPr>
          <w:rFonts w:ascii="Times New Roman" w:eastAsia="Times New Roman" w:hAnsi="Times New Roman" w:cs="Times New Roman"/>
          <w:i/>
          <w:iCs/>
          <w:kern w:val="0"/>
          <w:sz w:val="24"/>
          <w:szCs w:val="24"/>
          <w:lang w:eastAsia="ro-MD"/>
          <w14:ligatures w14:val="none"/>
        </w:rPr>
        <w:t>ui</w:t>
      </w:r>
      <w:r w:rsidR="00666621" w:rsidRPr="0020102C">
        <w:rPr>
          <w:rFonts w:ascii="Times New Roman" w:eastAsia="Times New Roman" w:hAnsi="Times New Roman" w:cs="Times New Roman"/>
          <w:i/>
          <w:iCs/>
          <w:kern w:val="0"/>
          <w:sz w:val="24"/>
          <w:szCs w:val="24"/>
          <w:lang w:eastAsia="ro-MD"/>
          <w14:ligatures w14:val="none"/>
        </w:rPr>
        <w:t xml:space="preserve"> 26 – Educație și cultură</w:t>
      </w:r>
      <w:r w:rsidR="00666621" w:rsidRPr="0020102C">
        <w:rPr>
          <w:rFonts w:ascii="Times New Roman" w:eastAsia="Times New Roman" w:hAnsi="Times New Roman" w:cs="Times New Roman"/>
          <w:kern w:val="0"/>
          <w:sz w:val="24"/>
          <w:szCs w:val="24"/>
          <w:lang w:eastAsia="ro-MD"/>
          <w14:ligatures w14:val="none"/>
        </w:rPr>
        <w:t xml:space="preserve">, au fost evidențiate </w:t>
      </w:r>
      <w:r w:rsidR="00E12BAF" w:rsidRPr="00E12BAF">
        <w:rPr>
          <w:rFonts w:ascii="Times New Roman" w:eastAsia="Times New Roman" w:hAnsi="Times New Roman" w:cs="Times New Roman"/>
          <w:kern w:val="0"/>
          <w:sz w:val="24"/>
          <w:szCs w:val="24"/>
          <w:lang w:eastAsia="ro-MD"/>
          <w14:ligatures w14:val="none"/>
        </w:rPr>
        <w:t>reformele privind modernizarea</w:t>
      </w:r>
      <w:r w:rsidR="00E12BAF">
        <w:rPr>
          <w:rFonts w:ascii="Times New Roman" w:eastAsia="Times New Roman" w:hAnsi="Times New Roman" w:cs="Times New Roman"/>
          <w:kern w:val="0"/>
          <w:sz w:val="24"/>
          <w:szCs w:val="24"/>
          <w:lang w:eastAsia="ro-MD"/>
          <w14:ligatures w14:val="none"/>
        </w:rPr>
        <w:t xml:space="preserve"> </w:t>
      </w:r>
      <w:r w:rsidR="00666621" w:rsidRPr="0020102C">
        <w:rPr>
          <w:rFonts w:ascii="Times New Roman" w:eastAsia="Times New Roman" w:hAnsi="Times New Roman" w:cs="Times New Roman"/>
          <w:kern w:val="0"/>
          <w:sz w:val="24"/>
          <w:szCs w:val="24"/>
          <w:lang w:eastAsia="ro-MD"/>
          <w14:ligatures w14:val="none"/>
        </w:rPr>
        <w:t xml:space="preserve">sistemului educațional, consolidarea </w:t>
      </w:r>
      <w:r w:rsidR="00343FD7" w:rsidRPr="001F6026">
        <w:rPr>
          <w:rFonts w:ascii="Times New Roman" w:eastAsia="Times New Roman" w:hAnsi="Times New Roman" w:cs="Times New Roman"/>
          <w:kern w:val="0"/>
          <w:sz w:val="24"/>
          <w:szCs w:val="24"/>
          <w:lang w:eastAsia="ro-MD"/>
          <w14:ligatures w14:val="none"/>
        </w:rPr>
        <w:t>CNC</w:t>
      </w:r>
      <w:r w:rsidR="00666621" w:rsidRPr="0020102C">
        <w:rPr>
          <w:rFonts w:ascii="Times New Roman" w:eastAsia="Times New Roman" w:hAnsi="Times New Roman" w:cs="Times New Roman"/>
          <w:kern w:val="0"/>
          <w:sz w:val="24"/>
          <w:szCs w:val="24"/>
          <w:lang w:eastAsia="ro-MD"/>
          <w14:ligatures w14:val="none"/>
        </w:rPr>
        <w:t>, integrarea standardelor europene de asigurare a calității și dezvoltarea mecanismelor de recunoaștere a rezultatelor învățării.</w:t>
      </w:r>
    </w:p>
    <w:p w14:paraId="4DD6F0CE" w14:textId="7304D613" w:rsidR="00666621" w:rsidRPr="0020102C" w:rsidRDefault="00946D29"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946D29">
        <w:rPr>
          <w:rFonts w:ascii="Times New Roman" w:eastAsia="Times New Roman" w:hAnsi="Times New Roman" w:cs="Times New Roman"/>
          <w:kern w:val="0"/>
          <w:sz w:val="24"/>
          <w:szCs w:val="24"/>
          <w:lang w:eastAsia="ro-MD"/>
          <w14:ligatures w14:val="none"/>
        </w:rPr>
        <w:t xml:space="preserve">Procesul de screening are o importanță majoră pentru domeniul educației și formării profesionale, deoarece oferă o evaluare obiectivă a compatibilității sistemului național cu </w:t>
      </w:r>
      <w:r w:rsidR="004378B5">
        <w:rPr>
          <w:rFonts w:ascii="Times New Roman" w:eastAsia="Times New Roman" w:hAnsi="Times New Roman" w:cs="Times New Roman"/>
          <w:kern w:val="0"/>
          <w:sz w:val="24"/>
          <w:szCs w:val="24"/>
          <w:lang w:eastAsia="ro-MD"/>
          <w14:ligatures w14:val="none"/>
        </w:rPr>
        <w:t>s</w:t>
      </w:r>
      <w:r w:rsidRPr="00946D29">
        <w:rPr>
          <w:rFonts w:ascii="Times New Roman" w:eastAsia="Times New Roman" w:hAnsi="Times New Roman" w:cs="Times New Roman"/>
          <w:kern w:val="0"/>
          <w:sz w:val="24"/>
          <w:szCs w:val="24"/>
          <w:lang w:eastAsia="ro-MD"/>
          <w14:ligatures w14:val="none"/>
        </w:rPr>
        <w:t xml:space="preserve">pațiul </w:t>
      </w:r>
      <w:r w:rsidR="004378B5">
        <w:rPr>
          <w:rFonts w:ascii="Times New Roman" w:eastAsia="Times New Roman" w:hAnsi="Times New Roman" w:cs="Times New Roman"/>
          <w:kern w:val="0"/>
          <w:sz w:val="24"/>
          <w:szCs w:val="24"/>
          <w:lang w:eastAsia="ro-MD"/>
          <w14:ligatures w14:val="none"/>
        </w:rPr>
        <w:t>e</w:t>
      </w:r>
      <w:r w:rsidRPr="00946D29">
        <w:rPr>
          <w:rFonts w:ascii="Times New Roman" w:eastAsia="Times New Roman" w:hAnsi="Times New Roman" w:cs="Times New Roman"/>
          <w:kern w:val="0"/>
          <w:sz w:val="24"/>
          <w:szCs w:val="24"/>
          <w:lang w:eastAsia="ro-MD"/>
          <w14:ligatures w14:val="none"/>
        </w:rPr>
        <w:t xml:space="preserve">uropean al </w:t>
      </w:r>
      <w:r w:rsidR="004378B5">
        <w:rPr>
          <w:rFonts w:ascii="Times New Roman" w:eastAsia="Times New Roman" w:hAnsi="Times New Roman" w:cs="Times New Roman"/>
          <w:kern w:val="0"/>
          <w:sz w:val="24"/>
          <w:szCs w:val="24"/>
          <w:lang w:eastAsia="ro-MD"/>
          <w14:ligatures w14:val="none"/>
        </w:rPr>
        <w:t>c</w:t>
      </w:r>
      <w:r w:rsidRPr="00946D29">
        <w:rPr>
          <w:rFonts w:ascii="Times New Roman" w:eastAsia="Times New Roman" w:hAnsi="Times New Roman" w:cs="Times New Roman"/>
          <w:kern w:val="0"/>
          <w:sz w:val="24"/>
          <w:szCs w:val="24"/>
          <w:lang w:eastAsia="ro-MD"/>
          <w14:ligatures w14:val="none"/>
        </w:rPr>
        <w:t>alificărilor, servind drept bază comună pentru planificarea reformelor ulterioare. Printre prioritățile identificate se regăsesc: consolidarea legăturii dintre educație și piața muncii, extinderea accesului la educație incluzivă și promovarea învățării pe tot parcursul vieții</w:t>
      </w:r>
      <w:r w:rsidR="00666621" w:rsidRPr="0020102C">
        <w:rPr>
          <w:rFonts w:ascii="Times New Roman" w:eastAsia="Times New Roman" w:hAnsi="Times New Roman" w:cs="Times New Roman"/>
          <w:kern w:val="0"/>
          <w:sz w:val="24"/>
          <w:szCs w:val="24"/>
          <w:lang w:eastAsia="ro-MD"/>
          <w14:ligatures w14:val="none"/>
        </w:rPr>
        <w:t>.</w:t>
      </w:r>
    </w:p>
    <w:p w14:paraId="0F4B46A8" w14:textId="0E4063F9" w:rsidR="00EA1C23" w:rsidRPr="00841076" w:rsidRDefault="00B8310C" w:rsidP="00841076">
      <w:pPr>
        <w:spacing w:before="120" w:after="120" w:line="276" w:lineRule="auto"/>
        <w:jc w:val="both"/>
        <w:outlineLvl w:val="2"/>
        <w:rPr>
          <w:rFonts w:ascii="Times New Roman" w:hAnsi="Times New Roman" w:cs="Times New Roman"/>
          <w:b/>
          <w:bCs/>
          <w:color w:val="3494BA" w:themeColor="accent1"/>
          <w:sz w:val="24"/>
          <w:szCs w:val="24"/>
        </w:rPr>
      </w:pPr>
      <w:r w:rsidRPr="00841076">
        <w:rPr>
          <w:rFonts w:ascii="Times New Roman" w:eastAsia="Times New Roman" w:hAnsi="Times New Roman" w:cs="Times New Roman"/>
          <w:b/>
          <w:bCs/>
          <w:color w:val="3494BA" w:themeColor="accent1"/>
          <w:kern w:val="0"/>
          <w:sz w:val="24"/>
          <w:szCs w:val="24"/>
          <w:lang w:eastAsia="ro-MD"/>
          <w14:ligatures w14:val="none"/>
        </w:rPr>
        <w:t xml:space="preserve">2.2 </w:t>
      </w:r>
      <w:r w:rsidR="00702E09">
        <w:rPr>
          <w:rFonts w:ascii="Times New Roman" w:eastAsia="Times New Roman" w:hAnsi="Times New Roman" w:cs="Times New Roman"/>
          <w:b/>
          <w:bCs/>
          <w:color w:val="3494BA" w:themeColor="accent1"/>
          <w:kern w:val="0"/>
          <w:sz w:val="24"/>
          <w:szCs w:val="24"/>
          <w:lang w:eastAsia="ro-MD"/>
          <w14:ligatures w14:val="none"/>
        </w:rPr>
        <w:t>P</w:t>
      </w:r>
      <w:r w:rsidR="00EA1C23" w:rsidRPr="00841076">
        <w:rPr>
          <w:rFonts w:ascii="Times New Roman" w:hAnsi="Times New Roman" w:cs="Times New Roman"/>
          <w:b/>
          <w:bCs/>
          <w:color w:val="3494BA" w:themeColor="accent1"/>
          <w:sz w:val="24"/>
          <w:szCs w:val="24"/>
        </w:rPr>
        <w:t xml:space="preserve">olitici </w:t>
      </w:r>
      <w:r w:rsidR="008A5A68">
        <w:rPr>
          <w:rFonts w:ascii="Times New Roman" w:hAnsi="Times New Roman" w:cs="Times New Roman"/>
          <w:b/>
          <w:bCs/>
          <w:color w:val="3494BA" w:themeColor="accent1"/>
          <w:sz w:val="24"/>
          <w:szCs w:val="24"/>
        </w:rPr>
        <w:t>în domeniul</w:t>
      </w:r>
      <w:r w:rsidR="00EA1C23" w:rsidRPr="00841076">
        <w:rPr>
          <w:rFonts w:ascii="Times New Roman" w:hAnsi="Times New Roman" w:cs="Times New Roman"/>
          <w:b/>
          <w:bCs/>
          <w:color w:val="3494BA" w:themeColor="accent1"/>
          <w:sz w:val="24"/>
          <w:szCs w:val="24"/>
        </w:rPr>
        <w:t xml:space="preserve"> educație</w:t>
      </w:r>
      <w:r w:rsidR="008A5A68">
        <w:rPr>
          <w:rFonts w:ascii="Times New Roman" w:hAnsi="Times New Roman" w:cs="Times New Roman"/>
          <w:b/>
          <w:bCs/>
          <w:color w:val="3494BA" w:themeColor="accent1"/>
          <w:sz w:val="24"/>
          <w:szCs w:val="24"/>
        </w:rPr>
        <w:t xml:space="preserve">i, </w:t>
      </w:r>
      <w:r w:rsidR="00990D97">
        <w:rPr>
          <w:rFonts w:ascii="Times New Roman" w:hAnsi="Times New Roman" w:cs="Times New Roman"/>
          <w:b/>
          <w:bCs/>
          <w:color w:val="3494BA" w:themeColor="accent1"/>
          <w:sz w:val="24"/>
          <w:szCs w:val="24"/>
        </w:rPr>
        <w:t>formării și ocupării forței de muncă</w:t>
      </w:r>
    </w:p>
    <w:p w14:paraId="477C285A" w14:textId="77777777" w:rsidR="00841076" w:rsidRPr="00841076" w:rsidRDefault="00841076"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41076">
        <w:rPr>
          <w:rFonts w:ascii="Times New Roman" w:eastAsia="Times New Roman" w:hAnsi="Times New Roman" w:cs="Times New Roman"/>
          <w:kern w:val="0"/>
          <w:sz w:val="24"/>
          <w:szCs w:val="24"/>
          <w:lang w:val="ro-MD" w:eastAsia="ro-MD"/>
          <w14:ligatures w14:val="none"/>
        </w:rPr>
        <w:t xml:space="preserve">Politicile Republicii Moldova în domeniul educației, formării profesionale și ocupării forței de muncă sunt orientate spre </w:t>
      </w:r>
      <w:r w:rsidRPr="00841076">
        <w:rPr>
          <w:rFonts w:ascii="Times New Roman" w:eastAsia="Times New Roman" w:hAnsi="Times New Roman" w:cs="Times New Roman"/>
          <w:i/>
          <w:iCs/>
          <w:kern w:val="0"/>
          <w:sz w:val="24"/>
          <w:szCs w:val="24"/>
          <w:lang w:val="ro-MD" w:eastAsia="ro-MD"/>
          <w14:ligatures w14:val="none"/>
        </w:rPr>
        <w:t>dezvoltarea capitalului uman, creșterea competitivității economice și promovarea incluziunii sociale</w:t>
      </w:r>
      <w:r w:rsidRPr="00841076">
        <w:rPr>
          <w:rFonts w:ascii="Times New Roman" w:eastAsia="Times New Roman" w:hAnsi="Times New Roman" w:cs="Times New Roman"/>
          <w:kern w:val="0"/>
          <w:sz w:val="24"/>
          <w:szCs w:val="24"/>
          <w:lang w:val="ro-MD" w:eastAsia="ro-MD"/>
          <w14:ligatures w14:val="none"/>
        </w:rPr>
        <w:t xml:space="preserve">, în concordanță cu angajamentele asumate în procesul de integrare europeană. Acestea urmăresc crearea unui </w:t>
      </w:r>
      <w:r w:rsidRPr="00841076">
        <w:rPr>
          <w:rFonts w:ascii="Times New Roman" w:eastAsia="Times New Roman" w:hAnsi="Times New Roman" w:cs="Times New Roman"/>
          <w:i/>
          <w:iCs/>
          <w:kern w:val="0"/>
          <w:sz w:val="24"/>
          <w:szCs w:val="24"/>
          <w:lang w:val="ro-MD" w:eastAsia="ro-MD"/>
          <w14:ligatures w14:val="none"/>
        </w:rPr>
        <w:t>ecosistem coerent al învățării pe tot parcursul vieții</w:t>
      </w:r>
      <w:r w:rsidRPr="00841076">
        <w:rPr>
          <w:rFonts w:ascii="Times New Roman" w:eastAsia="Times New Roman" w:hAnsi="Times New Roman" w:cs="Times New Roman"/>
          <w:kern w:val="0"/>
          <w:sz w:val="24"/>
          <w:szCs w:val="24"/>
          <w:lang w:val="ro-MD" w:eastAsia="ro-MD"/>
          <w14:ligatures w14:val="none"/>
        </w:rPr>
        <w:t>, capabil să asigure corelarea între sistemul educațional, piața muncii și obiectivele de dezvoltare durabilă ale țării.</w:t>
      </w:r>
    </w:p>
    <w:p w14:paraId="4645D711" w14:textId="64C069BD" w:rsidR="00D60230" w:rsidRDefault="00584FC9"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 xml:space="preserve">Este de menționat faptul că, </w:t>
      </w:r>
      <w:r w:rsidR="00C34D5C">
        <w:rPr>
          <w:rFonts w:ascii="Times New Roman" w:eastAsia="Times New Roman" w:hAnsi="Times New Roman" w:cs="Times New Roman"/>
          <w:kern w:val="0"/>
          <w:sz w:val="24"/>
          <w:szCs w:val="24"/>
          <w:lang w:val="ro-MD" w:eastAsia="ro-MD"/>
          <w14:ligatures w14:val="none"/>
        </w:rPr>
        <w:t>p</w:t>
      </w:r>
      <w:r w:rsidR="00841076" w:rsidRPr="00841076">
        <w:rPr>
          <w:rFonts w:ascii="Times New Roman" w:eastAsia="Times New Roman" w:hAnsi="Times New Roman" w:cs="Times New Roman"/>
          <w:kern w:val="0"/>
          <w:sz w:val="24"/>
          <w:szCs w:val="24"/>
          <w:lang w:val="ro-MD" w:eastAsia="ro-MD"/>
          <w14:ligatures w14:val="none"/>
        </w:rPr>
        <w:t xml:space="preserve">oliticile educaționale și ocupaționale din ultimul deceniu au evoluat de la o etapă de </w:t>
      </w:r>
      <w:r w:rsidR="00841076" w:rsidRPr="00841076">
        <w:rPr>
          <w:rFonts w:ascii="Times New Roman" w:eastAsia="Times New Roman" w:hAnsi="Times New Roman" w:cs="Times New Roman"/>
          <w:i/>
          <w:iCs/>
          <w:kern w:val="0"/>
          <w:sz w:val="24"/>
          <w:szCs w:val="24"/>
          <w:lang w:val="ro-MD" w:eastAsia="ro-MD"/>
          <w14:ligatures w14:val="none"/>
        </w:rPr>
        <w:t>reformă structurală</w:t>
      </w:r>
      <w:r w:rsidR="00841076" w:rsidRPr="00841076">
        <w:rPr>
          <w:rFonts w:ascii="Times New Roman" w:eastAsia="Times New Roman" w:hAnsi="Times New Roman" w:cs="Times New Roman"/>
          <w:kern w:val="0"/>
          <w:sz w:val="24"/>
          <w:szCs w:val="24"/>
          <w:lang w:val="ro-MD" w:eastAsia="ro-MD"/>
          <w14:ligatures w14:val="none"/>
        </w:rPr>
        <w:t xml:space="preserve"> la o etapă de </w:t>
      </w:r>
      <w:r w:rsidR="00841076" w:rsidRPr="00841076">
        <w:rPr>
          <w:rFonts w:ascii="Times New Roman" w:eastAsia="Times New Roman" w:hAnsi="Times New Roman" w:cs="Times New Roman"/>
          <w:i/>
          <w:iCs/>
          <w:kern w:val="0"/>
          <w:sz w:val="24"/>
          <w:szCs w:val="24"/>
          <w:lang w:val="ro-MD" w:eastAsia="ro-MD"/>
          <w14:ligatures w14:val="none"/>
        </w:rPr>
        <w:t>consolidare strategică</w:t>
      </w:r>
      <w:r w:rsidR="00841076" w:rsidRPr="00841076">
        <w:rPr>
          <w:rFonts w:ascii="Times New Roman" w:eastAsia="Times New Roman" w:hAnsi="Times New Roman" w:cs="Times New Roman"/>
          <w:kern w:val="0"/>
          <w:sz w:val="24"/>
          <w:szCs w:val="24"/>
          <w:lang w:val="ro-MD" w:eastAsia="ro-MD"/>
          <w14:ligatures w14:val="none"/>
        </w:rPr>
        <w:t>, asigurând coerență, calitate și convergență europeană.</w:t>
      </w:r>
    </w:p>
    <w:p w14:paraId="00E403A4" w14:textId="707446F6" w:rsidR="00841076" w:rsidRPr="00841076" w:rsidRDefault="00D60230"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584FC9">
        <w:rPr>
          <w:rFonts w:ascii="Times New Roman" w:hAnsi="Times New Roman" w:cs="Times New Roman"/>
          <w:sz w:val="24"/>
          <w:szCs w:val="24"/>
        </w:rPr>
        <w:t>Acest capitol prezintă principalele strategii și programe care fundamentează politicile de educație, formare și ocupare, evidențiind convergența lor conceptuală și direcțiile de acțiun</w:t>
      </w:r>
      <w:r w:rsidR="00124570">
        <w:rPr>
          <w:rFonts w:ascii="Times New Roman" w:hAnsi="Times New Roman" w:cs="Times New Roman"/>
          <w:sz w:val="24"/>
          <w:szCs w:val="24"/>
        </w:rPr>
        <w:t>i</w:t>
      </w:r>
      <w:r w:rsidRPr="00584FC9">
        <w:rPr>
          <w:rFonts w:ascii="Times New Roman" w:hAnsi="Times New Roman" w:cs="Times New Roman"/>
          <w:sz w:val="24"/>
          <w:szCs w:val="24"/>
        </w:rPr>
        <w:t xml:space="preserve"> comune pentru asigurarea unui sistem de calificări relevant, transparent și compatibil cu standardele europene.</w:t>
      </w:r>
    </w:p>
    <w:p w14:paraId="466C59EF" w14:textId="7B6E428C" w:rsidR="00841076" w:rsidRPr="00841076" w:rsidRDefault="00841076" w:rsidP="00841076">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841076">
        <w:rPr>
          <w:rFonts w:ascii="Times New Roman" w:eastAsia="Times New Roman" w:hAnsi="Times New Roman" w:cs="Times New Roman"/>
          <w:b/>
          <w:bCs/>
          <w:color w:val="3494BA" w:themeColor="accent1"/>
          <w:kern w:val="0"/>
          <w:sz w:val="24"/>
          <w:szCs w:val="24"/>
          <w:lang w:val="ro-MD" w:eastAsia="ro-MD"/>
          <w14:ligatures w14:val="none"/>
        </w:rPr>
        <w:t>Politici actuale (în vigoare)</w:t>
      </w:r>
    </w:p>
    <w:p w14:paraId="6565210F" w14:textId="03D683A1" w:rsidR="00841076" w:rsidRPr="00841076" w:rsidRDefault="00841076"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41076">
        <w:rPr>
          <w:rFonts w:ascii="Times New Roman" w:eastAsia="Times New Roman" w:hAnsi="Times New Roman" w:cs="Times New Roman"/>
          <w:kern w:val="0"/>
          <w:sz w:val="24"/>
          <w:szCs w:val="24"/>
          <w:lang w:val="ro-MD" w:eastAsia="ro-MD"/>
          <w14:ligatures w14:val="none"/>
        </w:rPr>
        <w:t xml:space="preserve">Politicile actuale marchează etapa de </w:t>
      </w:r>
      <w:r w:rsidRPr="00841076">
        <w:rPr>
          <w:rFonts w:ascii="Times New Roman" w:eastAsia="Times New Roman" w:hAnsi="Times New Roman" w:cs="Times New Roman"/>
          <w:i/>
          <w:iCs/>
          <w:kern w:val="0"/>
          <w:sz w:val="24"/>
          <w:szCs w:val="24"/>
          <w:lang w:val="ro-MD" w:eastAsia="ro-MD"/>
          <w14:ligatures w14:val="none"/>
        </w:rPr>
        <w:t>maturizare strategică</w:t>
      </w:r>
      <w:r w:rsidRPr="00841076">
        <w:rPr>
          <w:rFonts w:ascii="Times New Roman" w:eastAsia="Times New Roman" w:hAnsi="Times New Roman" w:cs="Times New Roman"/>
          <w:kern w:val="0"/>
          <w:sz w:val="24"/>
          <w:szCs w:val="24"/>
          <w:lang w:val="ro-MD" w:eastAsia="ro-MD"/>
          <w14:ligatures w14:val="none"/>
        </w:rPr>
        <w:t xml:space="preserve"> a sistemului de educație, formare profesională și ocupare din Republica Moldova. Ele vizează consolidarea calității, incluziunii și digitalizării, corelând dezvoltarea capitalului uman cu cerințele pieței muncii și cu principiile învățării pe tot parcursul vieții.</w:t>
      </w:r>
    </w:p>
    <w:p w14:paraId="1EFFE014" w14:textId="3FE7AD4F" w:rsidR="003B566F" w:rsidRPr="0006795E" w:rsidRDefault="00057FCA" w:rsidP="00A86427">
      <w:pPr>
        <w:spacing w:before="120" w:after="120" w:line="276" w:lineRule="auto"/>
        <w:jc w:val="both"/>
        <w:rPr>
          <w:rFonts w:ascii="Times New Roman" w:hAnsi="Times New Roman" w:cs="Times New Roman"/>
          <w:sz w:val="24"/>
          <w:szCs w:val="24"/>
          <w:lang w:val="ro-MD"/>
        </w:rPr>
      </w:pPr>
      <w:r w:rsidRPr="00057FCA">
        <w:rPr>
          <w:rFonts w:ascii="Times New Roman" w:eastAsia="Times New Roman" w:hAnsi="Times New Roman" w:cs="Times New Roman"/>
          <w:b/>
          <w:bCs/>
          <w:kern w:val="0"/>
          <w:sz w:val="24"/>
          <w:szCs w:val="24"/>
          <w:lang w:eastAsia="ro-MD"/>
          <w14:ligatures w14:val="none"/>
        </w:rPr>
        <w:t>Strategia de dezvoltare ”Educația 2030” și</w:t>
      </w:r>
      <w:r w:rsidR="00E33BE0">
        <w:rPr>
          <w:rFonts w:ascii="Times New Roman" w:eastAsia="Times New Roman" w:hAnsi="Times New Roman" w:cs="Times New Roman"/>
          <w:b/>
          <w:bCs/>
          <w:kern w:val="0"/>
          <w:sz w:val="24"/>
          <w:szCs w:val="24"/>
          <w:lang w:eastAsia="ro-MD"/>
          <w14:ligatures w14:val="none"/>
        </w:rPr>
        <w:t xml:space="preserve"> </w:t>
      </w:r>
      <w:r w:rsidRPr="00057FCA">
        <w:rPr>
          <w:rFonts w:ascii="Times New Roman" w:eastAsia="Times New Roman" w:hAnsi="Times New Roman" w:cs="Times New Roman"/>
          <w:b/>
          <w:bCs/>
          <w:kern w:val="0"/>
          <w:sz w:val="24"/>
          <w:szCs w:val="24"/>
          <w:lang w:eastAsia="ro-MD"/>
          <w14:ligatures w14:val="none"/>
        </w:rPr>
        <w:t>Programul de implementare a acesteia pentru anii 2023-2025</w:t>
      </w:r>
      <w:r w:rsidR="00474D41" w:rsidRPr="00474D41">
        <w:rPr>
          <w:rFonts w:ascii="Times New Roman" w:eastAsia="Times New Roman" w:hAnsi="Times New Roman" w:cs="Times New Roman"/>
          <w:b/>
          <w:bCs/>
          <w:kern w:val="0"/>
          <w:sz w:val="24"/>
          <w:szCs w:val="24"/>
          <w:lang w:eastAsia="ro-MD"/>
          <w14:ligatures w14:val="none"/>
        </w:rPr>
        <w:t>)</w:t>
      </w:r>
      <w:r w:rsidR="00474D41" w:rsidRPr="00474D41">
        <w:rPr>
          <w:rFonts w:ascii="Times New Roman" w:eastAsia="Times New Roman" w:hAnsi="Times New Roman" w:cs="Times New Roman"/>
          <w:b/>
          <w:bCs/>
          <w:kern w:val="0"/>
          <w:sz w:val="24"/>
          <w:szCs w:val="24"/>
          <w:vertAlign w:val="superscript"/>
          <w:lang w:eastAsia="ro-MD"/>
          <w14:ligatures w14:val="none"/>
        </w:rPr>
        <w:footnoteReference w:id="12"/>
      </w:r>
      <w:r w:rsidR="00474D41" w:rsidRPr="00474D41">
        <w:rPr>
          <w:rFonts w:ascii="Times New Roman" w:eastAsia="Times New Roman" w:hAnsi="Times New Roman" w:cs="Times New Roman"/>
          <w:b/>
          <w:bCs/>
          <w:kern w:val="0"/>
          <w:sz w:val="24"/>
          <w:szCs w:val="24"/>
          <w:lang w:eastAsia="ro-MD"/>
          <w14:ligatures w14:val="none"/>
        </w:rPr>
        <w:t xml:space="preserve">, </w:t>
      </w:r>
      <w:r w:rsidR="00474D41" w:rsidRPr="00057FCA">
        <w:rPr>
          <w:rFonts w:ascii="Times New Roman" w:eastAsia="Times New Roman" w:hAnsi="Times New Roman" w:cs="Times New Roman"/>
          <w:kern w:val="0"/>
          <w:sz w:val="24"/>
          <w:szCs w:val="24"/>
          <w:lang w:eastAsia="ro-MD"/>
          <w14:ligatures w14:val="none"/>
        </w:rPr>
        <w:t>aprobat</w:t>
      </w:r>
      <w:r w:rsidR="00E33BE0">
        <w:rPr>
          <w:rFonts w:ascii="Times New Roman" w:eastAsia="Times New Roman" w:hAnsi="Times New Roman" w:cs="Times New Roman"/>
          <w:kern w:val="0"/>
          <w:sz w:val="24"/>
          <w:szCs w:val="24"/>
          <w:lang w:eastAsia="ro-MD"/>
          <w14:ligatures w14:val="none"/>
        </w:rPr>
        <w:t>e</w:t>
      </w:r>
      <w:r w:rsidR="00474D41" w:rsidRPr="00057FCA">
        <w:rPr>
          <w:rFonts w:ascii="Times New Roman" w:eastAsia="Times New Roman" w:hAnsi="Times New Roman" w:cs="Times New Roman"/>
          <w:kern w:val="0"/>
          <w:sz w:val="24"/>
          <w:szCs w:val="24"/>
          <w:lang w:eastAsia="ro-MD"/>
          <w14:ligatures w14:val="none"/>
        </w:rPr>
        <w:t xml:space="preserve"> prin </w:t>
      </w:r>
      <w:r w:rsidR="00474D41" w:rsidRPr="0006795E">
        <w:rPr>
          <w:rFonts w:ascii="Times New Roman" w:eastAsia="Times New Roman" w:hAnsi="Times New Roman" w:cs="Times New Roman"/>
          <w:kern w:val="0"/>
          <w:sz w:val="24"/>
          <w:szCs w:val="24"/>
          <w:lang w:eastAsia="ro-MD"/>
          <w14:ligatures w14:val="none"/>
        </w:rPr>
        <w:t>Hotărârea Guvernului nr. 114/2023</w:t>
      </w:r>
      <w:r w:rsidR="00841076" w:rsidRPr="00841076">
        <w:rPr>
          <w:rFonts w:ascii="Times New Roman" w:eastAsia="Times New Roman" w:hAnsi="Times New Roman" w:cs="Times New Roman"/>
          <w:kern w:val="0"/>
          <w:sz w:val="24"/>
          <w:szCs w:val="24"/>
          <w:lang w:val="ro-MD" w:eastAsia="ro-MD"/>
          <w14:ligatures w14:val="none"/>
        </w:rPr>
        <w:t xml:space="preserve">, </w:t>
      </w:r>
      <w:r w:rsidR="007327B8">
        <w:rPr>
          <w:rFonts w:ascii="Times New Roman" w:eastAsia="Times New Roman" w:hAnsi="Times New Roman" w:cs="Times New Roman"/>
          <w:kern w:val="0"/>
          <w:sz w:val="24"/>
          <w:szCs w:val="24"/>
          <w:lang w:val="ro-MD" w:eastAsia="ro-MD"/>
          <w14:ligatures w14:val="none"/>
        </w:rPr>
        <w:t>reprezintă</w:t>
      </w:r>
      <w:r w:rsidR="00841076" w:rsidRPr="00841076">
        <w:rPr>
          <w:rFonts w:ascii="Times New Roman" w:eastAsia="Times New Roman" w:hAnsi="Times New Roman" w:cs="Times New Roman"/>
          <w:kern w:val="0"/>
          <w:sz w:val="24"/>
          <w:szCs w:val="24"/>
          <w:lang w:val="ro-MD" w:eastAsia="ro-MD"/>
          <w14:ligatures w14:val="none"/>
        </w:rPr>
        <w:t xml:space="preserve"> documentul strategic </w:t>
      </w:r>
      <w:r w:rsidR="00890724">
        <w:rPr>
          <w:rFonts w:ascii="Times New Roman" w:eastAsia="Times New Roman" w:hAnsi="Times New Roman" w:cs="Times New Roman"/>
          <w:kern w:val="0"/>
          <w:sz w:val="24"/>
          <w:szCs w:val="24"/>
          <w:lang w:val="ro-MD" w:eastAsia="ro-MD"/>
          <w14:ligatures w14:val="none"/>
        </w:rPr>
        <w:t>fundamental</w:t>
      </w:r>
      <w:r w:rsidR="00841076" w:rsidRPr="00841076">
        <w:rPr>
          <w:rFonts w:ascii="Times New Roman" w:eastAsia="Times New Roman" w:hAnsi="Times New Roman" w:cs="Times New Roman"/>
          <w:kern w:val="0"/>
          <w:sz w:val="24"/>
          <w:szCs w:val="24"/>
          <w:lang w:val="ro-MD" w:eastAsia="ro-MD"/>
          <w14:ligatures w14:val="none"/>
        </w:rPr>
        <w:t xml:space="preserve"> în domeniul </w:t>
      </w:r>
      <w:r w:rsidR="0006795E" w:rsidRPr="0006795E">
        <w:rPr>
          <w:rFonts w:ascii="Times New Roman" w:hAnsi="Times New Roman" w:cs="Times New Roman"/>
          <w:sz w:val="24"/>
          <w:szCs w:val="24"/>
        </w:rPr>
        <w:t>educației din Republica Moldova.</w:t>
      </w:r>
      <w:r w:rsidR="00A86427">
        <w:rPr>
          <w:rFonts w:ascii="Times New Roman" w:hAnsi="Times New Roman" w:cs="Times New Roman"/>
          <w:sz w:val="24"/>
          <w:szCs w:val="24"/>
        </w:rPr>
        <w:t xml:space="preserve"> </w:t>
      </w:r>
      <w:r w:rsidR="00A86427" w:rsidRPr="008E3285">
        <w:rPr>
          <w:rFonts w:ascii="Times New Roman" w:hAnsi="Times New Roman" w:cs="Times New Roman"/>
          <w:sz w:val="24"/>
          <w:szCs w:val="24"/>
        </w:rPr>
        <w:t>S</w:t>
      </w:r>
      <w:r w:rsidR="003B566F" w:rsidRPr="0006795E">
        <w:rPr>
          <w:rFonts w:ascii="Times New Roman" w:hAnsi="Times New Roman" w:cs="Times New Roman"/>
          <w:sz w:val="24"/>
          <w:szCs w:val="24"/>
        </w:rPr>
        <w:t xml:space="preserve">trategia trasează politicile Guvernului în domeniul educației, descrie conținutul și mecanismele de realizare a acestora și determină impactul asupra sistemului educațional, societății și statului, </w:t>
      </w:r>
      <w:r w:rsidR="00B52C1D" w:rsidRPr="00B52C1D">
        <w:rPr>
          <w:rFonts w:ascii="Times New Roman" w:hAnsi="Times New Roman" w:cs="Times New Roman"/>
          <w:sz w:val="24"/>
          <w:szCs w:val="24"/>
        </w:rPr>
        <w:t xml:space="preserve">urmărind modernizarea sistemului educațional </w:t>
      </w:r>
      <w:r w:rsidR="00B0491D">
        <w:rPr>
          <w:rFonts w:ascii="Times New Roman" w:hAnsi="Times New Roman" w:cs="Times New Roman"/>
          <w:sz w:val="24"/>
          <w:szCs w:val="24"/>
        </w:rPr>
        <w:t>din perspectiva</w:t>
      </w:r>
      <w:r w:rsidR="00B52C1D" w:rsidRPr="00B52C1D">
        <w:rPr>
          <w:rFonts w:ascii="Times New Roman" w:hAnsi="Times New Roman" w:cs="Times New Roman"/>
          <w:sz w:val="24"/>
          <w:szCs w:val="24"/>
        </w:rPr>
        <w:t xml:space="preserve"> calității, echității și relevanței pentru economia bazată pe cunoaștere</w:t>
      </w:r>
      <w:r w:rsidR="003B566F" w:rsidRPr="0006795E">
        <w:rPr>
          <w:rFonts w:ascii="Times New Roman" w:hAnsi="Times New Roman" w:cs="Times New Roman"/>
          <w:sz w:val="24"/>
          <w:szCs w:val="24"/>
        </w:rPr>
        <w:t>.</w:t>
      </w:r>
    </w:p>
    <w:p w14:paraId="23D4D198" w14:textId="69D805BB" w:rsidR="003B566F" w:rsidRPr="00463802" w:rsidRDefault="00A86427" w:rsidP="00463802">
      <w:pPr>
        <w:pStyle w:val="af8"/>
        <w:spacing w:before="120" w:beforeAutospacing="0" w:after="120" w:afterAutospacing="0" w:line="276" w:lineRule="auto"/>
        <w:jc w:val="both"/>
      </w:pPr>
      <w:r>
        <w:t xml:space="preserve">SD </w:t>
      </w:r>
      <w:r w:rsidR="0083388D">
        <w:t>”</w:t>
      </w:r>
      <w:r>
        <w:t>Educație 2030</w:t>
      </w:r>
      <w:r w:rsidR="0083388D">
        <w:t>”</w:t>
      </w:r>
      <w:r w:rsidR="003B566F" w:rsidRPr="0006795E">
        <w:t xml:space="preserve"> </w:t>
      </w:r>
      <w:r w:rsidR="00B0491D">
        <w:t>a fost</w:t>
      </w:r>
      <w:r w:rsidR="003B566F" w:rsidRPr="0006795E">
        <w:t xml:space="preserve"> elaborat</w:t>
      </w:r>
      <w:r w:rsidR="0083388D">
        <w:t>ă</w:t>
      </w:r>
      <w:r w:rsidR="003B566F" w:rsidRPr="0006795E">
        <w:t xml:space="preserve"> în conformitate cu </w:t>
      </w:r>
      <w:r w:rsidR="003B566F" w:rsidRPr="00A23E27">
        <w:rPr>
          <w:rStyle w:val="af9"/>
          <w:rFonts w:eastAsiaTheme="majorEastAsia"/>
          <w:b w:val="0"/>
          <w:bCs w:val="0"/>
          <w:i/>
          <w:iCs/>
        </w:rPr>
        <w:t>Strategia națională de dezvoltare „Moldova Europeană 2030”</w:t>
      </w:r>
      <w:r w:rsidR="003B566F" w:rsidRPr="00A23E27">
        <w:rPr>
          <w:i/>
          <w:iCs/>
        </w:rPr>
        <w:t>,</w:t>
      </w:r>
      <w:r w:rsidR="003B566F" w:rsidRPr="00A23E27">
        <w:rPr>
          <w:b/>
          <w:bCs/>
          <w:i/>
          <w:iCs/>
        </w:rPr>
        <w:t xml:space="preserve"> </w:t>
      </w:r>
      <w:r w:rsidR="003B566F" w:rsidRPr="00A23E27">
        <w:rPr>
          <w:rStyle w:val="af9"/>
          <w:rFonts w:eastAsiaTheme="majorEastAsia"/>
          <w:b w:val="0"/>
          <w:bCs w:val="0"/>
          <w:i/>
          <w:iCs/>
        </w:rPr>
        <w:t>Obiectivele de Dezvoltare Durabilă ale ONU</w:t>
      </w:r>
      <w:r w:rsidR="003B566F" w:rsidRPr="00A23E27">
        <w:rPr>
          <w:i/>
          <w:iCs/>
        </w:rPr>
        <w:t>,</w:t>
      </w:r>
      <w:r w:rsidR="003B566F" w:rsidRPr="00A23E27">
        <w:rPr>
          <w:b/>
          <w:bCs/>
          <w:i/>
          <w:iCs/>
        </w:rPr>
        <w:t xml:space="preserve"> </w:t>
      </w:r>
      <w:r w:rsidR="003B566F" w:rsidRPr="00A23E27">
        <w:rPr>
          <w:rStyle w:val="af9"/>
          <w:rFonts w:eastAsiaTheme="majorEastAsia"/>
          <w:b w:val="0"/>
          <w:bCs w:val="0"/>
          <w:i/>
          <w:iCs/>
        </w:rPr>
        <w:t>Acordul de Asociere dintre Republica Moldova și Uniunea Europeană</w:t>
      </w:r>
      <w:r w:rsidR="003B566F" w:rsidRPr="0006795E">
        <w:t xml:space="preserve">, precum și cu documentele de referință europene și internaționale – </w:t>
      </w:r>
      <w:r w:rsidR="003B566F" w:rsidRPr="008B6FD3">
        <w:rPr>
          <w:rStyle w:val="af9"/>
          <w:rFonts w:eastAsiaTheme="majorEastAsia"/>
          <w:b w:val="0"/>
          <w:bCs w:val="0"/>
          <w:i/>
          <w:iCs/>
        </w:rPr>
        <w:t>Competențele-cheie pentru învățarea pe tot parcursul vieții (Bruxelles, 2018)</w:t>
      </w:r>
      <w:r w:rsidR="003B566F" w:rsidRPr="008B6FD3">
        <w:rPr>
          <w:i/>
          <w:iCs/>
        </w:rPr>
        <w:t xml:space="preserve">, </w:t>
      </w:r>
      <w:r w:rsidR="003B566F" w:rsidRPr="008B6FD3">
        <w:rPr>
          <w:rStyle w:val="af9"/>
          <w:rFonts w:eastAsiaTheme="majorEastAsia"/>
          <w:b w:val="0"/>
          <w:bCs w:val="0"/>
          <w:i/>
          <w:iCs/>
        </w:rPr>
        <w:t xml:space="preserve">Declarația de la </w:t>
      </w:r>
      <w:proofErr w:type="spellStart"/>
      <w:r w:rsidR="003B566F" w:rsidRPr="008B6FD3">
        <w:rPr>
          <w:rStyle w:val="af9"/>
          <w:rFonts w:eastAsiaTheme="majorEastAsia"/>
          <w:b w:val="0"/>
          <w:bCs w:val="0"/>
          <w:i/>
          <w:iCs/>
        </w:rPr>
        <w:t>Incheon</w:t>
      </w:r>
      <w:proofErr w:type="spellEnd"/>
      <w:r w:rsidR="003B566F" w:rsidRPr="008B6FD3">
        <w:rPr>
          <w:rStyle w:val="af9"/>
          <w:rFonts w:eastAsiaTheme="majorEastAsia"/>
          <w:b w:val="0"/>
          <w:bCs w:val="0"/>
          <w:i/>
          <w:iCs/>
        </w:rPr>
        <w:t xml:space="preserve"> privind Educația 2030 (UNESCO, 2015)</w:t>
      </w:r>
      <w:r w:rsidR="003B566F" w:rsidRPr="008B6FD3">
        <w:rPr>
          <w:b/>
          <w:bCs/>
        </w:rPr>
        <w:t xml:space="preserve"> </w:t>
      </w:r>
      <w:r w:rsidR="003B566F" w:rsidRPr="008B6FD3">
        <w:t>și</w:t>
      </w:r>
      <w:r w:rsidR="003B566F" w:rsidRPr="008B6FD3">
        <w:rPr>
          <w:b/>
          <w:bCs/>
        </w:rPr>
        <w:t xml:space="preserve"> </w:t>
      </w:r>
      <w:r w:rsidR="003B566F" w:rsidRPr="008B6FD3">
        <w:rPr>
          <w:rStyle w:val="af9"/>
          <w:rFonts w:eastAsiaTheme="majorEastAsia"/>
          <w:b w:val="0"/>
          <w:bCs w:val="0"/>
          <w:i/>
          <w:iCs/>
        </w:rPr>
        <w:t>Carta Consiliului Europei privind Educația pentru Cetățenie Democratică și Educația pentru Drepturile Omului</w:t>
      </w:r>
      <w:r w:rsidR="008B6FD3" w:rsidRPr="008B6FD3">
        <w:t>.</w:t>
      </w:r>
      <w:r w:rsidR="008B6FD3">
        <w:t xml:space="preserve"> </w:t>
      </w:r>
      <w:r w:rsidR="003B566F" w:rsidRPr="0006795E">
        <w:t xml:space="preserve">Această aliniere confirmă orientarea europeană și </w:t>
      </w:r>
      <w:r w:rsidR="003B566F" w:rsidRPr="00463802">
        <w:lastRenderedPageBreak/>
        <w:t xml:space="preserve">globală a reformei educaționale, consolidând </w:t>
      </w:r>
      <w:r w:rsidR="003B566F" w:rsidRPr="00463802">
        <w:rPr>
          <w:rStyle w:val="af9"/>
          <w:rFonts w:eastAsiaTheme="majorEastAsia"/>
          <w:b w:val="0"/>
          <w:bCs w:val="0"/>
        </w:rPr>
        <w:t>caracterul integrat și sustenabil al politicilor educaționale naționale</w:t>
      </w:r>
      <w:r w:rsidR="003B566F" w:rsidRPr="00463802">
        <w:t>.</w:t>
      </w:r>
    </w:p>
    <w:p w14:paraId="093EAE6B" w14:textId="77777777" w:rsidR="00330E02" w:rsidRPr="00330E02" w:rsidRDefault="005C51E7" w:rsidP="00463802">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S</w:t>
      </w:r>
      <w:r w:rsidR="00330E02">
        <w:rPr>
          <w:rFonts w:ascii="Times New Roman" w:eastAsia="Times New Roman" w:hAnsi="Times New Roman" w:cs="Times New Roman"/>
          <w:kern w:val="0"/>
          <w:sz w:val="24"/>
          <w:szCs w:val="24"/>
          <w:lang w:val="ro-MD" w:eastAsia="ro-MD"/>
          <w14:ligatures w14:val="none"/>
        </w:rPr>
        <w:t>D</w:t>
      </w:r>
      <w:r w:rsidRPr="005C51E7">
        <w:rPr>
          <w:rFonts w:ascii="Times New Roman" w:eastAsia="Times New Roman" w:hAnsi="Times New Roman" w:cs="Times New Roman"/>
          <w:kern w:val="0"/>
          <w:sz w:val="24"/>
          <w:szCs w:val="24"/>
          <w:lang w:val="ro-MD" w:eastAsia="ro-MD"/>
          <w14:ligatures w14:val="none"/>
        </w:rPr>
        <w:t xml:space="preserve"> „Educația 2030” este implementată prin </w:t>
      </w:r>
      <w:r w:rsidRPr="005C51E7">
        <w:rPr>
          <w:rFonts w:ascii="Times New Roman" w:eastAsia="Times New Roman" w:hAnsi="Times New Roman" w:cs="Times New Roman"/>
          <w:i/>
          <w:iCs/>
          <w:kern w:val="0"/>
          <w:sz w:val="24"/>
          <w:szCs w:val="24"/>
          <w:lang w:val="ro-MD" w:eastAsia="ro-MD"/>
          <w14:ligatures w14:val="none"/>
        </w:rPr>
        <w:t>Programul de implementare pentru anii 2023–2025,</w:t>
      </w:r>
      <w:r w:rsidRPr="005C51E7">
        <w:rPr>
          <w:rFonts w:ascii="Times New Roman" w:eastAsia="Times New Roman" w:hAnsi="Times New Roman" w:cs="Times New Roman"/>
          <w:kern w:val="0"/>
          <w:sz w:val="24"/>
          <w:szCs w:val="24"/>
          <w:lang w:val="ro-MD" w:eastAsia="ro-MD"/>
          <w14:ligatures w14:val="none"/>
        </w:rPr>
        <w:t xml:space="preserve"> care definește </w:t>
      </w:r>
      <w:r w:rsidRPr="005C51E7">
        <w:rPr>
          <w:rFonts w:ascii="Times New Roman" w:eastAsia="Times New Roman" w:hAnsi="Times New Roman" w:cs="Times New Roman"/>
          <w:i/>
          <w:iCs/>
          <w:kern w:val="0"/>
          <w:sz w:val="24"/>
          <w:szCs w:val="24"/>
          <w:lang w:val="ro-MD" w:eastAsia="ro-MD"/>
          <w14:ligatures w14:val="none"/>
        </w:rPr>
        <w:t>obiectivele generale și specifice</w:t>
      </w:r>
      <w:r w:rsidRPr="005C51E7">
        <w:rPr>
          <w:rFonts w:ascii="Times New Roman" w:eastAsia="Times New Roman" w:hAnsi="Times New Roman" w:cs="Times New Roman"/>
          <w:b/>
          <w:bCs/>
          <w:kern w:val="0"/>
          <w:sz w:val="24"/>
          <w:szCs w:val="24"/>
          <w:lang w:val="ro-MD" w:eastAsia="ro-MD"/>
          <w14:ligatures w14:val="none"/>
        </w:rPr>
        <w:t xml:space="preserve"> </w:t>
      </w:r>
      <w:r w:rsidRPr="005C51E7">
        <w:rPr>
          <w:rFonts w:ascii="Times New Roman" w:eastAsia="Times New Roman" w:hAnsi="Times New Roman" w:cs="Times New Roman"/>
          <w:kern w:val="0"/>
          <w:sz w:val="24"/>
          <w:szCs w:val="24"/>
          <w:lang w:val="ro-MD" w:eastAsia="ro-MD"/>
          <w14:ligatures w14:val="none"/>
        </w:rPr>
        <w:t>privind dezvoltarea educației pe termen mediu și pe termen lung.</w:t>
      </w:r>
    </w:p>
    <w:p w14:paraId="4C296D91" w14:textId="0B17A3E4" w:rsidR="005C51E7" w:rsidRPr="005C51E7" w:rsidRDefault="005C51E7" w:rsidP="00463802">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Aceste obiective asigură continuitatea și coerența politicilor educaționale și formează cadrul de acțiune pentru transformarea sistemului educațional în</w:t>
      </w:r>
      <w:r w:rsidR="002B385E">
        <w:rPr>
          <w:rFonts w:ascii="Times New Roman" w:eastAsia="Times New Roman" w:hAnsi="Times New Roman" w:cs="Times New Roman"/>
          <w:kern w:val="0"/>
          <w:sz w:val="24"/>
          <w:szCs w:val="24"/>
          <w:lang w:val="ro-MD" w:eastAsia="ro-MD"/>
          <w14:ligatures w14:val="none"/>
        </w:rPr>
        <w:t xml:space="preserve"> </w:t>
      </w:r>
      <w:r w:rsidRPr="005C51E7">
        <w:rPr>
          <w:rFonts w:ascii="Times New Roman" w:eastAsia="Times New Roman" w:hAnsi="Times New Roman" w:cs="Times New Roman"/>
          <w:kern w:val="0"/>
          <w:sz w:val="24"/>
          <w:szCs w:val="24"/>
          <w:lang w:val="ro-MD" w:eastAsia="ro-MD"/>
          <w14:ligatures w14:val="none"/>
        </w:rPr>
        <w:t>unul bazat pe competențe, deschis, digital și centrat pe învățare pe tot parcursul vieții.</w:t>
      </w:r>
    </w:p>
    <w:p w14:paraId="5059D396" w14:textId="4BE0F10A" w:rsidR="005C51E7" w:rsidRDefault="005C51E7" w:rsidP="00463802">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 xml:space="preserve">Programul stabilește </w:t>
      </w:r>
      <w:r w:rsidRPr="005C51E7">
        <w:rPr>
          <w:rFonts w:ascii="Times New Roman" w:eastAsia="Times New Roman" w:hAnsi="Times New Roman" w:cs="Times New Roman"/>
          <w:i/>
          <w:iCs/>
          <w:kern w:val="0"/>
          <w:sz w:val="24"/>
          <w:szCs w:val="24"/>
          <w:lang w:val="ro-MD" w:eastAsia="ro-MD"/>
          <w14:ligatures w14:val="none"/>
        </w:rPr>
        <w:t>nouă obiective generale</w:t>
      </w:r>
      <w:r w:rsidRPr="005C51E7">
        <w:rPr>
          <w:rFonts w:ascii="Times New Roman" w:eastAsia="Times New Roman" w:hAnsi="Times New Roman" w:cs="Times New Roman"/>
          <w:kern w:val="0"/>
          <w:sz w:val="24"/>
          <w:szCs w:val="24"/>
          <w:lang w:val="ro-MD" w:eastAsia="ro-MD"/>
          <w14:ligatures w14:val="none"/>
        </w:rPr>
        <w:t>, fiecare însoțit de obiective specifice măsurabile până în 2025, care susțin direct implementarea și consolidarea CNC.</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2542"/>
        <w:gridCol w:w="7642"/>
      </w:tblGrid>
      <w:tr w:rsidR="00C54DE5" w14:paraId="1085D6A4" w14:textId="77777777" w:rsidTr="00BB2B56">
        <w:tc>
          <w:tcPr>
            <w:tcW w:w="2542" w:type="dxa"/>
            <w:shd w:val="clear" w:color="auto" w:fill="D4EAF3" w:themeFill="accent1" w:themeFillTint="33"/>
            <w:vAlign w:val="center"/>
          </w:tcPr>
          <w:p w14:paraId="3C8AA4DE" w14:textId="2571A175" w:rsidR="00C54DE5" w:rsidRPr="00811969" w:rsidRDefault="00C54DE5" w:rsidP="00BB2B56">
            <w:pPr>
              <w:spacing w:line="276" w:lineRule="auto"/>
              <w:jc w:val="center"/>
              <w:rPr>
                <w:rFonts w:ascii="Times New Roman" w:eastAsia="Times New Roman" w:hAnsi="Times New Roman" w:cs="Times New Roman"/>
                <w:b/>
                <w:bCs/>
                <w:kern w:val="0"/>
                <w:sz w:val="24"/>
                <w:szCs w:val="24"/>
                <w:lang w:val="ro-MD" w:eastAsia="ro-MD"/>
                <w14:ligatures w14:val="none"/>
              </w:rPr>
            </w:pPr>
            <w:r w:rsidRPr="00811969">
              <w:rPr>
                <w:rFonts w:ascii="Times New Roman" w:eastAsia="Times New Roman" w:hAnsi="Times New Roman" w:cs="Times New Roman"/>
                <w:b/>
                <w:bCs/>
                <w:kern w:val="0"/>
                <w:sz w:val="24"/>
                <w:szCs w:val="24"/>
                <w:lang w:val="ro-MD" w:eastAsia="ro-MD"/>
                <w14:ligatures w14:val="none"/>
              </w:rPr>
              <w:t>Obiective</w:t>
            </w:r>
            <w:r w:rsidR="00FB77AA" w:rsidRPr="00811969">
              <w:rPr>
                <w:rFonts w:ascii="Times New Roman" w:eastAsia="Times New Roman" w:hAnsi="Times New Roman" w:cs="Times New Roman"/>
                <w:b/>
                <w:bCs/>
                <w:kern w:val="0"/>
                <w:sz w:val="24"/>
                <w:szCs w:val="24"/>
                <w:lang w:val="ro-MD" w:eastAsia="ro-MD"/>
                <w14:ligatures w14:val="none"/>
              </w:rPr>
              <w:t xml:space="preserve"> generale (OG)</w:t>
            </w:r>
          </w:p>
        </w:tc>
        <w:tc>
          <w:tcPr>
            <w:tcW w:w="7642" w:type="dxa"/>
            <w:shd w:val="clear" w:color="auto" w:fill="D4EAF3" w:themeFill="accent1" w:themeFillTint="33"/>
            <w:vAlign w:val="center"/>
          </w:tcPr>
          <w:p w14:paraId="2DE3A035" w14:textId="5D0BD9DE" w:rsidR="00C54DE5" w:rsidRPr="00C54DE5" w:rsidRDefault="00F845B8" w:rsidP="00BB2B56">
            <w:pPr>
              <w:spacing w:line="276" w:lineRule="auto"/>
              <w:jc w:val="center"/>
              <w:rPr>
                <w:rFonts w:ascii="Times New Roman" w:eastAsia="Times New Roman" w:hAnsi="Times New Roman" w:cs="Times New Roman"/>
                <w:b/>
                <w:bCs/>
                <w:kern w:val="0"/>
                <w:sz w:val="24"/>
                <w:szCs w:val="24"/>
                <w:lang w:val="ro-MD" w:eastAsia="ro-MD"/>
                <w14:ligatures w14:val="none"/>
              </w:rPr>
            </w:pPr>
            <w:r w:rsidRPr="00F845B8">
              <w:rPr>
                <w:rFonts w:ascii="Times New Roman" w:eastAsia="Times New Roman" w:hAnsi="Times New Roman" w:cs="Times New Roman"/>
                <w:b/>
                <w:bCs/>
                <w:kern w:val="0"/>
                <w:sz w:val="24"/>
                <w:szCs w:val="24"/>
                <w:lang w:eastAsia="ro-MD"/>
                <w14:ligatures w14:val="none"/>
              </w:rPr>
              <w:t>Descriere sumară și legătura cu dezvoltarea sistemului național al calificărilo</w:t>
            </w:r>
            <w:r w:rsidR="00523BE8">
              <w:rPr>
                <w:rFonts w:ascii="Times New Roman" w:eastAsia="Times New Roman" w:hAnsi="Times New Roman" w:cs="Times New Roman"/>
                <w:b/>
                <w:bCs/>
                <w:kern w:val="0"/>
                <w:sz w:val="24"/>
                <w:szCs w:val="24"/>
                <w:lang w:eastAsia="ro-MD"/>
                <w14:ligatures w14:val="none"/>
              </w:rPr>
              <w:t>r</w:t>
            </w:r>
          </w:p>
        </w:tc>
      </w:tr>
      <w:tr w:rsidR="00C54DE5" w14:paraId="28DC0BB7" w14:textId="77777777" w:rsidTr="00BB2B56">
        <w:tc>
          <w:tcPr>
            <w:tcW w:w="2542" w:type="dxa"/>
          </w:tcPr>
          <w:p w14:paraId="79880CB2" w14:textId="1801101E" w:rsidR="00C54DE5" w:rsidRPr="00811969" w:rsidRDefault="00C54DE5"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O</w:t>
            </w:r>
            <w:r w:rsidR="00FB77AA" w:rsidRPr="00811969">
              <w:rPr>
                <w:rFonts w:ascii="Times New Roman" w:eastAsia="Times New Roman" w:hAnsi="Times New Roman" w:cs="Times New Roman"/>
                <w:kern w:val="0"/>
                <w:sz w:val="24"/>
                <w:szCs w:val="24"/>
                <w:lang w:val="ro-MD" w:eastAsia="ro-MD"/>
                <w14:ligatures w14:val="none"/>
              </w:rPr>
              <w:t>G</w:t>
            </w:r>
            <w:r w:rsidRPr="005C51E7">
              <w:rPr>
                <w:rFonts w:ascii="Times New Roman" w:eastAsia="Times New Roman" w:hAnsi="Times New Roman" w:cs="Times New Roman"/>
                <w:kern w:val="0"/>
                <w:sz w:val="24"/>
                <w:szCs w:val="24"/>
                <w:lang w:val="ro-MD" w:eastAsia="ro-MD"/>
                <w14:ligatures w14:val="none"/>
              </w:rPr>
              <w:t>1. Racordarea educației la cerințele și nevoile pieței muncii</w:t>
            </w:r>
          </w:p>
        </w:tc>
        <w:tc>
          <w:tcPr>
            <w:tcW w:w="7642" w:type="dxa"/>
          </w:tcPr>
          <w:p w14:paraId="61870024" w14:textId="5A0C7761" w:rsidR="00FB77AA" w:rsidRDefault="00FB77AA"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Vizează adaptarea ofertei educaționale la cererea de competențe și consolidarea parteneriatului educație</w:t>
            </w:r>
            <w:r w:rsidR="00612C98">
              <w:rPr>
                <w:rFonts w:ascii="Times New Roman" w:eastAsia="Times New Roman" w:hAnsi="Times New Roman" w:cs="Times New Roman"/>
                <w:kern w:val="0"/>
                <w:sz w:val="24"/>
                <w:szCs w:val="24"/>
                <w:lang w:val="ro-MD" w:eastAsia="ro-MD"/>
                <w14:ligatures w14:val="none"/>
              </w:rPr>
              <w:t>-</w:t>
            </w:r>
            <w:r w:rsidRPr="005C51E7">
              <w:rPr>
                <w:rFonts w:ascii="Times New Roman" w:eastAsia="Times New Roman" w:hAnsi="Times New Roman" w:cs="Times New Roman"/>
                <w:kern w:val="0"/>
                <w:sz w:val="24"/>
                <w:szCs w:val="24"/>
                <w:lang w:val="ro-MD" w:eastAsia="ro-MD"/>
                <w14:ligatures w14:val="none"/>
              </w:rPr>
              <w:t>economie.</w:t>
            </w:r>
          </w:p>
          <w:p w14:paraId="735BEE90" w14:textId="58665B51" w:rsidR="00C54DE5" w:rsidRDefault="00FB77AA"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 xml:space="preserve">Prin dezvoltarea </w:t>
            </w:r>
            <w:r w:rsidRPr="005C51E7">
              <w:rPr>
                <w:rFonts w:ascii="Times New Roman" w:eastAsia="Times New Roman" w:hAnsi="Times New Roman" w:cs="Times New Roman"/>
                <w:i/>
                <w:iCs/>
                <w:kern w:val="0"/>
                <w:sz w:val="24"/>
                <w:szCs w:val="24"/>
                <w:lang w:val="ro-MD" w:eastAsia="ro-MD"/>
                <w14:ligatures w14:val="none"/>
              </w:rPr>
              <w:t>Observatorului pieței muncii</w:t>
            </w:r>
            <w:r w:rsidRPr="005C51E7">
              <w:rPr>
                <w:rFonts w:ascii="Times New Roman" w:eastAsia="Times New Roman" w:hAnsi="Times New Roman" w:cs="Times New Roman"/>
                <w:kern w:val="0"/>
                <w:sz w:val="24"/>
                <w:szCs w:val="24"/>
                <w:lang w:val="ro-MD" w:eastAsia="ro-MD"/>
                <w14:ligatures w14:val="none"/>
              </w:rPr>
              <w:t>, operaționalizarea CNC</w:t>
            </w:r>
            <w:r w:rsidR="00791B5A" w:rsidRPr="00C4363D">
              <w:rPr>
                <w:rFonts w:ascii="Times New Roman" w:eastAsia="Times New Roman" w:hAnsi="Times New Roman" w:cs="Times New Roman"/>
                <w:kern w:val="0"/>
                <w:sz w:val="24"/>
                <w:szCs w:val="24"/>
                <w:lang w:val="ro-MD" w:eastAsia="ro-MD"/>
                <w14:ligatures w14:val="none"/>
              </w:rPr>
              <w:t xml:space="preserve"> conform principiilor </w:t>
            </w:r>
            <w:r w:rsidR="00791B5A">
              <w:rPr>
                <w:rFonts w:ascii="Times New Roman" w:eastAsia="Times New Roman" w:hAnsi="Times New Roman" w:cs="Times New Roman"/>
                <w:kern w:val="0"/>
                <w:sz w:val="24"/>
                <w:szCs w:val="24"/>
                <w:lang w:val="ro-MD" w:eastAsia="ro-MD"/>
                <w14:ligatures w14:val="none"/>
              </w:rPr>
              <w:t>EQF</w:t>
            </w:r>
            <w:r w:rsidRPr="005C51E7">
              <w:rPr>
                <w:rFonts w:ascii="Times New Roman" w:eastAsia="Times New Roman" w:hAnsi="Times New Roman" w:cs="Times New Roman"/>
                <w:kern w:val="0"/>
                <w:sz w:val="24"/>
                <w:szCs w:val="24"/>
                <w:lang w:val="ro-MD" w:eastAsia="ro-MD"/>
                <w14:ligatures w14:val="none"/>
              </w:rPr>
              <w:t xml:space="preserve">, </w:t>
            </w:r>
            <w:r w:rsidR="00875EE0">
              <w:rPr>
                <w:rFonts w:ascii="Times New Roman" w:eastAsia="Times New Roman" w:hAnsi="Times New Roman" w:cs="Times New Roman"/>
                <w:kern w:val="0"/>
                <w:sz w:val="24"/>
                <w:szCs w:val="24"/>
                <w:lang w:val="ro-MD" w:eastAsia="ro-MD"/>
                <w14:ligatures w14:val="none"/>
              </w:rPr>
              <w:t>d</w:t>
            </w:r>
            <w:r w:rsidR="00875EE0" w:rsidRPr="00875EE0">
              <w:rPr>
                <w:rFonts w:ascii="Times New Roman" w:eastAsia="Times New Roman" w:hAnsi="Times New Roman" w:cs="Times New Roman"/>
                <w:kern w:val="0"/>
                <w:sz w:val="24"/>
                <w:szCs w:val="24"/>
                <w:lang w:val="ro-MD" w:eastAsia="ro-MD"/>
                <w14:ligatures w14:val="none"/>
              </w:rPr>
              <w:t>ezvoltarea sistemului de recunoaștere a învățării în diferite contexte</w:t>
            </w:r>
            <w:r w:rsidR="00E918F0">
              <w:rPr>
                <w:rFonts w:ascii="Times New Roman" w:eastAsia="Times New Roman" w:hAnsi="Times New Roman" w:cs="Times New Roman"/>
                <w:kern w:val="0"/>
                <w:sz w:val="24"/>
                <w:szCs w:val="24"/>
                <w:lang w:val="ro-MD" w:eastAsia="ro-MD"/>
                <w14:ligatures w14:val="none"/>
              </w:rPr>
              <w:t>,</w:t>
            </w:r>
            <w:r w:rsidRPr="005C51E7">
              <w:rPr>
                <w:rFonts w:ascii="Times New Roman" w:eastAsia="Times New Roman" w:hAnsi="Times New Roman" w:cs="Times New Roman"/>
                <w:kern w:val="0"/>
                <w:sz w:val="24"/>
                <w:szCs w:val="24"/>
                <w:lang w:val="ro-MD" w:eastAsia="ro-MD"/>
                <w14:ligatures w14:val="none"/>
              </w:rPr>
              <w:t xml:space="preserve"> extinderea învățământului dual, obiectivul contribuie direct la corelarea calificărilor cu nevoile pieței muncii și la relevanța CNC în contextul EQF.</w:t>
            </w:r>
          </w:p>
        </w:tc>
      </w:tr>
      <w:tr w:rsidR="00C54DE5" w14:paraId="0887FD51" w14:textId="77777777" w:rsidTr="00BB2B56">
        <w:tc>
          <w:tcPr>
            <w:tcW w:w="2542" w:type="dxa"/>
          </w:tcPr>
          <w:p w14:paraId="1CBA39A2" w14:textId="61261BDC" w:rsidR="00C54DE5"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811969">
              <w:rPr>
                <w:rFonts w:ascii="Times New Roman" w:eastAsia="Times New Roman" w:hAnsi="Times New Roman" w:cs="Times New Roman"/>
                <w:kern w:val="0"/>
                <w:sz w:val="24"/>
                <w:szCs w:val="24"/>
                <w:lang w:val="ro-MD" w:eastAsia="ro-MD"/>
                <w14:ligatures w14:val="none"/>
              </w:rPr>
              <w:t>OG</w:t>
            </w:r>
            <w:r w:rsidR="00A12BA2" w:rsidRPr="005C51E7">
              <w:rPr>
                <w:rFonts w:ascii="Times New Roman" w:eastAsia="Times New Roman" w:hAnsi="Times New Roman" w:cs="Times New Roman"/>
                <w:kern w:val="0"/>
                <w:sz w:val="24"/>
                <w:szCs w:val="24"/>
                <w:lang w:val="ro-MD" w:eastAsia="ro-MD"/>
                <w14:ligatures w14:val="none"/>
              </w:rPr>
              <w:t xml:space="preserve"> 2. Asigurarea accesului la educație de calitate pentru toți pe tot parcursul vieții</w:t>
            </w:r>
          </w:p>
        </w:tc>
        <w:tc>
          <w:tcPr>
            <w:tcW w:w="7642" w:type="dxa"/>
          </w:tcPr>
          <w:p w14:paraId="4FE061AF" w14:textId="77777777" w:rsidR="003C1123" w:rsidRDefault="003C1123"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Promovează incluziunea, echitatea și accesul universal la educație, valori fundamentale ale EQF și QF-EHEA.</w:t>
            </w:r>
          </w:p>
          <w:p w14:paraId="2F41C0A3" w14:textId="5AFDA644" w:rsidR="00C54DE5" w:rsidRDefault="003C1123"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Se pune accent pe reducerea abandonului școlar, extinderea educației timpurii, dezvoltarea educației incluzive și susținerea grupurilor vulnerabile, consolidând dimensiunea socială a educației și a calificărilor.</w:t>
            </w:r>
          </w:p>
        </w:tc>
      </w:tr>
      <w:tr w:rsidR="00C54DE5" w14:paraId="12219484" w14:textId="77777777" w:rsidTr="00BB2B56">
        <w:tc>
          <w:tcPr>
            <w:tcW w:w="2542" w:type="dxa"/>
          </w:tcPr>
          <w:p w14:paraId="640DC691" w14:textId="66820F96" w:rsidR="00C54DE5"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O</w:t>
            </w:r>
            <w:r w:rsidRPr="00811969">
              <w:rPr>
                <w:rFonts w:ascii="Times New Roman" w:eastAsia="Times New Roman" w:hAnsi="Times New Roman" w:cs="Times New Roman"/>
                <w:kern w:val="0"/>
                <w:sz w:val="24"/>
                <w:szCs w:val="24"/>
                <w:lang w:val="ro-MD" w:eastAsia="ro-MD"/>
                <w14:ligatures w14:val="none"/>
              </w:rPr>
              <w:t>G</w:t>
            </w:r>
            <w:r w:rsidRPr="005C51E7">
              <w:rPr>
                <w:rFonts w:ascii="Times New Roman" w:eastAsia="Times New Roman" w:hAnsi="Times New Roman" w:cs="Times New Roman"/>
                <w:kern w:val="0"/>
                <w:sz w:val="24"/>
                <w:szCs w:val="24"/>
                <w:lang w:val="ro-MD" w:eastAsia="ro-MD"/>
                <w14:ligatures w14:val="none"/>
              </w:rPr>
              <w:t xml:space="preserve"> 3. Asigurarea sistemului educațional cu personal calificat și motivat</w:t>
            </w:r>
          </w:p>
        </w:tc>
        <w:tc>
          <w:tcPr>
            <w:tcW w:w="7642" w:type="dxa"/>
          </w:tcPr>
          <w:p w14:paraId="1EB3CE8B" w14:textId="77777777" w:rsidR="00811969" w:rsidRPr="006E4F79"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Se axează pe profesionalizarea și motivarea cadrelor didactice și manageriale, prin modernizarea formării inițiale și continue și promovarea performanței.</w:t>
            </w:r>
          </w:p>
          <w:p w14:paraId="7F87A714" w14:textId="1F230CEE" w:rsidR="00C54DE5"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Prin acest obiectiv, Strategia contribuie la asigurarea calității procesului educațional și a calificărilor, în concordanță cu Standardele și Ghidurile Europene pentru Asigurarea Calității (ESG 2015).</w:t>
            </w:r>
          </w:p>
        </w:tc>
      </w:tr>
      <w:tr w:rsidR="00C54DE5" w14:paraId="35205851" w14:textId="77777777" w:rsidTr="00BB2B56">
        <w:tc>
          <w:tcPr>
            <w:tcW w:w="2542" w:type="dxa"/>
          </w:tcPr>
          <w:p w14:paraId="2D4B554F" w14:textId="6108DC70" w:rsidR="00C54DE5"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811969">
              <w:rPr>
                <w:rFonts w:ascii="Times New Roman" w:eastAsia="Times New Roman" w:hAnsi="Times New Roman" w:cs="Times New Roman"/>
                <w:kern w:val="0"/>
                <w:sz w:val="24"/>
                <w:szCs w:val="24"/>
                <w:lang w:val="ro-MD" w:eastAsia="ro-MD"/>
                <w14:ligatures w14:val="none"/>
              </w:rPr>
              <w:t xml:space="preserve">OG </w:t>
            </w:r>
            <w:r w:rsidRPr="005C51E7">
              <w:rPr>
                <w:rFonts w:ascii="Times New Roman" w:eastAsia="Times New Roman" w:hAnsi="Times New Roman" w:cs="Times New Roman"/>
                <w:kern w:val="0"/>
                <w:sz w:val="24"/>
                <w:szCs w:val="24"/>
                <w:lang w:val="ro-MD" w:eastAsia="ro-MD"/>
                <w14:ligatures w14:val="none"/>
              </w:rPr>
              <w:t xml:space="preserve">4. Consolidarea coeziunii </w:t>
            </w:r>
            <w:proofErr w:type="spellStart"/>
            <w:r w:rsidRPr="005C51E7">
              <w:rPr>
                <w:rFonts w:ascii="Times New Roman" w:eastAsia="Times New Roman" w:hAnsi="Times New Roman" w:cs="Times New Roman"/>
                <w:kern w:val="0"/>
                <w:sz w:val="24"/>
                <w:szCs w:val="24"/>
                <w:lang w:val="ro-MD" w:eastAsia="ro-MD"/>
                <w14:ligatures w14:val="none"/>
              </w:rPr>
              <w:t>socioeducaționale</w:t>
            </w:r>
            <w:proofErr w:type="spellEnd"/>
          </w:p>
        </w:tc>
        <w:tc>
          <w:tcPr>
            <w:tcW w:w="7642" w:type="dxa"/>
          </w:tcPr>
          <w:p w14:paraId="74862DCF" w14:textId="77777777" w:rsidR="00811969" w:rsidRPr="00CB119D"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Promovează implicarea partenerilor sociali, a comunităților și a familiilor în procesele educaționale.</w:t>
            </w:r>
          </w:p>
          <w:p w14:paraId="3E148ADF" w14:textId="44791778" w:rsidR="00C54DE5" w:rsidRPr="00CB119D"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Prin stimularea dialogului social și a parteneriatului intersectorial, acest obiectiv sprijină guvernanța participativă și crearea platformelor sectoriale – instrumente-cheie în dezvoltarea și validarea calificărilor.</w:t>
            </w:r>
          </w:p>
        </w:tc>
      </w:tr>
      <w:tr w:rsidR="00C54DE5" w14:paraId="2E02C686" w14:textId="77777777" w:rsidTr="00BB2B56">
        <w:tc>
          <w:tcPr>
            <w:tcW w:w="2542" w:type="dxa"/>
          </w:tcPr>
          <w:p w14:paraId="34E8E3F5" w14:textId="6458E885" w:rsidR="00C54DE5"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811969">
              <w:rPr>
                <w:rFonts w:ascii="Times New Roman" w:eastAsia="Times New Roman" w:hAnsi="Times New Roman" w:cs="Times New Roman"/>
                <w:kern w:val="0"/>
                <w:sz w:val="24"/>
                <w:szCs w:val="24"/>
                <w:lang w:val="ro-MD" w:eastAsia="ro-MD"/>
                <w14:ligatures w14:val="none"/>
              </w:rPr>
              <w:t xml:space="preserve">OG </w:t>
            </w:r>
            <w:r w:rsidRPr="005C51E7">
              <w:rPr>
                <w:rFonts w:ascii="Times New Roman" w:eastAsia="Times New Roman" w:hAnsi="Times New Roman" w:cs="Times New Roman"/>
                <w:kern w:val="0"/>
                <w:sz w:val="24"/>
                <w:szCs w:val="24"/>
                <w:lang w:val="ro-MD" w:eastAsia="ro-MD"/>
                <w14:ligatures w14:val="none"/>
              </w:rPr>
              <w:t>5. Crearea mediilor moderne de învățare și consolidarea educației bazate pe competențe</w:t>
            </w:r>
          </w:p>
        </w:tc>
        <w:tc>
          <w:tcPr>
            <w:tcW w:w="7642" w:type="dxa"/>
          </w:tcPr>
          <w:p w14:paraId="25A3F145" w14:textId="77777777" w:rsidR="00811969" w:rsidRPr="00CB119D"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Acest obiectiv vizează revizuirea curriculumului pentru toate nivelurile educației și formării profesionale, centrarea pe rezultate ale învățării, precum și modernizarea metodelor de predare, evaluare și certificare.</w:t>
            </w:r>
          </w:p>
          <w:p w14:paraId="657E013F" w14:textId="1A78C17F" w:rsidR="00C54DE5" w:rsidRPr="00CB119D"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Prin această abordare, Strategia asigură coerența între standardele de calificare, programele educaționale și cerințele EQF/QF-EHEA.</w:t>
            </w:r>
          </w:p>
        </w:tc>
      </w:tr>
      <w:tr w:rsidR="00811969" w14:paraId="07F3D54D" w14:textId="77777777" w:rsidTr="00BB2B56">
        <w:tc>
          <w:tcPr>
            <w:tcW w:w="2542" w:type="dxa"/>
          </w:tcPr>
          <w:p w14:paraId="5275CEBE" w14:textId="58996B8F" w:rsidR="00811969"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811969">
              <w:rPr>
                <w:rFonts w:ascii="Times New Roman" w:eastAsia="Times New Roman" w:hAnsi="Times New Roman" w:cs="Times New Roman"/>
                <w:kern w:val="0"/>
                <w:sz w:val="24"/>
                <w:szCs w:val="24"/>
                <w:lang w:val="ro-MD" w:eastAsia="ro-MD"/>
                <w14:ligatures w14:val="none"/>
              </w:rPr>
              <w:t xml:space="preserve">OG </w:t>
            </w:r>
            <w:r w:rsidRPr="005C51E7">
              <w:rPr>
                <w:rFonts w:ascii="Times New Roman" w:eastAsia="Times New Roman" w:hAnsi="Times New Roman" w:cs="Times New Roman"/>
                <w:kern w:val="0"/>
                <w:sz w:val="24"/>
                <w:szCs w:val="24"/>
                <w:lang w:val="ro-MD" w:eastAsia="ro-MD"/>
                <w14:ligatures w14:val="none"/>
              </w:rPr>
              <w:t>6. Digitalizarea și inovarea în educație</w:t>
            </w:r>
          </w:p>
        </w:tc>
        <w:tc>
          <w:tcPr>
            <w:tcW w:w="7642" w:type="dxa"/>
          </w:tcPr>
          <w:p w14:paraId="75380948" w14:textId="77777777" w:rsidR="00811969" w:rsidRPr="00CB119D"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Promovează integrarea tehnologiilor digitale în procesul educațional, formarea competențelor digitale și dezvoltarea infrastructurii educaționale inteligente.</w:t>
            </w:r>
          </w:p>
          <w:p w14:paraId="0C893CF2" w14:textId="2B65A357" w:rsidR="00811969" w:rsidRPr="00CB119D"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lastRenderedPageBreak/>
              <w:t>Acest obiectiv facilitează interoperabilitatea datelor educaționale, monitorizarea calificărilor prin Registrul Național al Calificărilor (RNC) și vizibilitatea CNC în spațiul european al calificărilor.</w:t>
            </w:r>
          </w:p>
        </w:tc>
      </w:tr>
      <w:tr w:rsidR="00811969" w14:paraId="06F5BF3A" w14:textId="77777777" w:rsidTr="00BB2B56">
        <w:tc>
          <w:tcPr>
            <w:tcW w:w="2542" w:type="dxa"/>
          </w:tcPr>
          <w:p w14:paraId="3E410D04" w14:textId="1F728BFA" w:rsidR="00811969"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lastRenderedPageBreak/>
              <w:t>O</w:t>
            </w:r>
            <w:r w:rsidRPr="00811969">
              <w:rPr>
                <w:rFonts w:ascii="Times New Roman" w:eastAsia="Times New Roman" w:hAnsi="Times New Roman" w:cs="Times New Roman"/>
                <w:kern w:val="0"/>
                <w:sz w:val="24"/>
                <w:szCs w:val="24"/>
                <w:lang w:val="ro-MD" w:eastAsia="ro-MD"/>
                <w14:ligatures w14:val="none"/>
              </w:rPr>
              <w:t xml:space="preserve">G </w:t>
            </w:r>
            <w:r w:rsidRPr="005C51E7">
              <w:rPr>
                <w:rFonts w:ascii="Times New Roman" w:eastAsia="Times New Roman" w:hAnsi="Times New Roman" w:cs="Times New Roman"/>
                <w:kern w:val="0"/>
                <w:sz w:val="24"/>
                <w:szCs w:val="24"/>
                <w:lang w:val="ro-MD" w:eastAsia="ro-MD"/>
                <w14:ligatures w14:val="none"/>
              </w:rPr>
              <w:t>7. Asigurarea oportunităților de învățare pe tot parcursul vieții</w:t>
            </w:r>
          </w:p>
        </w:tc>
        <w:tc>
          <w:tcPr>
            <w:tcW w:w="7642" w:type="dxa"/>
          </w:tcPr>
          <w:p w14:paraId="5A7FC567" w14:textId="6B33E5DD" w:rsidR="00811969" w:rsidRPr="008F2245"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 xml:space="preserve">Reprezintă nucleul politicii de </w:t>
            </w:r>
            <w:proofErr w:type="spellStart"/>
            <w:r w:rsidRPr="005C51E7">
              <w:rPr>
                <w:rFonts w:ascii="Times New Roman" w:eastAsia="Times New Roman" w:hAnsi="Times New Roman" w:cs="Times New Roman"/>
                <w:i/>
                <w:iCs/>
                <w:kern w:val="0"/>
                <w:sz w:val="24"/>
                <w:szCs w:val="24"/>
                <w:lang w:val="ro-MD" w:eastAsia="ro-MD"/>
                <w14:ligatures w14:val="none"/>
              </w:rPr>
              <w:t>lifelong</w:t>
            </w:r>
            <w:proofErr w:type="spellEnd"/>
            <w:r w:rsidRPr="005C51E7">
              <w:rPr>
                <w:rFonts w:ascii="Times New Roman" w:eastAsia="Times New Roman" w:hAnsi="Times New Roman" w:cs="Times New Roman"/>
                <w:i/>
                <w:iCs/>
                <w:kern w:val="0"/>
                <w:sz w:val="24"/>
                <w:szCs w:val="24"/>
                <w:lang w:val="ro-MD" w:eastAsia="ro-MD"/>
                <w14:ligatures w14:val="none"/>
              </w:rPr>
              <w:t xml:space="preserve"> </w:t>
            </w:r>
            <w:proofErr w:type="spellStart"/>
            <w:r w:rsidRPr="005C51E7">
              <w:rPr>
                <w:rFonts w:ascii="Times New Roman" w:eastAsia="Times New Roman" w:hAnsi="Times New Roman" w:cs="Times New Roman"/>
                <w:i/>
                <w:iCs/>
                <w:kern w:val="0"/>
                <w:sz w:val="24"/>
                <w:szCs w:val="24"/>
                <w:lang w:val="ro-MD" w:eastAsia="ro-MD"/>
                <w14:ligatures w14:val="none"/>
              </w:rPr>
              <w:t>learning</w:t>
            </w:r>
            <w:proofErr w:type="spellEnd"/>
            <w:r w:rsidR="008F2245">
              <w:rPr>
                <w:rFonts w:ascii="Times New Roman" w:eastAsia="Times New Roman" w:hAnsi="Times New Roman" w:cs="Times New Roman"/>
                <w:i/>
                <w:iCs/>
                <w:kern w:val="0"/>
                <w:sz w:val="24"/>
                <w:szCs w:val="24"/>
                <w:lang w:val="ro-MD" w:eastAsia="ro-MD"/>
                <w14:ligatures w14:val="none"/>
              </w:rPr>
              <w:t xml:space="preserve"> (LLL)</w:t>
            </w:r>
            <w:r w:rsidRPr="005C51E7">
              <w:rPr>
                <w:rFonts w:ascii="Times New Roman" w:eastAsia="Times New Roman" w:hAnsi="Times New Roman" w:cs="Times New Roman"/>
                <w:kern w:val="0"/>
                <w:sz w:val="24"/>
                <w:szCs w:val="24"/>
                <w:lang w:val="ro-MD" w:eastAsia="ro-MD"/>
                <w14:ligatures w14:val="none"/>
              </w:rPr>
              <w:t>.</w:t>
            </w:r>
            <w:r w:rsidR="008F2245">
              <w:rPr>
                <w:rFonts w:ascii="Times New Roman" w:eastAsia="Times New Roman" w:hAnsi="Times New Roman" w:cs="Times New Roman"/>
                <w:kern w:val="0"/>
                <w:sz w:val="24"/>
                <w:szCs w:val="24"/>
                <w:lang w:val="ro-MD" w:eastAsia="ro-MD"/>
                <w14:ligatures w14:val="none"/>
              </w:rPr>
              <w:t xml:space="preserve"> </w:t>
            </w:r>
            <w:r w:rsidRPr="005C51E7">
              <w:rPr>
                <w:rFonts w:ascii="Times New Roman" w:eastAsia="Times New Roman" w:hAnsi="Times New Roman" w:cs="Times New Roman"/>
                <w:kern w:val="0"/>
                <w:sz w:val="24"/>
                <w:szCs w:val="24"/>
                <w:lang w:val="ro-MD" w:eastAsia="ro-MD"/>
                <w14:ligatures w14:val="none"/>
              </w:rPr>
              <w:t xml:space="preserve">Promovează educația adulților, recunoașterea și validarea competențelor dobândite în contexte </w:t>
            </w:r>
            <w:proofErr w:type="spellStart"/>
            <w:r w:rsidRPr="005C51E7">
              <w:rPr>
                <w:rFonts w:ascii="Times New Roman" w:eastAsia="Times New Roman" w:hAnsi="Times New Roman" w:cs="Times New Roman"/>
                <w:kern w:val="0"/>
                <w:sz w:val="24"/>
                <w:szCs w:val="24"/>
                <w:lang w:val="ro-MD" w:eastAsia="ro-MD"/>
                <w14:ligatures w14:val="none"/>
              </w:rPr>
              <w:t>nonformale</w:t>
            </w:r>
            <w:proofErr w:type="spellEnd"/>
            <w:r w:rsidRPr="005C51E7">
              <w:rPr>
                <w:rFonts w:ascii="Times New Roman" w:eastAsia="Times New Roman" w:hAnsi="Times New Roman" w:cs="Times New Roman"/>
                <w:kern w:val="0"/>
                <w:sz w:val="24"/>
                <w:szCs w:val="24"/>
                <w:lang w:val="ro-MD" w:eastAsia="ro-MD"/>
                <w14:ligatures w14:val="none"/>
              </w:rPr>
              <w:t xml:space="preserve"> și informale</w:t>
            </w:r>
            <w:r w:rsidR="002920C8">
              <w:rPr>
                <w:rFonts w:ascii="Times New Roman" w:eastAsia="Times New Roman" w:hAnsi="Times New Roman" w:cs="Times New Roman"/>
                <w:kern w:val="0"/>
                <w:sz w:val="24"/>
                <w:szCs w:val="24"/>
                <w:lang w:val="ro-MD" w:eastAsia="ro-MD"/>
                <w14:ligatures w14:val="none"/>
              </w:rPr>
              <w:t xml:space="preserve"> ș</w:t>
            </w:r>
            <w:r w:rsidRPr="005C51E7">
              <w:rPr>
                <w:rFonts w:ascii="Times New Roman" w:eastAsia="Times New Roman" w:hAnsi="Times New Roman" w:cs="Times New Roman"/>
                <w:kern w:val="0"/>
                <w:sz w:val="24"/>
                <w:szCs w:val="24"/>
                <w:lang w:val="ro-MD" w:eastAsia="ro-MD"/>
                <w14:ligatures w14:val="none"/>
              </w:rPr>
              <w:t>i diversificarea ofertei de programe de formare continuă.</w:t>
            </w:r>
          </w:p>
          <w:p w14:paraId="609D2087" w14:textId="08CDCEB6" w:rsidR="00811969" w:rsidRPr="008F2245"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 xml:space="preserve">Acest obiectiv </w:t>
            </w:r>
            <w:proofErr w:type="spellStart"/>
            <w:r w:rsidRPr="005C51E7">
              <w:rPr>
                <w:rFonts w:ascii="Times New Roman" w:eastAsia="Times New Roman" w:hAnsi="Times New Roman" w:cs="Times New Roman"/>
                <w:kern w:val="0"/>
                <w:sz w:val="24"/>
                <w:szCs w:val="24"/>
                <w:lang w:val="ro-MD" w:eastAsia="ro-MD"/>
                <w14:ligatures w14:val="none"/>
              </w:rPr>
              <w:t>operationalizează</w:t>
            </w:r>
            <w:proofErr w:type="spellEnd"/>
            <w:r w:rsidRPr="005C51E7">
              <w:rPr>
                <w:rFonts w:ascii="Times New Roman" w:eastAsia="Times New Roman" w:hAnsi="Times New Roman" w:cs="Times New Roman"/>
                <w:kern w:val="0"/>
                <w:sz w:val="24"/>
                <w:szCs w:val="24"/>
                <w:lang w:val="ro-MD" w:eastAsia="ro-MD"/>
                <w14:ligatures w14:val="none"/>
              </w:rPr>
              <w:t xml:space="preserve"> principiile Recomandării Consiliului UE privind validarea învățării </w:t>
            </w:r>
            <w:proofErr w:type="spellStart"/>
            <w:r w:rsidRPr="005C51E7">
              <w:rPr>
                <w:rFonts w:ascii="Times New Roman" w:eastAsia="Times New Roman" w:hAnsi="Times New Roman" w:cs="Times New Roman"/>
                <w:kern w:val="0"/>
                <w:sz w:val="24"/>
                <w:szCs w:val="24"/>
                <w:lang w:val="ro-MD" w:eastAsia="ro-MD"/>
                <w14:ligatures w14:val="none"/>
              </w:rPr>
              <w:t>nonformale</w:t>
            </w:r>
            <w:proofErr w:type="spellEnd"/>
            <w:r w:rsidRPr="005C51E7">
              <w:rPr>
                <w:rFonts w:ascii="Times New Roman" w:eastAsia="Times New Roman" w:hAnsi="Times New Roman" w:cs="Times New Roman"/>
                <w:kern w:val="0"/>
                <w:sz w:val="24"/>
                <w:szCs w:val="24"/>
                <w:lang w:val="ro-MD" w:eastAsia="ro-MD"/>
                <w14:ligatures w14:val="none"/>
              </w:rPr>
              <w:t xml:space="preserve"> și informale (2012), fiind pilon central al CNC.</w:t>
            </w:r>
          </w:p>
        </w:tc>
      </w:tr>
      <w:tr w:rsidR="00811969" w14:paraId="07FAFC63" w14:textId="77777777" w:rsidTr="00BB2B56">
        <w:tc>
          <w:tcPr>
            <w:tcW w:w="2542" w:type="dxa"/>
          </w:tcPr>
          <w:p w14:paraId="01D616A9" w14:textId="2A3A91F0" w:rsidR="00811969"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811969">
              <w:rPr>
                <w:rFonts w:ascii="Times New Roman" w:eastAsia="Times New Roman" w:hAnsi="Times New Roman" w:cs="Times New Roman"/>
                <w:kern w:val="0"/>
                <w:sz w:val="24"/>
                <w:szCs w:val="24"/>
                <w:lang w:val="ro-MD" w:eastAsia="ro-MD"/>
                <w14:ligatures w14:val="none"/>
              </w:rPr>
              <w:t xml:space="preserve">OG </w:t>
            </w:r>
            <w:r w:rsidRPr="005C51E7">
              <w:rPr>
                <w:rFonts w:ascii="Times New Roman" w:eastAsia="Times New Roman" w:hAnsi="Times New Roman" w:cs="Times New Roman"/>
                <w:kern w:val="0"/>
                <w:sz w:val="24"/>
                <w:szCs w:val="24"/>
                <w:lang w:val="ro-MD" w:eastAsia="ro-MD"/>
                <w14:ligatures w14:val="none"/>
              </w:rPr>
              <w:t>8. Promovarea inovațiilor și a cercetării științifice</w:t>
            </w:r>
          </w:p>
        </w:tc>
        <w:tc>
          <w:tcPr>
            <w:tcW w:w="7642" w:type="dxa"/>
          </w:tcPr>
          <w:p w14:paraId="10EF641D" w14:textId="77777777" w:rsidR="00811969" w:rsidRPr="008F2245"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Conectează cercetarea cu învățământul superior și cu nevoile economiei, contribuind la creșterea calității calificărilor de nivelurile 6–8 CNC, corespunzătoare ciclurilor Bologna.</w:t>
            </w:r>
          </w:p>
          <w:p w14:paraId="0D3010A3" w14:textId="7D1EECE2" w:rsidR="00811969" w:rsidRPr="008F2245"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Astfel, Strategia consolidează coerența cu QF-EHEA.</w:t>
            </w:r>
          </w:p>
        </w:tc>
      </w:tr>
      <w:tr w:rsidR="00811969" w14:paraId="1A667353" w14:textId="77777777" w:rsidTr="00BB2B56">
        <w:tc>
          <w:tcPr>
            <w:tcW w:w="2542" w:type="dxa"/>
          </w:tcPr>
          <w:p w14:paraId="63B38FFE" w14:textId="213D2316" w:rsidR="00811969" w:rsidRPr="00811969" w:rsidRDefault="00811969" w:rsidP="00BB2B56">
            <w:pPr>
              <w:spacing w:line="276" w:lineRule="auto"/>
              <w:outlineLvl w:val="2"/>
              <w:rPr>
                <w:rFonts w:ascii="Times New Roman" w:eastAsia="Times New Roman" w:hAnsi="Times New Roman" w:cs="Times New Roman"/>
                <w:kern w:val="0"/>
                <w:sz w:val="24"/>
                <w:szCs w:val="24"/>
                <w:lang w:val="ro-MD" w:eastAsia="ro-MD"/>
                <w14:ligatures w14:val="none"/>
              </w:rPr>
            </w:pPr>
            <w:r w:rsidRPr="00811969">
              <w:rPr>
                <w:rFonts w:ascii="Times New Roman" w:eastAsia="Times New Roman" w:hAnsi="Times New Roman" w:cs="Times New Roman"/>
                <w:kern w:val="0"/>
                <w:sz w:val="24"/>
                <w:szCs w:val="24"/>
                <w:lang w:val="ro-MD" w:eastAsia="ro-MD"/>
                <w14:ligatures w14:val="none"/>
              </w:rPr>
              <w:t xml:space="preserve">OG </w:t>
            </w:r>
            <w:r w:rsidRPr="005C51E7">
              <w:rPr>
                <w:rFonts w:ascii="Times New Roman" w:eastAsia="Times New Roman" w:hAnsi="Times New Roman" w:cs="Times New Roman"/>
                <w:kern w:val="0"/>
                <w:sz w:val="24"/>
                <w:szCs w:val="24"/>
                <w:lang w:val="ro-MD" w:eastAsia="ro-MD"/>
                <w14:ligatures w14:val="none"/>
              </w:rPr>
              <w:t>9. Creșterea performanței și eficienței sistemului educațional</w:t>
            </w:r>
          </w:p>
        </w:tc>
        <w:tc>
          <w:tcPr>
            <w:tcW w:w="7642" w:type="dxa"/>
          </w:tcPr>
          <w:p w14:paraId="3F9EF29D" w14:textId="77777777" w:rsidR="00811969" w:rsidRPr="00BB2B56"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Vizează optimizarea rețelei instituționale, modernizarea infrastructurii, eficientizarea managementului și dezvoltarea unei culturi instituționale a calității.</w:t>
            </w:r>
          </w:p>
          <w:p w14:paraId="7AA80220" w14:textId="6A0792FD" w:rsidR="00811969" w:rsidRPr="005C51E7" w:rsidRDefault="00811969" w:rsidP="00BB2B56">
            <w:pPr>
              <w:spacing w:line="276" w:lineRule="auto"/>
              <w:jc w:val="both"/>
              <w:rPr>
                <w:rFonts w:ascii="Times New Roman" w:eastAsia="Times New Roman" w:hAnsi="Times New Roman" w:cs="Times New Roman"/>
                <w:kern w:val="0"/>
                <w:sz w:val="24"/>
                <w:szCs w:val="24"/>
                <w:lang w:val="ro-MD" w:eastAsia="ro-MD"/>
                <w14:ligatures w14:val="none"/>
              </w:rPr>
            </w:pPr>
            <w:r w:rsidRPr="005C51E7">
              <w:rPr>
                <w:rFonts w:ascii="Times New Roman" w:eastAsia="Times New Roman" w:hAnsi="Times New Roman" w:cs="Times New Roman"/>
                <w:kern w:val="0"/>
                <w:sz w:val="24"/>
                <w:szCs w:val="24"/>
                <w:lang w:val="ro-MD" w:eastAsia="ro-MD"/>
                <w14:ligatures w14:val="none"/>
              </w:rPr>
              <w:t>Aceste procese sunt esențiale pentru sustenabilitatea și guvernanța eficientă a CNC, consolidând capacitatea de implementare a reformelor sistemice.</w:t>
            </w:r>
          </w:p>
        </w:tc>
      </w:tr>
    </w:tbl>
    <w:p w14:paraId="42D599BA" w14:textId="6BFD339F" w:rsidR="00146547" w:rsidRDefault="00146547" w:rsidP="00ED2C9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146547">
        <w:rPr>
          <w:rFonts w:ascii="Times New Roman" w:eastAsia="Times New Roman" w:hAnsi="Times New Roman" w:cs="Times New Roman"/>
          <w:kern w:val="0"/>
          <w:sz w:val="24"/>
          <w:szCs w:val="24"/>
          <w:lang w:val="ro-MD" w:eastAsia="ro-MD"/>
          <w14:ligatures w14:val="none"/>
        </w:rPr>
        <w:t xml:space="preserve">Aceste obiective generale și specifice, incluse în Programul de implementare a Strategiei „Educația 2030” pentru anii 2023–2025, definesc direcțiile de dezvoltare a sistemului educațional al Republicii Moldova pe termen mediu și lung. Ele creează cadrul de politici pentru consolidarea </w:t>
      </w:r>
      <w:r w:rsidR="006A4EDC">
        <w:rPr>
          <w:rFonts w:ascii="Times New Roman" w:eastAsia="Times New Roman" w:hAnsi="Times New Roman" w:cs="Times New Roman"/>
          <w:kern w:val="0"/>
          <w:sz w:val="24"/>
          <w:szCs w:val="24"/>
          <w:lang w:val="ro-MD" w:eastAsia="ro-MD"/>
          <w14:ligatures w14:val="none"/>
        </w:rPr>
        <w:t>CNC</w:t>
      </w:r>
      <w:r w:rsidRPr="00146547">
        <w:rPr>
          <w:rFonts w:ascii="Times New Roman" w:eastAsia="Times New Roman" w:hAnsi="Times New Roman" w:cs="Times New Roman"/>
          <w:kern w:val="0"/>
          <w:sz w:val="24"/>
          <w:szCs w:val="24"/>
          <w:lang w:val="ro-MD" w:eastAsia="ro-MD"/>
          <w14:ligatures w14:val="none"/>
        </w:rPr>
        <w:t xml:space="preserve">, promovarea învățării pe tot parcursul vieții și alinierea sistemului de educație și formare profesională la principiile și standardele </w:t>
      </w:r>
      <w:r w:rsidRPr="00ED2C91">
        <w:rPr>
          <w:rFonts w:ascii="Times New Roman" w:eastAsia="Times New Roman" w:hAnsi="Times New Roman" w:cs="Times New Roman"/>
          <w:kern w:val="0"/>
          <w:sz w:val="24"/>
          <w:szCs w:val="24"/>
          <w:lang w:val="ro-MD" w:eastAsia="ro-MD"/>
          <w14:ligatures w14:val="none"/>
        </w:rPr>
        <w:t>europene.</w:t>
      </w:r>
    </w:p>
    <w:p w14:paraId="07708FD3" w14:textId="77777777" w:rsidR="007F7D33" w:rsidRDefault="007F7D33" w:rsidP="007F7D33">
      <w:pPr>
        <w:pStyle w:val="af8"/>
        <w:spacing w:before="120" w:beforeAutospacing="0" w:after="120" w:afterAutospacing="0" w:line="276" w:lineRule="auto"/>
        <w:jc w:val="both"/>
        <w:rPr>
          <w:lang w:val="ro-MD"/>
        </w:rPr>
      </w:pPr>
      <w:r>
        <w:t xml:space="preserve">Dezvoltarea sistemului național de calificări și consolidarea dimensiunii educației bazate pe competențe sunt susținute de un ansamblu de </w:t>
      </w:r>
      <w:r w:rsidRPr="00F675C4">
        <w:rPr>
          <w:rStyle w:val="af9"/>
          <w:rFonts w:eastAsiaTheme="majorEastAsia"/>
          <w:b w:val="0"/>
          <w:bCs w:val="0"/>
        </w:rPr>
        <w:t>politici complementare și intersectoriale</w:t>
      </w:r>
      <w:r>
        <w:t>, care contribuie la crearea unui mediu favorabil învățării pe tot parcursul vieții și integrării sociale și profesionale a cetățenilor. Aceste politici promovează sinergia dintre educație, formare profesională, ocupare, tineret, incluziune socială și guvernanță, asigurând aplicarea principiilor CNC în toate domeniile relevante pentru dezvoltarea capitalului uman.</w:t>
      </w:r>
    </w:p>
    <w:p w14:paraId="044A4B5A" w14:textId="77777777" w:rsidR="007F7D33" w:rsidRDefault="007F7D33" w:rsidP="007F7D33">
      <w:pPr>
        <w:pStyle w:val="af8"/>
        <w:spacing w:before="120" w:beforeAutospacing="0" w:after="120" w:afterAutospacing="0" w:line="276" w:lineRule="auto"/>
        <w:jc w:val="both"/>
      </w:pPr>
      <w:r>
        <w:t>În acest context, pot fi evidențiate următoarele documente de politici majore:</w:t>
      </w:r>
    </w:p>
    <w:p w14:paraId="3FB9E96F" w14:textId="641D8315" w:rsidR="00071D8E" w:rsidRPr="00071D8E" w:rsidRDefault="00071D8E" w:rsidP="006C5CAB">
      <w:pPr>
        <w:spacing w:before="120" w:after="120" w:line="276" w:lineRule="auto"/>
        <w:jc w:val="both"/>
        <w:outlineLvl w:val="1"/>
        <w:rPr>
          <w:rFonts w:ascii="Times New Roman" w:eastAsia="Times New Roman" w:hAnsi="Times New Roman" w:cs="Times New Roman"/>
          <w:kern w:val="0"/>
          <w:sz w:val="24"/>
          <w:szCs w:val="24"/>
          <w:lang w:val="ro-MD" w:eastAsia="ro-MD"/>
          <w14:ligatures w14:val="none"/>
        </w:rPr>
      </w:pPr>
      <w:bookmarkStart w:id="8" w:name="_Hlk211366029"/>
      <w:r w:rsidRPr="00071D8E">
        <w:rPr>
          <w:rFonts w:ascii="Times New Roman" w:eastAsia="Times New Roman" w:hAnsi="Times New Roman" w:cs="Times New Roman"/>
          <w:b/>
          <w:bCs/>
          <w:kern w:val="0"/>
          <w:sz w:val="24"/>
          <w:szCs w:val="24"/>
          <w:lang w:val="ro-MD" w:eastAsia="ro-MD"/>
          <w14:ligatures w14:val="none"/>
        </w:rPr>
        <w:t>Programul național pentru ocuparea forței de muncă 2022–2026 și Planul de acțiuni privind implementarea acestuia</w:t>
      </w:r>
      <w:bookmarkEnd w:id="8"/>
      <w:r w:rsidR="00556A40">
        <w:rPr>
          <w:rStyle w:val="afc"/>
          <w:rFonts w:ascii="Times New Roman" w:eastAsia="Times New Roman" w:hAnsi="Times New Roman" w:cs="Times New Roman"/>
          <w:b/>
          <w:bCs/>
          <w:kern w:val="0"/>
          <w:sz w:val="24"/>
          <w:szCs w:val="24"/>
          <w:lang w:val="ro-MD" w:eastAsia="ro-MD"/>
          <w14:ligatures w14:val="none"/>
        </w:rPr>
        <w:footnoteReference w:id="13"/>
      </w:r>
      <w:r w:rsidR="00840111">
        <w:rPr>
          <w:rFonts w:ascii="Times New Roman" w:eastAsia="Times New Roman" w:hAnsi="Times New Roman" w:cs="Times New Roman"/>
          <w:b/>
          <w:bCs/>
          <w:kern w:val="0"/>
          <w:sz w:val="24"/>
          <w:szCs w:val="24"/>
          <w:lang w:val="ro-MD" w:eastAsia="ro-MD"/>
          <w14:ligatures w14:val="none"/>
        </w:rPr>
        <w:t xml:space="preserve">, </w:t>
      </w:r>
      <w:bookmarkStart w:id="9" w:name="_Hlk211366046"/>
      <w:r w:rsidR="00840111">
        <w:rPr>
          <w:rFonts w:ascii="Times New Roman" w:eastAsia="Times New Roman" w:hAnsi="Times New Roman" w:cs="Times New Roman"/>
          <w:kern w:val="0"/>
          <w:sz w:val="24"/>
          <w:szCs w:val="24"/>
          <w:lang w:val="ro-MD" w:eastAsia="ro-MD"/>
          <w14:ligatures w14:val="none"/>
        </w:rPr>
        <w:t xml:space="preserve">aprobat prin </w:t>
      </w:r>
      <w:r w:rsidR="003E7916" w:rsidRPr="00071D8E">
        <w:rPr>
          <w:rFonts w:ascii="Times New Roman" w:eastAsia="Times New Roman" w:hAnsi="Times New Roman" w:cs="Times New Roman"/>
          <w:kern w:val="0"/>
          <w:sz w:val="24"/>
          <w:szCs w:val="24"/>
          <w:lang w:val="ro-MD" w:eastAsia="ro-MD"/>
          <w14:ligatures w14:val="none"/>
        </w:rPr>
        <w:t xml:space="preserve">Hotărârea Guvernului </w:t>
      </w:r>
      <w:r w:rsidR="00840111" w:rsidRPr="00071D8E">
        <w:rPr>
          <w:rFonts w:ascii="Times New Roman" w:eastAsia="Times New Roman" w:hAnsi="Times New Roman" w:cs="Times New Roman"/>
          <w:kern w:val="0"/>
          <w:sz w:val="24"/>
          <w:szCs w:val="24"/>
          <w:lang w:val="ro-MD" w:eastAsia="ro-MD"/>
          <w14:ligatures w14:val="none"/>
        </w:rPr>
        <w:t>nr. 785/2022</w:t>
      </w:r>
      <w:r w:rsidR="006C5CAB">
        <w:rPr>
          <w:rFonts w:ascii="Times New Roman" w:eastAsia="Times New Roman" w:hAnsi="Times New Roman" w:cs="Times New Roman"/>
          <w:kern w:val="0"/>
          <w:sz w:val="24"/>
          <w:szCs w:val="24"/>
          <w:lang w:val="ro-MD" w:eastAsia="ro-MD"/>
          <w14:ligatures w14:val="none"/>
        </w:rPr>
        <w:t xml:space="preserve"> </w:t>
      </w:r>
      <w:bookmarkEnd w:id="9"/>
      <w:r w:rsidRPr="00071D8E">
        <w:rPr>
          <w:rFonts w:ascii="Times New Roman" w:eastAsia="Times New Roman" w:hAnsi="Times New Roman" w:cs="Times New Roman"/>
          <w:kern w:val="0"/>
          <w:sz w:val="24"/>
          <w:szCs w:val="24"/>
          <w:lang w:val="ro-MD" w:eastAsia="ro-MD"/>
          <w14:ligatures w14:val="none"/>
        </w:rPr>
        <w:t xml:space="preserve">reprezintă </w:t>
      </w:r>
      <w:r w:rsidR="006C5CAB">
        <w:rPr>
          <w:rFonts w:ascii="Times New Roman" w:eastAsia="Times New Roman" w:hAnsi="Times New Roman" w:cs="Times New Roman"/>
          <w:kern w:val="0"/>
          <w:sz w:val="24"/>
          <w:szCs w:val="24"/>
          <w:lang w:val="ro-MD" w:eastAsia="ro-MD"/>
          <w14:ligatures w14:val="none"/>
        </w:rPr>
        <w:t>un</w:t>
      </w:r>
      <w:r w:rsidRPr="00071D8E">
        <w:rPr>
          <w:rFonts w:ascii="Times New Roman" w:eastAsia="Times New Roman" w:hAnsi="Times New Roman" w:cs="Times New Roman"/>
          <w:kern w:val="0"/>
          <w:sz w:val="24"/>
          <w:szCs w:val="24"/>
          <w:lang w:val="ro-MD" w:eastAsia="ro-MD"/>
          <w14:ligatures w14:val="none"/>
        </w:rPr>
        <w:t xml:space="preserve"> document de politici publice în domeniul ocupării forței de muncă din Republica Moldova, având ca scop </w:t>
      </w:r>
      <w:r w:rsidR="009F2D59">
        <w:rPr>
          <w:rFonts w:ascii="Times New Roman" w:eastAsia="Times New Roman" w:hAnsi="Times New Roman" w:cs="Times New Roman"/>
          <w:kern w:val="0"/>
          <w:sz w:val="24"/>
          <w:szCs w:val="24"/>
          <w:lang w:val="ro-MD" w:eastAsia="ro-MD"/>
          <w14:ligatures w14:val="none"/>
        </w:rPr>
        <w:t>c</w:t>
      </w:r>
      <w:r w:rsidR="009F2D59" w:rsidRPr="009F2D59">
        <w:rPr>
          <w:rFonts w:ascii="Times New Roman" w:eastAsia="Times New Roman" w:hAnsi="Times New Roman" w:cs="Times New Roman"/>
          <w:kern w:val="0"/>
          <w:sz w:val="24"/>
          <w:szCs w:val="24"/>
          <w:lang w:val="ro-MD" w:eastAsia="ro-MD"/>
          <w14:ligatures w14:val="none"/>
        </w:rPr>
        <w:t>reșterea participării forței de muncă și stimularea ocupării productive și a muncii decente pentru toți, prin dezvoltarea capitalului uman, consolidarea mecanismelor pieței muncii și îmbunătățirea calității locurilor de muncă</w:t>
      </w:r>
      <w:r w:rsidRPr="00071D8E">
        <w:rPr>
          <w:rFonts w:ascii="Times New Roman" w:eastAsia="Times New Roman" w:hAnsi="Times New Roman" w:cs="Times New Roman"/>
          <w:kern w:val="0"/>
          <w:sz w:val="24"/>
          <w:szCs w:val="24"/>
          <w:lang w:val="ro-MD" w:eastAsia="ro-MD"/>
          <w14:ligatures w14:val="none"/>
        </w:rPr>
        <w:t xml:space="preserve">. </w:t>
      </w:r>
    </w:p>
    <w:p w14:paraId="76AF741B" w14:textId="77777777" w:rsidR="00071D8E" w:rsidRPr="00071D8E" w:rsidRDefault="00071D8E" w:rsidP="00F363E3">
      <w:p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Programul național derivă din principalele documente de politici și angajamente internaționale și naționale ale Republicii Moldova:</w:t>
      </w:r>
    </w:p>
    <w:p w14:paraId="440635EE" w14:textId="77777777" w:rsidR="00071D8E" w:rsidRPr="00071D8E" w:rsidRDefault="00071D8E" w:rsidP="00A41843">
      <w:pPr>
        <w:numPr>
          <w:ilvl w:val="0"/>
          <w:numId w:val="229"/>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Acordul de Asociere RM–UE (2014), care include capitolul 4 „Ocuparea forței de muncă, politica socială și egalitatea de șanse”;</w:t>
      </w:r>
    </w:p>
    <w:p w14:paraId="3D4FCAB2" w14:textId="77777777" w:rsidR="00071D8E" w:rsidRPr="00071D8E" w:rsidRDefault="00071D8E" w:rsidP="00A41843">
      <w:pPr>
        <w:numPr>
          <w:ilvl w:val="0"/>
          <w:numId w:val="229"/>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lastRenderedPageBreak/>
        <w:t>Programul de activitate al Guvernului „Moldova Vremurilor Bune”, ce prevede promovarea ocupării și reducerea discriminării pe piața muncii;</w:t>
      </w:r>
    </w:p>
    <w:p w14:paraId="16FAAD56" w14:textId="77777777" w:rsidR="00717887" w:rsidRDefault="00071D8E" w:rsidP="00A41843">
      <w:pPr>
        <w:numPr>
          <w:ilvl w:val="0"/>
          <w:numId w:val="229"/>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Strategia națională de dezvoltare „Moldova Europeană 2030”, ce stabilește munca decentă pentru toți drept prioritate guvernamentală;</w:t>
      </w:r>
    </w:p>
    <w:p w14:paraId="52F50708" w14:textId="7491C335" w:rsidR="00071D8E" w:rsidRPr="00071D8E" w:rsidRDefault="00071D8E" w:rsidP="00A41843">
      <w:pPr>
        <w:numPr>
          <w:ilvl w:val="0"/>
          <w:numId w:val="229"/>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Agenda ONU 2030 pentru Dezvoltare Durabilă, la care contribuie prin realizarea mai multor Obiective de Dezvoltare Durabilă (ODD), în special:</w:t>
      </w:r>
      <w:r w:rsidR="00717887" w:rsidRPr="00717887">
        <w:rPr>
          <w:rFonts w:ascii="Times New Roman" w:eastAsia="Times New Roman" w:hAnsi="Times New Roman" w:cs="Times New Roman"/>
          <w:kern w:val="0"/>
          <w:sz w:val="24"/>
          <w:szCs w:val="24"/>
          <w:lang w:val="ro-MD" w:eastAsia="ro-MD"/>
          <w14:ligatures w14:val="none"/>
        </w:rPr>
        <w:t xml:space="preserve"> </w:t>
      </w:r>
      <w:r w:rsidRPr="00071D8E">
        <w:rPr>
          <w:rFonts w:ascii="Times New Roman" w:eastAsia="Times New Roman" w:hAnsi="Times New Roman" w:cs="Times New Roman"/>
          <w:kern w:val="0"/>
          <w:sz w:val="24"/>
          <w:szCs w:val="24"/>
          <w:lang w:val="ro-MD" w:eastAsia="ro-MD"/>
          <w14:ligatures w14:val="none"/>
        </w:rPr>
        <w:t>ODD 4 – Educație de calitate,</w:t>
      </w:r>
      <w:r w:rsidR="00717887" w:rsidRPr="00717887">
        <w:rPr>
          <w:rFonts w:ascii="Times New Roman" w:eastAsia="Times New Roman" w:hAnsi="Times New Roman" w:cs="Times New Roman"/>
          <w:kern w:val="0"/>
          <w:sz w:val="24"/>
          <w:szCs w:val="24"/>
          <w:lang w:val="ro-MD" w:eastAsia="ro-MD"/>
          <w14:ligatures w14:val="none"/>
        </w:rPr>
        <w:t xml:space="preserve"> </w:t>
      </w:r>
      <w:r w:rsidRPr="00071D8E">
        <w:rPr>
          <w:rFonts w:ascii="Times New Roman" w:eastAsia="Times New Roman" w:hAnsi="Times New Roman" w:cs="Times New Roman"/>
          <w:kern w:val="0"/>
          <w:sz w:val="24"/>
          <w:szCs w:val="24"/>
          <w:lang w:val="ro-MD" w:eastAsia="ro-MD"/>
          <w14:ligatures w14:val="none"/>
        </w:rPr>
        <w:t>ODD 5 – Egalitate de gen,</w:t>
      </w:r>
      <w:r w:rsidR="00717887" w:rsidRPr="00717887">
        <w:rPr>
          <w:rFonts w:ascii="Times New Roman" w:eastAsia="Times New Roman" w:hAnsi="Times New Roman" w:cs="Times New Roman"/>
          <w:kern w:val="0"/>
          <w:sz w:val="24"/>
          <w:szCs w:val="24"/>
          <w:lang w:val="ro-MD" w:eastAsia="ro-MD"/>
          <w14:ligatures w14:val="none"/>
        </w:rPr>
        <w:t xml:space="preserve"> </w:t>
      </w:r>
      <w:r w:rsidRPr="00071D8E">
        <w:rPr>
          <w:rFonts w:ascii="Times New Roman" w:eastAsia="Times New Roman" w:hAnsi="Times New Roman" w:cs="Times New Roman"/>
          <w:kern w:val="0"/>
          <w:sz w:val="24"/>
          <w:szCs w:val="24"/>
          <w:lang w:val="ro-MD" w:eastAsia="ro-MD"/>
          <w14:ligatures w14:val="none"/>
        </w:rPr>
        <w:t>ODD 8 – Muncă decentă și creștere economică,</w:t>
      </w:r>
      <w:r w:rsidR="00717887" w:rsidRPr="00717887">
        <w:rPr>
          <w:rFonts w:ascii="Times New Roman" w:eastAsia="Times New Roman" w:hAnsi="Times New Roman" w:cs="Times New Roman"/>
          <w:kern w:val="0"/>
          <w:sz w:val="24"/>
          <w:szCs w:val="24"/>
          <w:lang w:val="ro-MD" w:eastAsia="ro-MD"/>
          <w14:ligatures w14:val="none"/>
        </w:rPr>
        <w:t xml:space="preserve"> </w:t>
      </w:r>
      <w:r w:rsidRPr="00071D8E">
        <w:rPr>
          <w:rFonts w:ascii="Times New Roman" w:eastAsia="Times New Roman" w:hAnsi="Times New Roman" w:cs="Times New Roman"/>
          <w:kern w:val="0"/>
          <w:sz w:val="24"/>
          <w:szCs w:val="24"/>
          <w:lang w:val="ro-MD" w:eastAsia="ro-MD"/>
          <w14:ligatures w14:val="none"/>
        </w:rPr>
        <w:t>ODD 10 – Reducerea inegalităților.</w:t>
      </w:r>
    </w:p>
    <w:p w14:paraId="5251647D" w14:textId="365D383F" w:rsidR="00071D8E" w:rsidRPr="00071D8E" w:rsidRDefault="00071D8E" w:rsidP="00454F5F">
      <w:p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Programul promovează o abordare integrată între educație, formare profesională și ocupare, recunoscând rolul formării continue și al recalificării în adaptarea competențelor la cerințele economiei moderne.</w:t>
      </w:r>
      <w:r w:rsidR="00454F5F">
        <w:rPr>
          <w:rFonts w:ascii="Times New Roman" w:eastAsia="Times New Roman" w:hAnsi="Times New Roman" w:cs="Times New Roman"/>
          <w:kern w:val="0"/>
          <w:sz w:val="24"/>
          <w:szCs w:val="24"/>
          <w:lang w:val="ro-MD" w:eastAsia="ro-MD"/>
          <w14:ligatures w14:val="none"/>
        </w:rPr>
        <w:t xml:space="preserve"> </w:t>
      </w:r>
      <w:r w:rsidR="00F06359">
        <w:rPr>
          <w:rFonts w:ascii="Times New Roman" w:eastAsia="Times New Roman" w:hAnsi="Times New Roman" w:cs="Times New Roman"/>
          <w:kern w:val="0"/>
          <w:sz w:val="24"/>
          <w:szCs w:val="24"/>
          <w:lang w:val="ro-MD" w:eastAsia="ro-MD"/>
          <w14:ligatures w14:val="none"/>
        </w:rPr>
        <w:t>Astfel, p</w:t>
      </w:r>
      <w:r w:rsidRPr="00071D8E">
        <w:rPr>
          <w:rFonts w:ascii="Times New Roman" w:eastAsia="Times New Roman" w:hAnsi="Times New Roman" w:cs="Times New Roman"/>
          <w:kern w:val="0"/>
          <w:sz w:val="24"/>
          <w:szCs w:val="24"/>
          <w:lang w:val="ro-MD" w:eastAsia="ro-MD"/>
          <w14:ligatures w14:val="none"/>
        </w:rPr>
        <w:t xml:space="preserve">rintre obiectivele specifice majore </w:t>
      </w:r>
      <w:r w:rsidR="00F06359">
        <w:rPr>
          <w:rFonts w:ascii="Times New Roman" w:eastAsia="Times New Roman" w:hAnsi="Times New Roman" w:cs="Times New Roman"/>
          <w:kern w:val="0"/>
          <w:sz w:val="24"/>
          <w:szCs w:val="24"/>
          <w:lang w:val="ro-MD" w:eastAsia="ro-MD"/>
          <w14:ligatures w14:val="none"/>
        </w:rPr>
        <w:t xml:space="preserve">ale Programului </w:t>
      </w:r>
      <w:r w:rsidRPr="00071D8E">
        <w:rPr>
          <w:rFonts w:ascii="Times New Roman" w:eastAsia="Times New Roman" w:hAnsi="Times New Roman" w:cs="Times New Roman"/>
          <w:kern w:val="0"/>
          <w:sz w:val="24"/>
          <w:szCs w:val="24"/>
          <w:lang w:val="ro-MD" w:eastAsia="ro-MD"/>
          <w14:ligatures w14:val="none"/>
        </w:rPr>
        <w:t>se numără:</w:t>
      </w:r>
    </w:p>
    <w:p w14:paraId="1788EB33" w14:textId="77777777" w:rsidR="00071D8E" w:rsidRPr="00071D8E" w:rsidRDefault="00071D8E" w:rsidP="00A41843">
      <w:pPr>
        <w:numPr>
          <w:ilvl w:val="0"/>
          <w:numId w:val="230"/>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Sporirea ratei de participare a femeilor cu vârsta 25–34 de ani pe piața muncii;</w:t>
      </w:r>
    </w:p>
    <w:p w14:paraId="7AB3CA8E" w14:textId="77777777" w:rsidR="00071D8E" w:rsidRPr="00071D8E" w:rsidRDefault="00071D8E" w:rsidP="00A41843">
      <w:pPr>
        <w:numPr>
          <w:ilvl w:val="0"/>
          <w:numId w:val="230"/>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Creșterea gradului de ocupare a persoanelor cu dizabilități, prin programe de formare și adaptare profesională;</w:t>
      </w:r>
    </w:p>
    <w:p w14:paraId="5E6EB148" w14:textId="77777777" w:rsidR="00071D8E" w:rsidRPr="00071D8E" w:rsidRDefault="00071D8E" w:rsidP="00A41843">
      <w:pPr>
        <w:numPr>
          <w:ilvl w:val="0"/>
          <w:numId w:val="230"/>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Consolidarea capacităților instituționale ale Agenției Naționale pentru Ocuparea Forței de Muncă (ANOFM), inclusiv prin digitalizarea serviciilor, eficientizarea finanțării și extinderea măsurilor active de ocupare;</w:t>
      </w:r>
    </w:p>
    <w:p w14:paraId="5793EF32" w14:textId="1CD680DC" w:rsidR="00071D8E" w:rsidRPr="00071D8E" w:rsidRDefault="00071D8E" w:rsidP="00A41843">
      <w:pPr>
        <w:numPr>
          <w:ilvl w:val="0"/>
          <w:numId w:val="230"/>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Dezvoltarea parteneriatului public</w:t>
      </w:r>
      <w:r w:rsidR="001C118E">
        <w:rPr>
          <w:rFonts w:ascii="Times New Roman" w:eastAsia="Times New Roman" w:hAnsi="Times New Roman" w:cs="Times New Roman"/>
          <w:kern w:val="0"/>
          <w:sz w:val="24"/>
          <w:szCs w:val="24"/>
          <w:lang w:val="ro-MD" w:eastAsia="ro-MD"/>
          <w14:ligatures w14:val="none"/>
        </w:rPr>
        <w:t>-</w:t>
      </w:r>
      <w:r w:rsidRPr="00071D8E">
        <w:rPr>
          <w:rFonts w:ascii="Times New Roman" w:eastAsia="Times New Roman" w:hAnsi="Times New Roman" w:cs="Times New Roman"/>
          <w:kern w:val="0"/>
          <w:sz w:val="24"/>
          <w:szCs w:val="24"/>
          <w:lang w:val="ro-MD" w:eastAsia="ro-MD"/>
          <w14:ligatures w14:val="none"/>
        </w:rPr>
        <w:t>privat și a mecanismelor de dialog social pentru corelarea cererii și ofertei de competențe;</w:t>
      </w:r>
    </w:p>
    <w:p w14:paraId="614C3B69" w14:textId="77777777" w:rsidR="00071D8E" w:rsidRPr="00071D8E" w:rsidRDefault="00071D8E" w:rsidP="00A41843">
      <w:pPr>
        <w:numPr>
          <w:ilvl w:val="0"/>
          <w:numId w:val="230"/>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Stimularea creării de locuri de muncă de calitate, reducerea muncii nedeclarate și promovarea standardelor de muncă decentă.</w:t>
      </w:r>
    </w:p>
    <w:p w14:paraId="675DA3B6" w14:textId="77777777" w:rsidR="00071D8E" w:rsidRPr="00071D8E" w:rsidRDefault="00071D8E" w:rsidP="00717887">
      <w:p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Programul național este interconectat cu alte politici complementare, inclusiv:</w:t>
      </w:r>
    </w:p>
    <w:p w14:paraId="0E5E7707" w14:textId="189B3F50" w:rsidR="00071D8E" w:rsidRPr="00071D8E" w:rsidRDefault="00071D8E" w:rsidP="00A41843">
      <w:pPr>
        <w:numPr>
          <w:ilvl w:val="0"/>
          <w:numId w:val="231"/>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Programul privind gestionarea fluxului migrațional, azilului și integrării străinilor 2022–2025</w:t>
      </w:r>
      <w:r w:rsidR="009D6D49">
        <w:rPr>
          <w:rStyle w:val="afc"/>
          <w:rFonts w:ascii="Times New Roman" w:eastAsia="Times New Roman" w:hAnsi="Times New Roman" w:cs="Times New Roman"/>
          <w:kern w:val="0"/>
          <w:sz w:val="24"/>
          <w:szCs w:val="24"/>
          <w:lang w:val="ro-MD" w:eastAsia="ro-MD"/>
          <w14:ligatures w14:val="none"/>
        </w:rPr>
        <w:footnoteReference w:id="14"/>
      </w:r>
      <w:r w:rsidR="00A77DD7">
        <w:rPr>
          <w:rFonts w:ascii="Times New Roman" w:eastAsia="Times New Roman" w:hAnsi="Times New Roman" w:cs="Times New Roman"/>
          <w:kern w:val="0"/>
          <w:sz w:val="24"/>
          <w:szCs w:val="24"/>
          <w:lang w:val="ro-MD" w:eastAsia="ro-MD"/>
          <w14:ligatures w14:val="none"/>
        </w:rPr>
        <w:t xml:space="preserve">, </w:t>
      </w:r>
      <w:r w:rsidR="001017A4">
        <w:rPr>
          <w:rFonts w:ascii="Times New Roman" w:eastAsia="Times New Roman" w:hAnsi="Times New Roman" w:cs="Times New Roman"/>
          <w:kern w:val="0"/>
          <w:sz w:val="24"/>
          <w:szCs w:val="24"/>
          <w:lang w:val="ro-MD" w:eastAsia="ro-MD"/>
          <w14:ligatures w14:val="none"/>
        </w:rPr>
        <w:t>aprobat prin HG 808/2022</w:t>
      </w:r>
      <w:r w:rsidRPr="00071D8E">
        <w:rPr>
          <w:rFonts w:ascii="Times New Roman" w:eastAsia="Times New Roman" w:hAnsi="Times New Roman" w:cs="Times New Roman"/>
          <w:kern w:val="0"/>
          <w:sz w:val="24"/>
          <w:szCs w:val="24"/>
          <w:lang w:val="ro-MD" w:eastAsia="ro-MD"/>
          <w14:ligatures w14:val="none"/>
        </w:rPr>
        <w:t>;</w:t>
      </w:r>
    </w:p>
    <w:p w14:paraId="0040D62B" w14:textId="6440010B" w:rsidR="00D907B5" w:rsidRDefault="00071D8E" w:rsidP="00A41843">
      <w:pPr>
        <w:numPr>
          <w:ilvl w:val="0"/>
          <w:numId w:val="231"/>
        </w:numPr>
        <w:spacing w:after="0" w:line="276" w:lineRule="auto"/>
        <w:jc w:val="both"/>
        <w:rPr>
          <w:rFonts w:ascii="Times New Roman" w:eastAsia="Times New Roman" w:hAnsi="Times New Roman" w:cs="Times New Roman"/>
          <w:kern w:val="0"/>
          <w:sz w:val="24"/>
          <w:szCs w:val="24"/>
          <w:lang w:val="ro-MD" w:eastAsia="ro-MD"/>
          <w14:ligatures w14:val="none"/>
        </w:rPr>
      </w:pPr>
      <w:r w:rsidRPr="00071D8E">
        <w:rPr>
          <w:rFonts w:ascii="Times New Roman" w:eastAsia="Times New Roman" w:hAnsi="Times New Roman" w:cs="Times New Roman"/>
          <w:kern w:val="0"/>
          <w:sz w:val="24"/>
          <w:szCs w:val="24"/>
          <w:lang w:val="ro-MD" w:eastAsia="ro-MD"/>
          <w14:ligatures w14:val="none"/>
        </w:rPr>
        <w:t>Programul național de stimulare a revenirilor și (re)integrării cetățenilor RM implicați în migrație 2022–2026</w:t>
      </w:r>
      <w:r w:rsidR="00E62CBE">
        <w:rPr>
          <w:rStyle w:val="afc"/>
          <w:rFonts w:ascii="Times New Roman" w:eastAsia="Times New Roman" w:hAnsi="Times New Roman" w:cs="Times New Roman"/>
          <w:kern w:val="0"/>
          <w:sz w:val="24"/>
          <w:szCs w:val="24"/>
          <w:lang w:val="ro-MD" w:eastAsia="ro-MD"/>
          <w14:ligatures w14:val="none"/>
        </w:rPr>
        <w:footnoteReference w:id="15"/>
      </w:r>
      <w:r w:rsidR="002F56D6">
        <w:rPr>
          <w:rFonts w:ascii="Times New Roman" w:eastAsia="Times New Roman" w:hAnsi="Times New Roman" w:cs="Times New Roman"/>
          <w:kern w:val="0"/>
          <w:sz w:val="24"/>
          <w:szCs w:val="24"/>
          <w:lang w:val="ro-MD" w:eastAsia="ro-MD"/>
          <w14:ligatures w14:val="none"/>
        </w:rPr>
        <w:t xml:space="preserve">, aprobat prin </w:t>
      </w:r>
      <w:r w:rsidR="007B3ED6">
        <w:rPr>
          <w:rFonts w:ascii="Times New Roman" w:eastAsia="Times New Roman" w:hAnsi="Times New Roman" w:cs="Times New Roman"/>
          <w:kern w:val="0"/>
          <w:sz w:val="24"/>
          <w:szCs w:val="24"/>
          <w:lang w:val="ro-MD" w:eastAsia="ro-MD"/>
          <w14:ligatures w14:val="none"/>
        </w:rPr>
        <w:t>HG 674/</w:t>
      </w:r>
      <w:r w:rsidR="000E18CE">
        <w:rPr>
          <w:rFonts w:ascii="Times New Roman" w:eastAsia="Times New Roman" w:hAnsi="Times New Roman" w:cs="Times New Roman"/>
          <w:kern w:val="0"/>
          <w:sz w:val="24"/>
          <w:szCs w:val="24"/>
          <w:lang w:val="ro-MD" w:eastAsia="ro-MD"/>
          <w14:ligatures w14:val="none"/>
        </w:rPr>
        <w:t>2023</w:t>
      </w:r>
      <w:r w:rsidR="00D907B5">
        <w:rPr>
          <w:rFonts w:ascii="Times New Roman" w:eastAsia="Times New Roman" w:hAnsi="Times New Roman" w:cs="Times New Roman"/>
          <w:kern w:val="0"/>
          <w:sz w:val="24"/>
          <w:szCs w:val="24"/>
          <w:lang w:val="ro-MD" w:eastAsia="ro-MD"/>
          <w14:ligatures w14:val="none"/>
        </w:rPr>
        <w:t xml:space="preserve">. </w:t>
      </w:r>
    </w:p>
    <w:p w14:paraId="59090F53" w14:textId="054ED1E7" w:rsidR="00071D8E" w:rsidRPr="00071D8E" w:rsidRDefault="00D907B5" w:rsidP="00D907B5">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A</w:t>
      </w:r>
      <w:r w:rsidR="00071D8E" w:rsidRPr="00071D8E">
        <w:rPr>
          <w:rFonts w:ascii="Times New Roman" w:eastAsia="Times New Roman" w:hAnsi="Times New Roman" w:cs="Times New Roman"/>
          <w:kern w:val="0"/>
          <w:sz w:val="24"/>
          <w:szCs w:val="24"/>
          <w:lang w:val="ro-MD" w:eastAsia="ro-MD"/>
          <w14:ligatures w14:val="none"/>
        </w:rPr>
        <w:t>ceste documente formează împreună un cadru integrat de politici pentru mobilitate, incluziune și reintegrare profesională.</w:t>
      </w:r>
    </w:p>
    <w:p w14:paraId="3F86D024" w14:textId="06050DDE" w:rsidR="00293B0E" w:rsidRDefault="00FF274F" w:rsidP="00A41843">
      <w:pPr>
        <w:pStyle w:val="af8"/>
        <w:numPr>
          <w:ilvl w:val="0"/>
          <w:numId w:val="232"/>
        </w:numPr>
        <w:spacing w:before="120" w:beforeAutospacing="0" w:after="120" w:afterAutospacing="0" w:line="276" w:lineRule="auto"/>
        <w:jc w:val="both"/>
      </w:pPr>
      <w:r>
        <w:rPr>
          <w:rStyle w:val="af9"/>
          <w:rFonts w:eastAsiaTheme="majorEastAsia"/>
        </w:rPr>
        <w:t>Programul de dezvoltare a educației incluzive 2024–2027</w:t>
      </w:r>
      <w:r w:rsidR="00886F4B">
        <w:rPr>
          <w:rStyle w:val="afc"/>
          <w:rFonts w:eastAsiaTheme="majorEastAsia"/>
          <w:b/>
          <w:bCs/>
        </w:rPr>
        <w:footnoteReference w:id="16"/>
      </w:r>
      <w:r w:rsidR="00ED2305">
        <w:t xml:space="preserve"> </w:t>
      </w:r>
      <w:r>
        <w:t xml:space="preserve">promovează accesul echitabil la educație și formare profesională pentru toate categoriile de beneficiari, indiferent de mediu, gen, dizabilitate sau statut </w:t>
      </w:r>
      <w:proofErr w:type="spellStart"/>
      <w:r>
        <w:t>socio</w:t>
      </w:r>
      <w:proofErr w:type="spellEnd"/>
      <w:r>
        <w:t>-economic. Programul contribuie la consolidarea dimensiunii sociale a educației și la crearea condițiilor pentru participarea deplină a persoanelor cu nevoi educaționale speciale la procesele de formare inițială și continuă, în concordanță cu principiile incluziunii și echității promovate de Strategia „Educația 2030”</w:t>
      </w:r>
      <w:r w:rsidR="00FC0ADE">
        <w:t xml:space="preserve"> și </w:t>
      </w:r>
      <w:r w:rsidR="00FC0ADE" w:rsidRPr="001D6769">
        <w:t xml:space="preserve">în conformitate cu </w:t>
      </w:r>
      <w:r w:rsidR="00091633">
        <w:t>p</w:t>
      </w:r>
      <w:r w:rsidR="00FC0ADE" w:rsidRPr="00FC0ADE">
        <w:t>rincipiile europene ale incluziunii.</w:t>
      </w:r>
    </w:p>
    <w:p w14:paraId="3B92B9F8" w14:textId="36282605" w:rsidR="00FF274F" w:rsidRDefault="00FF274F" w:rsidP="00A41843">
      <w:pPr>
        <w:pStyle w:val="af8"/>
        <w:numPr>
          <w:ilvl w:val="0"/>
          <w:numId w:val="232"/>
        </w:numPr>
        <w:spacing w:before="120" w:beforeAutospacing="0" w:after="120" w:afterAutospacing="0" w:line="276" w:lineRule="auto"/>
        <w:jc w:val="both"/>
      </w:pPr>
      <w:r>
        <w:rPr>
          <w:rStyle w:val="af9"/>
          <w:rFonts w:eastAsiaTheme="majorEastAsia"/>
        </w:rPr>
        <w:t>Strategia de dezvoltare a sectorului de tineret „Tineret 2030”</w:t>
      </w:r>
      <w:r w:rsidR="00091633">
        <w:rPr>
          <w:rStyle w:val="afc"/>
          <w:rFonts w:eastAsiaTheme="majorEastAsia"/>
          <w:b/>
          <w:bCs/>
        </w:rPr>
        <w:footnoteReference w:id="17"/>
      </w:r>
      <w:r w:rsidR="00ED2305">
        <w:t xml:space="preserve"> </w:t>
      </w:r>
      <w:r>
        <w:t xml:space="preserve">susține implicarea activă a tinerilor în procesele educaționale, economice și civice. Strategia promovează formarea competențelor transversale, a spiritului antreprenorial și a capacităților de leadership ale tinerilor, </w:t>
      </w:r>
      <w:r>
        <w:lastRenderedPageBreak/>
        <w:t xml:space="preserve">încurajându-i să participe la viața comunitară și să contribuie la dezvoltarea durabilă a societății. Documentul reflectă importanța educației </w:t>
      </w:r>
      <w:proofErr w:type="spellStart"/>
      <w:r>
        <w:t>nonformale</w:t>
      </w:r>
      <w:proofErr w:type="spellEnd"/>
      <w:r>
        <w:t xml:space="preserve"> și a formării continue ca instrumente de creștere a angajabilității tinerilor și de reducere a riscului de excludere socială.</w:t>
      </w:r>
    </w:p>
    <w:p w14:paraId="06F5430D" w14:textId="48E11078" w:rsidR="00FF274F" w:rsidRDefault="00FF274F" w:rsidP="00A41843">
      <w:pPr>
        <w:pStyle w:val="af8"/>
        <w:numPr>
          <w:ilvl w:val="0"/>
          <w:numId w:val="232"/>
        </w:numPr>
        <w:spacing w:before="120" w:beforeAutospacing="0" w:after="120" w:afterAutospacing="0" w:line="276" w:lineRule="auto"/>
        <w:jc w:val="both"/>
      </w:pPr>
      <w:r w:rsidRPr="00EE218F">
        <w:rPr>
          <w:rStyle w:val="af9"/>
          <w:rFonts w:eastAsiaTheme="majorEastAsia"/>
        </w:rPr>
        <w:t>Strategia de dezvoltare a domeniului</w:t>
      </w:r>
      <w:r>
        <w:rPr>
          <w:rStyle w:val="af9"/>
          <w:rFonts w:eastAsiaTheme="majorEastAsia"/>
        </w:rPr>
        <w:t xml:space="preserve"> afacerilor interne </w:t>
      </w:r>
      <w:r w:rsidR="008543EB" w:rsidRPr="00394409">
        <w:rPr>
          <w:b/>
          <w:bCs/>
          <w:lang w:val="it-IT"/>
        </w:rPr>
        <w:t>2022-2030</w:t>
      </w:r>
      <w:r w:rsidR="008543EB">
        <w:rPr>
          <w:rStyle w:val="afc"/>
          <w:b/>
          <w:bCs/>
          <w:lang w:val="it-IT"/>
        </w:rPr>
        <w:footnoteReference w:id="18"/>
      </w:r>
      <w:r>
        <w:t xml:space="preserve">, și </w:t>
      </w:r>
      <w:r>
        <w:rPr>
          <w:rStyle w:val="af9"/>
          <w:rFonts w:eastAsiaTheme="majorEastAsia"/>
        </w:rPr>
        <w:t xml:space="preserve">Programul de consolidare a încrederii și siguranței societății prin formare profesională, integritate și digitalizare </w:t>
      </w:r>
      <w:r w:rsidR="007D3A78" w:rsidRPr="005F4816">
        <w:rPr>
          <w:b/>
          <w:bCs/>
        </w:rPr>
        <w:t>2022–2025</w:t>
      </w:r>
      <w:r w:rsidR="007D3A78">
        <w:rPr>
          <w:rStyle w:val="afc"/>
          <w:b/>
          <w:bCs/>
        </w:rPr>
        <w:footnoteReference w:id="19"/>
      </w:r>
      <w:r w:rsidR="007D3A78" w:rsidRPr="00E13078">
        <w:t>,</w:t>
      </w:r>
      <w:r w:rsidR="007D3A78">
        <w:t xml:space="preserve"> </w:t>
      </w:r>
      <w:r>
        <w:t xml:space="preserve">integrează principiile învățării continue și dezvoltării competențelor profesionale în politicile sectoriale publice. Aceste documente extind aplicabilitatea </w:t>
      </w:r>
      <w:r w:rsidR="00397142">
        <w:t>CNC</w:t>
      </w:r>
      <w:r>
        <w:t xml:space="preserve"> dincolo de sistemul educațional formal, promovând profesionalizarea funcției publice, perfecționarea continuă a personalului din structurile de ordine publică și consolidarea integrității instituționale prin formare bazată pe competențe.</w:t>
      </w:r>
    </w:p>
    <w:p w14:paraId="0A1A090A" w14:textId="7D6F6CE4" w:rsidR="00FF274F" w:rsidRDefault="00FF274F" w:rsidP="00E05CCB">
      <w:pPr>
        <w:pStyle w:val="af8"/>
        <w:spacing w:before="120" w:beforeAutospacing="0" w:after="120" w:afterAutospacing="0" w:line="276" w:lineRule="auto"/>
        <w:jc w:val="both"/>
      </w:pPr>
      <w:r>
        <w:t xml:space="preserve">În ansamblu, aceste politici contribuie la </w:t>
      </w:r>
      <w:r w:rsidRPr="002B1A5E">
        <w:rPr>
          <w:rStyle w:val="af9"/>
          <w:rFonts w:eastAsiaTheme="majorEastAsia"/>
          <w:b w:val="0"/>
          <w:bCs w:val="0"/>
        </w:rPr>
        <w:t>operaționalizarea dimensiunii intersectoriale a CNC</w:t>
      </w:r>
      <w:r>
        <w:t xml:space="preserve">, prin extinderea principiilor acestuia către domenii conexe </w:t>
      </w:r>
      <w:r w:rsidR="00401119">
        <w:t>-</w:t>
      </w:r>
      <w:r>
        <w:t xml:space="preserve"> educație incluzivă, tineret, funcție publică, securitate și digitalizare</w:t>
      </w:r>
      <w:r w:rsidR="00401119">
        <w:t>,</w:t>
      </w:r>
      <w:r>
        <w:t xml:space="preserve"> consolidând coerența sistemului de dezvoltare a competențelor în Republica Moldova și relevanța sa pentru piața muncii și societate.</w:t>
      </w:r>
    </w:p>
    <w:p w14:paraId="4EA48A30" w14:textId="5FD07A88" w:rsidR="00841076" w:rsidRPr="00841076" w:rsidRDefault="00FC55ED"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Astfel, p</w:t>
      </w:r>
      <w:r w:rsidR="00841076" w:rsidRPr="00841076">
        <w:rPr>
          <w:rFonts w:ascii="Times New Roman" w:eastAsia="Times New Roman" w:hAnsi="Times New Roman" w:cs="Times New Roman"/>
          <w:kern w:val="0"/>
          <w:sz w:val="24"/>
          <w:szCs w:val="24"/>
          <w:lang w:val="ro-MD" w:eastAsia="ro-MD"/>
          <w14:ligatures w14:val="none"/>
        </w:rPr>
        <w:t xml:space="preserve">oliticile actuale creează o </w:t>
      </w:r>
      <w:r w:rsidR="00841076" w:rsidRPr="002B1A5E">
        <w:rPr>
          <w:rFonts w:ascii="Times New Roman" w:eastAsia="Times New Roman" w:hAnsi="Times New Roman" w:cs="Times New Roman"/>
          <w:kern w:val="0"/>
          <w:sz w:val="24"/>
          <w:szCs w:val="24"/>
          <w:lang w:val="ro-MD" w:eastAsia="ro-MD"/>
          <w14:ligatures w14:val="none"/>
        </w:rPr>
        <w:t>arhitectură strategică unitară</w:t>
      </w:r>
      <w:r w:rsidR="00841076" w:rsidRPr="00841076">
        <w:rPr>
          <w:rFonts w:ascii="Times New Roman" w:eastAsia="Times New Roman" w:hAnsi="Times New Roman" w:cs="Times New Roman"/>
          <w:kern w:val="0"/>
          <w:sz w:val="24"/>
          <w:szCs w:val="24"/>
          <w:lang w:val="ro-MD" w:eastAsia="ro-MD"/>
          <w14:ligatures w14:val="none"/>
        </w:rPr>
        <w:t xml:space="preserve"> pentru dezvoltarea educației, formării și calificărilor în Republica Moldova</w:t>
      </w:r>
      <w:r w:rsidR="00491EE7">
        <w:rPr>
          <w:rFonts w:ascii="Times New Roman" w:eastAsia="Times New Roman" w:hAnsi="Times New Roman" w:cs="Times New Roman"/>
          <w:kern w:val="0"/>
          <w:sz w:val="24"/>
          <w:szCs w:val="24"/>
          <w:lang w:val="ro-MD" w:eastAsia="ro-MD"/>
          <w14:ligatures w14:val="none"/>
        </w:rPr>
        <w:t>, care</w:t>
      </w:r>
      <w:r w:rsidR="00841076" w:rsidRPr="00841076">
        <w:rPr>
          <w:rFonts w:ascii="Times New Roman" w:eastAsia="Times New Roman" w:hAnsi="Times New Roman" w:cs="Times New Roman"/>
          <w:kern w:val="0"/>
          <w:sz w:val="24"/>
          <w:szCs w:val="24"/>
          <w:lang w:val="ro-MD" w:eastAsia="ro-MD"/>
          <w14:ligatures w14:val="none"/>
        </w:rPr>
        <w:t xml:space="preserve"> consolidează:</w:t>
      </w:r>
    </w:p>
    <w:p w14:paraId="19563C57" w14:textId="77777777" w:rsidR="00841076" w:rsidRPr="00841076" w:rsidRDefault="00841076" w:rsidP="00A41843">
      <w:pPr>
        <w:numPr>
          <w:ilvl w:val="0"/>
          <w:numId w:val="22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41076">
        <w:rPr>
          <w:rFonts w:ascii="Times New Roman" w:eastAsia="Times New Roman" w:hAnsi="Times New Roman" w:cs="Times New Roman"/>
          <w:kern w:val="0"/>
          <w:sz w:val="24"/>
          <w:szCs w:val="24"/>
          <w:lang w:val="ro-MD" w:eastAsia="ro-MD"/>
          <w14:ligatures w14:val="none"/>
        </w:rPr>
        <w:t>parteneriatul între educație, formare profesională și ocupare;</w:t>
      </w:r>
    </w:p>
    <w:p w14:paraId="1C559479" w14:textId="77777777" w:rsidR="00841076" w:rsidRPr="00841076" w:rsidRDefault="00841076" w:rsidP="00A41843">
      <w:pPr>
        <w:numPr>
          <w:ilvl w:val="0"/>
          <w:numId w:val="22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41076">
        <w:rPr>
          <w:rFonts w:ascii="Times New Roman" w:eastAsia="Times New Roman" w:hAnsi="Times New Roman" w:cs="Times New Roman"/>
          <w:kern w:val="0"/>
          <w:sz w:val="24"/>
          <w:szCs w:val="24"/>
          <w:lang w:val="ro-MD" w:eastAsia="ro-MD"/>
          <w14:ligatures w14:val="none"/>
        </w:rPr>
        <w:t>mecanismele de guvernanță și calitate;</w:t>
      </w:r>
    </w:p>
    <w:p w14:paraId="1A2DA8A5" w14:textId="7933DD8D" w:rsidR="00841076" w:rsidRPr="00841076" w:rsidRDefault="00841076" w:rsidP="00A41843">
      <w:pPr>
        <w:numPr>
          <w:ilvl w:val="0"/>
          <w:numId w:val="22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41076">
        <w:rPr>
          <w:rFonts w:ascii="Times New Roman" w:eastAsia="Times New Roman" w:hAnsi="Times New Roman" w:cs="Times New Roman"/>
          <w:kern w:val="0"/>
          <w:sz w:val="24"/>
          <w:szCs w:val="24"/>
          <w:lang w:val="ro-MD" w:eastAsia="ro-MD"/>
          <w14:ligatures w14:val="none"/>
        </w:rPr>
        <w:t xml:space="preserve">rolul central al </w:t>
      </w:r>
      <w:r w:rsidR="00491EE7" w:rsidRPr="00491EE7">
        <w:rPr>
          <w:rFonts w:ascii="Times New Roman" w:eastAsia="Times New Roman" w:hAnsi="Times New Roman" w:cs="Times New Roman"/>
          <w:kern w:val="0"/>
          <w:sz w:val="24"/>
          <w:szCs w:val="24"/>
          <w:lang w:val="ro-MD" w:eastAsia="ro-MD"/>
          <w14:ligatures w14:val="none"/>
        </w:rPr>
        <w:t>CNC</w:t>
      </w:r>
      <w:r w:rsidRPr="00841076">
        <w:rPr>
          <w:rFonts w:ascii="Times New Roman" w:eastAsia="Times New Roman" w:hAnsi="Times New Roman" w:cs="Times New Roman"/>
          <w:kern w:val="0"/>
          <w:sz w:val="24"/>
          <w:szCs w:val="24"/>
          <w:lang w:val="ro-MD" w:eastAsia="ro-MD"/>
          <w14:ligatures w14:val="none"/>
        </w:rPr>
        <w:t xml:space="preserve"> ca instrument de transparență, recunoaștere și interoperabilitate.</w:t>
      </w:r>
    </w:p>
    <w:p w14:paraId="56F16EFF" w14:textId="35DB549F" w:rsidR="00E071F1" w:rsidRPr="00E071F1" w:rsidRDefault="00841076" w:rsidP="00E556F7">
      <w:pPr>
        <w:spacing w:before="120" w:after="120" w:line="276" w:lineRule="auto"/>
        <w:jc w:val="both"/>
        <w:rPr>
          <w:rFonts w:ascii="Times New Roman" w:eastAsia="Times New Roman" w:hAnsi="Times New Roman" w:cs="Times New Roman"/>
          <w:b/>
          <w:bCs/>
          <w:kern w:val="0"/>
          <w:sz w:val="24"/>
          <w:szCs w:val="24"/>
          <w:lang w:val="ro-MD" w:eastAsia="ro-MD"/>
          <w14:ligatures w14:val="none"/>
        </w:rPr>
      </w:pPr>
      <w:r w:rsidRPr="00841076">
        <w:rPr>
          <w:rFonts w:ascii="Times New Roman" w:eastAsia="Times New Roman" w:hAnsi="Times New Roman" w:cs="Times New Roman"/>
          <w:kern w:val="0"/>
          <w:sz w:val="24"/>
          <w:szCs w:val="24"/>
          <w:lang w:val="ro-MD" w:eastAsia="ro-MD"/>
          <w14:ligatures w14:val="none"/>
        </w:rPr>
        <w:t xml:space="preserve">În ansamblu, aceste politici fundamentează tranziția Republicii Moldova către un </w:t>
      </w:r>
      <w:r w:rsidRPr="00491EE7">
        <w:rPr>
          <w:rFonts w:ascii="Times New Roman" w:eastAsia="Times New Roman" w:hAnsi="Times New Roman" w:cs="Times New Roman"/>
          <w:kern w:val="0"/>
          <w:sz w:val="24"/>
          <w:szCs w:val="24"/>
          <w:lang w:val="ro-MD" w:eastAsia="ro-MD"/>
          <w14:ligatures w14:val="none"/>
        </w:rPr>
        <w:t>sistem educațional deschis, adaptabil și bazat pe rezultate ale învățării</w:t>
      </w:r>
      <w:r w:rsidRPr="00841076">
        <w:rPr>
          <w:rFonts w:ascii="Times New Roman" w:eastAsia="Times New Roman" w:hAnsi="Times New Roman" w:cs="Times New Roman"/>
          <w:kern w:val="0"/>
          <w:sz w:val="24"/>
          <w:szCs w:val="24"/>
          <w:lang w:val="ro-MD" w:eastAsia="ro-MD"/>
          <w14:ligatures w14:val="none"/>
        </w:rPr>
        <w:t>, în care calificările devin vectori ai mobilității, incluziunii și competitivității economice.</w:t>
      </w:r>
    </w:p>
    <w:p w14:paraId="05B1B128" w14:textId="40FC31A2" w:rsidR="00E071F1" w:rsidRPr="00E071F1" w:rsidRDefault="00E071F1"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kern w:val="0"/>
          <w:sz w:val="24"/>
          <w:szCs w:val="24"/>
          <w:lang w:val="ro-MD" w:eastAsia="ro-MD"/>
          <w14:ligatures w14:val="none"/>
        </w:rPr>
        <w:t xml:space="preserve">În mod firesc, politicile actuale nu reprezintă o ruptură, ci </w:t>
      </w:r>
      <w:r w:rsidRPr="00231E62">
        <w:rPr>
          <w:rFonts w:ascii="Times New Roman" w:eastAsia="Times New Roman" w:hAnsi="Times New Roman" w:cs="Times New Roman"/>
          <w:kern w:val="0"/>
          <w:sz w:val="24"/>
          <w:szCs w:val="24"/>
          <w:lang w:val="ro-MD" w:eastAsia="ro-MD"/>
          <w14:ligatures w14:val="none"/>
        </w:rPr>
        <w:t>o continuare și o dezvoltare coerentă</w:t>
      </w:r>
      <w:r w:rsidRPr="00E071F1">
        <w:rPr>
          <w:rFonts w:ascii="Times New Roman" w:eastAsia="Times New Roman" w:hAnsi="Times New Roman" w:cs="Times New Roman"/>
          <w:kern w:val="0"/>
          <w:sz w:val="24"/>
          <w:szCs w:val="24"/>
          <w:lang w:val="ro-MD" w:eastAsia="ro-MD"/>
          <w14:ligatures w14:val="none"/>
        </w:rPr>
        <w:t xml:space="preserve"> a direcțiilor strategice inițiate în deceniul precedent.</w:t>
      </w:r>
      <w:r w:rsidR="00231E62">
        <w:rPr>
          <w:rFonts w:ascii="Times New Roman" w:eastAsia="Times New Roman" w:hAnsi="Times New Roman" w:cs="Times New Roman"/>
          <w:kern w:val="0"/>
          <w:sz w:val="24"/>
          <w:szCs w:val="24"/>
          <w:lang w:val="ro-MD" w:eastAsia="ro-MD"/>
          <w14:ligatures w14:val="none"/>
        </w:rPr>
        <w:t xml:space="preserve"> </w:t>
      </w:r>
      <w:r w:rsidRPr="00E071F1">
        <w:rPr>
          <w:rFonts w:ascii="Times New Roman" w:eastAsia="Times New Roman" w:hAnsi="Times New Roman" w:cs="Times New Roman"/>
          <w:kern w:val="0"/>
          <w:sz w:val="24"/>
          <w:szCs w:val="24"/>
          <w:lang w:val="ro-MD" w:eastAsia="ro-MD"/>
          <w14:ligatures w14:val="none"/>
        </w:rPr>
        <w:t>Ele valorifică bazele conceptuale și instituționale puse între anii 2013–2020, perioadă în care Republica Moldova a făcut primii pași către un sistem educațional bazat pe rezultate ale învățării, pe corelarea educație</w:t>
      </w:r>
      <w:r w:rsidR="002B069F">
        <w:rPr>
          <w:rFonts w:ascii="Times New Roman" w:eastAsia="Times New Roman" w:hAnsi="Times New Roman" w:cs="Times New Roman"/>
          <w:kern w:val="0"/>
          <w:sz w:val="24"/>
          <w:szCs w:val="24"/>
          <w:lang w:val="ro-MD" w:eastAsia="ro-MD"/>
          <w14:ligatures w14:val="none"/>
        </w:rPr>
        <w:t xml:space="preserve"> - </w:t>
      </w:r>
      <w:r w:rsidRPr="00E071F1">
        <w:rPr>
          <w:rFonts w:ascii="Times New Roman" w:eastAsia="Times New Roman" w:hAnsi="Times New Roman" w:cs="Times New Roman"/>
          <w:kern w:val="0"/>
          <w:sz w:val="24"/>
          <w:szCs w:val="24"/>
          <w:lang w:val="ro-MD" w:eastAsia="ro-MD"/>
          <w14:ligatures w14:val="none"/>
        </w:rPr>
        <w:t>muncă și pe alinierea treptată la principiile europene.</w:t>
      </w:r>
      <w:r w:rsidR="002B069F">
        <w:rPr>
          <w:rFonts w:ascii="Times New Roman" w:eastAsia="Times New Roman" w:hAnsi="Times New Roman" w:cs="Times New Roman"/>
          <w:kern w:val="0"/>
          <w:sz w:val="24"/>
          <w:szCs w:val="24"/>
          <w:lang w:val="ro-MD" w:eastAsia="ro-MD"/>
          <w14:ligatures w14:val="none"/>
        </w:rPr>
        <w:t xml:space="preserve"> </w:t>
      </w:r>
      <w:r w:rsidRPr="00E071F1">
        <w:rPr>
          <w:rFonts w:ascii="Times New Roman" w:eastAsia="Times New Roman" w:hAnsi="Times New Roman" w:cs="Times New Roman"/>
          <w:kern w:val="0"/>
          <w:sz w:val="24"/>
          <w:szCs w:val="24"/>
          <w:lang w:val="ro-MD" w:eastAsia="ro-MD"/>
          <w14:ligatures w14:val="none"/>
        </w:rPr>
        <w:t xml:space="preserve">Astfel, strategiile și programele </w:t>
      </w:r>
      <w:r w:rsidR="002B069F">
        <w:rPr>
          <w:rFonts w:ascii="Times New Roman" w:eastAsia="Times New Roman" w:hAnsi="Times New Roman" w:cs="Times New Roman"/>
          <w:kern w:val="0"/>
          <w:sz w:val="24"/>
          <w:szCs w:val="24"/>
          <w:lang w:val="ro-MD" w:eastAsia="ro-MD"/>
          <w14:ligatures w14:val="none"/>
        </w:rPr>
        <w:t>a</w:t>
      </w:r>
      <w:r w:rsidR="0083230E">
        <w:rPr>
          <w:rFonts w:ascii="Times New Roman" w:eastAsia="Times New Roman" w:hAnsi="Times New Roman" w:cs="Times New Roman"/>
          <w:kern w:val="0"/>
          <w:sz w:val="24"/>
          <w:szCs w:val="24"/>
          <w:lang w:val="ro-MD" w:eastAsia="ro-MD"/>
          <w14:ligatures w14:val="none"/>
        </w:rPr>
        <w:t>c</w:t>
      </w:r>
      <w:r w:rsidR="002B069F">
        <w:rPr>
          <w:rFonts w:ascii="Times New Roman" w:eastAsia="Times New Roman" w:hAnsi="Times New Roman" w:cs="Times New Roman"/>
          <w:kern w:val="0"/>
          <w:sz w:val="24"/>
          <w:szCs w:val="24"/>
          <w:lang w:val="ro-MD" w:eastAsia="ro-MD"/>
          <w14:ligatures w14:val="none"/>
        </w:rPr>
        <w:t>tuale</w:t>
      </w:r>
      <w:r w:rsidRPr="00E071F1">
        <w:rPr>
          <w:rFonts w:ascii="Times New Roman" w:eastAsia="Times New Roman" w:hAnsi="Times New Roman" w:cs="Times New Roman"/>
          <w:kern w:val="0"/>
          <w:sz w:val="24"/>
          <w:szCs w:val="24"/>
          <w:lang w:val="ro-MD" w:eastAsia="ro-MD"/>
          <w14:ligatures w14:val="none"/>
        </w:rPr>
        <w:t xml:space="preserve"> se sprijină pe realizările politici fondatoare, adâncind reformele și instituționalizând mecanismele moderne de guvernanță și calitate.</w:t>
      </w:r>
    </w:p>
    <w:p w14:paraId="0CE5EDA1" w14:textId="09E7704C" w:rsidR="00E071F1" w:rsidRPr="0083230E" w:rsidRDefault="00E071F1" w:rsidP="00841076">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83230E">
        <w:rPr>
          <w:rFonts w:ascii="Times New Roman" w:eastAsia="Times New Roman" w:hAnsi="Times New Roman" w:cs="Times New Roman"/>
          <w:b/>
          <w:bCs/>
          <w:color w:val="3494BA" w:themeColor="accent1"/>
          <w:kern w:val="0"/>
          <w:sz w:val="24"/>
          <w:szCs w:val="24"/>
          <w:lang w:val="ro-MD" w:eastAsia="ro-MD"/>
          <w14:ligatures w14:val="none"/>
        </w:rPr>
        <w:t>Politici anterioare (încheiate), cu rol fondator</w:t>
      </w:r>
    </w:p>
    <w:p w14:paraId="6BD9DF66" w14:textId="2E58DE20" w:rsidR="00E071F1" w:rsidRPr="00600E2D" w:rsidRDefault="00E071F1"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kern w:val="0"/>
          <w:sz w:val="24"/>
          <w:szCs w:val="24"/>
          <w:lang w:val="ro-MD" w:eastAsia="ro-MD"/>
          <w14:ligatures w14:val="none"/>
        </w:rPr>
        <w:t xml:space="preserve">Politicile implementate în perioada </w:t>
      </w:r>
      <w:r w:rsidRPr="00600E2D">
        <w:rPr>
          <w:rFonts w:ascii="Times New Roman" w:eastAsia="Times New Roman" w:hAnsi="Times New Roman" w:cs="Times New Roman"/>
          <w:kern w:val="0"/>
          <w:sz w:val="24"/>
          <w:szCs w:val="24"/>
          <w:lang w:val="ro-MD" w:eastAsia="ro-MD"/>
          <w14:ligatures w14:val="none"/>
        </w:rPr>
        <w:t xml:space="preserve">2013–2020 au avut un rol </w:t>
      </w:r>
      <w:r w:rsidR="0047432C">
        <w:rPr>
          <w:rFonts w:ascii="Times New Roman" w:eastAsia="Times New Roman" w:hAnsi="Times New Roman" w:cs="Times New Roman"/>
          <w:kern w:val="0"/>
          <w:sz w:val="24"/>
          <w:szCs w:val="24"/>
          <w:lang w:val="ro-MD" w:eastAsia="ro-MD"/>
          <w14:ligatures w14:val="none"/>
        </w:rPr>
        <w:t>semnificativ</w:t>
      </w:r>
      <w:r w:rsidRPr="00600E2D">
        <w:rPr>
          <w:rFonts w:ascii="Times New Roman" w:eastAsia="Times New Roman" w:hAnsi="Times New Roman" w:cs="Times New Roman"/>
          <w:kern w:val="0"/>
          <w:sz w:val="24"/>
          <w:szCs w:val="24"/>
          <w:lang w:val="ro-MD" w:eastAsia="ro-MD"/>
          <w14:ligatures w14:val="none"/>
        </w:rPr>
        <w:t xml:space="preserve"> în formarea infrastructurii conceptuale, normative și instituționale a sistemului de educație și calificări.</w:t>
      </w:r>
      <w:r w:rsidR="0047432C">
        <w:rPr>
          <w:rFonts w:ascii="Times New Roman" w:eastAsia="Times New Roman" w:hAnsi="Times New Roman" w:cs="Times New Roman"/>
          <w:kern w:val="0"/>
          <w:sz w:val="24"/>
          <w:szCs w:val="24"/>
          <w:lang w:val="ro-MD" w:eastAsia="ro-MD"/>
          <w14:ligatures w14:val="none"/>
        </w:rPr>
        <w:t xml:space="preserve"> </w:t>
      </w:r>
      <w:r w:rsidRPr="00600E2D">
        <w:rPr>
          <w:rFonts w:ascii="Times New Roman" w:eastAsia="Times New Roman" w:hAnsi="Times New Roman" w:cs="Times New Roman"/>
          <w:kern w:val="0"/>
          <w:sz w:val="24"/>
          <w:szCs w:val="24"/>
          <w:lang w:val="ro-MD" w:eastAsia="ro-MD"/>
          <w14:ligatures w14:val="none"/>
        </w:rPr>
        <w:t>Deși și-au încheiat perioada de valabilitate, acestea au creat fundamentele strategice și operaționale pe care s-au construit politicile actuale, orientate spre integrarea europeană și consolidarea învățării pe tot parcursul vieții.</w:t>
      </w:r>
    </w:p>
    <w:p w14:paraId="205C48D0" w14:textId="43118652" w:rsidR="00E071F1" w:rsidRPr="00E071F1" w:rsidRDefault="00E071F1"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00E2D">
        <w:rPr>
          <w:rFonts w:ascii="Times New Roman" w:eastAsia="Times New Roman" w:hAnsi="Times New Roman" w:cs="Times New Roman"/>
          <w:kern w:val="0"/>
          <w:sz w:val="24"/>
          <w:szCs w:val="24"/>
          <w:lang w:val="ro-MD" w:eastAsia="ro-MD"/>
          <w14:ligatures w14:val="none"/>
        </w:rPr>
        <w:t>Această perioadă a marcat inițierea reformelor structurale în educație și formare profesională, trecerea de la o abordare bazată pe conținut la una bazată pe rezultate ale învățării,</w:t>
      </w:r>
      <w:r w:rsidRPr="00E071F1">
        <w:rPr>
          <w:rFonts w:ascii="Times New Roman" w:eastAsia="Times New Roman" w:hAnsi="Times New Roman" w:cs="Times New Roman"/>
          <w:kern w:val="0"/>
          <w:sz w:val="24"/>
          <w:szCs w:val="24"/>
          <w:lang w:val="ro-MD" w:eastAsia="ro-MD"/>
          <w14:ligatures w14:val="none"/>
        </w:rPr>
        <w:t xml:space="preserve"> dezvoltarea parteneriatelor educație</w:t>
      </w:r>
      <w:r w:rsidR="003D0EA1">
        <w:rPr>
          <w:rFonts w:ascii="Times New Roman" w:eastAsia="Times New Roman" w:hAnsi="Times New Roman" w:cs="Times New Roman"/>
          <w:kern w:val="0"/>
          <w:sz w:val="24"/>
          <w:szCs w:val="24"/>
          <w:lang w:val="ro-MD" w:eastAsia="ro-MD"/>
          <w14:ligatures w14:val="none"/>
        </w:rPr>
        <w:t>-</w:t>
      </w:r>
      <w:r w:rsidRPr="00E071F1">
        <w:rPr>
          <w:rFonts w:ascii="Times New Roman" w:eastAsia="Times New Roman" w:hAnsi="Times New Roman" w:cs="Times New Roman"/>
          <w:kern w:val="0"/>
          <w:sz w:val="24"/>
          <w:szCs w:val="24"/>
          <w:lang w:val="ro-MD" w:eastAsia="ro-MD"/>
          <w14:ligatures w14:val="none"/>
        </w:rPr>
        <w:t>muncă și definirea arhitecturii CNC.</w:t>
      </w:r>
    </w:p>
    <w:p w14:paraId="0F6217AD" w14:textId="77777777" w:rsidR="00E071F1" w:rsidRPr="00E071F1" w:rsidRDefault="00E071F1"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kern w:val="0"/>
          <w:sz w:val="24"/>
          <w:szCs w:val="24"/>
          <w:lang w:val="ro-MD" w:eastAsia="ro-MD"/>
          <w14:ligatures w14:val="none"/>
        </w:rPr>
        <w:t>Principalele documente de politică din această etapă au fost:</w:t>
      </w:r>
    </w:p>
    <w:p w14:paraId="4132FF98" w14:textId="5A7BE8F2" w:rsidR="00E071F1" w:rsidRPr="00E071F1" w:rsidRDefault="00E071F1" w:rsidP="00A41843">
      <w:pPr>
        <w:numPr>
          <w:ilvl w:val="0"/>
          <w:numId w:val="22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b/>
          <w:bCs/>
          <w:kern w:val="0"/>
          <w:sz w:val="24"/>
          <w:szCs w:val="24"/>
          <w:lang w:val="ro-MD" w:eastAsia="ro-MD"/>
          <w14:ligatures w14:val="none"/>
        </w:rPr>
        <w:lastRenderedPageBreak/>
        <w:t>Strategia de dezvoltare a învățământului profesional tehnic pentru anii 2013–2020</w:t>
      </w:r>
      <w:r w:rsidRPr="00E071F1">
        <w:rPr>
          <w:rFonts w:ascii="Times New Roman" w:eastAsia="Times New Roman" w:hAnsi="Times New Roman" w:cs="Times New Roman"/>
          <w:kern w:val="0"/>
          <w:sz w:val="24"/>
          <w:szCs w:val="24"/>
          <w:lang w:val="ro-MD" w:eastAsia="ro-MD"/>
          <w14:ligatures w14:val="none"/>
        </w:rPr>
        <w:t xml:space="preserve"> (HG nr. 97/2013), care a lansat procesul de modernizare a VET și a consacrat principiile competenței, flexibilității și parteneriatului cu mediul economic. Strategia a pus bazele pentru elaborarea standardelor de calificare</w:t>
      </w:r>
      <w:r w:rsidR="00420D1B">
        <w:rPr>
          <w:rFonts w:ascii="Times New Roman" w:eastAsia="Times New Roman" w:hAnsi="Times New Roman" w:cs="Times New Roman"/>
          <w:kern w:val="0"/>
          <w:sz w:val="24"/>
          <w:szCs w:val="24"/>
          <w:lang w:val="ro-MD" w:eastAsia="ro-MD"/>
          <w14:ligatures w14:val="none"/>
        </w:rPr>
        <w:t>, curricula modulare</w:t>
      </w:r>
      <w:r w:rsidRPr="00E071F1">
        <w:rPr>
          <w:rFonts w:ascii="Times New Roman" w:eastAsia="Times New Roman" w:hAnsi="Times New Roman" w:cs="Times New Roman"/>
          <w:kern w:val="0"/>
          <w:sz w:val="24"/>
          <w:szCs w:val="24"/>
          <w:lang w:val="ro-MD" w:eastAsia="ro-MD"/>
          <w14:ligatures w14:val="none"/>
        </w:rPr>
        <w:t xml:space="preserve"> și a mecanismelor de </w:t>
      </w:r>
      <w:r w:rsidR="00E540B0">
        <w:rPr>
          <w:rFonts w:ascii="Times New Roman" w:eastAsia="Times New Roman" w:hAnsi="Times New Roman" w:cs="Times New Roman"/>
          <w:kern w:val="0"/>
          <w:sz w:val="24"/>
          <w:szCs w:val="24"/>
          <w:lang w:val="ro-MD" w:eastAsia="ro-MD"/>
          <w14:ligatures w14:val="none"/>
        </w:rPr>
        <w:t>evaluare a calității</w:t>
      </w:r>
      <w:r w:rsidRPr="00E071F1">
        <w:rPr>
          <w:rFonts w:ascii="Times New Roman" w:eastAsia="Times New Roman" w:hAnsi="Times New Roman" w:cs="Times New Roman"/>
          <w:kern w:val="0"/>
          <w:sz w:val="24"/>
          <w:szCs w:val="24"/>
          <w:lang w:val="ro-MD" w:eastAsia="ro-MD"/>
          <w14:ligatures w14:val="none"/>
        </w:rPr>
        <w:t>.</w:t>
      </w:r>
    </w:p>
    <w:p w14:paraId="5C844974" w14:textId="77777777" w:rsidR="00E071F1" w:rsidRPr="00E071F1" w:rsidRDefault="00E071F1" w:rsidP="00A41843">
      <w:pPr>
        <w:numPr>
          <w:ilvl w:val="0"/>
          <w:numId w:val="22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b/>
          <w:bCs/>
          <w:kern w:val="0"/>
          <w:sz w:val="24"/>
          <w:szCs w:val="24"/>
          <w:lang w:val="ro-MD" w:eastAsia="ro-MD"/>
          <w14:ligatures w14:val="none"/>
        </w:rPr>
        <w:t>Strategia națională de învățare pe tot parcursul vieții 2014–2020</w:t>
      </w:r>
      <w:r w:rsidRPr="00E071F1">
        <w:rPr>
          <w:rFonts w:ascii="Times New Roman" w:eastAsia="Times New Roman" w:hAnsi="Times New Roman" w:cs="Times New Roman"/>
          <w:kern w:val="0"/>
          <w:sz w:val="24"/>
          <w:szCs w:val="24"/>
          <w:lang w:val="ro-MD" w:eastAsia="ro-MD"/>
          <w14:ligatures w14:val="none"/>
        </w:rPr>
        <w:t xml:space="preserve"> (HG nr. 447/2014), care a introdus pentru prima dată conceptul de </w:t>
      </w:r>
      <w:proofErr w:type="spellStart"/>
      <w:r w:rsidRPr="00E071F1">
        <w:rPr>
          <w:rFonts w:ascii="Times New Roman" w:eastAsia="Times New Roman" w:hAnsi="Times New Roman" w:cs="Times New Roman"/>
          <w:i/>
          <w:iCs/>
          <w:kern w:val="0"/>
          <w:sz w:val="24"/>
          <w:szCs w:val="24"/>
          <w:lang w:val="ro-MD" w:eastAsia="ro-MD"/>
          <w14:ligatures w14:val="none"/>
        </w:rPr>
        <w:t>lifelong</w:t>
      </w:r>
      <w:proofErr w:type="spellEnd"/>
      <w:r w:rsidRPr="00E071F1">
        <w:rPr>
          <w:rFonts w:ascii="Times New Roman" w:eastAsia="Times New Roman" w:hAnsi="Times New Roman" w:cs="Times New Roman"/>
          <w:i/>
          <w:iCs/>
          <w:kern w:val="0"/>
          <w:sz w:val="24"/>
          <w:szCs w:val="24"/>
          <w:lang w:val="ro-MD" w:eastAsia="ro-MD"/>
          <w14:ligatures w14:val="none"/>
        </w:rPr>
        <w:t xml:space="preserve"> </w:t>
      </w:r>
      <w:proofErr w:type="spellStart"/>
      <w:r w:rsidRPr="00E071F1">
        <w:rPr>
          <w:rFonts w:ascii="Times New Roman" w:eastAsia="Times New Roman" w:hAnsi="Times New Roman" w:cs="Times New Roman"/>
          <w:i/>
          <w:iCs/>
          <w:kern w:val="0"/>
          <w:sz w:val="24"/>
          <w:szCs w:val="24"/>
          <w:lang w:val="ro-MD" w:eastAsia="ro-MD"/>
          <w14:ligatures w14:val="none"/>
        </w:rPr>
        <w:t>learning</w:t>
      </w:r>
      <w:proofErr w:type="spellEnd"/>
      <w:r w:rsidRPr="00E071F1">
        <w:rPr>
          <w:rFonts w:ascii="Times New Roman" w:eastAsia="Times New Roman" w:hAnsi="Times New Roman" w:cs="Times New Roman"/>
          <w:kern w:val="0"/>
          <w:sz w:val="24"/>
          <w:szCs w:val="24"/>
          <w:lang w:val="ro-MD" w:eastAsia="ro-MD"/>
          <w14:ligatures w14:val="none"/>
        </w:rPr>
        <w:t xml:space="preserve"> în cadrul național de politici, promovând egalitatea de șanse și recunoașterea competențelor dobândite în contexte </w:t>
      </w:r>
      <w:proofErr w:type="spellStart"/>
      <w:r w:rsidRPr="00E071F1">
        <w:rPr>
          <w:rFonts w:ascii="Times New Roman" w:eastAsia="Times New Roman" w:hAnsi="Times New Roman" w:cs="Times New Roman"/>
          <w:kern w:val="0"/>
          <w:sz w:val="24"/>
          <w:szCs w:val="24"/>
          <w:lang w:val="ro-MD" w:eastAsia="ro-MD"/>
          <w14:ligatures w14:val="none"/>
        </w:rPr>
        <w:t>nonformale</w:t>
      </w:r>
      <w:proofErr w:type="spellEnd"/>
      <w:r w:rsidRPr="00E071F1">
        <w:rPr>
          <w:rFonts w:ascii="Times New Roman" w:eastAsia="Times New Roman" w:hAnsi="Times New Roman" w:cs="Times New Roman"/>
          <w:kern w:val="0"/>
          <w:sz w:val="24"/>
          <w:szCs w:val="24"/>
          <w:lang w:val="ro-MD" w:eastAsia="ro-MD"/>
          <w14:ligatures w14:val="none"/>
        </w:rPr>
        <w:t xml:space="preserve"> și informale.</w:t>
      </w:r>
    </w:p>
    <w:p w14:paraId="5A02BBCF" w14:textId="77777777" w:rsidR="00E071F1" w:rsidRPr="00E071F1" w:rsidRDefault="00E071F1" w:rsidP="00A41843">
      <w:pPr>
        <w:numPr>
          <w:ilvl w:val="0"/>
          <w:numId w:val="22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b/>
          <w:bCs/>
          <w:kern w:val="0"/>
          <w:sz w:val="24"/>
          <w:szCs w:val="24"/>
          <w:lang w:val="ro-MD" w:eastAsia="ro-MD"/>
          <w14:ligatures w14:val="none"/>
        </w:rPr>
        <w:t>Strategia „Moldova digitală 2023”</w:t>
      </w:r>
      <w:r w:rsidRPr="00E071F1">
        <w:rPr>
          <w:rFonts w:ascii="Times New Roman" w:eastAsia="Times New Roman" w:hAnsi="Times New Roman" w:cs="Times New Roman"/>
          <w:kern w:val="0"/>
          <w:sz w:val="24"/>
          <w:szCs w:val="24"/>
          <w:lang w:val="ro-MD" w:eastAsia="ro-MD"/>
          <w14:ligatures w14:val="none"/>
        </w:rPr>
        <w:t xml:space="preserve"> (HG nr. 857/2018), care a extins componenta digitală în educație și formare, contribuind la dezvoltarea competențelor digitale și la crearea infrastructurii pentru gestionarea calificărilor.</w:t>
      </w:r>
    </w:p>
    <w:p w14:paraId="35EBD7C8" w14:textId="77777777" w:rsidR="00E071F1" w:rsidRDefault="00E071F1" w:rsidP="00A41843">
      <w:pPr>
        <w:numPr>
          <w:ilvl w:val="0"/>
          <w:numId w:val="22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b/>
          <w:bCs/>
          <w:kern w:val="0"/>
          <w:sz w:val="24"/>
          <w:szCs w:val="24"/>
          <w:lang w:val="ro-MD" w:eastAsia="ro-MD"/>
          <w14:ligatures w14:val="none"/>
        </w:rPr>
        <w:t>Programele naționale pentru tineret și ocupare (2017–2021)</w:t>
      </w:r>
      <w:r w:rsidRPr="00E071F1">
        <w:rPr>
          <w:rFonts w:ascii="Times New Roman" w:eastAsia="Times New Roman" w:hAnsi="Times New Roman" w:cs="Times New Roman"/>
          <w:kern w:val="0"/>
          <w:sz w:val="24"/>
          <w:szCs w:val="24"/>
          <w:lang w:val="ro-MD" w:eastAsia="ro-MD"/>
          <w14:ligatures w14:val="none"/>
        </w:rPr>
        <w:t>, care au introdus o abordare intersectorială a educației, formării și ocupării, stimulând participarea tinerilor și a partenerilor sociali în dezvoltarea competențelor profesionale.</w:t>
      </w:r>
    </w:p>
    <w:p w14:paraId="2D28C8C3" w14:textId="71737B8C" w:rsidR="006B1F4A" w:rsidRPr="00E071F1" w:rsidRDefault="006B1F4A" w:rsidP="00A41843">
      <w:pPr>
        <w:numPr>
          <w:ilvl w:val="0"/>
          <w:numId w:val="22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42B07">
        <w:rPr>
          <w:rFonts w:ascii="Times New Roman" w:eastAsia="Times New Roman" w:hAnsi="Times New Roman" w:cs="Times New Roman"/>
          <w:b/>
          <w:bCs/>
          <w:kern w:val="0"/>
          <w:sz w:val="24"/>
          <w:szCs w:val="24"/>
          <w:lang w:val="ro-MD" w:eastAsia="ro-MD"/>
          <w14:ligatures w14:val="none"/>
        </w:rPr>
        <w:t>Strategi</w:t>
      </w:r>
      <w:r w:rsidR="00403874" w:rsidRPr="00842B07">
        <w:rPr>
          <w:rFonts w:ascii="Times New Roman" w:eastAsia="Times New Roman" w:hAnsi="Times New Roman" w:cs="Times New Roman"/>
          <w:b/>
          <w:bCs/>
          <w:kern w:val="0"/>
          <w:sz w:val="24"/>
          <w:szCs w:val="24"/>
          <w:lang w:val="ro-MD" w:eastAsia="ro-MD"/>
          <w14:ligatures w14:val="none"/>
        </w:rPr>
        <w:t>a</w:t>
      </w:r>
      <w:r w:rsidRPr="00842B07">
        <w:rPr>
          <w:rFonts w:ascii="Times New Roman" w:eastAsia="Times New Roman" w:hAnsi="Times New Roman" w:cs="Times New Roman"/>
          <w:b/>
          <w:bCs/>
          <w:kern w:val="0"/>
          <w:sz w:val="24"/>
          <w:szCs w:val="24"/>
          <w:lang w:val="ro-MD" w:eastAsia="ro-MD"/>
          <w14:ligatures w14:val="none"/>
        </w:rPr>
        <w:t xml:space="preserve"> național</w:t>
      </w:r>
      <w:r w:rsidR="00403874" w:rsidRPr="00842B07">
        <w:rPr>
          <w:rFonts w:ascii="Times New Roman" w:eastAsia="Times New Roman" w:hAnsi="Times New Roman" w:cs="Times New Roman"/>
          <w:b/>
          <w:bCs/>
          <w:kern w:val="0"/>
          <w:sz w:val="24"/>
          <w:szCs w:val="24"/>
          <w:lang w:val="ro-MD" w:eastAsia="ro-MD"/>
          <w14:ligatures w14:val="none"/>
        </w:rPr>
        <w:t>ă</w:t>
      </w:r>
      <w:r w:rsidRPr="00842B07">
        <w:rPr>
          <w:rFonts w:ascii="Times New Roman" w:eastAsia="Times New Roman" w:hAnsi="Times New Roman" w:cs="Times New Roman"/>
          <w:b/>
          <w:bCs/>
          <w:kern w:val="0"/>
          <w:sz w:val="24"/>
          <w:szCs w:val="24"/>
          <w:lang w:val="ro-MD" w:eastAsia="ro-MD"/>
          <w14:ligatures w14:val="none"/>
        </w:rPr>
        <w:t xml:space="preserve"> privind ocuparea forței de muncă 2017–2021</w:t>
      </w:r>
      <w:r w:rsidRPr="006B1F4A">
        <w:rPr>
          <w:rFonts w:ascii="Times New Roman" w:eastAsia="Times New Roman" w:hAnsi="Times New Roman" w:cs="Times New Roman"/>
          <w:kern w:val="0"/>
          <w:sz w:val="24"/>
          <w:szCs w:val="24"/>
          <w:lang w:val="ro-MD" w:eastAsia="ro-MD"/>
          <w14:ligatures w14:val="none"/>
        </w:rPr>
        <w:t xml:space="preserve"> (HG nr. 1473/2016)</w:t>
      </w:r>
      <w:r w:rsidR="006D7341">
        <w:rPr>
          <w:rFonts w:ascii="Times New Roman" w:eastAsia="Times New Roman" w:hAnsi="Times New Roman" w:cs="Times New Roman"/>
          <w:kern w:val="0"/>
          <w:sz w:val="24"/>
          <w:szCs w:val="24"/>
          <w:lang w:val="ro-MD" w:eastAsia="ro-MD"/>
          <w14:ligatures w14:val="none"/>
        </w:rPr>
        <w:t xml:space="preserve">, </w:t>
      </w:r>
      <w:r w:rsidR="00EA395A" w:rsidRPr="00EA395A">
        <w:rPr>
          <w:rFonts w:ascii="Times New Roman" w:eastAsia="Times New Roman" w:hAnsi="Times New Roman" w:cs="Times New Roman"/>
          <w:kern w:val="0"/>
          <w:sz w:val="24"/>
          <w:szCs w:val="24"/>
          <w:lang w:val="ro-MD" w:eastAsia="ro-MD"/>
          <w14:ligatures w14:val="none"/>
        </w:rPr>
        <w:t>ale cărei rezultate de implementare au oferit lecții valoroase privind atingerea indicatorilor pieței muncii</w:t>
      </w:r>
      <w:r w:rsidR="00EA395A">
        <w:rPr>
          <w:rFonts w:ascii="Times New Roman" w:eastAsia="Times New Roman" w:hAnsi="Times New Roman" w:cs="Times New Roman"/>
          <w:kern w:val="0"/>
          <w:sz w:val="24"/>
          <w:szCs w:val="24"/>
          <w:lang w:val="ro-MD" w:eastAsia="ro-MD"/>
          <w14:ligatures w14:val="none"/>
        </w:rPr>
        <w:t>:</w:t>
      </w:r>
      <w:r w:rsidR="00EA395A" w:rsidRPr="00EA395A">
        <w:rPr>
          <w:rFonts w:ascii="Times New Roman" w:eastAsia="Times New Roman" w:hAnsi="Times New Roman" w:cs="Times New Roman"/>
          <w:kern w:val="0"/>
          <w:sz w:val="24"/>
          <w:szCs w:val="24"/>
          <w:lang w:val="ro-MD" w:eastAsia="ro-MD"/>
          <w14:ligatures w14:val="none"/>
        </w:rPr>
        <w:t xml:space="preserve"> rata de ocupare, ponderea muncii nedeclarate, gradul de activitate al tinerilor și al femeilor.</w:t>
      </w:r>
    </w:p>
    <w:p w14:paraId="19AAE8D5" w14:textId="6A47C513" w:rsidR="00E071F1" w:rsidRPr="00B81D86" w:rsidRDefault="00E071F1" w:rsidP="004066C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E071F1">
        <w:rPr>
          <w:rFonts w:ascii="Times New Roman" w:eastAsia="Times New Roman" w:hAnsi="Times New Roman" w:cs="Times New Roman"/>
          <w:kern w:val="0"/>
          <w:sz w:val="24"/>
          <w:szCs w:val="24"/>
          <w:lang w:val="ro-MD" w:eastAsia="ro-MD"/>
          <w14:ligatures w14:val="none"/>
        </w:rPr>
        <w:t xml:space="preserve">Aceste documente au </w:t>
      </w:r>
      <w:r w:rsidRPr="00B81D86">
        <w:rPr>
          <w:rFonts w:ascii="Times New Roman" w:eastAsia="Times New Roman" w:hAnsi="Times New Roman" w:cs="Times New Roman"/>
          <w:kern w:val="0"/>
          <w:sz w:val="24"/>
          <w:szCs w:val="24"/>
          <w:lang w:val="ro-MD" w:eastAsia="ro-MD"/>
          <w14:ligatures w14:val="none"/>
        </w:rPr>
        <w:t>fost pilonii de tranziție către strategiile actuale din perioada 2022–2030, oferind</w:t>
      </w:r>
      <w:r w:rsidR="004066C7" w:rsidRPr="00B81D86">
        <w:rPr>
          <w:rFonts w:ascii="Times New Roman" w:eastAsia="Times New Roman" w:hAnsi="Times New Roman" w:cs="Times New Roman"/>
          <w:kern w:val="0"/>
          <w:sz w:val="24"/>
          <w:szCs w:val="24"/>
          <w:lang w:val="ro-MD" w:eastAsia="ro-MD"/>
          <w14:ligatures w14:val="none"/>
        </w:rPr>
        <w:t xml:space="preserve"> </w:t>
      </w:r>
      <w:r w:rsidRPr="00B81D86">
        <w:rPr>
          <w:rFonts w:ascii="Times New Roman" w:eastAsia="Times New Roman" w:hAnsi="Times New Roman" w:cs="Times New Roman"/>
          <w:kern w:val="0"/>
          <w:sz w:val="24"/>
          <w:szCs w:val="24"/>
          <w:lang w:val="ro-MD" w:eastAsia="ro-MD"/>
          <w14:ligatures w14:val="none"/>
        </w:rPr>
        <w:t>baza conceptuală pentru Strategia „Educația 2030”</w:t>
      </w:r>
      <w:r w:rsidR="004066C7" w:rsidRPr="00B81D86">
        <w:rPr>
          <w:rFonts w:ascii="Times New Roman" w:eastAsia="Times New Roman" w:hAnsi="Times New Roman" w:cs="Times New Roman"/>
          <w:kern w:val="0"/>
          <w:sz w:val="24"/>
          <w:szCs w:val="24"/>
          <w:lang w:val="ro-MD" w:eastAsia="ro-MD"/>
          <w14:ligatures w14:val="none"/>
        </w:rPr>
        <w:t xml:space="preserve">, </w:t>
      </w:r>
      <w:r w:rsidRPr="00B81D86">
        <w:rPr>
          <w:rFonts w:ascii="Times New Roman" w:eastAsia="Times New Roman" w:hAnsi="Times New Roman" w:cs="Times New Roman"/>
          <w:kern w:val="0"/>
          <w:sz w:val="24"/>
          <w:szCs w:val="24"/>
          <w:lang w:val="ro-MD" w:eastAsia="ro-MD"/>
          <w14:ligatures w14:val="none"/>
        </w:rPr>
        <w:t>experiența instituțională pentru Foaia de parcurs CNC 2023–2027</w:t>
      </w:r>
      <w:r w:rsidR="004066C7" w:rsidRPr="00B81D86">
        <w:rPr>
          <w:rFonts w:ascii="Times New Roman" w:eastAsia="Times New Roman" w:hAnsi="Times New Roman" w:cs="Times New Roman"/>
          <w:kern w:val="0"/>
          <w:sz w:val="24"/>
          <w:szCs w:val="24"/>
          <w:lang w:val="ro-MD" w:eastAsia="ro-MD"/>
          <w14:ligatures w14:val="none"/>
        </w:rPr>
        <w:t>,</w:t>
      </w:r>
      <w:r w:rsidR="009B7D3A" w:rsidRPr="00B81D86">
        <w:rPr>
          <w:rFonts w:ascii="Times New Roman" w:eastAsia="Times New Roman" w:hAnsi="Times New Roman" w:cs="Times New Roman"/>
          <w:kern w:val="0"/>
          <w:sz w:val="24"/>
          <w:szCs w:val="24"/>
          <w:lang w:val="ro-MD" w:eastAsia="ro-MD"/>
          <w14:ligatures w14:val="none"/>
        </w:rPr>
        <w:t xml:space="preserve"> </w:t>
      </w:r>
      <w:r w:rsidRPr="00B81D86">
        <w:rPr>
          <w:rFonts w:ascii="Times New Roman" w:eastAsia="Times New Roman" w:hAnsi="Times New Roman" w:cs="Times New Roman"/>
          <w:kern w:val="0"/>
          <w:sz w:val="24"/>
          <w:szCs w:val="24"/>
          <w:lang w:val="ro-MD" w:eastAsia="ro-MD"/>
          <w14:ligatures w14:val="none"/>
        </w:rPr>
        <w:t>și cadrul de cooperare pentru politicile de ocupare și incluziune adoptate ulterior.</w:t>
      </w:r>
    </w:p>
    <w:p w14:paraId="4CB30619" w14:textId="77777777" w:rsidR="00E071F1" w:rsidRDefault="00E071F1" w:rsidP="0084107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81D86">
        <w:rPr>
          <w:rFonts w:ascii="Times New Roman" w:eastAsia="Times New Roman" w:hAnsi="Times New Roman" w:cs="Times New Roman"/>
          <w:kern w:val="0"/>
          <w:sz w:val="24"/>
          <w:szCs w:val="24"/>
          <w:lang w:val="ro-MD" w:eastAsia="ro-MD"/>
          <w14:ligatures w14:val="none"/>
        </w:rPr>
        <w:t>Prin urmare, politicile 2013–2020 nu trebuie privite doar ca documente istorice, ci ca etapa de construcție a arhitecturii sistemului național al calificărilor</w:t>
      </w:r>
      <w:r w:rsidRPr="00E071F1">
        <w:rPr>
          <w:rFonts w:ascii="Times New Roman" w:eastAsia="Times New Roman" w:hAnsi="Times New Roman" w:cs="Times New Roman"/>
          <w:kern w:val="0"/>
          <w:sz w:val="24"/>
          <w:szCs w:val="24"/>
          <w:lang w:val="ro-MD" w:eastAsia="ro-MD"/>
          <w14:ligatures w14:val="none"/>
        </w:rPr>
        <w:t>, care a făcut posibilă actuala fază de consolidare și referențiere internațională a CNC.</w:t>
      </w:r>
    </w:p>
    <w:p w14:paraId="3AA86500" w14:textId="494E08B7" w:rsidR="00220103" w:rsidRDefault="00D36509" w:rsidP="00841076">
      <w:pPr>
        <w:pStyle w:val="af8"/>
        <w:spacing w:before="120" w:beforeAutospacing="0" w:after="120" w:afterAutospacing="0" w:line="276" w:lineRule="auto"/>
        <w:jc w:val="both"/>
      </w:pPr>
      <w:r>
        <w:t>Astfel, e</w:t>
      </w:r>
      <w:r w:rsidR="00B43D19" w:rsidRPr="00841076">
        <w:t xml:space="preserve">voluția cadrului de politici din perioada 2013–2030 demonstrează o </w:t>
      </w:r>
      <w:r w:rsidR="00B43D19" w:rsidRPr="00D36509">
        <w:rPr>
          <w:rStyle w:val="af9"/>
          <w:rFonts w:eastAsiaTheme="majorEastAsia"/>
          <w:b w:val="0"/>
          <w:bCs w:val="0"/>
        </w:rPr>
        <w:t>continuitate strategică între viziune și reglementare</w:t>
      </w:r>
      <w:r w:rsidR="00B43D19" w:rsidRPr="00D36509">
        <w:rPr>
          <w:b/>
          <w:bCs/>
        </w:rPr>
        <w:t>,</w:t>
      </w:r>
      <w:r w:rsidR="00B43D19" w:rsidRPr="00841076">
        <w:t xml:space="preserve"> în care obiectivele stabilite la nivel de politici publice au fost treptat transpuse în instrumente juridice și instituționale concrete.</w:t>
      </w:r>
      <w:r w:rsidR="00DA6144">
        <w:t xml:space="preserve"> </w:t>
      </w:r>
    </w:p>
    <w:p w14:paraId="52F30047" w14:textId="71934AC5" w:rsidR="00B43D19" w:rsidRPr="00A25EA6" w:rsidRDefault="00B43D19" w:rsidP="00841076">
      <w:pPr>
        <w:pStyle w:val="af8"/>
        <w:spacing w:before="120" w:beforeAutospacing="0" w:after="120" w:afterAutospacing="0" w:line="276" w:lineRule="auto"/>
        <w:jc w:val="both"/>
        <w:rPr>
          <w:b/>
          <w:bCs/>
          <w:lang w:val="ro-MD"/>
        </w:rPr>
      </w:pPr>
      <w:r w:rsidRPr="00841076">
        <w:t xml:space="preserve">Această convergență între dimensiunea strategică și cea normativă a permis Republicii Moldova să treacă de la un sistem în tranziție </w:t>
      </w:r>
      <w:r w:rsidRPr="00A25EA6">
        <w:t xml:space="preserve">la un </w:t>
      </w:r>
      <w:r w:rsidRPr="00A25EA6">
        <w:rPr>
          <w:rStyle w:val="af9"/>
          <w:rFonts w:eastAsiaTheme="majorEastAsia"/>
          <w:b w:val="0"/>
          <w:bCs w:val="0"/>
        </w:rPr>
        <w:t>sistem consolidat, guvernat prin mecanisme clare de calitate, transparență și participare</w:t>
      </w:r>
      <w:r w:rsidRPr="00A25EA6">
        <w:rPr>
          <w:b/>
          <w:bCs/>
        </w:rPr>
        <w:t>.</w:t>
      </w:r>
    </w:p>
    <w:p w14:paraId="4F5E95AF" w14:textId="3AA396CA" w:rsidR="00B43D19" w:rsidRPr="00A25EA6" w:rsidRDefault="006D0F8E" w:rsidP="00841076">
      <w:pPr>
        <w:pStyle w:val="af8"/>
        <w:spacing w:before="120" w:beforeAutospacing="0" w:after="120" w:afterAutospacing="0" w:line="276" w:lineRule="auto"/>
        <w:jc w:val="both"/>
      </w:pPr>
      <w:r>
        <w:t>U</w:t>
      </w:r>
      <w:r w:rsidR="00B43D19" w:rsidRPr="00A25EA6">
        <w:t xml:space="preserve">rmătorul subcapitol examinează </w:t>
      </w:r>
      <w:r w:rsidR="00B43D19" w:rsidRPr="00A25EA6">
        <w:rPr>
          <w:rStyle w:val="af9"/>
          <w:rFonts w:eastAsiaTheme="majorEastAsia"/>
          <w:b w:val="0"/>
          <w:bCs w:val="0"/>
        </w:rPr>
        <w:t>cadrul legislativ și instituțional</w:t>
      </w:r>
      <w:r w:rsidR="00B43D19" w:rsidRPr="00A25EA6">
        <w:t xml:space="preserve"> care susține implementarea acestor politici și asigură funcționalitatea </w:t>
      </w:r>
      <w:r>
        <w:t>CNC</w:t>
      </w:r>
      <w:r w:rsidR="007A2098">
        <w:t xml:space="preserve"> -</w:t>
      </w:r>
      <w:r w:rsidR="00B43D19" w:rsidRPr="00A25EA6">
        <w:t xml:space="preserve"> fundament al procesului de </w:t>
      </w:r>
      <w:r w:rsidR="00B43D19" w:rsidRPr="00A25EA6">
        <w:rPr>
          <w:rStyle w:val="af9"/>
          <w:rFonts w:eastAsiaTheme="majorEastAsia"/>
          <w:b w:val="0"/>
          <w:bCs w:val="0"/>
        </w:rPr>
        <w:t xml:space="preserve">referențiere la EQF și </w:t>
      </w:r>
      <w:proofErr w:type="spellStart"/>
      <w:r w:rsidR="00B43D19" w:rsidRPr="00A25EA6">
        <w:rPr>
          <w:rStyle w:val="af9"/>
          <w:rFonts w:eastAsiaTheme="majorEastAsia"/>
          <w:b w:val="0"/>
          <w:bCs w:val="0"/>
        </w:rPr>
        <w:t>autocertificare</w:t>
      </w:r>
      <w:proofErr w:type="spellEnd"/>
      <w:r w:rsidR="00B43D19" w:rsidRPr="00A25EA6">
        <w:rPr>
          <w:rStyle w:val="af9"/>
          <w:rFonts w:eastAsiaTheme="majorEastAsia"/>
          <w:b w:val="0"/>
          <w:bCs w:val="0"/>
        </w:rPr>
        <w:t xml:space="preserve"> față de QF-EHEA.</w:t>
      </w:r>
    </w:p>
    <w:p w14:paraId="089C4CA2" w14:textId="0E44F2E2" w:rsidR="008C69EA" w:rsidRPr="008C69EA" w:rsidRDefault="00586C71" w:rsidP="005C4FE9">
      <w:pPr>
        <w:pStyle w:val="af8"/>
        <w:spacing w:before="120" w:beforeAutospacing="0" w:after="120" w:afterAutospacing="0" w:line="276" w:lineRule="auto"/>
        <w:jc w:val="both"/>
        <w:rPr>
          <w:b/>
          <w:bCs/>
          <w:color w:val="3494BA" w:themeColor="accent1"/>
        </w:rPr>
      </w:pPr>
      <w:r>
        <w:rPr>
          <w:b/>
          <w:bCs/>
          <w:color w:val="3494BA" w:themeColor="accent1"/>
        </w:rPr>
        <w:t xml:space="preserve">2.3 </w:t>
      </w:r>
      <w:r w:rsidR="00B64D87" w:rsidRPr="008C69EA">
        <w:rPr>
          <w:b/>
          <w:bCs/>
          <w:color w:val="3494BA" w:themeColor="accent1"/>
        </w:rPr>
        <w:t xml:space="preserve">Cadrul </w:t>
      </w:r>
      <w:r w:rsidR="00551A40" w:rsidRPr="008C69EA">
        <w:rPr>
          <w:b/>
          <w:bCs/>
          <w:color w:val="3494BA" w:themeColor="accent1"/>
        </w:rPr>
        <w:t>legislati</w:t>
      </w:r>
      <w:r w:rsidR="008C69EA" w:rsidRPr="008C69EA">
        <w:rPr>
          <w:b/>
          <w:bCs/>
          <w:color w:val="3494BA" w:themeColor="accent1"/>
        </w:rPr>
        <w:t>v</w:t>
      </w:r>
      <w:r w:rsidR="00B64D87" w:rsidRPr="008C69EA">
        <w:rPr>
          <w:b/>
          <w:bCs/>
          <w:color w:val="3494BA" w:themeColor="accent1"/>
        </w:rPr>
        <w:t xml:space="preserve"> național</w:t>
      </w:r>
      <w:r w:rsidR="002D0E13" w:rsidRPr="00CC409D">
        <w:rPr>
          <w:b/>
          <w:bCs/>
          <w:color w:val="3494BA" w:themeColor="accent1"/>
        </w:rPr>
        <w:t xml:space="preserve"> de implementare a politicilor</w:t>
      </w:r>
    </w:p>
    <w:p w14:paraId="7C10283A" w14:textId="37BC087E" w:rsidR="00B64D87" w:rsidRPr="0020102C" w:rsidRDefault="000B55BB" w:rsidP="005C4FE9">
      <w:pPr>
        <w:pStyle w:val="af8"/>
        <w:spacing w:before="120" w:beforeAutospacing="0" w:after="120" w:afterAutospacing="0" w:line="276" w:lineRule="auto"/>
        <w:jc w:val="both"/>
      </w:pPr>
      <w:r w:rsidRPr="000B55BB">
        <w:t>Implementarea politicilor educaționale și a celor privind formarea profesională se realizează printr-un cadru legislativ robust, care reglementează structura sistemului de educație, parteneriatul educație</w:t>
      </w:r>
      <w:r w:rsidR="0056254E">
        <w:t>-</w:t>
      </w:r>
      <w:r w:rsidRPr="000B55BB">
        <w:t>piața muncii și mecanismele de asigurare a calității. Printre principalele documente care fundamentează aceste politici se numără</w:t>
      </w:r>
      <w:r w:rsidR="00B64D87" w:rsidRPr="0020102C">
        <w:t>:</w:t>
      </w:r>
    </w:p>
    <w:p w14:paraId="12E4377A" w14:textId="4380C2D8" w:rsidR="00B64D87" w:rsidRPr="0020102C" w:rsidRDefault="00B64D87" w:rsidP="00A41843">
      <w:pPr>
        <w:pStyle w:val="af8"/>
        <w:numPr>
          <w:ilvl w:val="0"/>
          <w:numId w:val="11"/>
        </w:numPr>
        <w:spacing w:before="120" w:beforeAutospacing="0" w:after="120" w:afterAutospacing="0" w:line="276" w:lineRule="auto"/>
        <w:jc w:val="both"/>
      </w:pPr>
      <w:r w:rsidRPr="0020102C">
        <w:rPr>
          <w:rStyle w:val="af9"/>
          <w:rFonts w:eastAsiaTheme="majorEastAsia"/>
        </w:rPr>
        <w:t xml:space="preserve">Codul educației </w:t>
      </w:r>
      <w:r w:rsidR="00B14BEF">
        <w:rPr>
          <w:rStyle w:val="af9"/>
          <w:rFonts w:eastAsiaTheme="majorEastAsia"/>
        </w:rPr>
        <w:t xml:space="preserve">al </w:t>
      </w:r>
      <w:r w:rsidR="000C2E3B">
        <w:rPr>
          <w:rStyle w:val="af9"/>
          <w:rFonts w:eastAsiaTheme="majorEastAsia"/>
        </w:rPr>
        <w:t xml:space="preserve">Republicii Moldova </w:t>
      </w:r>
      <w:r w:rsidRPr="0020102C">
        <w:rPr>
          <w:rStyle w:val="af9"/>
          <w:rFonts w:eastAsiaTheme="majorEastAsia"/>
        </w:rPr>
        <w:t>nr. 152/2014</w:t>
      </w:r>
      <w:r w:rsidR="00520838">
        <w:rPr>
          <w:rStyle w:val="afc"/>
          <w:rFonts w:eastAsiaTheme="majorEastAsia"/>
          <w:b/>
          <w:bCs/>
        </w:rPr>
        <w:footnoteReference w:id="20"/>
      </w:r>
      <w:r w:rsidR="00E92891" w:rsidRPr="00E92891">
        <w:rPr>
          <w:rStyle w:val="af9"/>
          <w:rFonts w:eastAsiaTheme="majorEastAsia"/>
          <w:b w:val="0"/>
          <w:bCs w:val="0"/>
        </w:rPr>
        <w:t xml:space="preserve"> (cu modificările ulterioare)</w:t>
      </w:r>
      <w:r w:rsidR="00215935" w:rsidRPr="00E92891">
        <w:rPr>
          <w:rStyle w:val="af9"/>
          <w:rFonts w:eastAsiaTheme="majorEastAsia"/>
          <w:b w:val="0"/>
          <w:bCs w:val="0"/>
        </w:rPr>
        <w:t xml:space="preserve"> </w:t>
      </w:r>
      <w:r w:rsidR="00E32E6D" w:rsidRPr="00E92891">
        <w:rPr>
          <w:b/>
          <w:bCs/>
        </w:rPr>
        <w:t xml:space="preserve">- </w:t>
      </w:r>
      <w:r w:rsidR="00E32E6D" w:rsidRPr="00E32E6D">
        <w:t xml:space="preserve">stabilește principiile generale de organizare a sistemului educațional, structura nivelurilor de învățământ, </w:t>
      </w:r>
      <w:r w:rsidR="00E32E6D" w:rsidRPr="00E32E6D">
        <w:lastRenderedPageBreak/>
        <w:t xml:space="preserve">mecanismele de asigurare a calității și definește rolul </w:t>
      </w:r>
      <w:r w:rsidR="009E27C2">
        <w:t xml:space="preserve">central al </w:t>
      </w:r>
      <w:r w:rsidR="00E32E6D" w:rsidRPr="00E32E6D">
        <w:t>CNC în arhitectura națională a calificărilor</w:t>
      </w:r>
      <w:r w:rsidR="00454A42">
        <w:t>,</w:t>
      </w:r>
      <w:r w:rsidR="00E15459">
        <w:t xml:space="preserve"> </w:t>
      </w:r>
      <w:r w:rsidR="00454A42" w:rsidRPr="00454A42">
        <w:t>ca instrument de corelare între sistemele de educație, formare și piața muncii</w:t>
      </w:r>
      <w:r w:rsidRPr="0020102C">
        <w:t>.</w:t>
      </w:r>
    </w:p>
    <w:p w14:paraId="18DB0204" w14:textId="2884AF4B" w:rsidR="007D4B30" w:rsidRPr="0020102C" w:rsidRDefault="007D4B30" w:rsidP="00A41843">
      <w:pPr>
        <w:pStyle w:val="af8"/>
        <w:numPr>
          <w:ilvl w:val="0"/>
          <w:numId w:val="11"/>
        </w:numPr>
        <w:spacing w:before="120" w:beforeAutospacing="0" w:after="120" w:afterAutospacing="0" w:line="276" w:lineRule="auto"/>
        <w:jc w:val="both"/>
      </w:pPr>
      <w:r w:rsidRPr="0020102C">
        <w:rPr>
          <w:rStyle w:val="af9"/>
          <w:rFonts w:eastAsiaTheme="majorEastAsia"/>
        </w:rPr>
        <w:t xml:space="preserve">Legea nr. 110/2022 </w:t>
      </w:r>
      <w:r w:rsidR="00D037A2">
        <w:rPr>
          <w:rStyle w:val="af9"/>
          <w:rFonts w:eastAsiaTheme="majorEastAsia"/>
        </w:rPr>
        <w:t>cu privire la</w:t>
      </w:r>
      <w:r w:rsidRPr="0020102C">
        <w:rPr>
          <w:rStyle w:val="af9"/>
          <w:rFonts w:eastAsiaTheme="majorEastAsia"/>
        </w:rPr>
        <w:t xml:space="preserve"> învățământul dual</w:t>
      </w:r>
      <w:r w:rsidR="002B79E2">
        <w:rPr>
          <w:rStyle w:val="afc"/>
          <w:rFonts w:eastAsiaTheme="majorEastAsia"/>
          <w:b/>
          <w:bCs/>
        </w:rPr>
        <w:footnoteReference w:id="21"/>
      </w:r>
      <w:r w:rsidR="00807979">
        <w:t xml:space="preserve"> -</w:t>
      </w:r>
      <w:r w:rsidRPr="0020102C">
        <w:t xml:space="preserve"> </w:t>
      </w:r>
      <w:r w:rsidR="00807979" w:rsidRPr="00807979">
        <w:t xml:space="preserve">reglementează </w:t>
      </w:r>
      <w:r w:rsidR="00C061E5" w:rsidRPr="00C061E5">
        <w:t>învățământul dual ca formă de organizare a învățământului profesional tehnic prevăzută de Codul educației</w:t>
      </w:r>
      <w:r w:rsidR="00E06464">
        <w:t xml:space="preserve">, precum și </w:t>
      </w:r>
      <w:r w:rsidR="00807979" w:rsidRPr="00807979">
        <w:t>parteneriatul dintre instituțiile de învățământ profesional tehnic și agenții economici, consolidând conexiunea dintre educație și piața muncii, în spiritul recomandărilor europene privind învățarea la locul de muncă (</w:t>
      </w:r>
      <w:proofErr w:type="spellStart"/>
      <w:r w:rsidR="00807979" w:rsidRPr="00807979">
        <w:t>Work-Based</w:t>
      </w:r>
      <w:proofErr w:type="spellEnd"/>
      <w:r w:rsidR="00807979" w:rsidRPr="00807979">
        <w:t xml:space="preserve"> </w:t>
      </w:r>
      <w:proofErr w:type="spellStart"/>
      <w:r w:rsidR="00807979" w:rsidRPr="00807979">
        <w:t>Learning</w:t>
      </w:r>
      <w:proofErr w:type="spellEnd"/>
      <w:r w:rsidR="00807979" w:rsidRPr="00807979">
        <w:t>)</w:t>
      </w:r>
      <w:r w:rsidRPr="0020102C">
        <w:t>.</w:t>
      </w:r>
    </w:p>
    <w:p w14:paraId="6BF12554" w14:textId="25D79D5B" w:rsidR="00B64D87" w:rsidRDefault="00B64D87" w:rsidP="00A41843">
      <w:pPr>
        <w:pStyle w:val="af8"/>
        <w:numPr>
          <w:ilvl w:val="0"/>
          <w:numId w:val="11"/>
        </w:numPr>
        <w:spacing w:before="120" w:beforeAutospacing="0" w:after="120" w:afterAutospacing="0" w:line="276" w:lineRule="auto"/>
        <w:jc w:val="both"/>
      </w:pPr>
      <w:r w:rsidRPr="0020102C">
        <w:rPr>
          <w:rStyle w:val="af9"/>
          <w:rFonts w:eastAsiaTheme="majorEastAsia"/>
        </w:rPr>
        <w:t>Hotărârea Guvernului nr. 330/2023</w:t>
      </w:r>
      <w:r w:rsidR="004C3EFD">
        <w:rPr>
          <w:rStyle w:val="afc"/>
          <w:rFonts w:eastAsiaTheme="majorEastAsia"/>
          <w:b/>
          <w:bCs/>
        </w:rPr>
        <w:footnoteReference w:id="22"/>
      </w:r>
      <w:r w:rsidRPr="0020102C">
        <w:t xml:space="preserve"> </w:t>
      </w:r>
      <w:r w:rsidR="00C469EF">
        <w:t>-</w:t>
      </w:r>
      <w:r w:rsidRPr="0020102C">
        <w:t xml:space="preserve"> </w:t>
      </w:r>
      <w:r w:rsidR="00900B32">
        <w:t>r</w:t>
      </w:r>
      <w:r w:rsidR="00A4086B" w:rsidRPr="00A4086B">
        <w:rPr>
          <w:rFonts w:eastAsiaTheme="majorEastAsia"/>
          <w:bCs/>
        </w:rPr>
        <w:t xml:space="preserve">edefinește structura CNC, transformându-l într-un cadru integrat pentru învățarea pe tot parcursul vieții, aliniat la principiile EQF și QF-EHEA. Prin aprobarea </w:t>
      </w:r>
      <w:r w:rsidR="00A4086B" w:rsidRPr="00900B32">
        <w:rPr>
          <w:rFonts w:eastAsiaTheme="majorEastAsia"/>
          <w:bCs/>
          <w:i/>
          <w:iCs/>
        </w:rPr>
        <w:t>Foii de parcurs pentru operaționalizarea CNC 2023–2027</w:t>
      </w:r>
      <w:r w:rsidR="00A4086B" w:rsidRPr="00A4086B">
        <w:rPr>
          <w:rFonts w:eastAsiaTheme="majorEastAsia"/>
          <w:bCs/>
        </w:rPr>
        <w:t>, documentul oferă direcții strategice și pași concreți pentru implementarea deplină a CNC, incl</w:t>
      </w:r>
      <w:r w:rsidR="005B2766">
        <w:rPr>
          <w:rFonts w:eastAsiaTheme="majorEastAsia"/>
          <w:bCs/>
        </w:rPr>
        <w:t>usiv</w:t>
      </w:r>
      <w:r w:rsidR="00A4086B" w:rsidRPr="00A4086B">
        <w:rPr>
          <w:rFonts w:eastAsiaTheme="majorEastAsia"/>
          <w:bCs/>
        </w:rPr>
        <w:t xml:space="preserve"> actualizarea cadrului normativ, dezvoltarea standardelor de calificare, consolidarea sistemului de asigurare a calității, crearea platformei de dialog cu actorii-cheie și pregătirea procesului de referențiere la EQF și de </w:t>
      </w:r>
      <w:proofErr w:type="spellStart"/>
      <w:r w:rsidR="00A4086B" w:rsidRPr="00A4086B">
        <w:rPr>
          <w:rFonts w:eastAsiaTheme="majorEastAsia"/>
          <w:bCs/>
        </w:rPr>
        <w:t>autocertificare</w:t>
      </w:r>
      <w:proofErr w:type="spellEnd"/>
      <w:r w:rsidR="00A4086B" w:rsidRPr="00A4086B">
        <w:rPr>
          <w:rFonts w:eastAsiaTheme="majorEastAsia"/>
          <w:bCs/>
        </w:rPr>
        <w:t xml:space="preserve"> la QF-EHEA.</w:t>
      </w:r>
      <w:r w:rsidRPr="0020102C">
        <w:t>.</w:t>
      </w:r>
    </w:p>
    <w:p w14:paraId="1B48D4EB" w14:textId="482BB3AC" w:rsidR="00AD6607" w:rsidRPr="005B3642" w:rsidRDefault="00AD6607" w:rsidP="00A41843">
      <w:pPr>
        <w:pStyle w:val="a7"/>
        <w:numPr>
          <w:ilvl w:val="0"/>
          <w:numId w:val="11"/>
        </w:numPr>
        <w:spacing w:before="120" w:after="120" w:line="276" w:lineRule="auto"/>
        <w:jc w:val="both"/>
      </w:pPr>
      <w:bookmarkStart w:id="10" w:name="_Hlk211179219"/>
      <w:r w:rsidRPr="00B65901">
        <w:rPr>
          <w:rFonts w:ascii="Times New Roman" w:eastAsia="Times New Roman" w:hAnsi="Times New Roman" w:cs="Times New Roman"/>
          <w:b/>
          <w:bCs/>
          <w:kern w:val="0"/>
          <w:sz w:val="24"/>
          <w:szCs w:val="24"/>
          <w:lang w:eastAsia="ro-MD"/>
          <w14:ligatures w14:val="none"/>
        </w:rPr>
        <w:t>Hotărârea Guvernului nr. 1199/2018</w:t>
      </w:r>
      <w:r w:rsidR="00E02926">
        <w:rPr>
          <w:rStyle w:val="afc"/>
          <w:rFonts w:ascii="Times New Roman" w:eastAsia="Times New Roman" w:hAnsi="Times New Roman" w:cs="Times New Roman"/>
          <w:b/>
          <w:bCs/>
          <w:kern w:val="0"/>
          <w:sz w:val="24"/>
          <w:szCs w:val="24"/>
          <w:lang w:eastAsia="ro-MD"/>
          <w14:ligatures w14:val="none"/>
        </w:rPr>
        <w:footnoteReference w:id="23"/>
      </w:r>
      <w:r w:rsidR="00E02926">
        <w:rPr>
          <w:rFonts w:ascii="Times New Roman" w:eastAsia="Times New Roman" w:hAnsi="Times New Roman" w:cs="Times New Roman"/>
          <w:kern w:val="0"/>
          <w:sz w:val="24"/>
          <w:szCs w:val="24"/>
          <w:lang w:eastAsia="ro-MD"/>
          <w14:ligatures w14:val="none"/>
        </w:rPr>
        <w:t xml:space="preserve"> </w:t>
      </w:r>
      <w:r w:rsidR="00E02926">
        <w:rPr>
          <w:rFonts w:ascii="Times New Roman" w:eastAsia="Times New Roman" w:hAnsi="Times New Roman" w:cs="Times New Roman"/>
          <w:b/>
          <w:bCs/>
          <w:kern w:val="0"/>
          <w:sz w:val="24"/>
          <w:szCs w:val="24"/>
          <w:lang w:eastAsia="ro-MD"/>
          <w14:ligatures w14:val="none"/>
        </w:rPr>
        <w:t xml:space="preserve">- </w:t>
      </w:r>
      <w:r w:rsidR="00496E44">
        <w:rPr>
          <w:rFonts w:ascii="Times New Roman" w:eastAsia="Times New Roman" w:hAnsi="Times New Roman" w:cs="Times New Roman"/>
          <w:kern w:val="0"/>
          <w:sz w:val="24"/>
          <w:szCs w:val="24"/>
          <w:lang w:eastAsia="ro-MD"/>
          <w14:ligatures w14:val="none"/>
        </w:rPr>
        <w:t>instituie</w:t>
      </w:r>
      <w:r w:rsidRPr="00E02926">
        <w:rPr>
          <w:rFonts w:ascii="Times New Roman" w:eastAsia="Times New Roman" w:hAnsi="Times New Roman" w:cs="Times New Roman"/>
          <w:kern w:val="0"/>
          <w:sz w:val="24"/>
          <w:szCs w:val="24"/>
          <w:lang w:eastAsia="ro-MD"/>
          <w14:ligatures w14:val="none"/>
        </w:rPr>
        <w:t xml:space="preserve"> </w:t>
      </w:r>
      <w:r w:rsidRPr="004C0233">
        <w:rPr>
          <w:rFonts w:ascii="Times New Roman" w:eastAsia="Times New Roman" w:hAnsi="Times New Roman" w:cs="Times New Roman"/>
          <w:i/>
          <w:iCs/>
          <w:kern w:val="0"/>
          <w:sz w:val="24"/>
          <w:szCs w:val="24"/>
          <w:lang w:eastAsia="ro-MD"/>
          <w14:ligatures w14:val="none"/>
        </w:rPr>
        <w:t>Registrul național al calificărilor</w:t>
      </w:r>
      <w:bookmarkEnd w:id="10"/>
      <w:r w:rsidR="00914718">
        <w:rPr>
          <w:rFonts w:ascii="Times New Roman" w:eastAsia="Times New Roman" w:hAnsi="Times New Roman" w:cs="Times New Roman"/>
          <w:kern w:val="0"/>
          <w:sz w:val="24"/>
          <w:szCs w:val="24"/>
          <w:lang w:eastAsia="ro-MD"/>
          <w14:ligatures w14:val="none"/>
        </w:rPr>
        <w:t xml:space="preserve"> și</w:t>
      </w:r>
      <w:r w:rsidRPr="00AD6607">
        <w:rPr>
          <w:rFonts w:ascii="Times New Roman" w:eastAsia="Times New Roman" w:hAnsi="Times New Roman" w:cs="Times New Roman"/>
          <w:kern w:val="0"/>
          <w:sz w:val="24"/>
          <w:szCs w:val="24"/>
          <w:lang w:eastAsia="ro-MD"/>
          <w14:ligatures w14:val="none"/>
        </w:rPr>
        <w:t xml:space="preserve"> stabilește cadrul juridic pentru funcționarea RNC în calitate de instrument oficial de evidență și informare privind calificările recunoscute la nivel național</w:t>
      </w:r>
      <w:r w:rsidR="00665296">
        <w:rPr>
          <w:rFonts w:ascii="Times New Roman" w:eastAsia="Times New Roman" w:hAnsi="Times New Roman" w:cs="Times New Roman"/>
          <w:kern w:val="0"/>
          <w:sz w:val="24"/>
          <w:szCs w:val="24"/>
          <w:lang w:eastAsia="ro-MD"/>
          <w14:ligatures w14:val="none"/>
        </w:rPr>
        <w:t xml:space="preserve">, asigurând transparența și interoperabilitatea </w:t>
      </w:r>
      <w:r w:rsidR="0062034A">
        <w:rPr>
          <w:rFonts w:ascii="Times New Roman" w:eastAsia="Times New Roman" w:hAnsi="Times New Roman" w:cs="Times New Roman"/>
          <w:kern w:val="0"/>
          <w:sz w:val="24"/>
          <w:szCs w:val="24"/>
          <w:lang w:eastAsia="ro-MD"/>
          <w14:ligatures w14:val="none"/>
        </w:rPr>
        <w:t>calificărilor</w:t>
      </w:r>
      <w:r w:rsidR="00C32174">
        <w:rPr>
          <w:rFonts w:ascii="Times New Roman" w:eastAsia="Times New Roman" w:hAnsi="Times New Roman" w:cs="Times New Roman"/>
          <w:kern w:val="0"/>
          <w:sz w:val="24"/>
          <w:szCs w:val="24"/>
          <w:lang w:eastAsia="ro-MD"/>
          <w14:ligatures w14:val="none"/>
        </w:rPr>
        <w:t xml:space="preserve"> cu EQF</w:t>
      </w:r>
      <w:r w:rsidR="005A764C">
        <w:rPr>
          <w:rFonts w:ascii="Times New Roman" w:eastAsia="Times New Roman" w:hAnsi="Times New Roman" w:cs="Times New Roman"/>
          <w:kern w:val="0"/>
          <w:sz w:val="24"/>
          <w:szCs w:val="24"/>
          <w:lang w:eastAsia="ro-MD"/>
          <w14:ligatures w14:val="none"/>
        </w:rPr>
        <w:t xml:space="preserve"> printr-un </w:t>
      </w:r>
      <w:r w:rsidRPr="00AD6607">
        <w:rPr>
          <w:rFonts w:ascii="Times New Roman" w:eastAsia="Times New Roman" w:hAnsi="Times New Roman" w:cs="Times New Roman"/>
          <w:kern w:val="0"/>
          <w:sz w:val="24"/>
          <w:szCs w:val="24"/>
          <w:lang w:eastAsia="ro-MD"/>
          <w14:ligatures w14:val="none"/>
        </w:rPr>
        <w:t>format standardizat</w:t>
      </w:r>
      <w:r w:rsidR="0062034A">
        <w:rPr>
          <w:rFonts w:ascii="Times New Roman" w:eastAsia="Times New Roman" w:hAnsi="Times New Roman" w:cs="Times New Roman"/>
          <w:kern w:val="0"/>
          <w:sz w:val="24"/>
          <w:szCs w:val="24"/>
          <w:lang w:eastAsia="ro-MD"/>
          <w14:ligatures w14:val="none"/>
        </w:rPr>
        <w:t>,</w:t>
      </w:r>
      <w:r w:rsidRPr="00AD6607">
        <w:rPr>
          <w:rFonts w:ascii="Times New Roman" w:eastAsia="Times New Roman" w:hAnsi="Times New Roman" w:cs="Times New Roman"/>
          <w:kern w:val="0"/>
          <w:sz w:val="24"/>
          <w:szCs w:val="24"/>
          <w:lang w:eastAsia="ro-MD"/>
          <w14:ligatures w14:val="none"/>
        </w:rPr>
        <w:t xml:space="preserve"> </w:t>
      </w:r>
      <w:r w:rsidR="009D3909">
        <w:rPr>
          <w:rFonts w:ascii="Times New Roman" w:eastAsia="Times New Roman" w:hAnsi="Times New Roman" w:cs="Times New Roman"/>
          <w:kern w:val="0"/>
          <w:sz w:val="24"/>
          <w:szCs w:val="24"/>
          <w:lang w:eastAsia="ro-MD"/>
          <w14:ligatures w14:val="none"/>
        </w:rPr>
        <w:t xml:space="preserve">care </w:t>
      </w:r>
      <w:r w:rsidRPr="00AD6607">
        <w:rPr>
          <w:rFonts w:ascii="Times New Roman" w:eastAsia="Times New Roman" w:hAnsi="Times New Roman" w:cs="Times New Roman"/>
          <w:kern w:val="0"/>
          <w:sz w:val="24"/>
          <w:szCs w:val="24"/>
          <w:lang w:eastAsia="ro-MD"/>
          <w14:ligatures w14:val="none"/>
        </w:rPr>
        <w:t>facilitează recunoașterea acestora pe piața muncii naționale și europeană.</w:t>
      </w:r>
      <w:r>
        <w:rPr>
          <w:rFonts w:ascii="Times New Roman" w:eastAsia="Times New Roman" w:hAnsi="Times New Roman" w:cs="Times New Roman"/>
          <w:kern w:val="0"/>
          <w:sz w:val="24"/>
          <w:szCs w:val="24"/>
          <w:lang w:eastAsia="ro-MD"/>
          <w14:ligatures w14:val="none"/>
        </w:rPr>
        <w:t xml:space="preserve"> </w:t>
      </w:r>
    </w:p>
    <w:p w14:paraId="1D31EEFE" w14:textId="454C5388" w:rsidR="00B64D87" w:rsidRPr="0020102C" w:rsidRDefault="00B64D87" w:rsidP="00A41843">
      <w:pPr>
        <w:pStyle w:val="af8"/>
        <w:numPr>
          <w:ilvl w:val="0"/>
          <w:numId w:val="11"/>
        </w:numPr>
        <w:spacing w:before="120" w:beforeAutospacing="0" w:after="120" w:afterAutospacing="0" w:line="276" w:lineRule="auto"/>
        <w:jc w:val="both"/>
      </w:pPr>
      <w:bookmarkStart w:id="11" w:name="_Hlk211180730"/>
      <w:r w:rsidRPr="0020102C">
        <w:rPr>
          <w:rStyle w:val="af9"/>
          <w:rFonts w:eastAsiaTheme="majorEastAsia"/>
        </w:rPr>
        <w:t>Hotărârea Guvernului nr. 222/2024</w:t>
      </w:r>
      <w:bookmarkEnd w:id="11"/>
      <w:r w:rsidR="00231C3A">
        <w:rPr>
          <w:rStyle w:val="afc"/>
          <w:rFonts w:eastAsiaTheme="majorEastAsia"/>
          <w:b/>
          <w:bCs/>
        </w:rPr>
        <w:footnoteReference w:id="24"/>
      </w:r>
      <w:r w:rsidRPr="0020102C">
        <w:t xml:space="preserve"> </w:t>
      </w:r>
      <w:r w:rsidR="002837F6">
        <w:t>-</w:t>
      </w:r>
      <w:r w:rsidRPr="0020102C">
        <w:t xml:space="preserve"> aprob</w:t>
      </w:r>
      <w:r w:rsidR="002837F6">
        <w:t>ă</w:t>
      </w:r>
      <w:r w:rsidRPr="0020102C">
        <w:t xml:space="preserve"> </w:t>
      </w:r>
      <w:r w:rsidRPr="004C0233">
        <w:rPr>
          <w:i/>
          <w:iCs/>
        </w:rPr>
        <w:t xml:space="preserve">Regulamentul </w:t>
      </w:r>
      <w:r w:rsidR="00FD66CB" w:rsidRPr="004C0233">
        <w:rPr>
          <w:i/>
          <w:iCs/>
        </w:rPr>
        <w:t xml:space="preserve">privind </w:t>
      </w:r>
      <w:r w:rsidRPr="004C0233">
        <w:rPr>
          <w:i/>
          <w:iCs/>
        </w:rPr>
        <w:t>educați</w:t>
      </w:r>
      <w:r w:rsidR="00FD66CB" w:rsidRPr="004C0233">
        <w:rPr>
          <w:i/>
          <w:iCs/>
        </w:rPr>
        <w:t>a</w:t>
      </w:r>
      <w:r w:rsidRPr="004C0233">
        <w:rPr>
          <w:i/>
          <w:iCs/>
        </w:rPr>
        <w:t xml:space="preserve"> adulților</w:t>
      </w:r>
      <w:r w:rsidR="00410166" w:rsidRPr="00006D96">
        <w:t xml:space="preserve"> </w:t>
      </w:r>
      <w:r w:rsidR="00410166">
        <w:t xml:space="preserve">care </w:t>
      </w:r>
      <w:r w:rsidR="00410166" w:rsidRPr="00F216F0">
        <w:t xml:space="preserve">introduce mecanisme inovatoare, </w:t>
      </w:r>
      <w:r w:rsidR="00222140">
        <w:t>precum</w:t>
      </w:r>
      <w:r w:rsidR="00410166" w:rsidRPr="00F216F0">
        <w:t xml:space="preserve"> microcalificările și parcursurile flexibile</w:t>
      </w:r>
      <w:r w:rsidR="00222140">
        <w:t xml:space="preserve"> de învățare</w:t>
      </w:r>
      <w:r w:rsidR="00410166" w:rsidRPr="00F216F0">
        <w:t xml:space="preserve">, în concordanță cu inițiativa europeană </w:t>
      </w:r>
      <w:proofErr w:type="spellStart"/>
      <w:r w:rsidR="00410166" w:rsidRPr="00EB1469">
        <w:rPr>
          <w:i/>
          <w:iCs/>
        </w:rPr>
        <w:t>Upskilling</w:t>
      </w:r>
      <w:proofErr w:type="spellEnd"/>
      <w:r w:rsidR="00410166" w:rsidRPr="00EB1469">
        <w:rPr>
          <w:i/>
          <w:iCs/>
        </w:rPr>
        <w:t xml:space="preserve"> </w:t>
      </w:r>
      <w:proofErr w:type="spellStart"/>
      <w:r w:rsidR="00410166" w:rsidRPr="00EB1469">
        <w:rPr>
          <w:i/>
          <w:iCs/>
        </w:rPr>
        <w:t>Pathways</w:t>
      </w:r>
      <w:proofErr w:type="spellEnd"/>
      <w:r w:rsidR="00EB1469" w:rsidRPr="00EB1469">
        <w:rPr>
          <w:i/>
          <w:iCs/>
        </w:rPr>
        <w:t>:</w:t>
      </w:r>
      <w:r w:rsidR="00410166" w:rsidRPr="00EB1469">
        <w:rPr>
          <w:i/>
          <w:iCs/>
        </w:rPr>
        <w:t xml:space="preserve"> </w:t>
      </w:r>
      <w:r w:rsidR="00EB1469" w:rsidRPr="00EB1469">
        <w:rPr>
          <w:i/>
          <w:iCs/>
        </w:rPr>
        <w:t xml:space="preserve">New </w:t>
      </w:r>
      <w:proofErr w:type="spellStart"/>
      <w:r w:rsidR="00EB1469" w:rsidRPr="00EB1469">
        <w:rPr>
          <w:i/>
          <w:iCs/>
        </w:rPr>
        <w:t>Opportunities</w:t>
      </w:r>
      <w:proofErr w:type="spellEnd"/>
      <w:r w:rsidR="00EB1469" w:rsidRPr="00EB1469">
        <w:rPr>
          <w:i/>
          <w:iCs/>
        </w:rPr>
        <w:t xml:space="preserve"> for </w:t>
      </w:r>
      <w:proofErr w:type="spellStart"/>
      <w:r w:rsidR="00EB1469" w:rsidRPr="00EB1469">
        <w:rPr>
          <w:i/>
          <w:iCs/>
        </w:rPr>
        <w:t>Adults</w:t>
      </w:r>
      <w:proofErr w:type="spellEnd"/>
      <w:r w:rsidR="00EB1469" w:rsidRPr="00EB1469">
        <w:rPr>
          <w:i/>
          <w:iCs/>
        </w:rPr>
        <w:t xml:space="preserve"> </w:t>
      </w:r>
      <w:r w:rsidR="00410166" w:rsidRPr="00EB1469">
        <w:rPr>
          <w:i/>
          <w:iCs/>
        </w:rPr>
        <w:t>(2016).</w:t>
      </w:r>
    </w:p>
    <w:p w14:paraId="57726ACF" w14:textId="75BF4ADD" w:rsidR="00427765" w:rsidRDefault="00427765" w:rsidP="00A41843">
      <w:pPr>
        <w:pStyle w:val="af8"/>
        <w:numPr>
          <w:ilvl w:val="0"/>
          <w:numId w:val="11"/>
        </w:numPr>
        <w:spacing w:before="120" w:beforeAutospacing="0" w:after="120" w:afterAutospacing="0" w:line="276" w:lineRule="auto"/>
        <w:jc w:val="both"/>
      </w:pPr>
      <w:r w:rsidRPr="00006199">
        <w:rPr>
          <w:b/>
          <w:bCs/>
        </w:rPr>
        <w:t>Legea nr. 244/2017</w:t>
      </w:r>
      <w:r w:rsidR="00196E68">
        <w:rPr>
          <w:rStyle w:val="afc"/>
          <w:b/>
          <w:bCs/>
        </w:rPr>
        <w:footnoteReference w:id="25"/>
      </w:r>
      <w:r>
        <w:t xml:space="preserve"> – stabilește statutul </w:t>
      </w:r>
      <w:r w:rsidR="003A68CF">
        <w:t>juridic</w:t>
      </w:r>
      <w:r w:rsidR="00A4709E">
        <w:t xml:space="preserve">, </w:t>
      </w:r>
      <w:r w:rsidR="0070352E">
        <w:t>modul de organizare</w:t>
      </w:r>
      <w:r w:rsidR="00A4709E">
        <w:t xml:space="preserve"> și </w:t>
      </w:r>
      <w:r w:rsidR="00EE68CC">
        <w:t xml:space="preserve">de </w:t>
      </w:r>
      <w:r>
        <w:t>funcționare</w:t>
      </w:r>
      <w:r w:rsidR="00A4709E">
        <w:t xml:space="preserve"> </w:t>
      </w:r>
      <w:r>
        <w:t xml:space="preserve">a </w:t>
      </w:r>
      <w:r w:rsidRPr="004C0233">
        <w:rPr>
          <w:i/>
          <w:iCs/>
        </w:rPr>
        <w:t>comitetelor sectoriale pentru formare profesională</w:t>
      </w:r>
      <w:r>
        <w:t>, ca mecanisme de parteneriat între stat, mediul economic și partenerii sociali.</w:t>
      </w:r>
    </w:p>
    <w:p w14:paraId="7C3C1B48" w14:textId="77777777" w:rsidR="004D2B23" w:rsidRDefault="00427765" w:rsidP="00A41843">
      <w:pPr>
        <w:pStyle w:val="af8"/>
        <w:numPr>
          <w:ilvl w:val="0"/>
          <w:numId w:val="11"/>
        </w:numPr>
        <w:spacing w:before="120" w:beforeAutospacing="0" w:after="120" w:afterAutospacing="0" w:line="276" w:lineRule="auto"/>
        <w:ind w:left="714" w:hanging="357"/>
        <w:jc w:val="both"/>
      </w:pPr>
      <w:r w:rsidRPr="002B6CAC">
        <w:rPr>
          <w:b/>
          <w:bCs/>
        </w:rPr>
        <w:t>Legea nr. 105/2018</w:t>
      </w:r>
      <w:r>
        <w:t xml:space="preserve"> </w:t>
      </w:r>
      <w:r w:rsidR="00C91679" w:rsidRPr="004C0233">
        <w:rPr>
          <w:i/>
          <w:iCs/>
        </w:rPr>
        <w:t>cu privire la</w:t>
      </w:r>
      <w:r w:rsidRPr="004C0233">
        <w:rPr>
          <w:i/>
          <w:iCs/>
        </w:rPr>
        <w:t xml:space="preserve"> promovarea ocupării forței de muncă și asigurarea de șomaj</w:t>
      </w:r>
      <w:r w:rsidR="00C91679" w:rsidRPr="004C0233">
        <w:rPr>
          <w:rStyle w:val="afc"/>
        </w:rPr>
        <w:footnoteReference w:id="26"/>
      </w:r>
      <w:r w:rsidRPr="004C0233">
        <w:t>,</w:t>
      </w:r>
      <w:r>
        <w:t xml:space="preserve"> reglementează prevenirea și reducerea șomajului</w:t>
      </w:r>
      <w:r w:rsidR="00A10B3A">
        <w:t xml:space="preserve">, precum </w:t>
      </w:r>
      <w:r w:rsidR="00A10B3A" w:rsidRPr="00A10B3A">
        <w:t>și a efectelor sociale ale acestuia, asigurarea unui nivel ridicat al ocupării şi adaptării forței de muncă la cerințele pieței muncii, definește sistemul instituțional de promovare a ocupării forței de muncă</w:t>
      </w:r>
      <w:r>
        <w:t>.</w:t>
      </w:r>
    </w:p>
    <w:p w14:paraId="3AC65C88" w14:textId="55AA2AE3" w:rsidR="00154BE1" w:rsidRPr="00455E5F" w:rsidRDefault="00427765" w:rsidP="00A41843">
      <w:pPr>
        <w:pStyle w:val="af8"/>
        <w:numPr>
          <w:ilvl w:val="0"/>
          <w:numId w:val="11"/>
        </w:numPr>
        <w:spacing w:before="120" w:beforeAutospacing="0" w:after="120" w:afterAutospacing="0" w:line="276" w:lineRule="auto"/>
        <w:ind w:left="714" w:hanging="357"/>
        <w:jc w:val="both"/>
      </w:pPr>
      <w:r w:rsidRPr="004D2B23">
        <w:rPr>
          <w:b/>
          <w:bCs/>
        </w:rPr>
        <w:t xml:space="preserve">Legea nr. 239/2008 </w:t>
      </w:r>
      <w:r w:rsidRPr="004D2B23">
        <w:rPr>
          <w:i/>
          <w:iCs/>
        </w:rPr>
        <w:t>privind transparența în procesul decizional</w:t>
      </w:r>
      <w:r w:rsidR="004D6B8B" w:rsidRPr="004C0233">
        <w:rPr>
          <w:rStyle w:val="afc"/>
          <w:i/>
          <w:iCs/>
        </w:rPr>
        <w:footnoteReference w:id="27"/>
      </w:r>
      <w:r w:rsidRPr="004D2B23">
        <w:rPr>
          <w:i/>
          <w:iCs/>
        </w:rPr>
        <w:t>,</w:t>
      </w:r>
      <w:r>
        <w:t xml:space="preserve"> care garantează participarea actorilor relevanți (instituții educaționale, angajatori, sindicate, ONG-uri) la procesele de elaborare și actualizare a CNC.</w:t>
      </w:r>
    </w:p>
    <w:p w14:paraId="5A0BFCF0" w14:textId="6249EB9C" w:rsidR="007619BB" w:rsidRPr="00471A3B" w:rsidRDefault="008A07BD" w:rsidP="004D2B23">
      <w:pPr>
        <w:spacing w:before="120" w:after="120" w:line="276" w:lineRule="auto"/>
        <w:jc w:val="both"/>
        <w:outlineLvl w:val="0"/>
        <w:rPr>
          <w:rFonts w:ascii="Times New Roman" w:eastAsia="Times New Roman" w:hAnsi="Times New Roman" w:cs="Times New Roman"/>
          <w:kern w:val="36"/>
          <w:sz w:val="24"/>
          <w:szCs w:val="24"/>
          <w:lang w:val="ro-MD" w:eastAsia="ro-MD"/>
          <w14:ligatures w14:val="none"/>
        </w:rPr>
      </w:pPr>
      <w:r w:rsidRPr="008A07BD">
        <w:rPr>
          <w:rFonts w:ascii="Times New Roman" w:eastAsia="Times New Roman" w:hAnsi="Times New Roman" w:cs="Times New Roman"/>
          <w:kern w:val="36"/>
          <w:sz w:val="24"/>
          <w:szCs w:val="24"/>
          <w:lang w:val="ro-MD" w:eastAsia="ro-MD"/>
          <w14:ligatures w14:val="none"/>
        </w:rPr>
        <w:t xml:space="preserve">Politicile Republicii Moldova configurează un sistem educațional deschis, flexibil și orientat spre rezultate, iar cadrul normativ asigură implementarea coerentă și sustenabilă a acestora. </w:t>
      </w:r>
      <w:r w:rsidR="00357642">
        <w:rPr>
          <w:rFonts w:ascii="Times New Roman" w:eastAsia="Times New Roman" w:hAnsi="Times New Roman" w:cs="Times New Roman"/>
          <w:kern w:val="36"/>
          <w:sz w:val="24"/>
          <w:szCs w:val="24"/>
          <w:lang w:val="ro-MD" w:eastAsia="ro-MD"/>
          <w14:ligatures w14:val="none"/>
        </w:rPr>
        <w:t>E</w:t>
      </w:r>
      <w:r w:rsidRPr="008A07BD">
        <w:rPr>
          <w:rFonts w:ascii="Times New Roman" w:eastAsia="Times New Roman" w:hAnsi="Times New Roman" w:cs="Times New Roman"/>
          <w:kern w:val="36"/>
          <w:sz w:val="24"/>
          <w:szCs w:val="24"/>
          <w:lang w:val="ro-MD" w:eastAsia="ro-MD"/>
          <w14:ligatures w14:val="none"/>
        </w:rPr>
        <w:t>voluția de la viziuni strategice la o infrastructură juridică funcțională a consolidat baza instituțională și operațională a sistemului național de educație și formare profesională.</w:t>
      </w:r>
    </w:p>
    <w:p w14:paraId="61854584" w14:textId="1F31F88C" w:rsidR="00DC4682" w:rsidRPr="00B95303" w:rsidRDefault="001D1DA4" w:rsidP="002303F6">
      <w:pPr>
        <w:spacing w:before="120" w:after="120" w:line="276" w:lineRule="auto"/>
        <w:jc w:val="both"/>
        <w:outlineLvl w:val="0"/>
        <w:rPr>
          <w:rFonts w:ascii="Times New Roman" w:eastAsia="Times New Roman" w:hAnsi="Times New Roman" w:cs="Times New Roman"/>
          <w:b/>
          <w:bCs/>
          <w:color w:val="3494BA" w:themeColor="accent1"/>
          <w:kern w:val="36"/>
          <w:sz w:val="24"/>
          <w:szCs w:val="24"/>
          <w:lang w:val="ro-MD" w:eastAsia="ro-MD"/>
          <w14:ligatures w14:val="none"/>
        </w:rPr>
      </w:pPr>
      <w:r>
        <w:rPr>
          <w:rFonts w:ascii="Times New Roman" w:eastAsia="Times New Roman" w:hAnsi="Times New Roman" w:cs="Times New Roman"/>
          <w:b/>
          <w:bCs/>
          <w:color w:val="3494BA" w:themeColor="accent1"/>
          <w:kern w:val="36"/>
          <w:sz w:val="24"/>
          <w:szCs w:val="24"/>
          <w:lang w:val="ro-MD" w:eastAsia="ro-MD"/>
          <w14:ligatures w14:val="none"/>
        </w:rPr>
        <w:lastRenderedPageBreak/>
        <w:t xml:space="preserve">2.4 </w:t>
      </w:r>
      <w:r w:rsidR="00DC4682" w:rsidRPr="00B95303">
        <w:rPr>
          <w:rFonts w:ascii="Times New Roman" w:eastAsia="Times New Roman" w:hAnsi="Times New Roman" w:cs="Times New Roman"/>
          <w:b/>
          <w:bCs/>
          <w:color w:val="3494BA" w:themeColor="accent1"/>
          <w:kern w:val="36"/>
          <w:sz w:val="24"/>
          <w:szCs w:val="24"/>
          <w:lang w:val="ro-MD" w:eastAsia="ro-MD"/>
          <w14:ligatures w14:val="none"/>
        </w:rPr>
        <w:t>Convergența politicilor naționale cu strategiile și inițiativele europene privind educația, competențele și calificările</w:t>
      </w:r>
    </w:p>
    <w:p w14:paraId="415FC650" w14:textId="558DF9EF" w:rsidR="00DC4682" w:rsidRPr="002303F6" w:rsidRDefault="00DC4682" w:rsidP="002303F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Politicile educaționale și de formare profesională ale Republicii Moldova sunt concepute în deplină </w:t>
      </w:r>
      <w:r w:rsidR="003779B3">
        <w:rPr>
          <w:rFonts w:ascii="Times New Roman" w:eastAsia="Times New Roman" w:hAnsi="Times New Roman" w:cs="Times New Roman"/>
          <w:kern w:val="0"/>
          <w:sz w:val="24"/>
          <w:szCs w:val="24"/>
          <w:lang w:val="ro-MD" w:eastAsia="ro-MD"/>
          <w14:ligatures w14:val="none"/>
        </w:rPr>
        <w:t>aliniere</w:t>
      </w:r>
      <w:r w:rsidRPr="002303F6">
        <w:rPr>
          <w:rFonts w:ascii="Times New Roman" w:eastAsia="Times New Roman" w:hAnsi="Times New Roman" w:cs="Times New Roman"/>
          <w:kern w:val="0"/>
          <w:sz w:val="24"/>
          <w:szCs w:val="24"/>
          <w:lang w:val="ro-MD" w:eastAsia="ro-MD"/>
          <w14:ligatures w14:val="none"/>
        </w:rPr>
        <w:t xml:space="preserve"> cu direcțiile strategice ale Uniunii Europene privind dezvoltarea competențelor, incluziunea socială și învățarea pe tot parcursul vieții. Această convergență reflectă angajamentele asumate prin </w:t>
      </w:r>
      <w:r w:rsidRPr="008A5820">
        <w:rPr>
          <w:rFonts w:ascii="Times New Roman" w:eastAsia="Times New Roman" w:hAnsi="Times New Roman" w:cs="Times New Roman"/>
          <w:i/>
          <w:iCs/>
          <w:kern w:val="0"/>
          <w:sz w:val="24"/>
          <w:szCs w:val="24"/>
          <w:lang w:val="ro-MD" w:eastAsia="ro-MD"/>
          <w14:ligatures w14:val="none"/>
        </w:rPr>
        <w:t>Acordul de Asociere Republica Moldova – Uniunea Europeană (2014),</w:t>
      </w:r>
      <w:r w:rsidRPr="002303F6">
        <w:rPr>
          <w:rFonts w:ascii="Times New Roman" w:eastAsia="Times New Roman" w:hAnsi="Times New Roman" w:cs="Times New Roman"/>
          <w:kern w:val="0"/>
          <w:sz w:val="24"/>
          <w:szCs w:val="24"/>
          <w:lang w:val="ro-MD" w:eastAsia="ro-MD"/>
          <w14:ligatures w14:val="none"/>
        </w:rPr>
        <w:t xml:space="preserve"> care consacră educația, formarea profesională și ocuparea drept domenii prioritare de cooperare.</w:t>
      </w:r>
    </w:p>
    <w:p w14:paraId="63688579" w14:textId="1D8CECA1" w:rsidR="00DC4682" w:rsidRPr="002303F6" w:rsidRDefault="00DC4682" w:rsidP="002303F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Prin alinierea la documentele strategice europene, Republica Moldova contribuie activ la crearea unui Spațiu European al Educației și Calificărilor, în care transparența, mobilitatea și recunoașterea competențelor devin factori esențiali ai integrării </w:t>
      </w:r>
      <w:proofErr w:type="spellStart"/>
      <w:r w:rsidRPr="002303F6">
        <w:rPr>
          <w:rFonts w:ascii="Times New Roman" w:eastAsia="Times New Roman" w:hAnsi="Times New Roman" w:cs="Times New Roman"/>
          <w:kern w:val="0"/>
          <w:sz w:val="24"/>
          <w:szCs w:val="24"/>
          <w:lang w:val="ro-MD" w:eastAsia="ro-MD"/>
          <w14:ligatures w14:val="none"/>
        </w:rPr>
        <w:t>socio</w:t>
      </w:r>
      <w:proofErr w:type="spellEnd"/>
      <w:r w:rsidRPr="002303F6">
        <w:rPr>
          <w:rFonts w:ascii="Times New Roman" w:eastAsia="Times New Roman" w:hAnsi="Times New Roman" w:cs="Times New Roman"/>
          <w:kern w:val="0"/>
          <w:sz w:val="24"/>
          <w:szCs w:val="24"/>
          <w:lang w:val="ro-MD" w:eastAsia="ro-MD"/>
          <w14:ligatures w14:val="none"/>
        </w:rPr>
        <w:t>-economice.</w:t>
      </w:r>
    </w:p>
    <w:p w14:paraId="3BD551E4" w14:textId="15264AC4" w:rsidR="00DC4682" w:rsidRPr="00B95303" w:rsidRDefault="00DC4682" w:rsidP="002303F6">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B95303">
        <w:rPr>
          <w:rFonts w:ascii="Times New Roman" w:eastAsia="Times New Roman" w:hAnsi="Times New Roman" w:cs="Times New Roman"/>
          <w:b/>
          <w:bCs/>
          <w:color w:val="3494BA" w:themeColor="accent1"/>
          <w:kern w:val="0"/>
          <w:sz w:val="24"/>
          <w:szCs w:val="24"/>
          <w:lang w:val="ro-MD" w:eastAsia="ro-MD"/>
          <w14:ligatures w14:val="none"/>
        </w:rPr>
        <w:t>Direcții strategice comune cu Uniunea Europeană</w:t>
      </w:r>
    </w:p>
    <w:p w14:paraId="01B376FE" w14:textId="5D1EA8BF" w:rsidR="00DC4682" w:rsidRPr="002303F6" w:rsidRDefault="00DC4682" w:rsidP="002303F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Politicile naționale de educație, formare profesională și ocupare sunt armonizate cu prioritățile europene și urmăresc consolidarea unui sistem bazat pe rezultate ale învățării, competențe și incluziune. Convergența strategică se manifestă </w:t>
      </w:r>
      <w:r w:rsidR="00171B96">
        <w:rPr>
          <w:rFonts w:ascii="Times New Roman" w:eastAsia="Times New Roman" w:hAnsi="Times New Roman" w:cs="Times New Roman"/>
          <w:kern w:val="0"/>
          <w:sz w:val="24"/>
          <w:szCs w:val="24"/>
          <w:lang w:val="ro-MD" w:eastAsia="ro-MD"/>
          <w14:ligatures w14:val="none"/>
        </w:rPr>
        <w:t>pe mai multe</w:t>
      </w:r>
      <w:r w:rsidRPr="002303F6">
        <w:rPr>
          <w:rFonts w:ascii="Times New Roman" w:eastAsia="Times New Roman" w:hAnsi="Times New Roman" w:cs="Times New Roman"/>
          <w:kern w:val="0"/>
          <w:sz w:val="24"/>
          <w:szCs w:val="24"/>
          <w:lang w:val="ro-MD" w:eastAsia="ro-MD"/>
          <w14:ligatures w14:val="none"/>
        </w:rPr>
        <w:t xml:space="preserve"> direcții:</w:t>
      </w:r>
    </w:p>
    <w:p w14:paraId="5CE8959C" w14:textId="338ED864" w:rsidR="00DC4682" w:rsidRPr="002303F6" w:rsidRDefault="00DC4682" w:rsidP="00A41843">
      <w:pPr>
        <w:numPr>
          <w:ilvl w:val="0"/>
          <w:numId w:val="23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Adaptarea ofertei educaționale la cerințele pieței muncii, prin consolidarea parteneriatelor cu mediul economic și implementarea abordării bazate pe competențe, conform EQF și Recomandării Consiliului UE privind competențele-cheie pentru învățarea pe tot parcursul vieții (2018).</w:t>
      </w:r>
    </w:p>
    <w:p w14:paraId="61C06960" w14:textId="77777777" w:rsidR="00DC4682" w:rsidRPr="002303F6" w:rsidRDefault="00DC4682" w:rsidP="00A41843">
      <w:pPr>
        <w:numPr>
          <w:ilvl w:val="0"/>
          <w:numId w:val="23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Creșterea participării în programe de învățare pe tot parcursul vieții, în concordanță cu Agenda europeană pentru competențe (European </w:t>
      </w:r>
      <w:proofErr w:type="spellStart"/>
      <w:r w:rsidRPr="002303F6">
        <w:rPr>
          <w:rFonts w:ascii="Times New Roman" w:eastAsia="Times New Roman" w:hAnsi="Times New Roman" w:cs="Times New Roman"/>
          <w:kern w:val="0"/>
          <w:sz w:val="24"/>
          <w:szCs w:val="24"/>
          <w:lang w:val="ro-MD" w:eastAsia="ro-MD"/>
          <w14:ligatures w14:val="none"/>
        </w:rPr>
        <w:t>Skills</w:t>
      </w:r>
      <w:proofErr w:type="spellEnd"/>
      <w:r w:rsidRPr="002303F6">
        <w:rPr>
          <w:rFonts w:ascii="Times New Roman" w:eastAsia="Times New Roman" w:hAnsi="Times New Roman" w:cs="Times New Roman"/>
          <w:kern w:val="0"/>
          <w:sz w:val="24"/>
          <w:szCs w:val="24"/>
          <w:lang w:val="ro-MD" w:eastAsia="ro-MD"/>
          <w14:ligatures w14:val="none"/>
        </w:rPr>
        <w:t xml:space="preserve"> Agenda, 2020), care promovează formarea continuă, recalificarea și perfecționarea profesională ca elemente-cheie ale tranziției verzi și digitale.</w:t>
      </w:r>
    </w:p>
    <w:p w14:paraId="2D976157" w14:textId="77777777" w:rsidR="00DC4682" w:rsidRPr="002303F6" w:rsidRDefault="00DC4682" w:rsidP="00A41843">
      <w:pPr>
        <w:numPr>
          <w:ilvl w:val="0"/>
          <w:numId w:val="23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Modernizarea curriculumului și a infrastructurii educaționale, prin integrarea competențelor digitale și verzi, în spiritul Pactului Verde European (European Green Deal) și al Planului de acțiune pentru educația digitală 2021–2027 (Digital </w:t>
      </w:r>
      <w:proofErr w:type="spellStart"/>
      <w:r w:rsidRPr="002303F6">
        <w:rPr>
          <w:rFonts w:ascii="Times New Roman" w:eastAsia="Times New Roman" w:hAnsi="Times New Roman" w:cs="Times New Roman"/>
          <w:kern w:val="0"/>
          <w:sz w:val="24"/>
          <w:szCs w:val="24"/>
          <w:lang w:val="ro-MD" w:eastAsia="ro-MD"/>
          <w14:ligatures w14:val="none"/>
        </w:rPr>
        <w:t>Education</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Action</w:t>
      </w:r>
      <w:proofErr w:type="spellEnd"/>
      <w:r w:rsidRPr="002303F6">
        <w:rPr>
          <w:rFonts w:ascii="Times New Roman" w:eastAsia="Times New Roman" w:hAnsi="Times New Roman" w:cs="Times New Roman"/>
          <w:kern w:val="0"/>
          <w:sz w:val="24"/>
          <w:szCs w:val="24"/>
          <w:lang w:val="ro-MD" w:eastAsia="ro-MD"/>
          <w14:ligatures w14:val="none"/>
        </w:rPr>
        <w:t xml:space="preserve"> Plan).</w:t>
      </w:r>
    </w:p>
    <w:p w14:paraId="237E1BCD" w14:textId="77777777" w:rsidR="00DC4682" w:rsidRPr="002303F6" w:rsidRDefault="00DC4682" w:rsidP="00A41843">
      <w:pPr>
        <w:numPr>
          <w:ilvl w:val="0"/>
          <w:numId w:val="23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Extinderea mecanismelor de recunoaștere și validare a competențelor obținute în contexte non-formale și informale, în conformitate cu Recomandarea Consiliului UE privind validarea învățării non-formale și informale (2012).</w:t>
      </w:r>
    </w:p>
    <w:p w14:paraId="0BD08B2A" w14:textId="7BD298C6" w:rsidR="00DC4682" w:rsidRPr="002303F6" w:rsidRDefault="00DC4682" w:rsidP="00A41843">
      <w:pPr>
        <w:numPr>
          <w:ilvl w:val="0"/>
          <w:numId w:val="23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Reducerea disparităților regionale și sociale în accesul la educație și ocupare, prin politici de incluziune și coeziune socială, în spiritul Pilonului european al drepturilor sociale (2017) și al Obiectivelor de Dezvoltare Durabilă ale ONU (Agenda 2030, ODD 4 și ODD 8).</w:t>
      </w:r>
    </w:p>
    <w:p w14:paraId="4FAB8258" w14:textId="0846F40F" w:rsidR="00DC4682" w:rsidRPr="002303F6" w:rsidRDefault="00DC4682" w:rsidP="002303F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Convergența cu instrumentele europene de transparență și recunoaștere a calificărilor constituie un element esențial al procesului de modernizare a sistemului educațional național.</w:t>
      </w:r>
      <w:r w:rsidR="004D4724">
        <w:rPr>
          <w:rFonts w:ascii="Times New Roman" w:eastAsia="Times New Roman" w:hAnsi="Times New Roman" w:cs="Times New Roman"/>
          <w:kern w:val="0"/>
          <w:sz w:val="24"/>
          <w:szCs w:val="24"/>
          <w:lang w:val="ro-MD" w:eastAsia="ro-MD"/>
          <w14:ligatures w14:val="none"/>
        </w:rPr>
        <w:t xml:space="preserve"> </w:t>
      </w:r>
      <w:r w:rsidRPr="002303F6">
        <w:rPr>
          <w:rFonts w:ascii="Times New Roman" w:eastAsia="Times New Roman" w:hAnsi="Times New Roman" w:cs="Times New Roman"/>
          <w:kern w:val="0"/>
          <w:sz w:val="24"/>
          <w:szCs w:val="24"/>
          <w:lang w:val="ro-MD" w:eastAsia="ro-MD"/>
          <w14:ligatures w14:val="none"/>
        </w:rPr>
        <w:t>Republica Moldova integrează principiile și metodologiile comune europene prin:</w:t>
      </w:r>
    </w:p>
    <w:p w14:paraId="01B449CE" w14:textId="1248704C" w:rsidR="00DC4682" w:rsidRPr="002303F6" w:rsidRDefault="00DC4682" w:rsidP="00A41843">
      <w:pPr>
        <w:numPr>
          <w:ilvl w:val="0"/>
          <w:numId w:val="224"/>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implementarea CNC, corelat cu EQF și QF-EHEA;</w:t>
      </w:r>
    </w:p>
    <w:p w14:paraId="7C802386" w14:textId="77777777" w:rsidR="00DC4682" w:rsidRPr="002303F6" w:rsidRDefault="00DC4682" w:rsidP="00A41843">
      <w:pPr>
        <w:numPr>
          <w:ilvl w:val="0"/>
          <w:numId w:val="224"/>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dezvoltarea Registrului Național al Calificărilor (RNC), interoperabil cu ESCO (European </w:t>
      </w:r>
      <w:proofErr w:type="spellStart"/>
      <w:r w:rsidRPr="002303F6">
        <w:rPr>
          <w:rFonts w:ascii="Times New Roman" w:eastAsia="Times New Roman" w:hAnsi="Times New Roman" w:cs="Times New Roman"/>
          <w:kern w:val="0"/>
          <w:sz w:val="24"/>
          <w:szCs w:val="24"/>
          <w:lang w:val="ro-MD" w:eastAsia="ro-MD"/>
          <w14:ligatures w14:val="none"/>
        </w:rPr>
        <w:t>Skills</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Competences</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Qualifications</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and</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Occupations</w:t>
      </w:r>
      <w:proofErr w:type="spellEnd"/>
      <w:r w:rsidRPr="002303F6">
        <w:rPr>
          <w:rFonts w:ascii="Times New Roman" w:eastAsia="Times New Roman" w:hAnsi="Times New Roman" w:cs="Times New Roman"/>
          <w:kern w:val="0"/>
          <w:sz w:val="24"/>
          <w:szCs w:val="24"/>
          <w:lang w:val="ro-MD" w:eastAsia="ro-MD"/>
          <w14:ligatures w14:val="none"/>
        </w:rPr>
        <w:t>);</w:t>
      </w:r>
    </w:p>
    <w:p w14:paraId="5ADFB4A8" w14:textId="77777777" w:rsidR="00DC4682" w:rsidRPr="002303F6" w:rsidRDefault="00DC4682" w:rsidP="00A41843">
      <w:pPr>
        <w:numPr>
          <w:ilvl w:val="0"/>
          <w:numId w:val="224"/>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alinierea proceselor de asigurare a calității cu Standardele și Ghidurile Europene pentru Asigurarea Calității în Învățământul Superior (ESG 2015);</w:t>
      </w:r>
    </w:p>
    <w:p w14:paraId="53226DDE" w14:textId="77777777" w:rsidR="00DC4682" w:rsidRPr="002303F6" w:rsidRDefault="00DC4682" w:rsidP="00A41843">
      <w:pPr>
        <w:numPr>
          <w:ilvl w:val="0"/>
          <w:numId w:val="224"/>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utilizarea instrumentelor Europass pentru descrierea și comunicarea calificărilor;</w:t>
      </w:r>
    </w:p>
    <w:p w14:paraId="5722A497" w14:textId="6D77E6E1" w:rsidR="00DC4682" w:rsidRPr="002303F6" w:rsidRDefault="00DC4682" w:rsidP="00A41843">
      <w:pPr>
        <w:numPr>
          <w:ilvl w:val="0"/>
          <w:numId w:val="224"/>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participarea la inițiative europene precum Erasmus+, ETF </w:t>
      </w:r>
      <w:proofErr w:type="spellStart"/>
      <w:r w:rsidRPr="002303F6">
        <w:rPr>
          <w:rFonts w:ascii="Times New Roman" w:eastAsia="Times New Roman" w:hAnsi="Times New Roman" w:cs="Times New Roman"/>
          <w:kern w:val="0"/>
          <w:sz w:val="24"/>
          <w:szCs w:val="24"/>
          <w:lang w:val="ro-MD" w:eastAsia="ro-MD"/>
          <w14:ligatures w14:val="none"/>
        </w:rPr>
        <w:t>peer</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learning</w:t>
      </w:r>
      <w:proofErr w:type="spellEnd"/>
      <w:r w:rsidRPr="002303F6">
        <w:rPr>
          <w:rFonts w:ascii="Times New Roman" w:eastAsia="Times New Roman" w:hAnsi="Times New Roman" w:cs="Times New Roman"/>
          <w:kern w:val="0"/>
          <w:sz w:val="24"/>
          <w:szCs w:val="24"/>
          <w:lang w:val="ro-MD" w:eastAsia="ro-MD"/>
          <w14:ligatures w14:val="none"/>
        </w:rPr>
        <w:t xml:space="preserve"> </w:t>
      </w:r>
      <w:proofErr w:type="spellStart"/>
      <w:r w:rsidRPr="002303F6">
        <w:rPr>
          <w:rFonts w:ascii="Times New Roman" w:eastAsia="Times New Roman" w:hAnsi="Times New Roman" w:cs="Times New Roman"/>
          <w:kern w:val="0"/>
          <w:sz w:val="24"/>
          <w:szCs w:val="24"/>
          <w:lang w:val="ro-MD" w:eastAsia="ro-MD"/>
          <w14:ligatures w14:val="none"/>
        </w:rPr>
        <w:t>activities</w:t>
      </w:r>
      <w:proofErr w:type="spellEnd"/>
      <w:r w:rsidRPr="002303F6">
        <w:rPr>
          <w:rFonts w:ascii="Times New Roman" w:eastAsia="Times New Roman" w:hAnsi="Times New Roman" w:cs="Times New Roman"/>
          <w:kern w:val="0"/>
          <w:sz w:val="24"/>
          <w:szCs w:val="24"/>
          <w:lang w:val="ro-MD" w:eastAsia="ro-MD"/>
          <w14:ligatures w14:val="none"/>
        </w:rPr>
        <w:t xml:space="preserve"> și proiectele de consolidare a CNC-urilor în Parteneriatul Estic.</w:t>
      </w:r>
    </w:p>
    <w:p w14:paraId="67111224" w14:textId="20C5D0BB" w:rsidR="00DC4682" w:rsidRPr="00A51B83" w:rsidRDefault="00DC4682" w:rsidP="002303F6">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A51B83">
        <w:rPr>
          <w:rFonts w:ascii="Times New Roman" w:eastAsia="Times New Roman" w:hAnsi="Times New Roman" w:cs="Times New Roman"/>
          <w:b/>
          <w:bCs/>
          <w:color w:val="3494BA" w:themeColor="accent1"/>
          <w:kern w:val="0"/>
          <w:sz w:val="24"/>
          <w:szCs w:val="24"/>
          <w:lang w:val="ro-MD" w:eastAsia="ro-MD"/>
          <w14:ligatures w14:val="none"/>
        </w:rPr>
        <w:t>Rezultatele convergenței și impactul asupra sistemului național</w:t>
      </w:r>
    </w:p>
    <w:p w14:paraId="14F1CE64" w14:textId="77777777" w:rsidR="00DC4682" w:rsidRPr="002303F6" w:rsidRDefault="00DC4682" w:rsidP="002303F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lastRenderedPageBreak/>
        <w:t>Această orientare strategică europeană a permis consolidarea dimensiunii internaționale a sistemului de educație și calificări al Republicii Moldova, generând:</w:t>
      </w:r>
    </w:p>
    <w:p w14:paraId="1B87879B" w14:textId="77777777" w:rsidR="00DC4682" w:rsidRPr="002303F6" w:rsidRDefault="00DC4682" w:rsidP="00A41843">
      <w:pPr>
        <w:numPr>
          <w:ilvl w:val="0"/>
          <w:numId w:val="22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creșterea compatibilității și comparabilității calificărilor cu cele europene;</w:t>
      </w:r>
    </w:p>
    <w:p w14:paraId="3969FE68" w14:textId="77777777" w:rsidR="00DC4682" w:rsidRPr="002303F6" w:rsidRDefault="00DC4682" w:rsidP="00A41843">
      <w:pPr>
        <w:numPr>
          <w:ilvl w:val="0"/>
          <w:numId w:val="22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facilitarea mobilității academice și profesionale a absolvenților și angajaților;</w:t>
      </w:r>
    </w:p>
    <w:p w14:paraId="32519EFE" w14:textId="77777777" w:rsidR="00DC4682" w:rsidRPr="002303F6" w:rsidRDefault="00DC4682" w:rsidP="00A41843">
      <w:pPr>
        <w:numPr>
          <w:ilvl w:val="0"/>
          <w:numId w:val="22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integrarea competențelor digitale, verzi și transversale în standardele de calificare;</w:t>
      </w:r>
    </w:p>
    <w:p w14:paraId="004D4D7F" w14:textId="77777777" w:rsidR="00DC4682" w:rsidRPr="002303F6" w:rsidRDefault="00DC4682" w:rsidP="00A41843">
      <w:pPr>
        <w:numPr>
          <w:ilvl w:val="0"/>
          <w:numId w:val="22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dezvoltarea unei culturi a calității în educație și formare;</w:t>
      </w:r>
    </w:p>
    <w:p w14:paraId="30A29EBC" w14:textId="1BFDC767" w:rsidR="00DC4682" w:rsidRPr="002303F6" w:rsidRDefault="00DC4682" w:rsidP="00A41843">
      <w:pPr>
        <w:numPr>
          <w:ilvl w:val="0"/>
          <w:numId w:val="22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extinderea parteneriatelor internaționale, care susțin modernizarea continuă a CNC.</w:t>
      </w:r>
    </w:p>
    <w:p w14:paraId="2EBE8B75" w14:textId="6AE66460" w:rsidR="00DC4682" w:rsidRPr="002303F6" w:rsidRDefault="00DC4682" w:rsidP="002303F6">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 xml:space="preserve">În ansamblu, politicile Republicii Moldova reflectă </w:t>
      </w:r>
      <w:r w:rsidR="003A548D">
        <w:rPr>
          <w:rFonts w:ascii="Times New Roman" w:eastAsia="Times New Roman" w:hAnsi="Times New Roman" w:cs="Times New Roman"/>
          <w:kern w:val="0"/>
          <w:sz w:val="24"/>
          <w:szCs w:val="24"/>
          <w:lang w:val="ro-MD" w:eastAsia="ro-MD"/>
          <w14:ligatures w14:val="none"/>
        </w:rPr>
        <w:t>alinierea la</w:t>
      </w:r>
      <w:r w:rsidRPr="002303F6">
        <w:rPr>
          <w:rFonts w:ascii="Times New Roman" w:eastAsia="Times New Roman" w:hAnsi="Times New Roman" w:cs="Times New Roman"/>
          <w:kern w:val="0"/>
          <w:sz w:val="24"/>
          <w:szCs w:val="24"/>
          <w:lang w:val="ro-MD" w:eastAsia="ro-MD"/>
          <w14:ligatures w14:val="none"/>
        </w:rPr>
        <w:t xml:space="preserve"> tendințele europene privind competențele, mobilitatea și recunoașterea calificărilor, confirmând angajamentul de integrare în Spațiul European al Învățământului Superior și în piața europeană a muncii.</w:t>
      </w:r>
    </w:p>
    <w:p w14:paraId="47CBF496" w14:textId="2AC04F0C" w:rsidR="0019581F" w:rsidRPr="00FD0989" w:rsidRDefault="00DC4682" w:rsidP="00FD0989">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303F6">
        <w:rPr>
          <w:rFonts w:ascii="Times New Roman" w:eastAsia="Times New Roman" w:hAnsi="Times New Roman" w:cs="Times New Roman"/>
          <w:kern w:val="0"/>
          <w:sz w:val="24"/>
          <w:szCs w:val="24"/>
          <w:lang w:val="ro-MD" w:eastAsia="ro-MD"/>
          <w14:ligatures w14:val="none"/>
        </w:rPr>
        <w:t>Convergența strategică dintre politicile naționale și cele europene demonstrează coerența direcției de dezvoltare a Republicii Moldova în domeniul educației și calificărilor. Prin adaptarea principiilor și mecanismelor europene la contextul național, sistemul moldovenesc devine parte integrantă a spațiului educațional și profesional european, bazat pe calitate, transparență și învățare continuă.</w:t>
      </w:r>
    </w:p>
    <w:p w14:paraId="787AD2D3" w14:textId="77777777" w:rsidR="00B60D23" w:rsidRDefault="00B60D23" w:rsidP="006C6509">
      <w:pPr>
        <w:spacing w:before="120" w:after="120" w:line="276" w:lineRule="auto"/>
        <w:jc w:val="both"/>
        <w:rPr>
          <w:rFonts w:ascii="Times New Roman" w:eastAsia="Times New Roman" w:hAnsi="Times New Roman" w:cs="Times New Roman"/>
          <w:kern w:val="0"/>
          <w:sz w:val="24"/>
          <w:szCs w:val="24"/>
          <w:lang w:eastAsia="ro-MD"/>
          <w14:ligatures w14:val="none"/>
        </w:rPr>
      </w:pPr>
    </w:p>
    <w:p w14:paraId="56B28BFB" w14:textId="31742CC6" w:rsidR="00011ECF" w:rsidRPr="0020102C" w:rsidRDefault="004B169E" w:rsidP="0041118E">
      <w:pPr>
        <w:pStyle w:val="a7"/>
        <w:numPr>
          <w:ilvl w:val="0"/>
          <w:numId w:val="2"/>
        </w:numPr>
        <w:spacing w:before="120" w:after="120" w:line="276" w:lineRule="auto"/>
        <w:contextualSpacing w:val="0"/>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STRUCTURA SISTEMULUI DE EDUCAȚIE ȘI FORMARE PROFESIONALĂ</w:t>
      </w:r>
    </w:p>
    <w:p w14:paraId="5C2D985B" w14:textId="0B9463B0" w:rsidR="00C352E6" w:rsidRPr="0020102C" w:rsidRDefault="00C352E6" w:rsidP="005C4FE9">
      <w:pPr>
        <w:pStyle w:val="af8"/>
        <w:spacing w:before="120" w:beforeAutospacing="0" w:after="120" w:afterAutospacing="0" w:line="276" w:lineRule="auto"/>
        <w:jc w:val="both"/>
      </w:pPr>
      <w:r w:rsidRPr="0020102C">
        <w:t xml:space="preserve">Această secțiune descrie structura generală a sistemului </w:t>
      </w:r>
      <w:r w:rsidRPr="00383773">
        <w:rPr>
          <w:highlight w:val="yellow"/>
        </w:rPr>
        <w:t>național, cadrul legal și instituțional, nivelurile și tipurile de educație și formare, precum și politicile generale care promovează incluziunea și învățarea pe tot parcursul vieții.</w:t>
      </w:r>
    </w:p>
    <w:p w14:paraId="636A8A29" w14:textId="7A72D2FE" w:rsidR="00C352E6" w:rsidRPr="0020102C" w:rsidRDefault="00C352E6" w:rsidP="005C4FE9">
      <w:pPr>
        <w:pStyle w:val="af8"/>
        <w:spacing w:before="120" w:beforeAutospacing="0" w:after="120" w:afterAutospacing="0" w:line="276" w:lineRule="auto"/>
        <w:jc w:val="both"/>
        <w:rPr>
          <w:rStyle w:val="af9"/>
          <w:rFonts w:eastAsiaTheme="majorEastAsia"/>
          <w:color w:val="3494BA" w:themeColor="accent1"/>
        </w:rPr>
      </w:pPr>
      <w:r w:rsidRPr="0020102C">
        <w:rPr>
          <w:rStyle w:val="af9"/>
          <w:rFonts w:eastAsiaTheme="majorEastAsia"/>
          <w:color w:val="3494BA" w:themeColor="accent1"/>
        </w:rPr>
        <w:t>3.1. Prezentarea generală a sistemului național</w:t>
      </w:r>
      <w:r w:rsidR="00BE58DB" w:rsidRPr="0020102C">
        <w:rPr>
          <w:rStyle w:val="af9"/>
          <w:rFonts w:eastAsiaTheme="majorEastAsia"/>
          <w:color w:val="3494BA" w:themeColor="accent1"/>
        </w:rPr>
        <w:t xml:space="preserve"> </w:t>
      </w:r>
    </w:p>
    <w:p w14:paraId="4F0BED58" w14:textId="77777777" w:rsidR="002F7B7D" w:rsidRDefault="002F7B7D" w:rsidP="00272192">
      <w:pPr>
        <w:pStyle w:val="af8"/>
        <w:spacing w:before="120" w:beforeAutospacing="0" w:after="120" w:afterAutospacing="0" w:line="276" w:lineRule="auto"/>
        <w:jc w:val="both"/>
      </w:pPr>
      <w:r>
        <w:t>Sistemul de educație și formare profesională din Republica Moldova funcționează în baza unui cadru normativ și strategic consolidat, aliniat progresiv la standardele și practicile europene. Acesta reprezintă un sistem unitar, coordonat la nivel central, dar cu elemente de descentralizare instituțională, menite să asigure adaptarea la diversitatea nevoilor locale.</w:t>
      </w:r>
    </w:p>
    <w:p w14:paraId="01953927" w14:textId="77777777" w:rsidR="002F7B7D" w:rsidRDefault="002F7B7D" w:rsidP="00272192">
      <w:pPr>
        <w:pStyle w:val="af8"/>
        <w:spacing w:before="120" w:beforeAutospacing="0" w:after="120" w:afterAutospacing="0" w:line="276" w:lineRule="auto"/>
        <w:jc w:val="both"/>
      </w:pPr>
      <w:r>
        <w:t>Educația este obligatorie până la finalizarea învățământului gimnazial și gratuită în instituțiile publice, iar învățământul profesional tehnic și cel superior beneficiază de finanțare bugetară, în limitele planului de admitere aprobat anual de Guvern.</w:t>
      </w:r>
    </w:p>
    <w:p w14:paraId="20F994AB" w14:textId="77777777" w:rsidR="002F7B7D" w:rsidRDefault="002F7B7D" w:rsidP="00272192">
      <w:pPr>
        <w:pStyle w:val="af8"/>
        <w:spacing w:before="120" w:beforeAutospacing="0" w:after="120" w:afterAutospacing="0" w:line="276" w:lineRule="auto"/>
        <w:jc w:val="both"/>
      </w:pPr>
      <w:r>
        <w:t xml:space="preserve">Structura sistemului educațional este organizată pe niveluri distincte de calificare, de la educația timpurie până la învățarea pe tot parcursul vieții, reflectând principiile Procesului Bologna și ale Cadrului European al Calificărilor (EQF). În ultimul deceniu, au fost implementate reforme majore orientate spre modernizarea </w:t>
      </w:r>
      <w:proofErr w:type="spellStart"/>
      <w:r>
        <w:t>curriculei</w:t>
      </w:r>
      <w:proofErr w:type="spellEnd"/>
      <w:r>
        <w:t>, dezvoltarea învățământului profesional dual, consolidarea mecanismelor de asigurare a calității și instituirea Cadrului Național al Calificărilor (CNC) — ca instrument central de coerență, transparență și recunoaștere a calificărilor.</w:t>
      </w:r>
    </w:p>
    <w:p w14:paraId="16F42F1A" w14:textId="3F3E44D8" w:rsidR="00C352E6" w:rsidRPr="0020102C" w:rsidRDefault="002F7B7D" w:rsidP="002F7B7D">
      <w:pPr>
        <w:pStyle w:val="af8"/>
        <w:spacing w:before="120" w:beforeAutospacing="0" w:after="120" w:afterAutospacing="0" w:line="276" w:lineRule="auto"/>
        <w:jc w:val="both"/>
      </w:pPr>
      <w:r>
        <w:t>Sistemul este conceput pentru a sprijini trasee individuale de învățare, a asigura accesul echitabil la educație de calitate și a dezvolta competențele cerute de piața muncii și de economia bazată pe cunoaștere. Politicile educaționale promovează incluziunea, mobilitatea și învățarea pe tot parcursul vieții, iar CNC joacă un rol esențial în corelarea sistemului național cu spațiul european al calificărilor (EQF și QF-EHEA).</w:t>
      </w:r>
      <w:r w:rsidR="00C352E6" w:rsidRPr="0020102C">
        <w:t>.</w:t>
      </w:r>
    </w:p>
    <w:p w14:paraId="1EE1FBB8" w14:textId="3BDCC888" w:rsidR="00102552" w:rsidRPr="0020102C" w:rsidRDefault="00493227" w:rsidP="005C4FE9">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3.2.</w:t>
      </w:r>
      <w:r w:rsidRPr="0020102C">
        <w:rPr>
          <w:rFonts w:ascii="Times New Roman" w:eastAsia="Times New Roman" w:hAnsi="Times New Roman" w:cs="Times New Roman"/>
          <w:b/>
          <w:bCs/>
          <w:color w:val="3494BA" w:themeColor="accent1"/>
          <w:kern w:val="0"/>
          <w:sz w:val="24"/>
          <w:szCs w:val="24"/>
          <w:lang w:eastAsia="ro-MD"/>
          <w14:ligatures w14:val="none"/>
        </w:rPr>
        <w:tab/>
        <w:t>Principiile de guvernanță (ministere, agenții, actori-</w:t>
      </w:r>
      <w:r w:rsidR="00071CAF" w:rsidRPr="0020102C">
        <w:rPr>
          <w:rFonts w:ascii="Times New Roman" w:eastAsia="Times New Roman" w:hAnsi="Times New Roman" w:cs="Times New Roman"/>
          <w:b/>
          <w:bCs/>
          <w:color w:val="3494BA" w:themeColor="accent1"/>
          <w:kern w:val="0"/>
          <w:sz w:val="24"/>
          <w:szCs w:val="24"/>
          <w:lang w:eastAsia="ro-MD"/>
          <w14:ligatures w14:val="none"/>
        </w:rPr>
        <w:t>cheie</w:t>
      </w:r>
      <w:r w:rsidRPr="0020102C">
        <w:rPr>
          <w:rFonts w:ascii="Times New Roman" w:eastAsia="Times New Roman" w:hAnsi="Times New Roman" w:cs="Times New Roman"/>
          <w:b/>
          <w:bCs/>
          <w:color w:val="3494BA" w:themeColor="accent1"/>
          <w:kern w:val="0"/>
          <w:sz w:val="24"/>
          <w:szCs w:val="24"/>
          <w:lang w:eastAsia="ro-MD"/>
          <w14:ligatures w14:val="none"/>
        </w:rPr>
        <w:t>).</w:t>
      </w:r>
    </w:p>
    <w:p w14:paraId="3B4D0AAC" w14:textId="77777777" w:rsidR="007D37C1" w:rsidRPr="0020102C" w:rsidRDefault="007D37C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Guvernanța sistemului de educație și formare profesională din Republica Moldova se bazează pe coordonare centralizată la nivel de ministere și agenții guvernamentale, completată de implicarea partenerilor sociali, a structurilor autonome și a organizațiilor societății civile. Principiile fundamentale includ: claritatea rolurilor și responsabilităților, transparența procesului decizional, implicarea părților interesate și alinierea politicilor la standardele și practicile europene.</w:t>
      </w:r>
    </w:p>
    <w:p w14:paraId="57DB4505" w14:textId="34FF8D47" w:rsidR="00A21627" w:rsidRPr="0020102C" w:rsidRDefault="007D37C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Ministerul Educației și Cercetării (MEC)</w:t>
      </w:r>
      <w:r w:rsidRPr="0020102C">
        <w:rPr>
          <w:rFonts w:ascii="Times New Roman" w:eastAsia="Times New Roman" w:hAnsi="Times New Roman" w:cs="Times New Roman"/>
          <w:kern w:val="0"/>
          <w:sz w:val="24"/>
          <w:szCs w:val="24"/>
          <w:lang w:eastAsia="ro-MD"/>
          <w14:ligatures w14:val="none"/>
        </w:rPr>
        <w:t xml:space="preserve">, </w:t>
      </w:r>
      <w:r w:rsidR="000D4D93">
        <w:rPr>
          <w:rFonts w:ascii="Times New Roman" w:eastAsia="Times New Roman" w:hAnsi="Times New Roman" w:cs="Times New Roman"/>
          <w:kern w:val="0"/>
          <w:sz w:val="24"/>
          <w:szCs w:val="24"/>
          <w:lang w:eastAsia="ro-MD"/>
          <w14:ligatures w14:val="none"/>
        </w:rPr>
        <w:t>conform</w:t>
      </w:r>
      <w:r w:rsidRPr="0020102C">
        <w:rPr>
          <w:rFonts w:ascii="Times New Roman" w:eastAsia="Times New Roman" w:hAnsi="Times New Roman" w:cs="Times New Roman"/>
          <w:kern w:val="0"/>
          <w:sz w:val="24"/>
          <w:szCs w:val="24"/>
          <w:lang w:eastAsia="ro-MD"/>
          <w14:ligatures w14:val="none"/>
        </w:rPr>
        <w:t xml:space="preserve"> </w:t>
      </w:r>
      <w:r w:rsidRPr="000D4D93">
        <w:rPr>
          <w:rFonts w:ascii="Times New Roman" w:eastAsia="Times New Roman" w:hAnsi="Times New Roman" w:cs="Times New Roman"/>
          <w:kern w:val="0"/>
          <w:sz w:val="24"/>
          <w:szCs w:val="24"/>
          <w:lang w:eastAsia="ro-MD"/>
          <w14:ligatures w14:val="none"/>
        </w:rPr>
        <w:t>Codului educației nr. 152/2014</w:t>
      </w:r>
      <w:r w:rsidRPr="0020102C">
        <w:rPr>
          <w:rFonts w:ascii="Times New Roman" w:eastAsia="Times New Roman" w:hAnsi="Times New Roman" w:cs="Times New Roman"/>
          <w:kern w:val="0"/>
          <w:sz w:val="24"/>
          <w:szCs w:val="24"/>
          <w:lang w:eastAsia="ro-MD"/>
          <w14:ligatures w14:val="none"/>
        </w:rPr>
        <w:t>, este autoritatea centrală responsabilă pentru elaborarea, coordonarea și implementarea politicilor în domeniul educației și cercetării.</w:t>
      </w:r>
    </w:p>
    <w:p w14:paraId="1930824B" w14:textId="0F0F451E" w:rsidR="007D37C1" w:rsidRPr="0020102C" w:rsidRDefault="007D37C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Atribuțiile principale includ:</w:t>
      </w:r>
    </w:p>
    <w:p w14:paraId="75033881" w14:textId="77777777"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Elaborarea cadrului normativ și strategic pentru toate nivelurile de educație și formare profesională;</w:t>
      </w:r>
    </w:p>
    <w:p w14:paraId="179BB516" w14:textId="17C97265"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Coordonarea implementării CNC, conform </w:t>
      </w:r>
      <w:r w:rsidR="000D4D93">
        <w:rPr>
          <w:rFonts w:ascii="Times New Roman" w:eastAsia="Times New Roman" w:hAnsi="Times New Roman" w:cs="Times New Roman"/>
          <w:kern w:val="0"/>
          <w:sz w:val="24"/>
          <w:szCs w:val="24"/>
          <w:lang w:eastAsia="ro-MD"/>
          <w14:ligatures w14:val="none"/>
        </w:rPr>
        <w:t>HG</w:t>
      </w:r>
      <w:r w:rsidRPr="0020102C">
        <w:rPr>
          <w:rFonts w:ascii="Times New Roman" w:eastAsia="Times New Roman" w:hAnsi="Times New Roman" w:cs="Times New Roman"/>
          <w:kern w:val="0"/>
          <w:sz w:val="24"/>
          <w:szCs w:val="24"/>
          <w:lang w:eastAsia="ro-MD"/>
          <w14:ligatures w14:val="none"/>
        </w:rPr>
        <w:t xml:space="preserve"> nr. 330/2023, care aprobă CNC și Foaia de parcurs pentru operaționalizarea acestuia (2023–2027);</w:t>
      </w:r>
    </w:p>
    <w:p w14:paraId="4B7EC929" w14:textId="1ECE92DF"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Armonizarea sistemului educațional cu standardele și inițiativele europene, inclusiv Procesul Bologna și EQF;</w:t>
      </w:r>
    </w:p>
    <w:p w14:paraId="59F7FE43" w14:textId="77777777"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Dezvoltarea politicilor curriculare și a standardelor de evaluare;</w:t>
      </w:r>
    </w:p>
    <w:p w14:paraId="19E23E6A" w14:textId="1AF6D62B"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Promovarea incluziunii și echității în educație, inclusiv prin implementarea </w:t>
      </w:r>
      <w:r w:rsidR="000A73BA">
        <w:rPr>
          <w:rFonts w:ascii="Times New Roman" w:eastAsia="Times New Roman" w:hAnsi="Times New Roman" w:cs="Times New Roman"/>
          <w:kern w:val="0"/>
          <w:sz w:val="24"/>
          <w:szCs w:val="24"/>
          <w:lang w:eastAsia="ro-MD"/>
          <w14:ligatures w14:val="none"/>
        </w:rPr>
        <w:t>HG</w:t>
      </w:r>
      <w:r w:rsidRPr="0020102C">
        <w:rPr>
          <w:rFonts w:ascii="Times New Roman" w:eastAsia="Times New Roman" w:hAnsi="Times New Roman" w:cs="Times New Roman"/>
          <w:kern w:val="0"/>
          <w:sz w:val="24"/>
          <w:szCs w:val="24"/>
          <w:lang w:eastAsia="ro-MD"/>
          <w14:ligatures w14:val="none"/>
        </w:rPr>
        <w:t xml:space="preserve"> nr. 950/2023 privind Programul de dezvoltare a educației incluzive 2024–2027;</w:t>
      </w:r>
    </w:p>
    <w:p w14:paraId="17811578" w14:textId="77777777"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Coordonarea învățământului dual, în baza Legii nr. 110/2022;</w:t>
      </w:r>
    </w:p>
    <w:p w14:paraId="4E214F78" w14:textId="4CC574F8" w:rsidR="007D37C1" w:rsidRPr="0020102C" w:rsidRDefault="007D37C1" w:rsidP="00A41843">
      <w:pPr>
        <w:numPr>
          <w:ilvl w:val="0"/>
          <w:numId w:val="1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Monitorizarea și asigurarea calității în colaborare cu ANACEC.</w:t>
      </w:r>
    </w:p>
    <w:p w14:paraId="5253802D" w14:textId="008BF031" w:rsidR="007D37C1" w:rsidRPr="0020102C" w:rsidRDefault="007D37C1" w:rsidP="0078073A">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Ministerul Muncii și Protecției Sociale (MMPS)</w:t>
      </w:r>
      <w:r w:rsidRPr="0020102C">
        <w:rPr>
          <w:rFonts w:ascii="Times New Roman" w:eastAsia="Times New Roman" w:hAnsi="Times New Roman" w:cs="Times New Roman"/>
          <w:kern w:val="0"/>
          <w:sz w:val="24"/>
          <w:szCs w:val="24"/>
          <w:lang w:eastAsia="ro-MD"/>
          <w14:ligatures w14:val="none"/>
        </w:rPr>
        <w:t xml:space="preserve"> este responsabil pentru </w:t>
      </w:r>
      <w:r w:rsidR="00EB26A8" w:rsidRPr="001F6026">
        <w:rPr>
          <w:rFonts w:ascii="Times New Roman" w:eastAsia="Times New Roman" w:hAnsi="Times New Roman" w:cs="Times New Roman"/>
          <w:kern w:val="0"/>
          <w:sz w:val="24"/>
          <w:szCs w:val="24"/>
          <w:lang w:eastAsia="ro-MD"/>
          <w14:ligatures w14:val="none"/>
        </w:rPr>
        <w:t xml:space="preserve">elaborarea și promovarea politicilor în domeniul promovării ocupării forței de muncă, </w:t>
      </w:r>
      <w:r w:rsidR="00AD484F" w:rsidRPr="0020102C">
        <w:rPr>
          <w:rFonts w:ascii="Times New Roman" w:eastAsia="Times New Roman" w:hAnsi="Times New Roman" w:cs="Times New Roman"/>
          <w:kern w:val="0"/>
          <w:sz w:val="24"/>
          <w:szCs w:val="24"/>
          <w:lang w:eastAsia="ro-MD"/>
          <w14:ligatures w14:val="none"/>
        </w:rPr>
        <w:t>promovarea incluziunii sociale și egalității de șanse pentru grupurile vulnerabile;</w:t>
      </w:r>
      <w:r w:rsidR="00AD484F">
        <w:rPr>
          <w:rFonts w:ascii="Times New Roman" w:eastAsia="Times New Roman" w:hAnsi="Times New Roman" w:cs="Times New Roman"/>
          <w:kern w:val="0"/>
          <w:sz w:val="24"/>
          <w:szCs w:val="24"/>
          <w:lang w:eastAsia="ro-MD"/>
          <w14:ligatures w14:val="none"/>
        </w:rPr>
        <w:t xml:space="preserve"> </w:t>
      </w:r>
      <w:r w:rsidR="00AD484F" w:rsidRPr="0020102C">
        <w:rPr>
          <w:rFonts w:ascii="Times New Roman" w:eastAsia="Times New Roman" w:hAnsi="Times New Roman" w:cs="Times New Roman"/>
          <w:kern w:val="0"/>
          <w:sz w:val="24"/>
          <w:szCs w:val="24"/>
          <w:lang w:eastAsia="ro-MD"/>
          <w14:ligatures w14:val="none"/>
        </w:rPr>
        <w:t>coordonar</w:t>
      </w:r>
      <w:r w:rsidRPr="0020102C">
        <w:rPr>
          <w:rFonts w:ascii="Times New Roman" w:eastAsia="Times New Roman" w:hAnsi="Times New Roman" w:cs="Times New Roman"/>
          <w:kern w:val="0"/>
          <w:sz w:val="24"/>
          <w:szCs w:val="24"/>
          <w:lang w:eastAsia="ro-MD"/>
          <w14:ligatures w14:val="none"/>
        </w:rPr>
        <w:t>ea politicilor de integrare profesională a persoanelor cu dizabilități.</w:t>
      </w:r>
    </w:p>
    <w:p w14:paraId="03C3BC59" w14:textId="5960C515" w:rsidR="006001CA" w:rsidRPr="0020102C" w:rsidRDefault="006001CA" w:rsidP="00EB2D3E">
      <w:pPr>
        <w:pStyle w:val="af8"/>
        <w:spacing w:before="120" w:beforeAutospacing="0" w:after="120" w:afterAutospacing="0" w:line="276" w:lineRule="auto"/>
        <w:jc w:val="both"/>
      </w:pPr>
      <w:r w:rsidRPr="0020102C">
        <w:rPr>
          <w:rStyle w:val="af9"/>
          <w:rFonts w:eastAsiaTheme="majorEastAsia"/>
        </w:rPr>
        <w:t xml:space="preserve">Ministerul Sănătății (prin </w:t>
      </w:r>
      <w:r w:rsidR="00FB22D6" w:rsidRPr="00385788">
        <w:rPr>
          <w:rStyle w:val="af9"/>
          <w:rFonts w:eastAsiaTheme="majorEastAsia"/>
        </w:rPr>
        <w:t>Universitatea de Stat de Medicină și Farmacie „Nicolae Testemițanu”</w:t>
      </w:r>
      <w:r w:rsidR="00FB22D6">
        <w:rPr>
          <w:rStyle w:val="af9"/>
          <w:rFonts w:eastAsiaTheme="majorEastAsia"/>
        </w:rPr>
        <w:t xml:space="preserve"> </w:t>
      </w:r>
      <w:r w:rsidRPr="0020102C">
        <w:rPr>
          <w:rStyle w:val="af9"/>
          <w:rFonts w:eastAsiaTheme="majorEastAsia"/>
        </w:rPr>
        <w:t xml:space="preserve"> și structurile de educație medicală)</w:t>
      </w:r>
      <w:r w:rsidRPr="0020102C">
        <w:t xml:space="preserve"> coordonează dezvoltarea resurselor umane în domeniul medical și farmaceutic, prin universități, colegii și instituții de educație continuă. În raport cu CNC, ministerul contribuie la integrarea și recunoașterea calificărilor medicale și farmaceutice, inclusiv în domeniile reglementate, asigurând compatibilitatea acestora cu standardele europene.</w:t>
      </w:r>
    </w:p>
    <w:p w14:paraId="621514A2" w14:textId="2F0E2C97" w:rsidR="00B620E2" w:rsidRPr="006541F8" w:rsidRDefault="006001CA" w:rsidP="00B620E2">
      <w:pPr>
        <w:pStyle w:val="af8"/>
        <w:spacing w:before="120" w:beforeAutospacing="0" w:after="120" w:afterAutospacing="0" w:line="276" w:lineRule="auto"/>
        <w:jc w:val="both"/>
        <w:rPr>
          <w:color w:val="00B050"/>
          <w:lang w:val="it-IT"/>
        </w:rPr>
      </w:pPr>
      <w:r w:rsidRPr="0020102C">
        <w:rPr>
          <w:rStyle w:val="af9"/>
          <w:rFonts w:eastAsiaTheme="majorEastAsia"/>
        </w:rPr>
        <w:t>Ministerul Afacerilor Interne (MAI)</w:t>
      </w:r>
      <w:r w:rsidR="00E467C7">
        <w:rPr>
          <w:rStyle w:val="af9"/>
          <w:rFonts w:eastAsiaTheme="majorEastAsia"/>
        </w:rPr>
        <w:t xml:space="preserve"> </w:t>
      </w:r>
      <w:r w:rsidR="008A1058">
        <w:t>este autoritatea centrală responsabilă de implementarea politicilor statului în domeniile ordinii și securității publice, managementului frontierei, migrației, situațiilor de urgență și protecției civile</w:t>
      </w:r>
      <w:r w:rsidR="003A4258">
        <w:t>;</w:t>
      </w:r>
      <w:r w:rsidR="00DE59CB" w:rsidRPr="0020102C">
        <w:t xml:space="preserve"> gestion</w:t>
      </w:r>
      <w:r w:rsidR="00E467C7">
        <w:t>ează</w:t>
      </w:r>
      <w:r w:rsidR="00DE59CB" w:rsidRPr="0020102C">
        <w:t xml:space="preserve"> formarea profesională pentru structurile polițienești și alte entități afiliate. </w:t>
      </w:r>
      <w:r w:rsidR="006740C6">
        <w:t xml:space="preserve">Corelarea cu </w:t>
      </w:r>
      <w:r w:rsidR="006740C6">
        <w:rPr>
          <w:rStyle w:val="afd"/>
          <w:rFonts w:eastAsiaTheme="majorEastAsia"/>
        </w:rPr>
        <w:t>Cadrul Național al Calificărilor (CNC)</w:t>
      </w:r>
      <w:r w:rsidR="006740C6">
        <w:t xml:space="preserve"> se realizează prin includerea calificărilor din domeniile dreptului, științelor administrative și securității publice în sistemul național al calificărilor, prin alinierea programelor de formare la standardele naționale și europene bazate pe rezultate ale învățării.</w:t>
      </w:r>
    </w:p>
    <w:p w14:paraId="0BA8556B" w14:textId="1F3C0F05" w:rsidR="006001CA" w:rsidRPr="0020102C" w:rsidRDefault="006001CA" w:rsidP="00EB2D3E">
      <w:pPr>
        <w:pStyle w:val="af8"/>
        <w:spacing w:before="120" w:beforeAutospacing="0" w:after="120" w:afterAutospacing="0" w:line="276" w:lineRule="auto"/>
        <w:jc w:val="both"/>
      </w:pPr>
      <w:r w:rsidRPr="0020102C">
        <w:rPr>
          <w:rStyle w:val="af9"/>
          <w:rFonts w:eastAsiaTheme="majorEastAsia"/>
        </w:rPr>
        <w:t>Ministerul Apărării (prin Academia Militară)</w:t>
      </w:r>
      <w:r w:rsidRPr="0020102C">
        <w:t xml:space="preserve"> gestionează formarea resurselor umane pentru apărarea națională, prin instituții specializate precum Academia Militară. În CNC, ministerul asigură reprezentarea și descrierea calificărilor militare, precum și recunoașterea acestora în context european, prin definirea rezultatelor învățării specifice domeniului apărării.</w:t>
      </w:r>
    </w:p>
    <w:p w14:paraId="0FFD1728" w14:textId="5FC951C1" w:rsidR="006001CA" w:rsidRPr="0020102C" w:rsidRDefault="006001CA" w:rsidP="00EB2D3E">
      <w:pPr>
        <w:pStyle w:val="af8"/>
        <w:spacing w:before="120" w:beforeAutospacing="0" w:after="120" w:afterAutospacing="0" w:line="276" w:lineRule="auto"/>
        <w:jc w:val="both"/>
        <w:rPr>
          <w:rStyle w:val="af9"/>
          <w:b w:val="0"/>
          <w:bCs w:val="0"/>
        </w:rPr>
      </w:pPr>
      <w:r w:rsidRPr="0020102C">
        <w:rPr>
          <w:rStyle w:val="af9"/>
          <w:rFonts w:eastAsiaTheme="majorEastAsia"/>
        </w:rPr>
        <w:t xml:space="preserve">Ministerul Culturii (prin </w:t>
      </w:r>
      <w:r w:rsidR="00035BFF" w:rsidRPr="00DA635F">
        <w:rPr>
          <w:rStyle w:val="af9"/>
          <w:rFonts w:eastAsiaTheme="majorEastAsia"/>
        </w:rPr>
        <w:t>Academia de Muzică, Teatru şi Arte Plastice</w:t>
      </w:r>
      <w:r w:rsidRPr="0020102C">
        <w:rPr>
          <w:rStyle w:val="af9"/>
          <w:rFonts w:eastAsiaTheme="majorEastAsia"/>
        </w:rPr>
        <w:t xml:space="preserve"> și instituții artistice)</w:t>
      </w:r>
      <w:r w:rsidR="00FE4FCF">
        <w:rPr>
          <w:rStyle w:val="af9"/>
          <w:rFonts w:eastAsiaTheme="majorEastAsia"/>
        </w:rPr>
        <w:t xml:space="preserve"> </w:t>
      </w:r>
      <w:r w:rsidRPr="0020102C">
        <w:t xml:space="preserve">promovează dezvoltarea capitalului uman în domeniul artistic și cultural, prin instituții de învățământ </w:t>
      </w:r>
      <w:r w:rsidRPr="0020102C">
        <w:lastRenderedPageBreak/>
        <w:t>superior și profesional artistic. În legătură cu CNC, ministerul sprijină includerea și referențierea calificărilor artistice, promovând recunoașterea europeană a educației și formării în domeniul cultural și creativ.</w:t>
      </w:r>
    </w:p>
    <w:p w14:paraId="7CB2CB0D" w14:textId="5AE02796"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Energiei</w:t>
      </w:r>
      <w:r w:rsidRPr="0020102C">
        <w:t xml:space="preserve"> elaborează și implementează politici în domeniul energetic, promovând securitatea energetică, eficiența și tranziția la surse regenerabile. În raport cu CNC, ministerul contribuie la integrarea calificărilor din energetică și inginerie electrică, asigurându-le relevanța față de cerințele pieței muncii și compatibilitatea cu standardele europene.</w:t>
      </w:r>
    </w:p>
    <w:p w14:paraId="7224A901" w14:textId="17FCDE12"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Mediului</w:t>
      </w:r>
      <w:r w:rsidR="00FE4FCF">
        <w:rPr>
          <w:rStyle w:val="af9"/>
          <w:rFonts w:eastAsiaTheme="majorEastAsia"/>
        </w:rPr>
        <w:t xml:space="preserve"> </w:t>
      </w:r>
      <w:r w:rsidRPr="0020102C">
        <w:t>coordonează politicile de protecție a mediului, gestionarea resurselor naturale și promovarea economiei verzi. În legătură cu CNC, acesta sprijină dezvoltarea și actualizarea calificărilor verzi (mediu, ecologie, managementul deșeurilor), racordate la prioritățile de sustenabilitate și la cadrele europene.</w:t>
      </w:r>
    </w:p>
    <w:p w14:paraId="0374922A" w14:textId="6CD56353"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Agriculturii și Industriei Alimentare</w:t>
      </w:r>
      <w:r w:rsidRPr="0020102C">
        <w:t xml:space="preserve"> reglementează și sprijină sectoarele agricole și alimentare, inclusiv siguranța alimentară și competitivitatea producătorilor. Conexiunea cu CNC se manifestă prin includerea calificărilor agricole și agroalimentare, asigurând corelarea lor cu nevoile pieței și cu cerințele de recunoaștere europeană.</w:t>
      </w:r>
    </w:p>
    <w:p w14:paraId="2A18000B" w14:textId="3A26AE5F"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Dezvoltării Economice și Digitalizării</w:t>
      </w:r>
      <w:r w:rsidR="001E2477">
        <w:rPr>
          <w:rStyle w:val="af9"/>
          <w:rFonts w:eastAsiaTheme="majorEastAsia"/>
        </w:rPr>
        <w:t xml:space="preserve"> </w:t>
      </w:r>
      <w:r w:rsidRPr="0020102C">
        <w:t>promovează politicile de creștere economică, inovare și transformare digitală. În CNC, ministerul susține actualizarea calificărilor digitale, de afaceri și inovare, pentru a asigura competitivitatea resurselor umane și integrarea lor în economia europeană digitală.</w:t>
      </w:r>
    </w:p>
    <w:p w14:paraId="75C674F8" w14:textId="420D8DB6"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Finanțelor</w:t>
      </w:r>
      <w:r w:rsidR="001E2477">
        <w:rPr>
          <w:rStyle w:val="af9"/>
          <w:rFonts w:eastAsiaTheme="majorEastAsia"/>
        </w:rPr>
        <w:t xml:space="preserve"> </w:t>
      </w:r>
      <w:r w:rsidRPr="0020102C">
        <w:t>are rolul central în gestionarea finanțelor publice, a politicilor fiscale și bugetare ale statului. Conexiunea cu CNC se reflectă în reglementarea și monitorizarea calificărilor din domeniul financiar-contabil și economic, racordate la standardele internaționale și la exigențele pieței muncii.</w:t>
      </w:r>
    </w:p>
    <w:p w14:paraId="5982392A" w14:textId="1D025357"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Infrastructurii și Dezvoltării Regionale</w:t>
      </w:r>
      <w:r w:rsidRPr="0020102C">
        <w:t xml:space="preserve"> coordonează dezvoltarea infrastructurii, transportului și planificării regionale. Legătura cu CNC se exprimă prin integrarea calificărilor din construcții, transport și logistică, asigurând alinierea lor la standardele europene și la nevoile de dezvoltare durabilă a regiunilor.</w:t>
      </w:r>
    </w:p>
    <w:p w14:paraId="73D7EFD3" w14:textId="7D43EA5F" w:rsidR="00605CB8" w:rsidRPr="0020102C" w:rsidRDefault="00605CB8" w:rsidP="00EB2D3E">
      <w:pPr>
        <w:pStyle w:val="af8"/>
        <w:spacing w:before="120" w:beforeAutospacing="0" w:after="120" w:afterAutospacing="0" w:line="276" w:lineRule="auto"/>
        <w:jc w:val="both"/>
      </w:pPr>
      <w:r w:rsidRPr="0020102C">
        <w:rPr>
          <w:rStyle w:val="af9"/>
          <w:rFonts w:eastAsiaTheme="majorEastAsia"/>
        </w:rPr>
        <w:t>Ministerul Justiției</w:t>
      </w:r>
      <w:r w:rsidRPr="0020102C">
        <w:t xml:space="preserve"> asigură cadrul normativ și instituțional pentru funcționarea sistemului juridic și pentru promovarea statului de drept. În raport cu CNC, acesta contribuie la integrarea și recunoașterea calificărilor juridice, inclusiv în domeniile reglementate, facilitând compatibilitatea lor cu standardele europene și internaționale.</w:t>
      </w:r>
    </w:p>
    <w:p w14:paraId="06E215F3" w14:textId="322746BA" w:rsidR="00407D9A" w:rsidRPr="00006D96" w:rsidRDefault="007D37C1" w:rsidP="00407D9A">
      <w:pPr>
        <w:spacing w:before="120" w:after="120" w:line="276" w:lineRule="auto"/>
        <w:jc w:val="both"/>
        <w:rPr>
          <w:rFonts w:ascii="Times New Roman" w:eastAsia="Times New Roman" w:hAnsi="Times New Roman" w:cs="Times New Roman"/>
          <w:kern w:val="0"/>
          <w:sz w:val="24"/>
          <w:szCs w:val="24"/>
          <w14:ligatures w14:val="none"/>
        </w:rPr>
      </w:pPr>
      <w:r w:rsidRPr="0020102C">
        <w:rPr>
          <w:rFonts w:ascii="Times New Roman" w:eastAsia="Times New Roman" w:hAnsi="Times New Roman" w:cs="Times New Roman"/>
          <w:b/>
          <w:bCs/>
          <w:kern w:val="0"/>
          <w:sz w:val="24"/>
          <w:szCs w:val="24"/>
          <w:lang w:eastAsia="ro-MD"/>
          <w14:ligatures w14:val="none"/>
        </w:rPr>
        <w:t>Agenția Națională pentru Asigurarea Calității în Educație și Cercetare (ANACEC)</w:t>
      </w:r>
      <w:r w:rsidRPr="0020102C">
        <w:rPr>
          <w:rFonts w:ascii="Times New Roman" w:eastAsia="Times New Roman" w:hAnsi="Times New Roman" w:cs="Times New Roman"/>
          <w:kern w:val="0"/>
          <w:sz w:val="24"/>
          <w:szCs w:val="24"/>
          <w:lang w:eastAsia="ro-MD"/>
          <w14:ligatures w14:val="none"/>
        </w:rPr>
        <w:t xml:space="preserve"> </w:t>
      </w:r>
      <w:r w:rsidR="00407D9A" w:rsidRPr="00006D96">
        <w:rPr>
          <w:rFonts w:ascii="Times New Roman" w:eastAsia="Times New Roman" w:hAnsi="Times New Roman" w:cs="Times New Roman"/>
          <w:kern w:val="0"/>
          <w:sz w:val="24"/>
          <w:szCs w:val="24"/>
          <w14:ligatures w14:val="none"/>
        </w:rPr>
        <w:t xml:space="preserve">este autoritatea administrativă autonomă responsabilă de evaluarea externă </w:t>
      </w:r>
      <w:r w:rsidR="00407D9A">
        <w:rPr>
          <w:rFonts w:ascii="Times New Roman" w:eastAsia="Times New Roman" w:hAnsi="Times New Roman" w:cs="Times New Roman"/>
          <w:kern w:val="0"/>
          <w:sz w:val="24"/>
          <w:szCs w:val="24"/>
          <w14:ligatures w14:val="none"/>
        </w:rPr>
        <w:t>în vederea autorizării de funcționare prov</w:t>
      </w:r>
      <w:r w:rsidR="00F660BC">
        <w:rPr>
          <w:rFonts w:ascii="Times New Roman" w:eastAsia="Times New Roman" w:hAnsi="Times New Roman" w:cs="Times New Roman"/>
          <w:kern w:val="0"/>
          <w:sz w:val="24"/>
          <w:szCs w:val="24"/>
          <w14:ligatures w14:val="none"/>
        </w:rPr>
        <w:t>i</w:t>
      </w:r>
      <w:r w:rsidR="00407D9A">
        <w:rPr>
          <w:rFonts w:ascii="Times New Roman" w:eastAsia="Times New Roman" w:hAnsi="Times New Roman" w:cs="Times New Roman"/>
          <w:kern w:val="0"/>
          <w:sz w:val="24"/>
          <w:szCs w:val="24"/>
          <w14:ligatures w14:val="none"/>
        </w:rPr>
        <w:t xml:space="preserve">zorie și </w:t>
      </w:r>
      <w:r w:rsidR="00407D9A" w:rsidRPr="00006D96">
        <w:rPr>
          <w:rFonts w:ascii="Times New Roman" w:eastAsia="Times New Roman" w:hAnsi="Times New Roman" w:cs="Times New Roman"/>
          <w:kern w:val="0"/>
          <w:sz w:val="24"/>
          <w:szCs w:val="24"/>
          <w14:ligatures w14:val="none"/>
        </w:rPr>
        <w:t>acredit</w:t>
      </w:r>
      <w:r w:rsidR="00407D9A">
        <w:rPr>
          <w:rFonts w:ascii="Times New Roman" w:eastAsia="Times New Roman" w:hAnsi="Times New Roman" w:cs="Times New Roman"/>
          <w:kern w:val="0"/>
          <w:sz w:val="24"/>
          <w:szCs w:val="24"/>
          <w14:ligatures w14:val="none"/>
        </w:rPr>
        <w:t>ării</w:t>
      </w:r>
      <w:r w:rsidR="00407D9A" w:rsidRPr="00006D96">
        <w:rPr>
          <w:rFonts w:ascii="Times New Roman" w:eastAsia="Times New Roman" w:hAnsi="Times New Roman" w:cs="Times New Roman"/>
          <w:kern w:val="0"/>
          <w:sz w:val="24"/>
          <w:szCs w:val="24"/>
          <w14:ligatures w14:val="none"/>
        </w:rPr>
        <w:t xml:space="preserve"> instituțiilor și programelor de studii din învățământul profesional </w:t>
      </w:r>
      <w:r w:rsidR="00407D9A">
        <w:rPr>
          <w:rFonts w:ascii="Times New Roman" w:eastAsia="Times New Roman" w:hAnsi="Times New Roman" w:cs="Times New Roman"/>
          <w:kern w:val="0"/>
          <w:sz w:val="24"/>
          <w:szCs w:val="24"/>
          <w14:ligatures w14:val="none"/>
        </w:rPr>
        <w:t>tehnic,</w:t>
      </w:r>
      <w:r w:rsidR="00407D9A" w:rsidRPr="00006D96">
        <w:rPr>
          <w:rFonts w:ascii="Times New Roman" w:eastAsia="Times New Roman" w:hAnsi="Times New Roman" w:cs="Times New Roman"/>
          <w:kern w:val="0"/>
          <w:sz w:val="24"/>
          <w:szCs w:val="24"/>
          <w14:ligatures w14:val="none"/>
        </w:rPr>
        <w:t xml:space="preserve"> superior</w:t>
      </w:r>
      <w:r w:rsidR="00407D9A">
        <w:rPr>
          <w:rFonts w:ascii="Times New Roman" w:eastAsia="Times New Roman" w:hAnsi="Times New Roman" w:cs="Times New Roman"/>
          <w:kern w:val="0"/>
          <w:sz w:val="24"/>
          <w:szCs w:val="24"/>
          <w14:ligatures w14:val="none"/>
        </w:rPr>
        <w:t xml:space="preserve"> și de formare profesională a adulților.</w:t>
      </w:r>
      <w:r w:rsidR="00407D9A" w:rsidRPr="00006D96">
        <w:rPr>
          <w:rFonts w:ascii="Times New Roman" w:eastAsia="Times New Roman" w:hAnsi="Times New Roman" w:cs="Times New Roman"/>
          <w:kern w:val="0"/>
          <w:sz w:val="24"/>
          <w:szCs w:val="24"/>
          <w14:ligatures w14:val="none"/>
        </w:rPr>
        <w:t xml:space="preserve"> În activitatea sa</w:t>
      </w:r>
      <w:r w:rsidR="00407D9A">
        <w:rPr>
          <w:rFonts w:ascii="Times New Roman" w:eastAsia="Times New Roman" w:hAnsi="Times New Roman" w:cs="Times New Roman"/>
          <w:kern w:val="0"/>
          <w:sz w:val="24"/>
          <w:szCs w:val="24"/>
          <w14:ligatures w14:val="none"/>
        </w:rPr>
        <w:t xml:space="preserve"> ANACEC</w:t>
      </w:r>
      <w:r w:rsidR="00407D9A" w:rsidRPr="00006D96">
        <w:rPr>
          <w:rFonts w:ascii="Times New Roman" w:eastAsia="Times New Roman" w:hAnsi="Times New Roman" w:cs="Times New Roman"/>
          <w:kern w:val="0"/>
          <w:sz w:val="24"/>
          <w:szCs w:val="24"/>
          <w14:ligatures w14:val="none"/>
        </w:rPr>
        <w:t>:</w:t>
      </w:r>
    </w:p>
    <w:p w14:paraId="2A70C93F" w14:textId="77777777" w:rsidR="00407D9A" w:rsidRPr="00006D96" w:rsidRDefault="00407D9A" w:rsidP="00A41843">
      <w:pPr>
        <w:numPr>
          <w:ilvl w:val="0"/>
          <w:numId w:val="13"/>
        </w:numPr>
        <w:spacing w:before="120" w:after="120" w:line="276" w:lineRule="auto"/>
        <w:jc w:val="both"/>
        <w:rPr>
          <w:rFonts w:ascii="Times New Roman" w:eastAsia="Times New Roman" w:hAnsi="Times New Roman" w:cs="Times New Roman"/>
          <w:kern w:val="0"/>
          <w:sz w:val="24"/>
          <w:szCs w:val="24"/>
          <w14:ligatures w14:val="none"/>
        </w:rPr>
      </w:pPr>
      <w:r w:rsidRPr="00006D96">
        <w:rPr>
          <w:rFonts w:ascii="Times New Roman" w:eastAsia="Times New Roman" w:hAnsi="Times New Roman" w:cs="Times New Roman"/>
          <w:kern w:val="0"/>
          <w:sz w:val="24"/>
          <w:szCs w:val="24"/>
          <w14:ligatures w14:val="none"/>
        </w:rPr>
        <w:t xml:space="preserve">Evaluează și acreditează programele de studii în baza standardelor naționale și europene (inclusiv ESG – Standardele și liniile directoare pentru asigurarea calității în Spațiul European al Învățământului Superior și </w:t>
      </w:r>
      <w:r>
        <w:rPr>
          <w:rFonts w:ascii="Times New Roman" w:eastAsia="Times New Roman" w:hAnsi="Times New Roman" w:cs="Times New Roman"/>
          <w:kern w:val="0"/>
          <w:sz w:val="24"/>
          <w:szCs w:val="24"/>
          <w14:ligatures w14:val="none"/>
        </w:rPr>
        <w:t>EQAVET</w:t>
      </w:r>
      <w:r w:rsidRPr="00006D96">
        <w:rPr>
          <w:rFonts w:ascii="Times New Roman" w:eastAsia="Times New Roman" w:hAnsi="Times New Roman" w:cs="Times New Roman"/>
          <w:kern w:val="0"/>
          <w:sz w:val="24"/>
          <w:szCs w:val="24"/>
          <w14:ligatures w14:val="none"/>
        </w:rPr>
        <w:t xml:space="preserve"> – Cadrul european de referință pentru asigurarea calității în educația și formarea profesională);</w:t>
      </w:r>
    </w:p>
    <w:p w14:paraId="43E531AE" w14:textId="77777777" w:rsidR="00407D9A" w:rsidRPr="00006D96" w:rsidRDefault="00407D9A" w:rsidP="00A41843">
      <w:pPr>
        <w:numPr>
          <w:ilvl w:val="0"/>
          <w:numId w:val="13"/>
        </w:numPr>
        <w:spacing w:before="120" w:after="120" w:line="276" w:lineRule="auto"/>
        <w:jc w:val="both"/>
        <w:rPr>
          <w:rFonts w:ascii="Times New Roman" w:eastAsia="Times New Roman" w:hAnsi="Times New Roman" w:cs="Times New Roman"/>
          <w:kern w:val="0"/>
          <w:sz w:val="24"/>
          <w:szCs w:val="24"/>
          <w14:ligatures w14:val="none"/>
        </w:rPr>
      </w:pPr>
      <w:r w:rsidRPr="00006D96">
        <w:rPr>
          <w:rFonts w:ascii="Times New Roman" w:eastAsia="Times New Roman" w:hAnsi="Times New Roman" w:cs="Times New Roman"/>
          <w:kern w:val="0"/>
          <w:sz w:val="24"/>
          <w:szCs w:val="24"/>
          <w14:ligatures w14:val="none"/>
        </w:rPr>
        <w:t xml:space="preserve">Autorizează provizoriu și reacreditează </w:t>
      </w:r>
      <w:r>
        <w:rPr>
          <w:rFonts w:ascii="Times New Roman" w:eastAsia="Times New Roman" w:hAnsi="Times New Roman" w:cs="Times New Roman"/>
          <w:kern w:val="0"/>
          <w:sz w:val="24"/>
          <w:szCs w:val="24"/>
          <w14:ligatures w14:val="none"/>
        </w:rPr>
        <w:t xml:space="preserve">programele de studii și </w:t>
      </w:r>
      <w:r w:rsidRPr="00006D96">
        <w:rPr>
          <w:rFonts w:ascii="Times New Roman" w:eastAsia="Times New Roman" w:hAnsi="Times New Roman" w:cs="Times New Roman"/>
          <w:kern w:val="0"/>
          <w:sz w:val="24"/>
          <w:szCs w:val="24"/>
          <w14:ligatures w14:val="none"/>
        </w:rPr>
        <w:t>instituțiile de învățământ pe baza performanțelor în asigurarea calității;</w:t>
      </w:r>
    </w:p>
    <w:p w14:paraId="4AAFB81A" w14:textId="77777777" w:rsidR="00407D9A" w:rsidRPr="00006D96" w:rsidRDefault="00407D9A" w:rsidP="00A41843">
      <w:pPr>
        <w:numPr>
          <w:ilvl w:val="0"/>
          <w:numId w:val="13"/>
        </w:numPr>
        <w:spacing w:before="120" w:after="120" w:line="276" w:lineRule="auto"/>
        <w:jc w:val="both"/>
        <w:rPr>
          <w:rFonts w:ascii="Times New Roman" w:eastAsia="Times New Roman" w:hAnsi="Times New Roman" w:cs="Times New Roman"/>
          <w:kern w:val="0"/>
          <w:sz w:val="24"/>
          <w:szCs w:val="24"/>
          <w14:ligatures w14:val="none"/>
        </w:rPr>
      </w:pPr>
      <w:r w:rsidRPr="00006D96">
        <w:rPr>
          <w:rFonts w:ascii="Times New Roman" w:eastAsia="Times New Roman" w:hAnsi="Times New Roman" w:cs="Times New Roman"/>
          <w:kern w:val="0"/>
          <w:sz w:val="24"/>
          <w:szCs w:val="24"/>
          <w14:ligatures w14:val="none"/>
        </w:rPr>
        <w:t>Coordonează activitatea Comisiilor de evaluare</w:t>
      </w:r>
      <w:r>
        <w:rPr>
          <w:rFonts w:ascii="Times New Roman" w:eastAsia="Times New Roman" w:hAnsi="Times New Roman" w:cs="Times New Roman"/>
          <w:kern w:val="0"/>
          <w:sz w:val="24"/>
          <w:szCs w:val="24"/>
          <w14:ligatures w14:val="none"/>
        </w:rPr>
        <w:t xml:space="preserve"> externă,</w:t>
      </w:r>
      <w:r w:rsidRPr="00006D96">
        <w:rPr>
          <w:rFonts w:ascii="Times New Roman" w:eastAsia="Times New Roman" w:hAnsi="Times New Roman" w:cs="Times New Roman"/>
          <w:kern w:val="0"/>
          <w:sz w:val="24"/>
          <w:szCs w:val="24"/>
          <w14:ligatures w14:val="none"/>
        </w:rPr>
        <w:t xml:space="preserve"> asigurând implicarea experților independenți;</w:t>
      </w:r>
    </w:p>
    <w:p w14:paraId="3B889C12" w14:textId="70B8705F" w:rsidR="007D37C1" w:rsidRPr="00407D9A" w:rsidRDefault="00407D9A" w:rsidP="00A41843">
      <w:pPr>
        <w:numPr>
          <w:ilvl w:val="0"/>
          <w:numId w:val="13"/>
        </w:numPr>
        <w:spacing w:before="120" w:after="120" w:line="276" w:lineRule="auto"/>
        <w:jc w:val="both"/>
        <w:rPr>
          <w:rFonts w:ascii="Times New Roman" w:eastAsia="Times New Roman" w:hAnsi="Times New Roman" w:cs="Times New Roman"/>
          <w:kern w:val="0"/>
          <w:sz w:val="24"/>
          <w:szCs w:val="24"/>
          <w14:ligatures w14:val="none"/>
        </w:rPr>
      </w:pPr>
      <w:r w:rsidRPr="00006D96">
        <w:rPr>
          <w:rFonts w:ascii="Times New Roman" w:eastAsia="Times New Roman" w:hAnsi="Times New Roman" w:cs="Times New Roman"/>
          <w:kern w:val="0"/>
          <w:sz w:val="24"/>
          <w:szCs w:val="24"/>
          <w14:ligatures w14:val="none"/>
        </w:rPr>
        <w:lastRenderedPageBreak/>
        <w:t xml:space="preserve">Menține registre publice ale instituțiilor și programelor </w:t>
      </w:r>
      <w:r>
        <w:rPr>
          <w:rFonts w:ascii="Times New Roman" w:eastAsia="Times New Roman" w:hAnsi="Times New Roman" w:cs="Times New Roman"/>
          <w:kern w:val="0"/>
          <w:sz w:val="24"/>
          <w:szCs w:val="24"/>
          <w14:ligatures w14:val="none"/>
        </w:rPr>
        <w:t xml:space="preserve">autorizate/ </w:t>
      </w:r>
      <w:r w:rsidRPr="00006D96">
        <w:rPr>
          <w:rFonts w:ascii="Times New Roman" w:eastAsia="Times New Roman" w:hAnsi="Times New Roman" w:cs="Times New Roman"/>
          <w:kern w:val="0"/>
          <w:sz w:val="24"/>
          <w:szCs w:val="24"/>
          <w14:ligatures w14:val="none"/>
        </w:rPr>
        <w:t>acreditate, contribuind la transparența și încrederea publică în sistemul educațional;</w:t>
      </w:r>
    </w:p>
    <w:p w14:paraId="02D831B7" w14:textId="7DB6703D" w:rsidR="007D37C1" w:rsidRPr="0020102C" w:rsidRDefault="007D37C1" w:rsidP="00A41843">
      <w:pPr>
        <w:numPr>
          <w:ilvl w:val="0"/>
          <w:numId w:val="1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Participă în rețele și inițiative internaționale în domeniul asigurării calității, precum ENQA (European Association for Quality Assurance in </w:t>
      </w:r>
      <w:r w:rsidR="00246852" w:rsidRPr="0020102C">
        <w:rPr>
          <w:rFonts w:ascii="Times New Roman" w:eastAsia="Times New Roman" w:hAnsi="Times New Roman" w:cs="Times New Roman"/>
          <w:kern w:val="0"/>
          <w:sz w:val="24"/>
          <w:szCs w:val="24"/>
          <w:lang w:eastAsia="ro-MD"/>
          <w14:ligatures w14:val="none"/>
        </w:rPr>
        <w:t>Higher</w:t>
      </w:r>
      <w:r w:rsidRPr="0020102C">
        <w:rPr>
          <w:rFonts w:ascii="Times New Roman" w:eastAsia="Times New Roman" w:hAnsi="Times New Roman" w:cs="Times New Roman"/>
          <w:kern w:val="0"/>
          <w:sz w:val="24"/>
          <w:szCs w:val="24"/>
          <w:lang w:eastAsia="ro-MD"/>
          <w14:ligatures w14:val="none"/>
        </w:rPr>
        <w:t xml:space="preserve"> Education) și </w:t>
      </w:r>
      <w:r w:rsidR="00BB2A74" w:rsidRPr="0020102C">
        <w:rPr>
          <w:rFonts w:ascii="Times New Roman" w:eastAsia="Times New Roman" w:hAnsi="Times New Roman" w:cs="Times New Roman"/>
          <w:kern w:val="0"/>
          <w:sz w:val="24"/>
          <w:szCs w:val="24"/>
          <w:lang w:eastAsia="ro-MD"/>
          <w14:ligatures w14:val="none"/>
        </w:rPr>
        <w:t>EQAVET</w:t>
      </w:r>
      <w:r w:rsidRPr="0020102C">
        <w:rPr>
          <w:rFonts w:ascii="Times New Roman" w:eastAsia="Times New Roman" w:hAnsi="Times New Roman" w:cs="Times New Roman"/>
          <w:kern w:val="0"/>
          <w:sz w:val="24"/>
          <w:szCs w:val="24"/>
          <w:lang w:eastAsia="ro-MD"/>
          <w14:ligatures w14:val="none"/>
        </w:rPr>
        <w:t>.</w:t>
      </w:r>
    </w:p>
    <w:p w14:paraId="289928E3" w14:textId="04950C82" w:rsidR="00DD7920" w:rsidRPr="0020102C" w:rsidRDefault="00DD7920" w:rsidP="005C4FE9">
      <w:pPr>
        <w:pStyle w:val="af8"/>
        <w:spacing w:before="120" w:beforeAutospacing="0" w:after="120" w:afterAutospacing="0" w:line="276" w:lineRule="auto"/>
        <w:jc w:val="both"/>
      </w:pPr>
      <w:r w:rsidRPr="0020102C">
        <w:rPr>
          <w:rStyle w:val="af9"/>
          <w:rFonts w:eastAsiaTheme="majorEastAsia"/>
        </w:rPr>
        <w:t>Agenția Națională pentru Curriculum și Evaluare (ANCE)</w:t>
      </w:r>
      <w:r w:rsidRPr="0020102C">
        <w:t xml:space="preserve"> este o autoritate administrativă publică în subordinea Ministerului Educației și Cercetării, instituită de către Guvern și finanțată din bugetul de stat.</w:t>
      </w:r>
      <w:r w:rsidR="000F7C52" w:rsidRPr="0020102C">
        <w:t xml:space="preserve"> </w:t>
      </w:r>
      <w:r w:rsidRPr="0020102C">
        <w:t xml:space="preserve">În conformitate cu prevederile Codului educației </w:t>
      </w:r>
      <w:r w:rsidR="000F7C52" w:rsidRPr="0020102C">
        <w:t xml:space="preserve">și ale regulamentului de organizare și funcționare, aprobat de Guvern, </w:t>
      </w:r>
      <w:r w:rsidRPr="0020102C">
        <w:t>atribuțiile principale ale ANCE sunt:</w:t>
      </w:r>
    </w:p>
    <w:p w14:paraId="16C2518D" w14:textId="77777777" w:rsidR="00DD7920" w:rsidRPr="0020102C" w:rsidRDefault="00DD7920" w:rsidP="00A41843">
      <w:pPr>
        <w:pStyle w:val="af8"/>
        <w:numPr>
          <w:ilvl w:val="0"/>
          <w:numId w:val="21"/>
        </w:numPr>
        <w:spacing w:before="120" w:beforeAutospacing="0" w:after="120" w:afterAutospacing="0" w:line="276" w:lineRule="auto"/>
        <w:jc w:val="both"/>
      </w:pPr>
      <w:r w:rsidRPr="0020102C">
        <w:t>evaluarea modului de realizare a curriculumului național în învățământul general;</w:t>
      </w:r>
    </w:p>
    <w:p w14:paraId="37BF53D5" w14:textId="77777777" w:rsidR="00DD7920" w:rsidRPr="0020102C" w:rsidRDefault="00DD7920" w:rsidP="00A41843">
      <w:pPr>
        <w:pStyle w:val="af8"/>
        <w:numPr>
          <w:ilvl w:val="0"/>
          <w:numId w:val="21"/>
        </w:numPr>
        <w:spacing w:before="120" w:beforeAutospacing="0" w:after="120" w:afterAutospacing="0" w:line="276" w:lineRule="auto"/>
        <w:jc w:val="both"/>
      </w:pPr>
      <w:r w:rsidRPr="0020102C">
        <w:t>organizarea olimpiadelor, concursurilor, examenelor și a evaluărilor naționale și internaționale în învățământul general;</w:t>
      </w:r>
    </w:p>
    <w:p w14:paraId="41FFE267" w14:textId="77777777" w:rsidR="00DD7920" w:rsidRPr="0020102C" w:rsidRDefault="00DD7920" w:rsidP="00A41843">
      <w:pPr>
        <w:pStyle w:val="af8"/>
        <w:numPr>
          <w:ilvl w:val="0"/>
          <w:numId w:val="21"/>
        </w:numPr>
        <w:spacing w:before="120" w:beforeAutospacing="0" w:after="120" w:afterAutospacing="0" w:line="276" w:lineRule="auto"/>
        <w:jc w:val="both"/>
      </w:pPr>
      <w:r w:rsidRPr="0020102C">
        <w:t>evaluarea instituțiilor de învățământ general private de toate nivelurile, precum și a entităților juridice prestatoare de servicii educaționale sau de programe de studii din învățământul general, în vederea acreditării sau autorizării provizorii de funcționare.</w:t>
      </w:r>
    </w:p>
    <w:p w14:paraId="109D62F6" w14:textId="77777777" w:rsidR="00DD7920" w:rsidRPr="0020102C" w:rsidRDefault="00DD7920" w:rsidP="005C4FE9">
      <w:pPr>
        <w:pStyle w:val="af8"/>
        <w:spacing w:before="120" w:beforeAutospacing="0" w:after="120" w:afterAutospacing="0" w:line="276" w:lineRule="auto"/>
        <w:jc w:val="both"/>
      </w:pPr>
      <w:r w:rsidRPr="0020102C">
        <w:t>Prin aceste funcții, ANCE contribuie la asigurarea calității procesului educațional în învățământul general, la promovarea excelenței academice prin competiții școlare și la garantarea transparenței și credibilității instituțiilor de învățământ general din Republica Moldova.</w:t>
      </w:r>
    </w:p>
    <w:p w14:paraId="3A119E40" w14:textId="550DDF5F" w:rsidR="006E2688" w:rsidRPr="0020102C" w:rsidRDefault="006E2688" w:rsidP="00A46B47">
      <w:pPr>
        <w:spacing w:after="0" w:line="276" w:lineRule="auto"/>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Centrul Tehnologiilor Informaţionale şi Comunicaţionale în Educaţie (CTICE)</w:t>
      </w:r>
      <w:r w:rsidRPr="0020102C">
        <w:rPr>
          <w:rFonts w:ascii="Times New Roman" w:eastAsia="Times New Roman" w:hAnsi="Times New Roman" w:cs="Times New Roman"/>
          <w:kern w:val="0"/>
          <w:sz w:val="24"/>
          <w:szCs w:val="24"/>
          <w:lang w:eastAsia="ro-MD"/>
          <w14:ligatures w14:val="none"/>
        </w:rPr>
        <w:t xml:space="preserve"> este instituția publică subordonată Ministerului Educației și Cercetării, care are un rol strategic în digitalizarea și managementul informațional al educației din Republica Moldova.</w:t>
      </w:r>
      <w:r w:rsidR="001A3560" w:rsidRPr="0020102C">
        <w:rPr>
          <w:rFonts w:ascii="Times New Roman" w:eastAsia="Times New Roman" w:hAnsi="Times New Roman" w:cs="Times New Roman"/>
          <w:kern w:val="0"/>
          <w:sz w:val="24"/>
          <w:szCs w:val="24"/>
          <w:lang w:eastAsia="ro-MD"/>
          <w14:ligatures w14:val="none"/>
        </w:rPr>
        <w:t xml:space="preserve"> </w:t>
      </w:r>
      <w:r w:rsidR="00951FFB" w:rsidRPr="0020102C">
        <w:rPr>
          <w:rFonts w:ascii="Times New Roman" w:eastAsia="Times New Roman" w:hAnsi="Times New Roman" w:cs="Times New Roman"/>
          <w:kern w:val="0"/>
          <w:sz w:val="24"/>
          <w:szCs w:val="24"/>
          <w:lang w:eastAsia="ro-MD"/>
          <w14:ligatures w14:val="none"/>
        </w:rPr>
        <w:t>Funcțiile</w:t>
      </w:r>
      <w:r w:rsidRPr="0020102C">
        <w:rPr>
          <w:rFonts w:ascii="Times New Roman" w:eastAsia="Times New Roman" w:hAnsi="Times New Roman" w:cs="Times New Roman"/>
          <w:kern w:val="0"/>
          <w:sz w:val="24"/>
          <w:szCs w:val="24"/>
          <w:lang w:eastAsia="ro-MD"/>
          <w14:ligatures w14:val="none"/>
        </w:rPr>
        <w:t xml:space="preserve"> principale ale CTICE</w:t>
      </w:r>
      <w:r w:rsidR="00951FFB" w:rsidRPr="0020102C">
        <w:rPr>
          <w:rFonts w:ascii="Times New Roman" w:eastAsia="Times New Roman" w:hAnsi="Times New Roman" w:cs="Times New Roman"/>
          <w:kern w:val="0"/>
          <w:sz w:val="24"/>
          <w:szCs w:val="24"/>
          <w:lang w:eastAsia="ro-MD"/>
          <w14:ligatures w14:val="none"/>
        </w:rPr>
        <w:t xml:space="preserve"> sunt: </w:t>
      </w:r>
    </w:p>
    <w:p w14:paraId="5BDF7A4D" w14:textId="075DE401" w:rsidR="00A46B47" w:rsidRPr="0020102C" w:rsidRDefault="00A46B47" w:rsidP="00A41843">
      <w:pPr>
        <w:pStyle w:val="af8"/>
        <w:numPr>
          <w:ilvl w:val="0"/>
          <w:numId w:val="21"/>
        </w:numPr>
        <w:spacing w:before="120" w:beforeAutospacing="0" w:after="120" w:afterAutospacing="0" w:line="276" w:lineRule="auto"/>
        <w:jc w:val="both"/>
      </w:pPr>
      <w:r w:rsidRPr="0020102C">
        <w:rPr>
          <w:b/>
          <w:bCs/>
        </w:rPr>
        <w:t>Administrarea sistemelor educaționale</w:t>
      </w:r>
      <w:r w:rsidRPr="0020102C">
        <w:t xml:space="preserve"> – gestionează platforme precum EMIS, </w:t>
      </w:r>
      <w:r w:rsidR="00B77FA5" w:rsidRPr="0020102C">
        <w:t>HEMIS</w:t>
      </w:r>
      <w:r w:rsidRPr="0020102C">
        <w:t xml:space="preserve"> și acte.edu.md, asigurând colectarea și publicarea datelor oficiale din educație.</w:t>
      </w:r>
    </w:p>
    <w:p w14:paraId="2763D1B0" w14:textId="77777777" w:rsidR="00A46B47" w:rsidRPr="0020102C" w:rsidRDefault="00A46B47" w:rsidP="00A41843">
      <w:pPr>
        <w:pStyle w:val="af8"/>
        <w:numPr>
          <w:ilvl w:val="0"/>
          <w:numId w:val="21"/>
        </w:numPr>
        <w:spacing w:before="120" w:beforeAutospacing="0" w:after="120" w:afterAutospacing="0" w:line="276" w:lineRule="auto"/>
        <w:jc w:val="both"/>
      </w:pPr>
      <w:r w:rsidRPr="0020102C">
        <w:rPr>
          <w:b/>
          <w:bCs/>
        </w:rPr>
        <w:t>Transparență și acces la date</w:t>
      </w:r>
      <w:r w:rsidRPr="0020102C">
        <w:t xml:space="preserve"> – oferă date statistice actualizate și sprijină verificarea autenticității diplomelor și certificatelor.</w:t>
      </w:r>
    </w:p>
    <w:p w14:paraId="3B700E20" w14:textId="77777777" w:rsidR="00A46B47" w:rsidRPr="0020102C" w:rsidRDefault="00A46B47" w:rsidP="00A41843">
      <w:pPr>
        <w:pStyle w:val="af8"/>
        <w:numPr>
          <w:ilvl w:val="0"/>
          <w:numId w:val="21"/>
        </w:numPr>
        <w:spacing w:before="120" w:beforeAutospacing="0" w:after="120" w:afterAutospacing="0" w:line="276" w:lineRule="auto"/>
        <w:jc w:val="both"/>
      </w:pPr>
      <w:r w:rsidRPr="0020102C">
        <w:rPr>
          <w:b/>
          <w:bCs/>
        </w:rPr>
        <w:t>Sprijin pentru politici educaționale</w:t>
      </w:r>
      <w:r w:rsidRPr="0020102C">
        <w:t xml:space="preserve"> – furnizează informații pentru elaborarea și evaluarea politicilor educaționale, analizând indicatori privind accesul și calitatea educației.</w:t>
      </w:r>
    </w:p>
    <w:p w14:paraId="54DABC83" w14:textId="77777777" w:rsidR="00A46B47" w:rsidRPr="0020102C" w:rsidRDefault="00A46B47" w:rsidP="00A41843">
      <w:pPr>
        <w:pStyle w:val="af8"/>
        <w:numPr>
          <w:ilvl w:val="0"/>
          <w:numId w:val="21"/>
        </w:numPr>
        <w:spacing w:before="120" w:beforeAutospacing="0" w:after="120" w:afterAutospacing="0" w:line="276" w:lineRule="auto"/>
        <w:jc w:val="both"/>
      </w:pPr>
      <w:r w:rsidRPr="0020102C">
        <w:rPr>
          <w:b/>
          <w:bCs/>
        </w:rPr>
        <w:t>Integrare</w:t>
      </w:r>
      <w:r w:rsidRPr="0020102C">
        <w:rPr>
          <w:rStyle w:val="af9"/>
          <w:rFonts w:eastAsiaTheme="majorEastAsia"/>
        </w:rPr>
        <w:t xml:space="preserve"> europeană</w:t>
      </w:r>
      <w:r w:rsidRPr="0020102C">
        <w:t xml:space="preserve"> – asigură interoperabilitatea cu instrumente europene și sprijină recunoașterea și mobilitatea academică.</w:t>
      </w:r>
    </w:p>
    <w:p w14:paraId="558F1610" w14:textId="77777777" w:rsidR="007D37C1" w:rsidRPr="0020102C" w:rsidRDefault="007D37C1" w:rsidP="006C416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Agenția Națională pentru Ocuparea Forței de Muncă (ANOFM)</w:t>
      </w:r>
      <w:r w:rsidRPr="0020102C">
        <w:rPr>
          <w:rFonts w:ascii="Times New Roman" w:eastAsia="Times New Roman" w:hAnsi="Times New Roman" w:cs="Times New Roman"/>
          <w:kern w:val="0"/>
          <w:sz w:val="24"/>
          <w:szCs w:val="24"/>
          <w:lang w:eastAsia="ro-MD"/>
          <w14:ligatures w14:val="none"/>
        </w:rPr>
        <w:t>, subordonată MMPS, implementează măsuri active de ocupare, cursuri de formare profesională și servicii de validare a competențelor dobândite în contexte non-formale și informale.</w:t>
      </w:r>
    </w:p>
    <w:p w14:paraId="3DD87E1A" w14:textId="3F4908CC" w:rsidR="00DF2B2B" w:rsidRPr="0020102C" w:rsidRDefault="005A6F71" w:rsidP="006C416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Comitetele sectoriale</w:t>
      </w:r>
      <w:r w:rsidR="006C416F" w:rsidRPr="0020102C">
        <w:rPr>
          <w:rFonts w:ascii="Times New Roman" w:eastAsia="Times New Roman" w:hAnsi="Times New Roman" w:cs="Times New Roman"/>
          <w:kern w:val="0"/>
          <w:sz w:val="24"/>
          <w:szCs w:val="24"/>
          <w:lang w:eastAsia="ro-MD"/>
          <w14:ligatures w14:val="none"/>
        </w:rPr>
        <w:t xml:space="preserve"> </w:t>
      </w:r>
      <w:r w:rsidR="006C416F" w:rsidRPr="0020102C">
        <w:rPr>
          <w:rFonts w:ascii="Times New Roman" w:hAnsi="Times New Roman" w:cs="Times New Roman"/>
          <w:sz w:val="24"/>
          <w:szCs w:val="24"/>
        </w:rPr>
        <w:t xml:space="preserve">sunt structuri de parteneriat social create pentru a asigura legătura dintre piața muncii și sistemul de educație și formare profesională. Ele reunesc reprezentanți ai </w:t>
      </w:r>
      <w:r w:rsidR="00B56F2C" w:rsidRPr="0020102C">
        <w:rPr>
          <w:rFonts w:ascii="Times New Roman" w:hAnsi="Times New Roman" w:cs="Times New Roman"/>
          <w:sz w:val="24"/>
          <w:szCs w:val="24"/>
        </w:rPr>
        <w:t>patronatelor și</w:t>
      </w:r>
      <w:r w:rsidR="006C416F" w:rsidRPr="0020102C">
        <w:rPr>
          <w:rFonts w:ascii="Times New Roman" w:hAnsi="Times New Roman" w:cs="Times New Roman"/>
          <w:sz w:val="24"/>
          <w:szCs w:val="24"/>
        </w:rPr>
        <w:t xml:space="preserve"> sindicatelor</w:t>
      </w:r>
      <w:r w:rsidR="00B56F2C" w:rsidRPr="0020102C">
        <w:rPr>
          <w:rFonts w:ascii="Times New Roman" w:hAnsi="Times New Roman" w:cs="Times New Roman"/>
          <w:sz w:val="24"/>
          <w:szCs w:val="24"/>
        </w:rPr>
        <w:t xml:space="preserve"> din ramură</w:t>
      </w:r>
      <w:r w:rsidR="006C416F" w:rsidRPr="0020102C">
        <w:rPr>
          <w:rFonts w:ascii="Times New Roman" w:hAnsi="Times New Roman" w:cs="Times New Roman"/>
          <w:sz w:val="24"/>
          <w:szCs w:val="24"/>
        </w:rPr>
        <w:t>, având rol consultativ și de expertiză în definirea necesităților de competențe la nivel de ramură economică.</w:t>
      </w:r>
    </w:p>
    <w:p w14:paraId="70352398" w14:textId="77777777" w:rsidR="007D37C1" w:rsidRPr="0020102C" w:rsidRDefault="007D37C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Partenerii sociali</w:t>
      </w:r>
      <w:r w:rsidRPr="0020102C">
        <w:rPr>
          <w:rFonts w:ascii="Times New Roman" w:eastAsia="Times New Roman" w:hAnsi="Times New Roman" w:cs="Times New Roman"/>
          <w:kern w:val="0"/>
          <w:sz w:val="24"/>
          <w:szCs w:val="24"/>
          <w:lang w:eastAsia="ro-MD"/>
          <w14:ligatures w14:val="none"/>
        </w:rPr>
        <w:t xml:space="preserve"> (patronate și sindicate), </w:t>
      </w:r>
      <w:r w:rsidRPr="0020102C">
        <w:rPr>
          <w:rFonts w:ascii="Times New Roman" w:eastAsia="Times New Roman" w:hAnsi="Times New Roman" w:cs="Times New Roman"/>
          <w:b/>
          <w:bCs/>
          <w:kern w:val="0"/>
          <w:sz w:val="24"/>
          <w:szCs w:val="24"/>
          <w:lang w:eastAsia="ro-MD"/>
          <w14:ligatures w14:val="none"/>
        </w:rPr>
        <w:t>organizațiile societății civile</w:t>
      </w:r>
      <w:r w:rsidRPr="0020102C">
        <w:rPr>
          <w:rFonts w:ascii="Times New Roman" w:eastAsia="Times New Roman" w:hAnsi="Times New Roman" w:cs="Times New Roman"/>
          <w:kern w:val="0"/>
          <w:sz w:val="24"/>
          <w:szCs w:val="24"/>
          <w:lang w:eastAsia="ro-MD"/>
          <w14:ligatures w14:val="none"/>
        </w:rPr>
        <w:t xml:space="preserve"> și </w:t>
      </w:r>
      <w:r w:rsidRPr="0020102C">
        <w:rPr>
          <w:rFonts w:ascii="Times New Roman" w:eastAsia="Times New Roman" w:hAnsi="Times New Roman" w:cs="Times New Roman"/>
          <w:b/>
          <w:bCs/>
          <w:kern w:val="0"/>
          <w:sz w:val="24"/>
          <w:szCs w:val="24"/>
          <w:lang w:eastAsia="ro-MD"/>
          <w14:ligatures w14:val="none"/>
        </w:rPr>
        <w:t>consiliile consultative sectoriale</w:t>
      </w:r>
      <w:r w:rsidRPr="0020102C">
        <w:rPr>
          <w:rFonts w:ascii="Times New Roman" w:eastAsia="Times New Roman" w:hAnsi="Times New Roman" w:cs="Times New Roman"/>
          <w:kern w:val="0"/>
          <w:sz w:val="24"/>
          <w:szCs w:val="24"/>
          <w:lang w:eastAsia="ro-MD"/>
          <w14:ligatures w14:val="none"/>
        </w:rPr>
        <w:t xml:space="preserve"> participă la elaborarea politicilor prin consultări, contribuind la relevanța acestora pentru piața muncii și societate.</w:t>
      </w:r>
    </w:p>
    <w:p w14:paraId="6D943E53" w14:textId="24365D77" w:rsidR="00A5005D" w:rsidRPr="001F6026" w:rsidRDefault="00E44366" w:rsidP="005C4FE9">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3.1.3.</w:t>
      </w:r>
      <w:r w:rsidRPr="001F6026">
        <w:rPr>
          <w:rFonts w:ascii="Times New Roman" w:eastAsia="Times New Roman" w:hAnsi="Times New Roman" w:cs="Times New Roman"/>
          <w:b/>
          <w:bCs/>
          <w:color w:val="3494BA" w:themeColor="accent1"/>
          <w:kern w:val="0"/>
          <w:sz w:val="24"/>
          <w:szCs w:val="24"/>
          <w:lang w:eastAsia="ro-MD"/>
          <w14:ligatures w14:val="none"/>
        </w:rPr>
        <w:tab/>
        <w:t>O imagine de ansamblu a sistemului de educație și formare profesională</w:t>
      </w:r>
    </w:p>
    <w:p w14:paraId="58FD2F7D" w14:textId="59E6774F" w:rsidR="00500994" w:rsidRPr="0020102C" w:rsidRDefault="00500994" w:rsidP="005C4FE9">
      <w:pPr>
        <w:pStyle w:val="af8"/>
        <w:spacing w:before="120" w:beforeAutospacing="0" w:after="120" w:afterAutospacing="0" w:line="276" w:lineRule="auto"/>
        <w:jc w:val="both"/>
      </w:pPr>
      <w:r w:rsidRPr="0020102C">
        <w:rPr>
          <w:rStyle w:val="af9"/>
          <w:rFonts w:eastAsiaTheme="majorEastAsia"/>
          <w:b w:val="0"/>
          <w:bCs w:val="0"/>
        </w:rPr>
        <w:lastRenderedPageBreak/>
        <w:t>Sistemul de educație și formare profesională din Republica Moldova</w:t>
      </w:r>
      <w:r w:rsidRPr="0020102C">
        <w:t xml:space="preserve"> este organizat unitar, acoperind toate nivelurile de învățare – de la educația timpurie până la învățarea pe tot parcursul vieții – și integrând trasee educaționale diverse, adaptate nevoilor individuale și cerințelor pieței muncii. Structura acestuia reflectă principiile </w:t>
      </w:r>
      <w:r w:rsidRPr="0020102C">
        <w:rPr>
          <w:rStyle w:val="af9"/>
          <w:rFonts w:eastAsiaTheme="majorEastAsia"/>
          <w:b w:val="0"/>
          <w:bCs w:val="0"/>
        </w:rPr>
        <w:t>Procesului Bologna</w:t>
      </w:r>
      <w:r w:rsidRPr="0020102C">
        <w:rPr>
          <w:b/>
          <w:bCs/>
        </w:rPr>
        <w:t xml:space="preserve">, </w:t>
      </w:r>
      <w:r w:rsidRPr="0020102C">
        <w:t xml:space="preserve">ale </w:t>
      </w:r>
      <w:r w:rsidRPr="0020102C">
        <w:rPr>
          <w:rStyle w:val="af9"/>
          <w:rFonts w:eastAsiaTheme="majorEastAsia"/>
          <w:b w:val="0"/>
          <w:bCs w:val="0"/>
        </w:rPr>
        <w:t>EQF</w:t>
      </w:r>
      <w:r w:rsidRPr="0020102C">
        <w:t xml:space="preserve"> și ale standardelor internaționale privind asigurarea calității, fiind descrisă în</w:t>
      </w:r>
      <w:r w:rsidRPr="0020102C">
        <w:rPr>
          <w:b/>
          <w:bCs/>
        </w:rPr>
        <w:t xml:space="preserve"> </w:t>
      </w:r>
      <w:r w:rsidRPr="0020102C">
        <w:rPr>
          <w:rStyle w:val="af9"/>
          <w:rFonts w:eastAsiaTheme="majorEastAsia"/>
          <w:b w:val="0"/>
          <w:bCs w:val="0"/>
        </w:rPr>
        <w:t>Codul educației nr. 152/2014</w:t>
      </w:r>
      <w:r w:rsidRPr="0020102C">
        <w:rPr>
          <w:b/>
          <w:bCs/>
        </w:rPr>
        <w:t xml:space="preserve"> </w:t>
      </w:r>
      <w:r w:rsidRPr="0020102C">
        <w:t>și corelată cu</w:t>
      </w:r>
      <w:r w:rsidRPr="0020102C">
        <w:rPr>
          <w:b/>
          <w:bCs/>
        </w:rPr>
        <w:t xml:space="preserve"> </w:t>
      </w:r>
      <w:r w:rsidRPr="0020102C">
        <w:rPr>
          <w:rStyle w:val="af9"/>
          <w:rFonts w:eastAsiaTheme="majorEastAsia"/>
          <w:b w:val="0"/>
          <w:bCs w:val="0"/>
        </w:rPr>
        <w:t>Clasificarea Internațională Standard a Educației (ISCED 2011)</w:t>
      </w:r>
      <w:r w:rsidRPr="0020102C">
        <w:rPr>
          <w:b/>
          <w:bCs/>
        </w:rPr>
        <w:t>.</w:t>
      </w:r>
    </w:p>
    <w:p w14:paraId="0413BC09" w14:textId="77777777" w:rsidR="00500994" w:rsidRPr="0020102C" w:rsidRDefault="00500994" w:rsidP="005C4FE9">
      <w:pPr>
        <w:pStyle w:val="af8"/>
        <w:spacing w:before="120" w:beforeAutospacing="0" w:after="120" w:afterAutospacing="0" w:line="276" w:lineRule="auto"/>
        <w:jc w:val="both"/>
      </w:pPr>
      <w:r w:rsidRPr="0020102C">
        <w:rPr>
          <w:rStyle w:val="af9"/>
          <w:rFonts w:eastAsiaTheme="majorEastAsia"/>
          <w:b w:val="0"/>
          <w:bCs w:val="0"/>
        </w:rPr>
        <w:t>Nivelurile sistemului educațional</w:t>
      </w:r>
      <w:r w:rsidRPr="0020102C">
        <w:t xml:space="preserve"> sunt:</w:t>
      </w:r>
    </w:p>
    <w:p w14:paraId="04214EC9" w14:textId="77777777"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Educația timpurie</w:t>
      </w:r>
      <w:r w:rsidRPr="0020102C">
        <w:t xml:space="preserve"> </w:t>
      </w:r>
      <w:r w:rsidRPr="0020102C">
        <w:rPr>
          <w:rStyle w:val="afd"/>
          <w:rFonts w:eastAsiaTheme="majorEastAsia"/>
        </w:rPr>
        <w:t>(ISCED 0)</w:t>
      </w:r>
      <w:r w:rsidRPr="0020102C">
        <w:t xml:space="preserve"> – creșe și grădinițe, pentru copiii de la naștere până la vârsta de 6–7 ani;</w:t>
      </w:r>
    </w:p>
    <w:p w14:paraId="0CD81A43" w14:textId="77777777"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Învățământul primar</w:t>
      </w:r>
      <w:r w:rsidRPr="0020102C">
        <w:t xml:space="preserve"> </w:t>
      </w:r>
      <w:r w:rsidRPr="0020102C">
        <w:rPr>
          <w:rStyle w:val="afd"/>
          <w:rFonts w:eastAsiaTheme="majorEastAsia"/>
        </w:rPr>
        <w:t>(ISCED 1)</w:t>
      </w:r>
      <w:r w:rsidRPr="0020102C">
        <w:t xml:space="preserve"> – obligatoriu, cu durata de 4 ani (clasele I–IV);</w:t>
      </w:r>
    </w:p>
    <w:p w14:paraId="59743A61" w14:textId="22107E6B"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Învățământul gimnazial</w:t>
      </w:r>
      <w:r w:rsidRPr="0020102C">
        <w:t xml:space="preserve"> </w:t>
      </w:r>
      <w:r w:rsidRPr="0020102C">
        <w:rPr>
          <w:rStyle w:val="afd"/>
          <w:rFonts w:eastAsiaTheme="majorEastAsia"/>
        </w:rPr>
        <w:t>(ISCED 2)</w:t>
      </w:r>
      <w:r w:rsidRPr="0020102C">
        <w:t xml:space="preserve"> – obligatoriu, cu durata de 5 ani (clasele V–IX), a cărui finalizare marc</w:t>
      </w:r>
      <w:r w:rsidR="00A31F1D" w:rsidRPr="001F6026">
        <w:t>hează</w:t>
      </w:r>
      <w:r w:rsidRPr="0020102C">
        <w:t xml:space="preserve"> sfârșitul educației obligatorii;</w:t>
      </w:r>
    </w:p>
    <w:p w14:paraId="5AF0845D" w14:textId="77777777"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Învățământul liceal</w:t>
      </w:r>
      <w:r w:rsidRPr="0020102C">
        <w:t xml:space="preserve"> </w:t>
      </w:r>
      <w:r w:rsidRPr="0020102C">
        <w:rPr>
          <w:rStyle w:val="afd"/>
          <w:rFonts w:eastAsiaTheme="majorEastAsia"/>
        </w:rPr>
        <w:t>(ISCED 3)</w:t>
      </w:r>
      <w:r w:rsidRPr="0020102C">
        <w:t xml:space="preserve"> – cu filiere teoretice și tehnologice/vocaționale, pregătind elevii pentru studii superioare sau integrarea pe piața muncii;</w:t>
      </w:r>
    </w:p>
    <w:p w14:paraId="5812B78E" w14:textId="77777777"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Învățământul profesional tehnic</w:t>
      </w:r>
      <w:r w:rsidRPr="0020102C">
        <w:t xml:space="preserve"> </w:t>
      </w:r>
      <w:r w:rsidRPr="0020102C">
        <w:rPr>
          <w:rStyle w:val="afd"/>
          <w:rFonts w:eastAsiaTheme="majorEastAsia"/>
        </w:rPr>
        <w:t>(ISCED 3–5)</w:t>
      </w:r>
      <w:r w:rsidRPr="0020102C">
        <w:t xml:space="preserve"> – în forme clasice sau duale, cu calificări de nivel 3–5 CNC, accesibil după finalizarea învățământului gimnazial sau liceal;</w:t>
      </w:r>
    </w:p>
    <w:p w14:paraId="61189F45" w14:textId="77777777"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Învățământul superior</w:t>
      </w:r>
      <w:r w:rsidRPr="0020102C">
        <w:t xml:space="preserve"> </w:t>
      </w:r>
      <w:r w:rsidRPr="0020102C">
        <w:rPr>
          <w:rStyle w:val="afd"/>
          <w:rFonts w:eastAsiaTheme="majorEastAsia"/>
        </w:rPr>
        <w:t>(ISCED 6–8)</w:t>
      </w:r>
      <w:r w:rsidRPr="0020102C">
        <w:t xml:space="preserve"> – structurat pe trei cicluri Bologna (licență, master, doctorat), cu calificări de nivel 6–8 CNC;</w:t>
      </w:r>
    </w:p>
    <w:p w14:paraId="08A30E5C" w14:textId="77777777" w:rsidR="00500994" w:rsidRPr="0020102C" w:rsidRDefault="00500994" w:rsidP="00A41843">
      <w:pPr>
        <w:pStyle w:val="af8"/>
        <w:numPr>
          <w:ilvl w:val="0"/>
          <w:numId w:val="14"/>
        </w:numPr>
        <w:spacing w:before="120" w:beforeAutospacing="0" w:after="120" w:afterAutospacing="0" w:line="276" w:lineRule="auto"/>
        <w:jc w:val="both"/>
      </w:pPr>
      <w:r w:rsidRPr="0020102C">
        <w:rPr>
          <w:rStyle w:val="af9"/>
          <w:rFonts w:eastAsiaTheme="majorEastAsia"/>
        </w:rPr>
        <w:t>Educația adulților și învățarea pe tot parcursul vieții</w:t>
      </w:r>
      <w:r w:rsidRPr="0020102C">
        <w:t xml:space="preserve"> – inclusiv formare profesională continuă, recalificare, microcalificări și validarea învățării non-formale și informale.</w:t>
      </w:r>
    </w:p>
    <w:p w14:paraId="726A8F4C" w14:textId="77777777" w:rsidR="00500994" w:rsidRPr="0020102C" w:rsidRDefault="00500994" w:rsidP="005C4FE9">
      <w:pPr>
        <w:pStyle w:val="af8"/>
        <w:spacing w:before="120" w:beforeAutospacing="0" w:after="120" w:afterAutospacing="0" w:line="276" w:lineRule="auto"/>
        <w:jc w:val="both"/>
      </w:pPr>
      <w:r w:rsidRPr="0020102C">
        <w:rPr>
          <w:b/>
          <w:bCs/>
        </w:rPr>
        <w:t>Traseele educaționale</w:t>
      </w:r>
      <w:r w:rsidRPr="0020102C">
        <w:t xml:space="preserve"> sunt flexibile și permit treceri între niveluri și tipuri de educație, susținute de mecanismele de recunoaștere și echivalare prevăzute de cadrul legislativ. Sistemul este completat de</w:t>
      </w:r>
      <w:r w:rsidRPr="0020102C">
        <w:rPr>
          <w:b/>
          <w:bCs/>
        </w:rPr>
        <w:t xml:space="preserve"> </w:t>
      </w:r>
      <w:r w:rsidRPr="0020102C">
        <w:rPr>
          <w:rStyle w:val="af9"/>
          <w:rFonts w:eastAsiaTheme="majorEastAsia"/>
          <w:b w:val="0"/>
          <w:bCs w:val="0"/>
        </w:rPr>
        <w:t>învățământul extrașcolar</w:t>
      </w:r>
      <w:r w:rsidRPr="0020102C">
        <w:rPr>
          <w:b/>
          <w:bCs/>
        </w:rPr>
        <w:t xml:space="preserve">, </w:t>
      </w:r>
      <w:r w:rsidRPr="0020102C">
        <w:rPr>
          <w:rStyle w:val="af9"/>
          <w:rFonts w:eastAsiaTheme="majorEastAsia"/>
          <w:b w:val="0"/>
          <w:bCs w:val="0"/>
        </w:rPr>
        <w:t>educația artistică</w:t>
      </w:r>
      <w:r w:rsidRPr="0020102C">
        <w:rPr>
          <w:b/>
          <w:bCs/>
        </w:rPr>
        <w:t xml:space="preserve"> </w:t>
      </w:r>
      <w:r w:rsidRPr="0020102C">
        <w:t>și programele pentru</w:t>
      </w:r>
      <w:r w:rsidRPr="0020102C">
        <w:rPr>
          <w:b/>
          <w:bCs/>
        </w:rPr>
        <w:t xml:space="preserve"> </w:t>
      </w:r>
      <w:r w:rsidRPr="0020102C">
        <w:rPr>
          <w:rStyle w:val="af9"/>
          <w:rFonts w:eastAsiaTheme="majorEastAsia"/>
          <w:b w:val="0"/>
          <w:bCs w:val="0"/>
        </w:rPr>
        <w:t>copii/elevi cu cerințe educaționale speciale</w:t>
      </w:r>
      <w:r w:rsidRPr="0020102C">
        <w:rPr>
          <w:b/>
          <w:bCs/>
        </w:rPr>
        <w:t>,</w:t>
      </w:r>
      <w:r w:rsidRPr="0020102C">
        <w:t xml:space="preserve"> asigurând incluziunea și accesul echitabil.</w:t>
      </w:r>
    </w:p>
    <w:p w14:paraId="657A5CA3" w14:textId="7FD2D3DC" w:rsidR="003A334E" w:rsidRPr="001F6026" w:rsidRDefault="003A334E" w:rsidP="007A7643">
      <w:pPr>
        <w:pStyle w:val="af8"/>
        <w:spacing w:before="120" w:beforeAutospacing="0" w:after="120" w:afterAutospacing="0" w:line="276" w:lineRule="auto"/>
        <w:jc w:val="both"/>
      </w:pPr>
      <w:r w:rsidRPr="0020102C">
        <w:rPr>
          <w:rStyle w:val="af9"/>
          <w:rFonts w:eastAsiaTheme="majorEastAsia"/>
        </w:rPr>
        <w:t>Managementul sistemului de învățământ</w:t>
      </w:r>
      <w:r w:rsidR="00FE2E2B">
        <w:rPr>
          <w:rStyle w:val="af9"/>
          <w:rFonts w:eastAsiaTheme="majorEastAsia"/>
        </w:rPr>
        <w:t xml:space="preserve"> (Codul educației </w:t>
      </w:r>
      <w:r w:rsidR="00184B14">
        <w:rPr>
          <w:rStyle w:val="af9"/>
          <w:rFonts w:eastAsiaTheme="majorEastAsia"/>
        </w:rPr>
        <w:t>152/2014, art. 18)</w:t>
      </w:r>
      <w:r w:rsidR="00C61E6F" w:rsidRPr="001F6026">
        <w:rPr>
          <w:rStyle w:val="af9"/>
          <w:rFonts w:eastAsiaTheme="majorEastAsia"/>
        </w:rPr>
        <w:t xml:space="preserve">: </w:t>
      </w:r>
      <w:r w:rsidRPr="001F6026">
        <w:t xml:space="preserve">Sistemul de învățământ este administrat la </w:t>
      </w:r>
      <w:r w:rsidRPr="001F6026">
        <w:rPr>
          <w:rStyle w:val="af9"/>
          <w:rFonts w:eastAsiaTheme="majorEastAsia"/>
          <w:b w:val="0"/>
          <w:bCs w:val="0"/>
        </w:rPr>
        <w:t>trei niveluri</w:t>
      </w:r>
      <w:r w:rsidRPr="001F6026">
        <w:t xml:space="preserve"> – </w:t>
      </w:r>
      <w:r w:rsidRPr="0020102C">
        <w:t>național, local și instituțional – fiecare având competențe clar definite.</w:t>
      </w:r>
    </w:p>
    <w:p w14:paraId="2240B4DB" w14:textId="5FFFF30D" w:rsidR="003A334E" w:rsidRPr="0020102C" w:rsidRDefault="003A334E" w:rsidP="00A41843">
      <w:pPr>
        <w:pStyle w:val="af8"/>
        <w:numPr>
          <w:ilvl w:val="0"/>
          <w:numId w:val="17"/>
        </w:numPr>
        <w:spacing w:before="120" w:beforeAutospacing="0" w:after="120" w:afterAutospacing="0" w:line="276" w:lineRule="auto"/>
        <w:jc w:val="both"/>
      </w:pPr>
      <w:r w:rsidRPr="0020102C">
        <w:rPr>
          <w:rStyle w:val="af9"/>
          <w:rFonts w:eastAsiaTheme="majorEastAsia"/>
        </w:rPr>
        <w:t>Nivelul național</w:t>
      </w:r>
      <w:r w:rsidRPr="0020102C">
        <w:t xml:space="preserve"> –MEC este responsabil de elaborarea, promovarea, monitorizarea implementării și evaluarea politicilor naționale în educație. MEC poate avea organe desconcentrate în teritoriu și, împreună cu ministerele de resort și ANACEC, asigură calitatea în învățământul profesional tehnic</w:t>
      </w:r>
      <w:r w:rsidR="008D418B">
        <w:t xml:space="preserve">, </w:t>
      </w:r>
      <w:r w:rsidRPr="0020102C">
        <w:t xml:space="preserve"> superior</w:t>
      </w:r>
      <w:r w:rsidR="00FC3BF2" w:rsidRPr="00FC3BF2">
        <w:t xml:space="preserve"> </w:t>
      </w:r>
      <w:r w:rsidR="00FC3BF2">
        <w:t>și de formare profesională a adulților</w:t>
      </w:r>
      <w:r w:rsidRPr="0020102C">
        <w:t>.</w:t>
      </w:r>
    </w:p>
    <w:p w14:paraId="2766EEA8" w14:textId="155FB937" w:rsidR="003A334E" w:rsidRPr="0020102C" w:rsidRDefault="003A334E" w:rsidP="00A41843">
      <w:pPr>
        <w:pStyle w:val="af8"/>
        <w:numPr>
          <w:ilvl w:val="0"/>
          <w:numId w:val="17"/>
        </w:numPr>
        <w:spacing w:before="120" w:beforeAutospacing="0" w:after="120" w:afterAutospacing="0" w:line="276" w:lineRule="auto"/>
        <w:jc w:val="both"/>
      </w:pPr>
      <w:r w:rsidRPr="004845B4">
        <w:rPr>
          <w:rStyle w:val="af9"/>
          <w:rFonts w:eastAsiaTheme="majorEastAsia"/>
        </w:rPr>
        <w:t>Nivelul local</w:t>
      </w:r>
      <w:r w:rsidRPr="004845B4">
        <w:t xml:space="preserve"> – </w:t>
      </w:r>
      <w:r w:rsidR="009054C4" w:rsidRPr="004845B4">
        <w:t>(valabil</w:t>
      </w:r>
      <w:r w:rsidR="009054C4">
        <w:t xml:space="preserve"> pentru învățământul general) </w:t>
      </w:r>
      <w:r w:rsidRPr="0020102C">
        <w:t xml:space="preserve">Organele locale de specialitate în domeniul învățământului, create de autoritățile administrației publice locale de nivelul al doilea (sau de Adunarea Populară în UTA Găgăuzia), gestionează educația la nivel raional/municipal. Structura și regulamentele lor se stabilesc </w:t>
      </w:r>
      <w:r w:rsidR="002B659E">
        <w:t xml:space="preserve">și sunt </w:t>
      </w:r>
      <w:r w:rsidRPr="0020102C">
        <w:t>aprobate de Guvern.</w:t>
      </w:r>
    </w:p>
    <w:p w14:paraId="32DE663E" w14:textId="03B8ABF0" w:rsidR="003A334E" w:rsidRPr="0020102C" w:rsidRDefault="003A334E" w:rsidP="00A41843">
      <w:pPr>
        <w:pStyle w:val="af8"/>
        <w:numPr>
          <w:ilvl w:val="0"/>
          <w:numId w:val="17"/>
        </w:numPr>
        <w:spacing w:before="120" w:beforeAutospacing="0" w:after="120" w:afterAutospacing="0" w:line="276" w:lineRule="auto"/>
        <w:jc w:val="both"/>
      </w:pPr>
      <w:r w:rsidRPr="0020102C">
        <w:rPr>
          <w:rStyle w:val="af9"/>
          <w:rFonts w:eastAsiaTheme="majorEastAsia"/>
        </w:rPr>
        <w:t>Nivelul instituțional</w:t>
      </w:r>
      <w:r w:rsidRPr="0020102C">
        <w:t xml:space="preserve"> – </w:t>
      </w:r>
      <w:r w:rsidR="00EF3F43" w:rsidRPr="00AC648D">
        <w:t>Conducerea instituţiilor, structurile de conducere şi organele administrative și consultative ale instituţiilor</w:t>
      </w:r>
      <w:r w:rsidR="00EF3F43" w:rsidRPr="0020102C">
        <w:t xml:space="preserve"> </w:t>
      </w:r>
      <w:r w:rsidRPr="0020102C">
        <w:t>conduc procesele educaționale și administrative, respectând regulamentele aprobate.</w:t>
      </w:r>
      <w:r w:rsidR="00AC648D" w:rsidRPr="00AC648D">
        <w:rPr>
          <w:rFonts w:asciiTheme="minorHAnsi" w:eastAsiaTheme="minorHAnsi" w:hAnsiTheme="minorHAnsi" w:cstheme="minorBidi"/>
          <w:color w:val="00B050"/>
          <w:kern w:val="2"/>
          <w:sz w:val="22"/>
          <w:szCs w:val="18"/>
          <w:shd w:val="clear" w:color="auto" w:fill="FFFFFF"/>
          <w:lang w:eastAsia="en-US"/>
        </w:rPr>
        <w:t xml:space="preserve"> </w:t>
      </w:r>
    </w:p>
    <w:p w14:paraId="7D08596E" w14:textId="35E14E22" w:rsidR="00500994" w:rsidRPr="0020102C" w:rsidRDefault="00500994" w:rsidP="005C4FE9">
      <w:pPr>
        <w:pStyle w:val="af8"/>
        <w:spacing w:before="120" w:beforeAutospacing="0" w:after="120" w:afterAutospacing="0" w:line="276" w:lineRule="auto"/>
        <w:jc w:val="both"/>
      </w:pPr>
      <w:r w:rsidRPr="0020102C">
        <w:rPr>
          <w:rStyle w:val="af9"/>
          <w:rFonts w:eastAsiaTheme="majorEastAsia"/>
        </w:rPr>
        <w:t>Curriculumul național</w:t>
      </w:r>
      <w:r w:rsidRPr="0020102C">
        <w:t xml:space="preserve"> este elaborat în conformitate cu standardele educaționale naționale și este aliniat, progresiv, la competențele-</w:t>
      </w:r>
      <w:r w:rsidR="00071CAF" w:rsidRPr="0020102C">
        <w:t>cheie</w:t>
      </w:r>
      <w:r w:rsidRPr="0020102C">
        <w:t xml:space="preserve"> europene pentru învățarea pe tot parcursul vieții. Acesta definește rezultatele așteptate ale învățării, conținuturile, standardele de evaluare și criteriile de promovare pentru </w:t>
      </w:r>
      <w:r w:rsidRPr="0020102C">
        <w:lastRenderedPageBreak/>
        <w:t>fiecare nivel și tip de educație. În învățământul profesional tehnic și superior, curriculumul este conceput pe baz</w:t>
      </w:r>
      <w:r w:rsidR="00902579">
        <w:t>a</w:t>
      </w:r>
      <w:r w:rsidRPr="0020102C">
        <w:t xml:space="preserve"> rezultate</w:t>
      </w:r>
      <w:r w:rsidR="00902579">
        <w:t>lor</w:t>
      </w:r>
      <w:r w:rsidRPr="0020102C">
        <w:t xml:space="preserve"> învățării </w:t>
      </w:r>
      <w:r w:rsidR="00272E8C">
        <w:t>deduse/derivate</w:t>
      </w:r>
      <w:r w:rsidR="00700912">
        <w:t xml:space="preserve"> din</w:t>
      </w:r>
      <w:r w:rsidRPr="0020102C">
        <w:t xml:space="preserve"> standardele ocupaționale</w:t>
      </w:r>
      <w:r w:rsidR="00902579">
        <w:t xml:space="preserve"> și</w:t>
      </w:r>
      <w:r w:rsidR="00700912">
        <w:t xml:space="preserve"> </w:t>
      </w:r>
      <w:r w:rsidR="00B30E9C">
        <w:t>standardele de competență</w:t>
      </w:r>
      <w:r w:rsidR="00D65E58">
        <w:t xml:space="preserve">, </w:t>
      </w:r>
      <w:r w:rsidR="004F5734">
        <w:t xml:space="preserve">care reflectă </w:t>
      </w:r>
      <w:r w:rsidR="00342AAC">
        <w:t>cerințel</w:t>
      </w:r>
      <w:r w:rsidR="004F5734">
        <w:t>e</w:t>
      </w:r>
      <w:r w:rsidR="00342AAC">
        <w:t xml:space="preserve"> și </w:t>
      </w:r>
      <w:r w:rsidRPr="0020102C">
        <w:t>nevoil</w:t>
      </w:r>
      <w:r w:rsidR="004F5734">
        <w:t>e</w:t>
      </w:r>
      <w:r w:rsidRPr="0020102C">
        <w:t xml:space="preserve"> pieței muncii, asigurând </w:t>
      </w:r>
      <w:r w:rsidR="00342AAC">
        <w:t xml:space="preserve">astfel, </w:t>
      </w:r>
      <w:r w:rsidRPr="0020102C">
        <w:t>relevanța pregătirii absolvenților.</w:t>
      </w:r>
      <w:r w:rsidR="00A832D6">
        <w:t xml:space="preserve"> </w:t>
      </w:r>
      <w:r w:rsidR="003D4069">
        <w:t xml:space="preserve">De menționat, că învățământul general se află în prezent  într-o reformă curriculară amplă. Astfel, a fost elaborat un nou </w:t>
      </w:r>
      <w:r w:rsidR="003D4069" w:rsidRPr="00AB7D50">
        <w:t>Cadrul de referință al Curriculumului Național</w:t>
      </w:r>
      <w:r w:rsidR="003D4069">
        <w:t xml:space="preserve">, </w:t>
      </w:r>
      <w:r w:rsidR="003D4069" w:rsidRPr="00AB7D50">
        <w:t>discutat la ședința Consiliului Național pentru Curriculum din cadrul Ministerului Educației și Cercetării al Republicii Moldova și aprobat  prin Ordinul ministerului nr. 1272 din 23 iulie 2025</w:t>
      </w:r>
      <w:r w:rsidR="003D4069">
        <w:t xml:space="preserve">. La fel, a fost elaborată </w:t>
      </w:r>
      <w:r w:rsidR="003D4069" w:rsidRPr="00AB7D50">
        <w:t>Concepția dezvoltării curriculumului școlar</w:t>
      </w:r>
      <w:r w:rsidR="003D4069">
        <w:t xml:space="preserve">, </w:t>
      </w:r>
      <w:r w:rsidR="003D4069" w:rsidRPr="00AB7D50">
        <w:t>aprobată prin ordinul Ministrului educației și cercetării nr.55 din 15 ianuarie 2025. Publicația reprezintă responsabilitatea exclusivă a proiectului „Misiunea Înalților Consilieri ai Uniunii Europene”, finanțat de Uniunea Europeană.</w:t>
      </w:r>
      <w:r w:rsidR="003D4069">
        <w:t xml:space="preserve"> </w:t>
      </w:r>
    </w:p>
    <w:p w14:paraId="445BD6DC" w14:textId="28FF833F" w:rsidR="00500994" w:rsidRPr="0020102C" w:rsidRDefault="00500994" w:rsidP="005C4FE9">
      <w:pPr>
        <w:pStyle w:val="af8"/>
        <w:spacing w:before="120" w:beforeAutospacing="0" w:after="120" w:afterAutospacing="0" w:line="276" w:lineRule="auto"/>
        <w:jc w:val="both"/>
      </w:pPr>
      <w:r w:rsidRPr="0020102C">
        <w:rPr>
          <w:rStyle w:val="af9"/>
          <w:rFonts w:eastAsiaTheme="majorEastAsia"/>
        </w:rPr>
        <w:t>Asigurarea calității</w:t>
      </w:r>
      <w:r w:rsidRPr="0020102C">
        <w:t xml:space="preserve"> este realizată la toate nivelurile prin proceduri interne și externe, în conformitate cu standardele naționale și europene (</w:t>
      </w:r>
      <w:r w:rsidRPr="0020102C">
        <w:rPr>
          <w:rStyle w:val="af9"/>
          <w:rFonts w:eastAsiaTheme="majorEastAsia"/>
          <w:b w:val="0"/>
          <w:bCs w:val="0"/>
        </w:rPr>
        <w:t>ESG</w:t>
      </w:r>
      <w:r w:rsidRPr="0020102C">
        <w:rPr>
          <w:b/>
          <w:bCs/>
        </w:rPr>
        <w:t xml:space="preserve">, </w:t>
      </w:r>
      <w:r w:rsidR="00BB2A74" w:rsidRPr="0020102C">
        <w:rPr>
          <w:rStyle w:val="af9"/>
          <w:rFonts w:eastAsiaTheme="majorEastAsia"/>
          <w:b w:val="0"/>
          <w:bCs w:val="0"/>
        </w:rPr>
        <w:t>EQAVET</w:t>
      </w:r>
      <w:r w:rsidRPr="0020102C">
        <w:t>).</w:t>
      </w:r>
    </w:p>
    <w:p w14:paraId="0D414DCB" w14:textId="77777777" w:rsidR="00012245" w:rsidRPr="0020102C" w:rsidRDefault="00012245" w:rsidP="00A41843">
      <w:pPr>
        <w:pStyle w:val="af8"/>
        <w:numPr>
          <w:ilvl w:val="0"/>
          <w:numId w:val="18"/>
        </w:numPr>
        <w:spacing w:before="120" w:beforeAutospacing="0" w:after="120" w:afterAutospacing="0" w:line="276" w:lineRule="auto"/>
        <w:jc w:val="both"/>
      </w:pPr>
      <w:r w:rsidRPr="0020102C">
        <w:t xml:space="preserve">În </w:t>
      </w:r>
      <w:r w:rsidRPr="0020102C">
        <w:rPr>
          <w:rStyle w:val="af9"/>
          <w:rFonts w:eastAsiaTheme="majorEastAsia"/>
        </w:rPr>
        <w:t>învățământul general</w:t>
      </w:r>
      <w:r w:rsidRPr="0020102C">
        <w:t>, calitatea este asigurată de MEC (național), organele locale de specialitate (local) și managerii instituțiilor (instituțional).</w:t>
      </w:r>
    </w:p>
    <w:p w14:paraId="1D521CA5" w14:textId="165DB8DA" w:rsidR="00012245" w:rsidRPr="0020102C" w:rsidRDefault="00012245" w:rsidP="00A41843">
      <w:pPr>
        <w:pStyle w:val="af8"/>
        <w:numPr>
          <w:ilvl w:val="0"/>
          <w:numId w:val="18"/>
        </w:numPr>
        <w:spacing w:before="120" w:beforeAutospacing="0" w:after="120" w:afterAutospacing="0" w:line="276" w:lineRule="auto"/>
        <w:jc w:val="both"/>
      </w:pPr>
      <w:r w:rsidRPr="0020102C">
        <w:t xml:space="preserve">În </w:t>
      </w:r>
      <w:r w:rsidRPr="0020102C">
        <w:rPr>
          <w:rStyle w:val="af9"/>
          <w:rFonts w:eastAsiaTheme="majorEastAsia"/>
        </w:rPr>
        <w:t>învățământul profesional tehnic și superior</w:t>
      </w:r>
      <w:r w:rsidRPr="0020102C">
        <w:t xml:space="preserve">, calitatea este asigurată de MEC, ministerele de resort, ANACEC și structurile interne </w:t>
      </w:r>
      <w:r w:rsidRPr="00ED0074">
        <w:rPr>
          <w:color w:val="000000" w:themeColor="text1"/>
        </w:rPr>
        <w:t>instituționale</w:t>
      </w:r>
      <w:r w:rsidR="002855E6" w:rsidRPr="00ED0074">
        <w:rPr>
          <w:color w:val="000000" w:themeColor="text1"/>
          <w:lang w:val="it-IT"/>
        </w:rPr>
        <w:t xml:space="preserve"> de asigurare a calității</w:t>
      </w:r>
      <w:r w:rsidRPr="00ED0074">
        <w:rPr>
          <w:color w:val="000000" w:themeColor="text1"/>
        </w:rPr>
        <w:t>.</w:t>
      </w:r>
    </w:p>
    <w:p w14:paraId="10ED0E2E" w14:textId="33630822" w:rsidR="00012245" w:rsidRPr="0020102C" w:rsidRDefault="00012245" w:rsidP="005C4FE9">
      <w:pPr>
        <w:pStyle w:val="af8"/>
        <w:spacing w:before="120" w:beforeAutospacing="0" w:after="120" w:afterAutospacing="0" w:line="276" w:lineRule="auto"/>
        <w:jc w:val="both"/>
      </w:pPr>
      <w:r w:rsidRPr="0020102C">
        <w:rPr>
          <w:rStyle w:val="af9"/>
          <w:rFonts w:eastAsiaTheme="majorEastAsia"/>
        </w:rPr>
        <w:t>Transparență</w:t>
      </w:r>
      <w:r w:rsidR="00C61E6F" w:rsidRPr="0020102C">
        <w:rPr>
          <w:rStyle w:val="af9"/>
          <w:rFonts w:eastAsiaTheme="majorEastAsia"/>
        </w:rPr>
        <w:t xml:space="preserve">: </w:t>
      </w:r>
      <w:r w:rsidRPr="0020102C">
        <w:t>Actele administrative și deciziile de interes general ale entităților din sistemul educațional se publică pe paginile web oficiale ale autorităților și instituțiilor respective.</w:t>
      </w:r>
    </w:p>
    <w:p w14:paraId="02F40D46" w14:textId="77777777" w:rsidR="00D05C9A" w:rsidRPr="0020102C" w:rsidRDefault="00D05C9A" w:rsidP="005C4FE9">
      <w:pPr>
        <w:pStyle w:val="af8"/>
        <w:spacing w:before="120" w:beforeAutospacing="0" w:after="120" w:afterAutospacing="0" w:line="276" w:lineRule="auto"/>
        <w:rPr>
          <w:color w:val="3494BA" w:themeColor="accent1"/>
        </w:rPr>
      </w:pPr>
      <w:r w:rsidRPr="0020102C">
        <w:rPr>
          <w:rStyle w:val="af9"/>
          <w:rFonts w:eastAsiaTheme="majorEastAsia"/>
          <w:color w:val="3494BA" w:themeColor="accent1"/>
        </w:rPr>
        <w:t>3.1.4. Diagrama generală a sistemului educațional (cu niveluri și trasee)</w:t>
      </w:r>
    </w:p>
    <w:p w14:paraId="67ADF046" w14:textId="4A8B5968" w:rsidR="00D05C9A" w:rsidRPr="0020102C" w:rsidRDefault="00D05C9A" w:rsidP="005C4FE9">
      <w:pPr>
        <w:pStyle w:val="af8"/>
        <w:spacing w:before="120" w:beforeAutospacing="0" w:after="120" w:afterAutospacing="0" w:line="276" w:lineRule="auto"/>
        <w:jc w:val="both"/>
      </w:pPr>
      <w:r w:rsidRPr="0020102C">
        <w:t>Diagrama generală a sistemului educațional ilustrează, într-un mod sintetic, arhitectura educației și formării profesionale din Republica Moldova, în conformitate cu clasificarea internațională ISCED și cu structura nivelurilor din CNC corelate cu EQF.</w:t>
      </w:r>
    </w:p>
    <w:p w14:paraId="16E78FF7" w14:textId="77777777" w:rsidR="00D05C9A" w:rsidRPr="0020102C" w:rsidRDefault="00D05C9A" w:rsidP="005C4FE9">
      <w:pPr>
        <w:pStyle w:val="af8"/>
        <w:spacing w:before="120" w:beforeAutospacing="0" w:after="120" w:afterAutospacing="0" w:line="276" w:lineRule="auto"/>
        <w:jc w:val="both"/>
      </w:pPr>
      <w:r w:rsidRPr="0020102C">
        <w:t>Aceasta prezintă toate nivelurile de învățare – de la educația timpurie până la învățământul superior și educația adulților – evidențiind traseele posibile între acestea, trecerile între filiere teoretice și tehnologice/vocaționale, conexiunile dintre învățământul general și cel profesional tehnic, precum și mecanismele de recunoaștere a învățării anterioare dobândite în contexte formale, non-formale și informale. Diagrama include, de asemenea, punctele de ieșire din sistem spre piața muncii și posibilitățile de revenire în educație, la solicitare, prin programe de recalificare, formare profesională continuă sau studii suplimentare, asigurând astfel o imagine clară asupra flexibilității și coerenței sistemului educațional național.</w:t>
      </w:r>
    </w:p>
    <w:p w14:paraId="230EB83C" w14:textId="77777777" w:rsidR="007C423D" w:rsidRPr="0020102C" w:rsidRDefault="007C423D" w:rsidP="005C4FE9">
      <w:pPr>
        <w:pStyle w:val="af8"/>
        <w:spacing w:before="120" w:beforeAutospacing="0" w:after="120" w:afterAutospacing="0" w:line="276" w:lineRule="auto"/>
        <w:rPr>
          <w:color w:val="3494BA" w:themeColor="accent1"/>
        </w:rPr>
      </w:pPr>
      <w:r w:rsidRPr="0020102C">
        <w:rPr>
          <w:rStyle w:val="af9"/>
          <w:rFonts w:eastAsiaTheme="majorEastAsia"/>
          <w:color w:val="3494BA" w:themeColor="accent1"/>
        </w:rPr>
        <w:t>3.1.5. Integrarea Cadrului Național al Calificărilor în arhitectura educațională</w:t>
      </w:r>
    </w:p>
    <w:p w14:paraId="06BEAA3F" w14:textId="71BCD7CB" w:rsidR="007C423D" w:rsidRPr="0020102C" w:rsidRDefault="007C423D" w:rsidP="005C4FE9">
      <w:pPr>
        <w:pStyle w:val="af8"/>
        <w:spacing w:before="120" w:beforeAutospacing="0" w:after="120" w:afterAutospacing="0" w:line="276" w:lineRule="auto"/>
        <w:jc w:val="both"/>
      </w:pPr>
      <w:r w:rsidRPr="0020102C">
        <w:t>CNC, aprobat prin Hotărârea Guvernului nr. 330/2023, reprezintă un instrument strategic central în organizarea și dezvoltarea sistemului educațional din Republica Moldova. El asigură coerența între nivelurile și tipurile de calificări, facilitează recunoașterea și comparabilitatea acestora la nivel european prin corelarea cu EQF</w:t>
      </w:r>
      <w:r w:rsidR="00447E7C" w:rsidRPr="001F6026">
        <w:t xml:space="preserve"> </w:t>
      </w:r>
      <w:r w:rsidRPr="0020102C">
        <w:t>și sprijină planificarea strategică a ofertei educaționale în funcție de cerințele pieței muncii.</w:t>
      </w:r>
    </w:p>
    <w:p w14:paraId="5B95DB32" w14:textId="77777777" w:rsidR="007C423D" w:rsidRPr="0020102C" w:rsidRDefault="007C423D" w:rsidP="005C4FE9">
      <w:pPr>
        <w:pStyle w:val="af8"/>
        <w:spacing w:before="120" w:beforeAutospacing="0" w:after="120" w:afterAutospacing="0" w:line="276" w:lineRule="auto"/>
        <w:jc w:val="both"/>
      </w:pPr>
      <w:r w:rsidRPr="0020102C">
        <w:t>Integrarea CNC în arhitectura educațională națională se realizează prin:</w:t>
      </w:r>
    </w:p>
    <w:p w14:paraId="1F0702BB" w14:textId="77777777" w:rsidR="007C423D" w:rsidRPr="0020102C" w:rsidRDefault="007C423D" w:rsidP="00A41843">
      <w:pPr>
        <w:pStyle w:val="af8"/>
        <w:numPr>
          <w:ilvl w:val="0"/>
          <w:numId w:val="15"/>
        </w:numPr>
        <w:spacing w:before="120" w:beforeAutospacing="0" w:after="120" w:afterAutospacing="0" w:line="276" w:lineRule="auto"/>
        <w:jc w:val="both"/>
      </w:pPr>
      <w:r w:rsidRPr="0020102C">
        <w:t>definirea nivelurilor de calificare și a descriptorilor corespunzători, în baza rezultatelor învățării;</w:t>
      </w:r>
    </w:p>
    <w:p w14:paraId="6B00732F" w14:textId="77777777" w:rsidR="007C423D" w:rsidRPr="0020102C" w:rsidRDefault="007C423D" w:rsidP="00A41843">
      <w:pPr>
        <w:pStyle w:val="af8"/>
        <w:numPr>
          <w:ilvl w:val="0"/>
          <w:numId w:val="15"/>
        </w:numPr>
        <w:spacing w:before="120" w:beforeAutospacing="0" w:after="120" w:afterAutospacing="0" w:line="276" w:lineRule="auto"/>
        <w:jc w:val="both"/>
      </w:pPr>
      <w:r w:rsidRPr="0020102C">
        <w:t>corelarea standardelor ocupaționale și a standardelor de competență cu programele de studii și cu curriculumul național;</w:t>
      </w:r>
    </w:p>
    <w:p w14:paraId="0B4FB535" w14:textId="77777777" w:rsidR="007C423D" w:rsidRPr="0020102C" w:rsidRDefault="007C423D" w:rsidP="00A41843">
      <w:pPr>
        <w:pStyle w:val="af8"/>
        <w:numPr>
          <w:ilvl w:val="0"/>
          <w:numId w:val="15"/>
        </w:numPr>
        <w:spacing w:before="120" w:beforeAutospacing="0" w:after="120" w:afterAutospacing="0" w:line="276" w:lineRule="auto"/>
        <w:jc w:val="both"/>
      </w:pPr>
      <w:r w:rsidRPr="0020102C">
        <w:lastRenderedPageBreak/>
        <w:t>asigurarea transparenței și flexibilității traseelor educaționale;</w:t>
      </w:r>
    </w:p>
    <w:p w14:paraId="0BE771B9" w14:textId="77777777" w:rsidR="007C423D" w:rsidRPr="0020102C" w:rsidRDefault="007C423D" w:rsidP="00A41843">
      <w:pPr>
        <w:pStyle w:val="af8"/>
        <w:numPr>
          <w:ilvl w:val="0"/>
          <w:numId w:val="15"/>
        </w:numPr>
        <w:spacing w:before="120" w:beforeAutospacing="0" w:after="120" w:afterAutospacing="0" w:line="276" w:lineRule="auto"/>
        <w:jc w:val="both"/>
      </w:pPr>
      <w:r w:rsidRPr="0020102C">
        <w:t>implementarea mecanismelor de recunoaștere, validare și certificare a competențelor dobândite în contexte formale, non-formale și informale;</w:t>
      </w:r>
    </w:p>
    <w:p w14:paraId="490273EA" w14:textId="77777777" w:rsidR="007C423D" w:rsidRPr="0020102C" w:rsidRDefault="007C423D" w:rsidP="00A41843">
      <w:pPr>
        <w:pStyle w:val="af8"/>
        <w:numPr>
          <w:ilvl w:val="0"/>
          <w:numId w:val="15"/>
        </w:numPr>
        <w:spacing w:before="120" w:beforeAutospacing="0" w:after="120" w:afterAutospacing="0" w:line="276" w:lineRule="auto"/>
        <w:jc w:val="both"/>
      </w:pPr>
      <w:r w:rsidRPr="0020102C">
        <w:t>integrarea criteriilor CNC în procesele de asigurare a calității, acreditare și monitorizare.</w:t>
      </w:r>
    </w:p>
    <w:p w14:paraId="7E40BFF3" w14:textId="00BADF67" w:rsidR="003C7E1F" w:rsidRPr="0020102C" w:rsidRDefault="007C423D" w:rsidP="005C4FE9">
      <w:pPr>
        <w:pStyle w:val="af8"/>
        <w:spacing w:before="120" w:beforeAutospacing="0" w:after="120" w:afterAutospacing="0" w:line="276" w:lineRule="auto"/>
        <w:jc w:val="both"/>
      </w:pPr>
      <w:r w:rsidRPr="0020102C">
        <w:t xml:space="preserve">CNC este interconectat cu toate nivelurile sistemului educațional în care se obțin calificări certificate – de la învățământul gimnazial și liceal, la </w:t>
      </w:r>
      <w:r w:rsidR="00447E7C" w:rsidRPr="001F6026">
        <w:t>învățământul</w:t>
      </w:r>
      <w:r w:rsidRPr="0020102C">
        <w:t xml:space="preserve"> profesional tehnică, învățământul superior și educația </w:t>
      </w:r>
      <w:r w:rsidR="00447E7C" w:rsidRPr="001F6026">
        <w:t>pe parcursul vieții</w:t>
      </w:r>
      <w:r w:rsidRPr="0020102C">
        <w:t xml:space="preserve">– constituind o punte esențială între educație, formare profesională și piața muncii. </w:t>
      </w:r>
      <w:r w:rsidR="003C7E1F" w:rsidRPr="0020102C">
        <w:t>Învățământul primar nu se finalizează printr-un document de certificare formal recunoscut la nivel național, promovarea elevilor realizându-se prin trecerea automată în ciclul următor. Totuși, acest nivel constituie baza formării competențelor-cheie fundamentale – alfabetizare, competențe de calcul elementar și dezvoltarea gândirii critice – care reprezintă premisele pentru acumularea ulterioară a calificărilor recunoscute oficial. În consecință, ciclului primar de învățământ îi este atribuit nivelul 1 din CNC.</w:t>
      </w:r>
    </w:p>
    <w:p w14:paraId="05FF70B3" w14:textId="679C9D05" w:rsidR="007C423D" w:rsidRPr="0020102C" w:rsidRDefault="007C423D" w:rsidP="005C4FE9">
      <w:pPr>
        <w:pStyle w:val="af8"/>
        <w:spacing w:before="120" w:beforeAutospacing="0" w:after="120" w:afterAutospacing="0" w:line="276" w:lineRule="auto"/>
        <w:jc w:val="both"/>
      </w:pPr>
      <w:r w:rsidRPr="0020102C">
        <w:t>În sensul CNC, o ”</w:t>
      </w:r>
      <w:r w:rsidRPr="0020102C">
        <w:rPr>
          <w:rStyle w:val="af9"/>
          <w:rFonts w:eastAsiaTheme="majorEastAsia"/>
        </w:rPr>
        <w:t>calificare certificată”</w:t>
      </w:r>
      <w:r w:rsidR="004B3AF4" w:rsidRPr="0020102C">
        <w:rPr>
          <w:rStyle w:val="afc"/>
          <w:rFonts w:eastAsiaTheme="majorEastAsia"/>
          <w:b/>
          <w:bCs/>
        </w:rPr>
        <w:footnoteReference w:id="28"/>
      </w:r>
      <w:r w:rsidRPr="0020102C">
        <w:t xml:space="preserve"> reprezintă rezultatul unui proces de învățare formală finalizat cu o certificare oficială – un document emis de o autoritate competentă (instituție de învățământ, minister, agenție națională) care confirmă atingerea rezultatelor învățării corespunzătoare unui nivel din CNC și recunoscute legal în sistemul național. Aceasta implică:</w:t>
      </w:r>
    </w:p>
    <w:p w14:paraId="33933468" w14:textId="77777777" w:rsidR="007C423D" w:rsidRPr="0020102C" w:rsidRDefault="007C423D" w:rsidP="00A41843">
      <w:pPr>
        <w:pStyle w:val="af8"/>
        <w:numPr>
          <w:ilvl w:val="0"/>
          <w:numId w:val="16"/>
        </w:numPr>
        <w:spacing w:before="120" w:beforeAutospacing="0" w:after="120" w:afterAutospacing="0" w:line="276" w:lineRule="auto"/>
        <w:jc w:val="both"/>
      </w:pPr>
      <w:r w:rsidRPr="0020102C">
        <w:t>parcurgerea unui program reglementat oficial;</w:t>
      </w:r>
    </w:p>
    <w:p w14:paraId="314E4828" w14:textId="77777777" w:rsidR="007C423D" w:rsidRPr="0020102C" w:rsidRDefault="007C423D" w:rsidP="00A41843">
      <w:pPr>
        <w:pStyle w:val="af8"/>
        <w:numPr>
          <w:ilvl w:val="0"/>
          <w:numId w:val="16"/>
        </w:numPr>
        <w:spacing w:before="120" w:beforeAutospacing="0" w:after="120" w:afterAutospacing="0" w:line="276" w:lineRule="auto"/>
        <w:jc w:val="both"/>
      </w:pPr>
      <w:r w:rsidRPr="0020102C">
        <w:t>evaluarea standardizată a competențelor dobândite;</w:t>
      </w:r>
    </w:p>
    <w:p w14:paraId="23330039" w14:textId="77777777" w:rsidR="007C423D" w:rsidRPr="0020102C" w:rsidRDefault="007C423D" w:rsidP="00A41843">
      <w:pPr>
        <w:pStyle w:val="af8"/>
        <w:numPr>
          <w:ilvl w:val="0"/>
          <w:numId w:val="16"/>
        </w:numPr>
        <w:spacing w:before="120" w:beforeAutospacing="0" w:after="120" w:afterAutospacing="0" w:line="276" w:lineRule="auto"/>
        <w:jc w:val="both"/>
      </w:pPr>
      <w:r w:rsidRPr="0020102C">
        <w:t>emiterea unui document cu valoare legală (diplomă, certificat, atestat);</w:t>
      </w:r>
    </w:p>
    <w:p w14:paraId="769C4E70" w14:textId="77777777" w:rsidR="007C423D" w:rsidRPr="0020102C" w:rsidRDefault="007C423D" w:rsidP="00A41843">
      <w:pPr>
        <w:pStyle w:val="af8"/>
        <w:numPr>
          <w:ilvl w:val="0"/>
          <w:numId w:val="16"/>
        </w:numPr>
        <w:spacing w:before="120" w:beforeAutospacing="0" w:after="120" w:afterAutospacing="0" w:line="276" w:lineRule="auto"/>
        <w:jc w:val="both"/>
      </w:pPr>
      <w:r w:rsidRPr="0020102C">
        <w:t>înregistrarea calificării în sistemul național.</w:t>
      </w:r>
    </w:p>
    <w:p w14:paraId="657A26AE" w14:textId="77777777" w:rsidR="007C423D" w:rsidRPr="0020102C" w:rsidRDefault="007C423D" w:rsidP="005C4FE9">
      <w:pPr>
        <w:pStyle w:val="af8"/>
        <w:spacing w:before="120" w:beforeAutospacing="0" w:after="120" w:afterAutospacing="0" w:line="276" w:lineRule="auto"/>
        <w:jc w:val="both"/>
      </w:pPr>
      <w:r w:rsidRPr="0020102C">
        <w:t>Astfel, integrarea CNC în arhitectura educațională asigură un cadru unitar pentru dezvoltarea, recunoașterea și validarea calificărilor, contribuind la mobilitatea academică și profesională și susținând învățarea pe tot parcursul vieții.</w:t>
      </w:r>
    </w:p>
    <w:p w14:paraId="2B4AC607" w14:textId="77777777" w:rsidR="00AE4FE9" w:rsidRPr="0020102C" w:rsidRDefault="00AE4FE9" w:rsidP="005C4FE9">
      <w:pPr>
        <w:pStyle w:val="af8"/>
        <w:spacing w:before="120" w:beforeAutospacing="0" w:after="120" w:afterAutospacing="0" w:line="276" w:lineRule="auto"/>
        <w:jc w:val="both"/>
      </w:pPr>
    </w:p>
    <w:p w14:paraId="2946CE7D" w14:textId="6F053667" w:rsidR="00CC41FC" w:rsidRPr="0020102C" w:rsidRDefault="00CF20D5" w:rsidP="005C4FE9">
      <w:pPr>
        <w:pStyle w:val="af8"/>
        <w:spacing w:before="120" w:beforeAutospacing="0" w:after="120" w:afterAutospacing="0" w:line="276" w:lineRule="auto"/>
        <w:jc w:val="both"/>
        <w:rPr>
          <w:rStyle w:val="af9"/>
          <w:rFonts w:eastAsiaTheme="majorEastAsia"/>
          <w:color w:val="3494BA" w:themeColor="accent1"/>
        </w:rPr>
      </w:pPr>
      <w:r w:rsidRPr="0020102C">
        <w:rPr>
          <w:rStyle w:val="af9"/>
          <w:rFonts w:eastAsiaTheme="majorEastAsia"/>
          <w:color w:val="3494BA" w:themeColor="accent1"/>
        </w:rPr>
        <w:t>3.2. ÎNVĂȚĂMÂNTUL GENERAL</w:t>
      </w:r>
    </w:p>
    <w:p w14:paraId="50302F82" w14:textId="44E13D63" w:rsidR="00BC00ED" w:rsidRPr="0020102C" w:rsidRDefault="0020124E" w:rsidP="005C4FE9">
      <w:pPr>
        <w:pStyle w:val="af8"/>
        <w:spacing w:before="120" w:beforeAutospacing="0" w:after="120" w:afterAutospacing="0" w:line="276" w:lineRule="auto"/>
        <w:jc w:val="both"/>
      </w:pPr>
      <w:r w:rsidRPr="0020102C">
        <w:t>Conform Codului Educației</w:t>
      </w:r>
      <w:r w:rsidR="00641F82" w:rsidRPr="0020102C">
        <w:t>, î</w:t>
      </w:r>
      <w:r w:rsidR="00BC00ED" w:rsidRPr="0020102C">
        <w:t>nvățământul general din Republica Moldova cuprinde următoarele niveluri și forme educaționale:</w:t>
      </w:r>
    </w:p>
    <w:p w14:paraId="639B5DB9" w14:textId="001347C7" w:rsidR="00BC00ED" w:rsidRPr="0020102C" w:rsidRDefault="00BC00ED" w:rsidP="00A41843">
      <w:pPr>
        <w:pStyle w:val="af8"/>
        <w:numPr>
          <w:ilvl w:val="0"/>
          <w:numId w:val="19"/>
        </w:numPr>
        <w:spacing w:before="120" w:beforeAutospacing="0" w:after="120" w:afterAutospacing="0" w:line="276" w:lineRule="auto"/>
        <w:jc w:val="both"/>
      </w:pPr>
      <w:r w:rsidRPr="0020102C">
        <w:rPr>
          <w:rStyle w:val="af9"/>
          <w:rFonts w:eastAsiaTheme="majorEastAsia"/>
        </w:rPr>
        <w:t>Educația timpurie</w:t>
      </w:r>
      <w:r w:rsidRPr="0020102C">
        <w:t xml:space="preserve"> – grupele antepreșcolare</w:t>
      </w:r>
      <w:r w:rsidR="00151A5A" w:rsidRPr="0020102C">
        <w:t>,</w:t>
      </w:r>
      <w:r w:rsidRPr="0020102C">
        <w:t xml:space="preserve"> grupele preșcolare, inclusiv grupele pregătitoare;</w:t>
      </w:r>
    </w:p>
    <w:p w14:paraId="5A6777B1" w14:textId="77777777" w:rsidR="00BC00ED" w:rsidRPr="0020102C" w:rsidRDefault="00BC00ED" w:rsidP="00A41843">
      <w:pPr>
        <w:pStyle w:val="af8"/>
        <w:numPr>
          <w:ilvl w:val="0"/>
          <w:numId w:val="19"/>
        </w:numPr>
        <w:spacing w:before="120" w:beforeAutospacing="0" w:after="120" w:afterAutospacing="0" w:line="276" w:lineRule="auto"/>
        <w:jc w:val="both"/>
      </w:pPr>
      <w:r w:rsidRPr="0020102C">
        <w:rPr>
          <w:rStyle w:val="af9"/>
          <w:rFonts w:eastAsiaTheme="majorEastAsia"/>
        </w:rPr>
        <w:t>Învățământul primar</w:t>
      </w:r>
      <w:r w:rsidRPr="0020102C">
        <w:t xml:space="preserve"> – clasele I–IV;</w:t>
      </w:r>
    </w:p>
    <w:p w14:paraId="4E67BA4F" w14:textId="77777777" w:rsidR="00BC00ED" w:rsidRPr="0020102C" w:rsidRDefault="00BC00ED" w:rsidP="00A41843">
      <w:pPr>
        <w:pStyle w:val="af8"/>
        <w:numPr>
          <w:ilvl w:val="0"/>
          <w:numId w:val="19"/>
        </w:numPr>
        <w:spacing w:before="120" w:beforeAutospacing="0" w:after="120" w:afterAutospacing="0" w:line="276" w:lineRule="auto"/>
        <w:jc w:val="both"/>
      </w:pPr>
      <w:r w:rsidRPr="0020102C">
        <w:rPr>
          <w:rStyle w:val="af9"/>
          <w:rFonts w:eastAsiaTheme="majorEastAsia"/>
        </w:rPr>
        <w:t>Învățământul gimnazial</w:t>
      </w:r>
      <w:r w:rsidRPr="0020102C">
        <w:t xml:space="preserve"> – clasele V–IX;</w:t>
      </w:r>
    </w:p>
    <w:p w14:paraId="7C634FF2" w14:textId="77777777" w:rsidR="00BC00ED" w:rsidRPr="0020102C" w:rsidRDefault="00BC00ED" w:rsidP="00A41843">
      <w:pPr>
        <w:pStyle w:val="af8"/>
        <w:numPr>
          <w:ilvl w:val="0"/>
          <w:numId w:val="19"/>
        </w:numPr>
        <w:spacing w:before="120" w:beforeAutospacing="0" w:after="120" w:afterAutospacing="0" w:line="276" w:lineRule="auto"/>
        <w:jc w:val="both"/>
      </w:pPr>
      <w:r w:rsidRPr="0020102C">
        <w:rPr>
          <w:rStyle w:val="af9"/>
          <w:rFonts w:eastAsiaTheme="majorEastAsia"/>
        </w:rPr>
        <w:t>Învățământul liceal</w:t>
      </w:r>
      <w:r w:rsidRPr="0020102C">
        <w:t xml:space="preserve"> – clasele X–XII/XIII.</w:t>
      </w:r>
    </w:p>
    <w:p w14:paraId="08FF02A9" w14:textId="77777777" w:rsidR="00BC00ED" w:rsidRPr="0020102C" w:rsidRDefault="00BC00ED" w:rsidP="005C4FE9">
      <w:pPr>
        <w:pStyle w:val="af8"/>
        <w:spacing w:before="120" w:beforeAutospacing="0" w:after="120" w:afterAutospacing="0" w:line="276" w:lineRule="auto"/>
        <w:jc w:val="both"/>
      </w:pPr>
      <w:r w:rsidRPr="0020102C">
        <w:t xml:space="preserve">Acesta include, de asemenea, </w:t>
      </w:r>
      <w:r w:rsidRPr="0020102C">
        <w:rPr>
          <w:rStyle w:val="af9"/>
          <w:rFonts w:eastAsiaTheme="majorEastAsia"/>
        </w:rPr>
        <w:t>învățământul special</w:t>
      </w:r>
      <w:r w:rsidRPr="0020102C">
        <w:t xml:space="preserve">, </w:t>
      </w:r>
      <w:r w:rsidRPr="0020102C">
        <w:rPr>
          <w:rStyle w:val="af9"/>
          <w:rFonts w:eastAsiaTheme="majorEastAsia"/>
        </w:rPr>
        <w:t>învățământul extrașcolar</w:t>
      </w:r>
      <w:r w:rsidRPr="0020102C">
        <w:t xml:space="preserve"> și </w:t>
      </w:r>
      <w:r w:rsidRPr="0020102C">
        <w:rPr>
          <w:rStyle w:val="af9"/>
          <w:rFonts w:eastAsiaTheme="majorEastAsia"/>
        </w:rPr>
        <w:t>alternativele educaționale</w:t>
      </w:r>
      <w:r w:rsidRPr="0020102C">
        <w:t xml:space="preserve"> prevăzute de legislație.</w:t>
      </w:r>
    </w:p>
    <w:p w14:paraId="3A15B7BB" w14:textId="77777777" w:rsidR="00BC00ED" w:rsidRPr="0020102C" w:rsidRDefault="00BC00ED" w:rsidP="005C4FE9">
      <w:pPr>
        <w:pStyle w:val="af8"/>
        <w:spacing w:before="120" w:beforeAutospacing="0" w:after="120" w:afterAutospacing="0" w:line="276" w:lineRule="auto"/>
        <w:jc w:val="both"/>
      </w:pPr>
      <w:r w:rsidRPr="0020102C">
        <w:t xml:space="preserve">Misiunea instituțiilor de învățământ general este de a asigura tuturor copiilor și elevilor acces la educație de calitate, îngrijire, sprijin și oportunități de dezvoltare personală, de a identifica și sprijini elevii cu dificultăți de învățare și de a acorda asistență copiilor aflați în situații de risc, în cooperare cu serviciile </w:t>
      </w:r>
      <w:r w:rsidRPr="0020102C">
        <w:lastRenderedPageBreak/>
        <w:t>sociale competente. În funcție de necesități, pot fi oferite servicii logopedice, de asistență psihopedagogică, precum și servicii de alimentație școlară.</w:t>
      </w:r>
    </w:p>
    <w:p w14:paraId="6E364C75" w14:textId="77777777" w:rsidR="00BC00ED" w:rsidRPr="0020102C" w:rsidRDefault="00BC00ED" w:rsidP="005C4FE9">
      <w:pPr>
        <w:pStyle w:val="af8"/>
        <w:spacing w:before="120" w:beforeAutospacing="0" w:after="120" w:afterAutospacing="0" w:line="276" w:lineRule="auto"/>
        <w:jc w:val="both"/>
      </w:pPr>
      <w:r w:rsidRPr="0020102C">
        <w:t xml:space="preserve">Învățământul general este organizat în instituții publice sau private, înființate, reorganizate și lichidate în conformitate cu competențele autorităților administrației publice locale și cu prevederile </w:t>
      </w:r>
      <w:r w:rsidRPr="0020102C">
        <w:rPr>
          <w:rStyle w:val="af9"/>
          <w:rFonts w:eastAsiaTheme="majorEastAsia"/>
          <w:b w:val="0"/>
          <w:bCs w:val="0"/>
        </w:rPr>
        <w:t>Codului educației al Republicii Moldova nr. 152/2014</w:t>
      </w:r>
      <w:r w:rsidRPr="0020102C">
        <w:t xml:space="preserve"> și ale altor acte normative conexe. Instituțiile private acreditate fac parte integrantă din sistemul național de învățământ.</w:t>
      </w:r>
    </w:p>
    <w:p w14:paraId="3420284E" w14:textId="1C1928E5" w:rsidR="00BC00ED" w:rsidRPr="0020102C" w:rsidRDefault="00BC00ED" w:rsidP="005C4FE9">
      <w:pPr>
        <w:pStyle w:val="af8"/>
        <w:spacing w:before="120" w:beforeAutospacing="0" w:after="120" w:afterAutospacing="0" w:line="276" w:lineRule="auto"/>
        <w:jc w:val="both"/>
      </w:pPr>
      <w:r w:rsidRPr="0020102C">
        <w:t xml:space="preserve">Anul școlar începe, de regulă, la 1 septembrie. Durata și structura acestuia, perioadele de vacanță și durata lecțiilor sunt stabilite prin </w:t>
      </w:r>
      <w:r w:rsidRPr="0020102C">
        <w:rPr>
          <w:rStyle w:val="af9"/>
          <w:rFonts w:eastAsiaTheme="majorEastAsia"/>
          <w:b w:val="0"/>
          <w:bCs w:val="0"/>
        </w:rPr>
        <w:t>Planul-cadru</w:t>
      </w:r>
      <w:r w:rsidRPr="0020102C">
        <w:t xml:space="preserve"> aprobat anual de </w:t>
      </w:r>
      <w:r w:rsidR="00447E7C" w:rsidRPr="001F6026">
        <w:t>MEC.</w:t>
      </w:r>
    </w:p>
    <w:p w14:paraId="50B6FF4B" w14:textId="77777777" w:rsidR="00BC00ED" w:rsidRPr="0020102C" w:rsidRDefault="00BC00ED" w:rsidP="005C4FE9">
      <w:pPr>
        <w:pStyle w:val="af8"/>
        <w:spacing w:before="120" w:beforeAutospacing="0" w:after="120" w:afterAutospacing="0" w:line="276" w:lineRule="auto"/>
        <w:jc w:val="both"/>
      </w:pPr>
      <w:r w:rsidRPr="0020102C">
        <w:rPr>
          <w:rStyle w:val="afd"/>
          <w:rFonts w:eastAsiaTheme="majorEastAsia"/>
        </w:rPr>
        <w:t>(Această secțiune se detaliază în subcapitolele 3.2.1–3.2.7, care descriu fiecare nivel sau formă de învățământ general, inclusiv scopul, structura, durata, trăsăturile curriculare și traseele educaționale.)</w:t>
      </w:r>
    </w:p>
    <w:p w14:paraId="46AFD1C2" w14:textId="77777777" w:rsidR="00CC5BF6" w:rsidRPr="0020102C" w:rsidRDefault="00CC5BF6" w:rsidP="005C4FE9">
      <w:pPr>
        <w:pStyle w:val="af8"/>
        <w:spacing w:before="120" w:beforeAutospacing="0" w:after="120" w:afterAutospacing="0" w:line="276" w:lineRule="auto"/>
        <w:jc w:val="both"/>
        <w:rPr>
          <w:rStyle w:val="af9"/>
          <w:rFonts w:eastAsiaTheme="majorEastAsia"/>
          <w:color w:val="3494BA" w:themeColor="accent1"/>
        </w:rPr>
      </w:pPr>
      <w:r w:rsidRPr="0020102C">
        <w:rPr>
          <w:rStyle w:val="af9"/>
          <w:rFonts w:eastAsiaTheme="majorEastAsia"/>
          <w:color w:val="3494BA" w:themeColor="accent1"/>
        </w:rPr>
        <w:t>3.2.1. Educația timpurie</w:t>
      </w:r>
    </w:p>
    <w:p w14:paraId="620ED006" w14:textId="3F7A539C"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Educația timpurie, parte integrantă a învățământului general, are drept scop principal dezvoltarea multilaterală a copilului și pregătirea pentru integrarea în activitatea școlară. Aceasta urmărește formarea capacităților de bază, stimularea curiozității, dezvoltarea abilităților cognitive, socio-emoționale, motrice și de comunicare, precum și consolidarea autonomiei personale.</w:t>
      </w:r>
    </w:p>
    <w:p w14:paraId="6D4F5A22" w14:textId="2FDBE845" w:rsidR="00CC5BF6" w:rsidRPr="0020102C" w:rsidRDefault="00641F8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w:t>
      </w:r>
      <w:r w:rsidR="00CC5BF6" w:rsidRPr="0020102C">
        <w:rPr>
          <w:rFonts w:ascii="Times New Roman" w:eastAsia="Times New Roman" w:hAnsi="Times New Roman" w:cs="Times New Roman"/>
          <w:kern w:val="0"/>
          <w:sz w:val="24"/>
          <w:szCs w:val="24"/>
          <w:lang w:eastAsia="ro-MD"/>
          <w14:ligatures w14:val="none"/>
        </w:rPr>
        <w:t>ducația timpurie include două cicluri:</w:t>
      </w:r>
    </w:p>
    <w:p w14:paraId="1841B008" w14:textId="77777777" w:rsidR="00CC5BF6" w:rsidRPr="0020102C" w:rsidRDefault="00CC5BF6" w:rsidP="00A41843">
      <w:pPr>
        <w:numPr>
          <w:ilvl w:val="0"/>
          <w:numId w:val="2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Educația antepreșcolară</w:t>
      </w:r>
      <w:r w:rsidRPr="0020102C">
        <w:rPr>
          <w:rFonts w:ascii="Times New Roman" w:eastAsia="Times New Roman" w:hAnsi="Times New Roman" w:cs="Times New Roman"/>
          <w:kern w:val="0"/>
          <w:sz w:val="24"/>
          <w:szCs w:val="24"/>
          <w:lang w:eastAsia="ro-MD"/>
          <w14:ligatures w14:val="none"/>
        </w:rPr>
        <w:t xml:space="preserve"> – pentru copiii cu vârsta de la 0 la 2 ani;</w:t>
      </w:r>
    </w:p>
    <w:p w14:paraId="2B0AE91E" w14:textId="61C2C820" w:rsidR="00CC5BF6" w:rsidRPr="0020102C" w:rsidRDefault="00CC5BF6" w:rsidP="00A41843">
      <w:pPr>
        <w:numPr>
          <w:ilvl w:val="0"/>
          <w:numId w:val="2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Învățământul preșcolar</w:t>
      </w:r>
      <w:r w:rsidRPr="0020102C">
        <w:rPr>
          <w:rFonts w:ascii="Times New Roman" w:eastAsia="Times New Roman" w:hAnsi="Times New Roman" w:cs="Times New Roman"/>
          <w:kern w:val="0"/>
          <w:sz w:val="24"/>
          <w:szCs w:val="24"/>
          <w:lang w:eastAsia="ro-MD"/>
          <w14:ligatures w14:val="none"/>
        </w:rPr>
        <w:t xml:space="preserve"> – pentru copiii cu vârsta de la 2 la 6</w:t>
      </w:r>
      <w:r w:rsidR="00447E7C" w:rsidRPr="001F6026">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(7) ani, inclusiv grupele pregătitoare.</w:t>
      </w:r>
    </w:p>
    <w:p w14:paraId="5C9DDEF1" w14:textId="77777777"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Educația timpurie se desfășoară în creșe, grădinițe, centre comunitare de educație timpurie sau în alte instituții care prestează servicii în conformitate cu standardele educaționale de stat.</w:t>
      </w:r>
    </w:p>
    <w:p w14:paraId="2F7EA27C" w14:textId="66DDBD7E"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Aceasta poate fi organizată și în instituții rezidențiale pentru copiii orfani sau rămași fără îngrijire părintească, în instituții sanatoriale pentru copiii cu boli cronice, în instituții de învățământ special, în instituții penitenciare și în instituții medicale.</w:t>
      </w:r>
    </w:p>
    <w:p w14:paraId="282C4E35" w14:textId="250BD580"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i/>
          <w:iCs/>
          <w:kern w:val="0"/>
          <w:sz w:val="24"/>
          <w:szCs w:val="24"/>
          <w:lang w:eastAsia="ro-MD"/>
          <w14:ligatures w14:val="none"/>
        </w:rPr>
        <w:t>Educația antepreșcolară</w:t>
      </w:r>
      <w:r w:rsidRPr="0020102C">
        <w:rPr>
          <w:rFonts w:ascii="Times New Roman" w:eastAsia="Times New Roman" w:hAnsi="Times New Roman" w:cs="Times New Roman"/>
          <w:kern w:val="0"/>
          <w:sz w:val="24"/>
          <w:szCs w:val="24"/>
          <w:lang w:eastAsia="ro-MD"/>
          <w14:ligatures w14:val="none"/>
        </w:rPr>
        <w:t xml:space="preserve"> se realizează în familie, cu finanțare de la bugetul public național conform legislației în vigoare. La solicitarea părinților, autoritățile administrației publice locale pot organiza educația antepreșcolară, cu finanțare din bugetele locale.</w:t>
      </w:r>
    </w:p>
    <w:p w14:paraId="46C114F4" w14:textId="0C428EB2"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i/>
          <w:iCs/>
          <w:kern w:val="0"/>
          <w:sz w:val="24"/>
          <w:szCs w:val="24"/>
          <w:lang w:eastAsia="ro-MD"/>
          <w14:ligatures w14:val="none"/>
        </w:rPr>
        <w:t>Învățământul preșcolar</w:t>
      </w:r>
      <w:r w:rsidRPr="0020102C">
        <w:rPr>
          <w:rFonts w:ascii="Times New Roman" w:eastAsia="Times New Roman" w:hAnsi="Times New Roman" w:cs="Times New Roman"/>
          <w:kern w:val="0"/>
          <w:sz w:val="24"/>
          <w:szCs w:val="24"/>
          <w:lang w:eastAsia="ro-MD"/>
          <w14:ligatures w14:val="none"/>
        </w:rPr>
        <w:t xml:space="preserve"> este accesibil tuturor copiilor din districtul școlar corespunzător, la solicitare, în mod obligatoriu și fără probe de concurs. Statul suportă c</w:t>
      </w:r>
      <w:r w:rsidR="00447E7C" w:rsidRPr="001F6026">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ltuielile pentru serviciile de învățământ preșcolar și de îngrijire în instituțiile publice pentru toți copiii, inclusiv pentru cei cu cerințe educaționale speciale.</w:t>
      </w:r>
    </w:p>
    <w:p w14:paraId="784DBC57" w14:textId="77777777"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Instituțiile de educație timpurie pot fi publice sau private și funcționează conform Regulamentului-tip al instituției de educație timpurie, aprobat prin Ordinul MEC nr. 254 din 11.10.2017, care stabilește structura organizatorică, tipurile de programe zilnice (cu frecvență normală, redusă sau extinsă) și condițiile de funcționare.</w:t>
      </w:r>
    </w:p>
    <w:p w14:paraId="3F1D5319" w14:textId="5CF89292" w:rsidR="00D03996" w:rsidRPr="0020102C" w:rsidRDefault="000E7570"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Procesul educațional este organizat pe baza</w:t>
      </w:r>
      <w:r w:rsidR="00D03996" w:rsidRPr="0020102C">
        <w:rPr>
          <w:rFonts w:ascii="Times New Roman" w:hAnsi="Times New Roman" w:cs="Times New Roman"/>
          <w:sz w:val="24"/>
          <w:szCs w:val="24"/>
        </w:rPr>
        <w:t xml:space="preserve"> Curriculumului Național, elaborat în corespundere cu Cadrul de Referință al Curriculumului Național, Cadrul de referință al educației timpurii (CRET), </w:t>
      </w:r>
      <w:r w:rsidRPr="0020102C">
        <w:rPr>
          <w:rFonts w:ascii="Times New Roman" w:hAnsi="Times New Roman" w:cs="Times New Roman"/>
          <w:sz w:val="24"/>
          <w:szCs w:val="24"/>
        </w:rPr>
        <w:t xml:space="preserve">Planul-cadru pentru învățământul preșcolar, </w:t>
      </w:r>
      <w:r w:rsidR="00D03996" w:rsidRPr="0020102C">
        <w:rPr>
          <w:rFonts w:ascii="Times New Roman" w:hAnsi="Times New Roman" w:cs="Times New Roman"/>
          <w:sz w:val="24"/>
          <w:szCs w:val="24"/>
        </w:rPr>
        <w:t>Curriculumul pentru educația timpurie (CET), Standardele de învățare și dezvoltare a copilului de la naștere până la 7 ani (SÎDC)</w:t>
      </w:r>
      <w:r w:rsidR="008B09F5" w:rsidRPr="0020102C">
        <w:rPr>
          <w:rFonts w:ascii="Times New Roman" w:hAnsi="Times New Roman" w:cs="Times New Roman"/>
          <w:sz w:val="24"/>
          <w:szCs w:val="24"/>
        </w:rPr>
        <w:t>.</w:t>
      </w:r>
    </w:p>
    <w:p w14:paraId="6A4AE04B" w14:textId="1BF92924" w:rsidR="00CC5BF6" w:rsidRPr="0020102C" w:rsidRDefault="00CC5BF6"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Educația timpurie este recunoscută ca parte esențială a învățării pe tot parcursul vieții, având un rol major în asigurarea egalității de șanse, prevenirea abandonului școlar și facilitarea tranziției spre învățământul primar.</w:t>
      </w:r>
    </w:p>
    <w:p w14:paraId="33E2E111" w14:textId="77777777" w:rsidR="00FB7DE1" w:rsidRPr="0020102C" w:rsidRDefault="00FB7DE1"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3.2.2. Învățământul primar</w:t>
      </w:r>
    </w:p>
    <w:p w14:paraId="21E10917" w14:textId="249AF95A" w:rsidR="00FB7DE1" w:rsidRPr="0020102C" w:rsidRDefault="00FB7DE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Învățământul primar reprezintă prima treaptă a învățământului obligatoriu și are ca scop formarea competențelor-</w:t>
      </w:r>
      <w:r w:rsidR="00071CAF" w:rsidRPr="0020102C">
        <w:rPr>
          <w:rFonts w:ascii="Times New Roman" w:eastAsia="Times New Roman" w:hAnsi="Times New Roman" w:cs="Times New Roman"/>
          <w:kern w:val="0"/>
          <w:sz w:val="24"/>
          <w:szCs w:val="24"/>
          <w:lang w:eastAsia="ro-MD"/>
          <w14:ligatures w14:val="none"/>
        </w:rPr>
        <w:t>cheie</w:t>
      </w:r>
      <w:r w:rsidRPr="0020102C">
        <w:rPr>
          <w:rFonts w:ascii="Times New Roman" w:eastAsia="Times New Roman" w:hAnsi="Times New Roman" w:cs="Times New Roman"/>
          <w:kern w:val="0"/>
          <w:sz w:val="24"/>
          <w:szCs w:val="24"/>
          <w:lang w:eastAsia="ro-MD"/>
          <w14:ligatures w14:val="none"/>
        </w:rPr>
        <w:t xml:space="preserve"> fundamentale pentru învățarea pe tot parcursul vieții, precum și dezvoltarea armonioasă a personalității elevului. Acesta asigură achizițiile de bază în domeniile limbă și comunicare, matematică și științe, educație artistică, educație fizică și dezvoltare personală, pregătind elevii pentru ciclul gimnazial.</w:t>
      </w:r>
    </w:p>
    <w:p w14:paraId="51268EDF" w14:textId="7D2959B7" w:rsidR="00FB7DE1" w:rsidRPr="0020102C" w:rsidRDefault="00FB7DE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Vârsta de intrare și durata:</w:t>
      </w:r>
      <w:r w:rsidRPr="0020102C">
        <w:rPr>
          <w:rFonts w:ascii="Times New Roman" w:eastAsia="Times New Roman" w:hAnsi="Times New Roman" w:cs="Times New Roman"/>
          <w:kern w:val="0"/>
          <w:sz w:val="24"/>
          <w:szCs w:val="24"/>
          <w:lang w:eastAsia="ro-MD"/>
          <w14:ligatures w14:val="none"/>
        </w:rPr>
        <w:t xml:space="preserve"> învățământul primar se organizează pentru copiii care au împlinit vârsta de 6–7 ani, pe durata a 4 ani de studiu (clasele I–IV). </w:t>
      </w:r>
      <w:r w:rsidR="000550CC" w:rsidRPr="0020102C">
        <w:rPr>
          <w:rFonts w:ascii="Times New Roman" w:eastAsia="Times New Roman" w:hAnsi="Times New Roman" w:cs="Times New Roman"/>
          <w:kern w:val="0"/>
          <w:sz w:val="24"/>
          <w:szCs w:val="24"/>
          <w:lang w:eastAsia="ro-MD"/>
          <w14:ligatures w14:val="none"/>
        </w:rPr>
        <w:t xml:space="preserve">Școlarizarea devine obligatorie după împlinirea vârstei de 7 ani. </w:t>
      </w:r>
      <w:r w:rsidRPr="0020102C">
        <w:rPr>
          <w:rFonts w:ascii="Times New Roman" w:eastAsia="Times New Roman" w:hAnsi="Times New Roman" w:cs="Times New Roman"/>
          <w:kern w:val="0"/>
          <w:sz w:val="24"/>
          <w:szCs w:val="24"/>
          <w:lang w:eastAsia="ro-MD"/>
          <w14:ligatures w14:val="none"/>
        </w:rPr>
        <w:t>La solicitarea părinților și în baza reglementărilor MEC, pot fi admiși și copiii care împlinesc 6 ani până la începutul anului școlar.</w:t>
      </w:r>
    </w:p>
    <w:p w14:paraId="4F43E0D8" w14:textId="77777777" w:rsidR="00FB7DE1" w:rsidRPr="0020102C" w:rsidRDefault="00FB7DE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Organizarea și formele de studii:</w:t>
      </w:r>
      <w:r w:rsidRPr="0020102C">
        <w:rPr>
          <w:rFonts w:ascii="Times New Roman" w:eastAsia="Times New Roman" w:hAnsi="Times New Roman" w:cs="Times New Roman"/>
          <w:kern w:val="0"/>
          <w:sz w:val="24"/>
          <w:szCs w:val="24"/>
          <w:lang w:eastAsia="ro-MD"/>
          <w14:ligatures w14:val="none"/>
        </w:rPr>
        <w:t xml:space="preserve"> Învățământul primar se desfășoară în instituții de învățământ general publice sau private, înființate conform legislației în vigoare. Activitatea este reglementată de:</w:t>
      </w:r>
    </w:p>
    <w:p w14:paraId="7A15A485" w14:textId="7068F5CD" w:rsidR="00FB7DE1" w:rsidRPr="0020102C" w:rsidRDefault="00FB7DE1" w:rsidP="00A41843">
      <w:pPr>
        <w:numPr>
          <w:ilvl w:val="0"/>
          <w:numId w:val="2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Planul-cadru pentru învățământul primar, aprobat anual prin ordin al </w:t>
      </w:r>
      <w:r w:rsidR="00447E7C"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w:t>
      </w:r>
    </w:p>
    <w:p w14:paraId="2B556B4B" w14:textId="35E47E66" w:rsidR="00FB7DE1" w:rsidRPr="0020102C" w:rsidRDefault="00FB7DE1" w:rsidP="00A41843">
      <w:pPr>
        <w:numPr>
          <w:ilvl w:val="0"/>
          <w:numId w:val="2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Curriculumul național pentru învățământul primar, aprobat prin Ordin MEC (ultima versiune completă – Ordin nr. 1046/2018, cu actualizări ulterioare), care stabilește competențele-</w:t>
      </w:r>
      <w:r w:rsidR="00071CAF" w:rsidRPr="0020102C">
        <w:rPr>
          <w:rFonts w:ascii="Times New Roman" w:eastAsia="Times New Roman" w:hAnsi="Times New Roman" w:cs="Times New Roman"/>
          <w:kern w:val="0"/>
          <w:sz w:val="24"/>
          <w:szCs w:val="24"/>
          <w:lang w:eastAsia="ro-MD"/>
          <w14:ligatures w14:val="none"/>
        </w:rPr>
        <w:t>cheie</w:t>
      </w:r>
      <w:r w:rsidRPr="0020102C">
        <w:rPr>
          <w:rFonts w:ascii="Times New Roman" w:eastAsia="Times New Roman" w:hAnsi="Times New Roman" w:cs="Times New Roman"/>
          <w:kern w:val="0"/>
          <w:sz w:val="24"/>
          <w:szCs w:val="24"/>
          <w:lang w:eastAsia="ro-MD"/>
          <w14:ligatures w14:val="none"/>
        </w:rPr>
        <w:t xml:space="preserve">, </w:t>
      </w:r>
      <w:r w:rsidR="00DD6690">
        <w:rPr>
          <w:rFonts w:ascii="Times New Roman" w:eastAsia="Times New Roman" w:hAnsi="Times New Roman" w:cs="Times New Roman"/>
          <w:kern w:val="0"/>
          <w:sz w:val="24"/>
          <w:szCs w:val="24"/>
          <w:lang w:eastAsia="ro-MD"/>
          <w14:ligatures w14:val="none"/>
        </w:rPr>
        <w:t xml:space="preserve">competențele specifice </w:t>
      </w:r>
      <w:r w:rsidRPr="0020102C">
        <w:rPr>
          <w:rFonts w:ascii="Times New Roman" w:eastAsia="Times New Roman" w:hAnsi="Times New Roman" w:cs="Times New Roman"/>
          <w:kern w:val="0"/>
          <w:sz w:val="24"/>
          <w:szCs w:val="24"/>
          <w:lang w:eastAsia="ro-MD"/>
          <w14:ligatures w14:val="none"/>
        </w:rPr>
        <w:t>și conținuturile pe discipline și arii curriculare;</w:t>
      </w:r>
    </w:p>
    <w:p w14:paraId="0701E228" w14:textId="77777777" w:rsidR="00FB7DE1" w:rsidRPr="0020102C" w:rsidRDefault="00FB7DE1" w:rsidP="00A41843">
      <w:pPr>
        <w:numPr>
          <w:ilvl w:val="0"/>
          <w:numId w:val="2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Regulamentul de organizare și funcționare a instituțiilor de învățământ primar, gimnazial și liceal, aprobat prin Ordin MEC nr. 932/08.08.2018, care definește structura anului școlar, orarul, formele de organizare a învățării și responsabilitățile actorilor educaționali.</w:t>
      </w:r>
    </w:p>
    <w:p w14:paraId="6E4DDE10" w14:textId="77777777" w:rsidR="00FB7DE1" w:rsidRPr="0020102C" w:rsidRDefault="00FB7DE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Trăsături curriculare generale:</w:t>
      </w:r>
      <w:r w:rsidRPr="0020102C">
        <w:rPr>
          <w:rFonts w:ascii="Times New Roman" w:eastAsia="Times New Roman" w:hAnsi="Times New Roman" w:cs="Times New Roman"/>
          <w:kern w:val="0"/>
          <w:sz w:val="24"/>
          <w:szCs w:val="24"/>
          <w:lang w:eastAsia="ro-MD"/>
          <w14:ligatures w14:val="none"/>
        </w:rPr>
        <w:t xml:space="preserve"> Curriculumul promovează o abordare centrată pe elev, învățarea activă și dezvoltarea competențelor transversale (digitale, civice, sociale). Accentul se pune pe dezvoltarea capacităților de citire, scriere, calcul matematic elementar, gândire logică, exprimare artistică, deprinderi pentru un stil de viață sănătos și comportament responsabil.</w:t>
      </w:r>
    </w:p>
    <w:p w14:paraId="3C4CFB3B" w14:textId="2114D694" w:rsidR="00FB7DE1" w:rsidRPr="0020102C" w:rsidRDefault="00FB7DE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și certificarea:</w:t>
      </w:r>
      <w:r w:rsidRPr="0020102C">
        <w:rPr>
          <w:rFonts w:ascii="Times New Roman" w:eastAsia="Times New Roman" w:hAnsi="Times New Roman" w:cs="Times New Roman"/>
          <w:kern w:val="0"/>
          <w:sz w:val="24"/>
          <w:szCs w:val="24"/>
          <w:lang w:eastAsia="ro-MD"/>
          <w14:ligatures w14:val="none"/>
        </w:rPr>
        <w:t xml:space="preserve"> Evaluarea în învățământul primar </w:t>
      </w:r>
      <w:r w:rsidR="00E55DF7">
        <w:rPr>
          <w:rFonts w:ascii="Times New Roman" w:eastAsia="Times New Roman" w:hAnsi="Times New Roman" w:cs="Times New Roman"/>
          <w:kern w:val="0"/>
          <w:sz w:val="24"/>
          <w:szCs w:val="24"/>
          <w:lang w:eastAsia="ro-MD"/>
          <w14:ligatures w14:val="none"/>
        </w:rPr>
        <w:t xml:space="preserve">este una criterială și formtoare, </w:t>
      </w:r>
      <w:r w:rsidRPr="0020102C">
        <w:rPr>
          <w:rFonts w:ascii="Times New Roman" w:eastAsia="Times New Roman" w:hAnsi="Times New Roman" w:cs="Times New Roman"/>
          <w:kern w:val="0"/>
          <w:sz w:val="24"/>
          <w:szCs w:val="24"/>
          <w:lang w:eastAsia="ro-MD"/>
          <w14:ligatures w14:val="none"/>
        </w:rPr>
        <w:t>se realizează</w:t>
      </w:r>
      <w:r w:rsidR="00A44B6B">
        <w:rPr>
          <w:rFonts w:ascii="Times New Roman" w:eastAsia="Times New Roman" w:hAnsi="Times New Roman" w:cs="Times New Roman"/>
          <w:kern w:val="0"/>
          <w:sz w:val="24"/>
          <w:szCs w:val="24"/>
          <w:lang w:eastAsia="ro-MD"/>
          <w14:ligatures w14:val="none"/>
        </w:rPr>
        <w:t xml:space="preserve"> </w:t>
      </w:r>
      <w:r w:rsidR="00A44B6B" w:rsidRPr="00FB5FA0">
        <w:rPr>
          <w:rFonts w:ascii="Times New Roman" w:eastAsia="Times New Roman" w:hAnsi="Times New Roman" w:cs="Times New Roman"/>
          <w:kern w:val="0"/>
          <w:sz w:val="24"/>
          <w:szCs w:val="24"/>
          <w:lang w:eastAsia="ro-MD"/>
          <w14:ligatures w14:val="none"/>
        </w:rPr>
        <w:t>conform cadrului normativ aprobat de Ministerul Educației și Cercetării. Respectivul cadru normativ include: curriculumul, standardele educaționale, standardele naționale de evaluare pe niveluri de învățământ, standardele de evaluare la disciplinele școlare, regulamentele/</w:t>
      </w:r>
      <w:r w:rsidR="00A44B6B" w:rsidRPr="00BB2AFE">
        <w:rPr>
          <w:rFonts w:ascii="Times New Roman" w:eastAsia="Times New Roman" w:hAnsi="Times New Roman" w:cs="Times New Roman"/>
          <w:kern w:val="0"/>
          <w:sz w:val="24"/>
          <w:szCs w:val="24"/>
          <w:lang w:eastAsia="ro-MD"/>
          <w14:ligatures w14:val="none"/>
        </w:rPr>
        <w:t>Metodologia privind evaluarea criterială prin descriptori în învățământul primar, clasele I-IV</w:t>
      </w:r>
      <w:r w:rsidR="00A44B6B">
        <w:rPr>
          <w:rFonts w:ascii="Times New Roman" w:eastAsia="Times New Roman" w:hAnsi="Times New Roman" w:cs="Times New Roman"/>
          <w:kern w:val="0"/>
          <w:sz w:val="24"/>
          <w:szCs w:val="24"/>
          <w:lang w:eastAsia="ro-MD"/>
          <w14:ligatures w14:val="none"/>
        </w:rPr>
        <w:t xml:space="preserve">, </w:t>
      </w:r>
      <w:r w:rsidR="00A44B6B" w:rsidRPr="00BB2AFE">
        <w:rPr>
          <w:rFonts w:ascii="Times New Roman" w:eastAsia="Times New Roman" w:hAnsi="Times New Roman" w:cs="Times New Roman"/>
          <w:kern w:val="0"/>
          <w:sz w:val="24"/>
          <w:szCs w:val="24"/>
          <w:lang w:eastAsia="ro-MD"/>
          <w14:ligatures w14:val="none"/>
        </w:rPr>
        <w:t xml:space="preserve">Aprobată prin Ordinul Ministerului Educației, Culturii și Cercetării nr. 1468 din 13.11.2019 </w:t>
      </w:r>
      <w:r w:rsidR="00A44B6B">
        <w:rPr>
          <w:rFonts w:ascii="Times New Roman" w:eastAsia="Times New Roman" w:hAnsi="Times New Roman" w:cs="Times New Roman"/>
          <w:kern w:val="0"/>
          <w:sz w:val="24"/>
          <w:szCs w:val="24"/>
          <w:lang w:eastAsia="ro-MD"/>
          <w14:ligatures w14:val="none"/>
        </w:rPr>
        <w:t xml:space="preserve">. În prezent este elaborată și pilotată o nouă  </w:t>
      </w:r>
      <w:r w:rsidR="00A44B6B" w:rsidRPr="00FB5FA0">
        <w:rPr>
          <w:rFonts w:ascii="Times New Roman" w:eastAsia="Times New Roman" w:hAnsi="Times New Roman" w:cs="Times New Roman"/>
          <w:kern w:val="0"/>
          <w:sz w:val="24"/>
          <w:szCs w:val="24"/>
          <w:lang w:eastAsia="ro-MD"/>
          <w14:ligatures w14:val="none"/>
        </w:rPr>
        <w:t xml:space="preserve"> </w:t>
      </w:r>
      <w:r w:rsidR="00A44B6B">
        <w:rPr>
          <w:rFonts w:ascii="Times New Roman" w:eastAsia="Times New Roman" w:hAnsi="Times New Roman" w:cs="Times New Roman"/>
          <w:kern w:val="0"/>
          <w:sz w:val="24"/>
          <w:szCs w:val="24"/>
          <w:lang w:eastAsia="ro-MD"/>
          <w14:ligatures w14:val="none"/>
        </w:rPr>
        <w:t>Metodologie de evaluare a rezultatelor școlare, a</w:t>
      </w:r>
      <w:r w:rsidR="00A44B6B" w:rsidRPr="00FB5FA0">
        <w:rPr>
          <w:rFonts w:ascii="Times New Roman" w:eastAsia="Times New Roman" w:hAnsi="Times New Roman" w:cs="Times New Roman"/>
          <w:kern w:val="0"/>
          <w:sz w:val="24"/>
          <w:szCs w:val="24"/>
          <w:lang w:eastAsia="ro-MD"/>
          <w14:ligatures w14:val="none"/>
        </w:rPr>
        <w:t>probată prin Ordinul MEC nr. 1399 din 07.08.2025</w:t>
      </w:r>
      <w:r w:rsidR="00A44B6B">
        <w:rPr>
          <w:rFonts w:ascii="Times New Roman" w:eastAsia="Times New Roman" w:hAnsi="Times New Roman" w:cs="Times New Roman"/>
          <w:kern w:val="0"/>
          <w:sz w:val="24"/>
          <w:szCs w:val="24"/>
          <w:lang w:eastAsia="ro-MD"/>
          <w14:ligatures w14:val="none"/>
        </w:rPr>
        <w:t>. Evaluarea în casele primare ese una criterială, înserând următoarele tipuri de evaluare:</w:t>
      </w:r>
      <w:r w:rsidR="00A44B6B" w:rsidRPr="00FB5FA0">
        <w:t xml:space="preserve"> </w:t>
      </w:r>
      <w:r w:rsidR="00A44B6B">
        <w:rPr>
          <w:rFonts w:ascii="Times New Roman" w:eastAsia="Times New Roman" w:hAnsi="Times New Roman" w:cs="Times New Roman"/>
          <w:kern w:val="0"/>
          <w:sz w:val="24"/>
          <w:szCs w:val="24"/>
          <w:lang w:eastAsia="ro-MD"/>
          <w14:ligatures w14:val="none"/>
        </w:rPr>
        <w:t>e</w:t>
      </w:r>
      <w:r w:rsidR="00A44B6B" w:rsidRPr="00FB5FA0">
        <w:rPr>
          <w:rFonts w:ascii="Times New Roman" w:eastAsia="Times New Roman" w:hAnsi="Times New Roman" w:cs="Times New Roman"/>
          <w:kern w:val="0"/>
          <w:sz w:val="24"/>
          <w:szCs w:val="24"/>
          <w:lang w:eastAsia="ro-MD"/>
          <w14:ligatures w14:val="none"/>
        </w:rPr>
        <w:t>valuare inițială</w:t>
      </w:r>
      <w:r w:rsidR="00A44B6B">
        <w:rPr>
          <w:rFonts w:ascii="Times New Roman" w:eastAsia="Times New Roman" w:hAnsi="Times New Roman" w:cs="Times New Roman"/>
          <w:kern w:val="0"/>
          <w:sz w:val="24"/>
          <w:szCs w:val="24"/>
          <w:lang w:eastAsia="ro-MD"/>
          <w14:ligatures w14:val="none"/>
        </w:rPr>
        <w:t>; e</w:t>
      </w:r>
      <w:r w:rsidR="00A44B6B" w:rsidRPr="00FB5FA0">
        <w:rPr>
          <w:rFonts w:ascii="Times New Roman" w:eastAsia="Times New Roman" w:hAnsi="Times New Roman" w:cs="Times New Roman"/>
          <w:kern w:val="0"/>
          <w:sz w:val="24"/>
          <w:szCs w:val="24"/>
          <w:lang w:eastAsia="ro-MD"/>
          <w14:ligatures w14:val="none"/>
        </w:rPr>
        <w:t>valuare sumativă</w:t>
      </w:r>
      <w:r w:rsidR="00A44B6B">
        <w:rPr>
          <w:rFonts w:ascii="Times New Roman" w:eastAsia="Times New Roman" w:hAnsi="Times New Roman" w:cs="Times New Roman"/>
          <w:kern w:val="0"/>
          <w:sz w:val="24"/>
          <w:szCs w:val="24"/>
          <w:lang w:eastAsia="ro-MD"/>
          <w14:ligatures w14:val="none"/>
        </w:rPr>
        <w:t>; e</w:t>
      </w:r>
      <w:r w:rsidR="00A44B6B" w:rsidRPr="00FB5FA0">
        <w:rPr>
          <w:rFonts w:ascii="Times New Roman" w:eastAsia="Times New Roman" w:hAnsi="Times New Roman" w:cs="Times New Roman"/>
          <w:kern w:val="0"/>
          <w:sz w:val="24"/>
          <w:szCs w:val="24"/>
          <w:lang w:eastAsia="ro-MD"/>
          <w14:ligatures w14:val="none"/>
        </w:rPr>
        <w:t>valuare formativă în etape</w:t>
      </w:r>
      <w:r w:rsidR="00A44B6B">
        <w:rPr>
          <w:rFonts w:ascii="Times New Roman" w:eastAsia="Times New Roman" w:hAnsi="Times New Roman" w:cs="Times New Roman"/>
          <w:kern w:val="0"/>
          <w:sz w:val="24"/>
          <w:szCs w:val="24"/>
          <w:lang w:eastAsia="ro-MD"/>
          <w14:ligatures w14:val="none"/>
        </w:rPr>
        <w:t>; e</w:t>
      </w:r>
      <w:r w:rsidR="00A44B6B" w:rsidRPr="00FB5FA0">
        <w:rPr>
          <w:rFonts w:ascii="Times New Roman" w:eastAsia="Times New Roman" w:hAnsi="Times New Roman" w:cs="Times New Roman"/>
          <w:kern w:val="0"/>
          <w:sz w:val="24"/>
          <w:szCs w:val="24"/>
          <w:lang w:eastAsia="ro-MD"/>
          <w14:ligatures w14:val="none"/>
        </w:rPr>
        <w:t>valuare formativă punctuală</w:t>
      </w:r>
      <w:r w:rsidR="00A44B6B">
        <w:rPr>
          <w:rFonts w:ascii="Times New Roman" w:eastAsia="Times New Roman" w:hAnsi="Times New Roman" w:cs="Times New Roman"/>
          <w:kern w:val="0"/>
          <w:sz w:val="24"/>
          <w:szCs w:val="24"/>
          <w:lang w:eastAsia="ro-MD"/>
          <w14:ligatures w14:val="none"/>
        </w:rPr>
        <w:t>; e</w:t>
      </w:r>
      <w:r w:rsidR="00A44B6B" w:rsidRPr="00FB5FA0">
        <w:rPr>
          <w:rFonts w:ascii="Times New Roman" w:eastAsia="Times New Roman" w:hAnsi="Times New Roman" w:cs="Times New Roman"/>
          <w:kern w:val="0"/>
          <w:sz w:val="24"/>
          <w:szCs w:val="24"/>
          <w:lang w:eastAsia="ro-MD"/>
          <w14:ligatures w14:val="none"/>
        </w:rPr>
        <w:t>valuare formativă interactivă</w:t>
      </w:r>
      <w:r w:rsidR="00A44B6B">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 xml:space="preserve"> La finalul clasei a IV-a are loc Evaluarea națională a competențelor-</w:t>
      </w:r>
      <w:r w:rsidR="00071CAF" w:rsidRPr="0020102C">
        <w:rPr>
          <w:rFonts w:ascii="Times New Roman" w:eastAsia="Times New Roman" w:hAnsi="Times New Roman" w:cs="Times New Roman"/>
          <w:kern w:val="0"/>
          <w:sz w:val="24"/>
          <w:szCs w:val="24"/>
          <w:lang w:eastAsia="ro-MD"/>
          <w14:ligatures w14:val="none"/>
        </w:rPr>
        <w:t>cheie</w:t>
      </w:r>
      <w:r w:rsidRPr="0020102C">
        <w:rPr>
          <w:rFonts w:ascii="Times New Roman" w:eastAsia="Times New Roman" w:hAnsi="Times New Roman" w:cs="Times New Roman"/>
          <w:kern w:val="0"/>
          <w:sz w:val="24"/>
          <w:szCs w:val="24"/>
          <w:lang w:eastAsia="ro-MD"/>
          <w14:ligatures w14:val="none"/>
        </w:rPr>
        <w:t xml:space="preserve"> dobândite în învățământul primar, organizată conform metodologiilor MEC. Absolvirea conferă dreptul automat de continuare a studiilor în ciclul gimnazial.</w:t>
      </w:r>
    </w:p>
    <w:p w14:paraId="704EE42B" w14:textId="464750A0" w:rsidR="00FB7DE1" w:rsidRPr="0020102C" w:rsidRDefault="00FB7DE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Rol în parcursul educațional și relația cu CNC:</w:t>
      </w:r>
      <w:r w:rsidRPr="0020102C">
        <w:rPr>
          <w:rFonts w:ascii="Times New Roman" w:eastAsia="Times New Roman" w:hAnsi="Times New Roman" w:cs="Times New Roman"/>
          <w:kern w:val="0"/>
          <w:sz w:val="24"/>
          <w:szCs w:val="24"/>
          <w:lang w:eastAsia="ro-MD"/>
          <w14:ligatures w14:val="none"/>
        </w:rPr>
        <w:t xml:space="preserve"> Învățământul primar constituie fundamentul educației de bază și pregătește elevii pentru cerințele ulterioare ale parcursului școlar. </w:t>
      </w:r>
      <w:r w:rsidR="00FE2AAF" w:rsidRPr="0020102C">
        <w:rPr>
          <w:rFonts w:ascii="Times New Roman" w:eastAsia="Times New Roman" w:hAnsi="Times New Roman" w:cs="Times New Roman"/>
          <w:kern w:val="0"/>
          <w:sz w:val="24"/>
          <w:szCs w:val="24"/>
          <w:lang w:eastAsia="ro-MD"/>
          <w14:ligatures w14:val="none"/>
        </w:rPr>
        <w:t xml:space="preserve">În Republica Moldova </w:t>
      </w:r>
      <w:r w:rsidR="00CC1500" w:rsidRPr="0020102C">
        <w:rPr>
          <w:rFonts w:ascii="Times New Roman" w:eastAsia="Times New Roman" w:hAnsi="Times New Roman" w:cs="Times New Roman"/>
          <w:kern w:val="0"/>
          <w:sz w:val="24"/>
          <w:szCs w:val="24"/>
          <w:lang w:eastAsia="ro-MD"/>
          <w14:ligatures w14:val="none"/>
        </w:rPr>
        <w:t>învățământul primar</w:t>
      </w:r>
      <w:r w:rsidRPr="0020102C">
        <w:rPr>
          <w:rFonts w:ascii="Times New Roman" w:eastAsia="Times New Roman" w:hAnsi="Times New Roman" w:cs="Times New Roman"/>
          <w:kern w:val="0"/>
          <w:sz w:val="24"/>
          <w:szCs w:val="24"/>
          <w:lang w:eastAsia="ro-MD"/>
          <w14:ligatures w14:val="none"/>
        </w:rPr>
        <w:t xml:space="preserve"> nu conduce la o calificare certificată</w:t>
      </w:r>
      <w:r w:rsidR="005E6552" w:rsidRPr="0020102C">
        <w:rPr>
          <w:rFonts w:ascii="Times New Roman" w:eastAsia="Times New Roman" w:hAnsi="Times New Roman" w:cs="Times New Roman"/>
          <w:kern w:val="0"/>
          <w:sz w:val="24"/>
          <w:szCs w:val="24"/>
          <w:lang w:eastAsia="ro-MD"/>
          <w14:ligatures w14:val="none"/>
        </w:rPr>
        <w:t>, a</w:t>
      </w:r>
      <w:r w:rsidRPr="0020102C">
        <w:rPr>
          <w:rFonts w:ascii="Times New Roman" w:eastAsia="Times New Roman" w:hAnsi="Times New Roman" w:cs="Times New Roman"/>
          <w:kern w:val="0"/>
          <w:sz w:val="24"/>
          <w:szCs w:val="24"/>
          <w:lang w:eastAsia="ro-MD"/>
          <w14:ligatures w14:val="none"/>
        </w:rPr>
        <w:t xml:space="preserve">chizițiile dobândite </w:t>
      </w:r>
      <w:r w:rsidR="005E6552" w:rsidRPr="0020102C">
        <w:rPr>
          <w:rFonts w:ascii="Times New Roman" w:eastAsia="Times New Roman" w:hAnsi="Times New Roman" w:cs="Times New Roman"/>
          <w:kern w:val="0"/>
          <w:sz w:val="24"/>
          <w:szCs w:val="24"/>
          <w:lang w:eastAsia="ro-MD"/>
          <w14:ligatures w14:val="none"/>
        </w:rPr>
        <w:t>fiind</w:t>
      </w:r>
      <w:r w:rsidRPr="0020102C">
        <w:rPr>
          <w:rFonts w:ascii="Times New Roman" w:eastAsia="Times New Roman" w:hAnsi="Times New Roman" w:cs="Times New Roman"/>
          <w:kern w:val="0"/>
          <w:sz w:val="24"/>
          <w:szCs w:val="24"/>
          <w:lang w:eastAsia="ro-MD"/>
          <w14:ligatures w14:val="none"/>
        </w:rPr>
        <w:t xml:space="preserve"> considerate </w:t>
      </w:r>
      <w:r w:rsidRPr="0020102C">
        <w:rPr>
          <w:rFonts w:ascii="Times New Roman" w:eastAsia="Times New Roman" w:hAnsi="Times New Roman" w:cs="Times New Roman"/>
          <w:b/>
          <w:bCs/>
          <w:kern w:val="0"/>
          <w:sz w:val="24"/>
          <w:szCs w:val="24"/>
          <w:lang w:eastAsia="ro-MD"/>
          <w14:ligatures w14:val="none"/>
        </w:rPr>
        <w:t>pre-calificări</w:t>
      </w:r>
      <w:r w:rsidR="00FE2AAF" w:rsidRPr="0020102C">
        <w:rPr>
          <w:rFonts w:ascii="Times New Roman" w:eastAsia="Times New Roman" w:hAnsi="Times New Roman" w:cs="Times New Roman"/>
          <w:kern w:val="0"/>
          <w:sz w:val="24"/>
          <w:szCs w:val="24"/>
          <w:lang w:eastAsia="ro-MD"/>
          <w14:ligatures w14:val="none"/>
        </w:rPr>
        <w:t xml:space="preserve">. </w:t>
      </w:r>
      <w:r w:rsidR="00BA1B9D" w:rsidRPr="0020102C">
        <w:rPr>
          <w:rFonts w:ascii="Times New Roman" w:eastAsia="Times New Roman" w:hAnsi="Times New Roman" w:cs="Times New Roman"/>
          <w:kern w:val="0"/>
          <w:sz w:val="24"/>
          <w:szCs w:val="24"/>
          <w:lang w:eastAsia="ro-MD"/>
          <w14:ligatures w14:val="none"/>
        </w:rPr>
        <w:t>Cu toate acestea</w:t>
      </w:r>
      <w:r w:rsidR="00FE2AAF" w:rsidRPr="0020102C">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 xml:space="preserve"> </w:t>
      </w:r>
      <w:r w:rsidR="00FE2AAF" w:rsidRPr="0020102C">
        <w:rPr>
          <w:rFonts w:ascii="Times New Roman" w:eastAsia="Times New Roman" w:hAnsi="Times New Roman" w:cs="Times New Roman"/>
          <w:b/>
          <w:bCs/>
          <w:kern w:val="0"/>
          <w:sz w:val="24"/>
          <w:szCs w:val="24"/>
          <w:lang w:eastAsia="ro-MD"/>
          <w14:ligatures w14:val="none"/>
        </w:rPr>
        <w:t xml:space="preserve">finalizarea ciclului primar (clasele I–IV) se raportează la </w:t>
      </w:r>
      <w:r w:rsidRPr="0020102C">
        <w:rPr>
          <w:rFonts w:ascii="Times New Roman" w:eastAsia="Times New Roman" w:hAnsi="Times New Roman" w:cs="Times New Roman"/>
          <w:b/>
          <w:bCs/>
          <w:kern w:val="0"/>
          <w:sz w:val="24"/>
          <w:szCs w:val="24"/>
          <w:lang w:eastAsia="ro-MD"/>
          <w14:ligatures w14:val="none"/>
        </w:rPr>
        <w:t xml:space="preserve">nivelul 1 CNC </w:t>
      </w:r>
      <w:r w:rsidR="00FE2AAF" w:rsidRPr="0020102C">
        <w:rPr>
          <w:rFonts w:ascii="Times New Roman" w:eastAsia="Times New Roman" w:hAnsi="Times New Roman" w:cs="Times New Roman"/>
          <w:kern w:val="0"/>
          <w:sz w:val="24"/>
          <w:szCs w:val="24"/>
          <w:lang w:eastAsia="ro-MD"/>
          <w14:ligatures w14:val="none"/>
        </w:rPr>
        <w:lastRenderedPageBreak/>
        <w:t>pentru că</w:t>
      </w:r>
      <w:r w:rsidR="005E6552" w:rsidRPr="0020102C">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învățământul primar servește drept etapă pregătitoare pentru integrarea elevilor în logica rezultatelor învățării și continuarea traseului educațional.</w:t>
      </w:r>
    </w:p>
    <w:p w14:paraId="03780E6C" w14:textId="77777777" w:rsidR="00D35319" w:rsidRPr="0020102C" w:rsidRDefault="00D35319"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3.2.3. Învățământul gimnazial</w:t>
      </w:r>
    </w:p>
    <w:p w14:paraId="2FCDF2A4" w14:textId="695DDF4B" w:rsidR="00D35319" w:rsidRPr="0020102C" w:rsidRDefault="00531AE7"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hAnsi="Times New Roman" w:cs="Times New Roman"/>
          <w:sz w:val="24"/>
          <w:szCs w:val="24"/>
        </w:rPr>
        <w:t>Învățământul gimnazial constituie nivelul obligatoriu de bază al educației generale, având rolul de a forma competențele necesare integrării sociale și pregătirii pentru ciclurile educaționale superioare</w:t>
      </w:r>
      <w:r w:rsidR="00F019CC" w:rsidRPr="0020102C">
        <w:rPr>
          <w:rFonts w:ascii="Times New Roman" w:hAnsi="Times New Roman" w:cs="Times New Roman"/>
          <w:sz w:val="24"/>
          <w:szCs w:val="24"/>
        </w:rPr>
        <w:t xml:space="preserve">, </w:t>
      </w:r>
      <w:r w:rsidR="00D35319" w:rsidRPr="0020102C">
        <w:rPr>
          <w:rFonts w:ascii="Times New Roman" w:eastAsia="Times New Roman" w:hAnsi="Times New Roman" w:cs="Times New Roman"/>
          <w:kern w:val="0"/>
          <w:sz w:val="24"/>
          <w:szCs w:val="24"/>
          <w:lang w:eastAsia="ro-MD"/>
          <w14:ligatures w14:val="none"/>
        </w:rPr>
        <w:t>contribui</w:t>
      </w:r>
      <w:r w:rsidR="00F019CC" w:rsidRPr="0020102C">
        <w:rPr>
          <w:rFonts w:ascii="Times New Roman" w:eastAsia="Times New Roman" w:hAnsi="Times New Roman" w:cs="Times New Roman"/>
          <w:kern w:val="0"/>
          <w:sz w:val="24"/>
          <w:szCs w:val="24"/>
          <w:lang w:eastAsia="ro-MD"/>
          <w14:ligatures w14:val="none"/>
        </w:rPr>
        <w:t>nd</w:t>
      </w:r>
      <w:r w:rsidR="00D35319" w:rsidRPr="0020102C">
        <w:rPr>
          <w:rFonts w:ascii="Times New Roman" w:eastAsia="Times New Roman" w:hAnsi="Times New Roman" w:cs="Times New Roman"/>
          <w:kern w:val="0"/>
          <w:sz w:val="24"/>
          <w:szCs w:val="24"/>
          <w:lang w:eastAsia="ro-MD"/>
          <w14:ligatures w14:val="none"/>
        </w:rPr>
        <w:t xml:space="preserve"> la formarea unei personalități libere și creative.</w:t>
      </w:r>
      <w:r w:rsidRPr="0020102C">
        <w:rPr>
          <w:rFonts w:ascii="Times New Roman" w:hAnsi="Times New Roman" w:cs="Times New Roman"/>
          <w:sz w:val="24"/>
          <w:szCs w:val="24"/>
        </w:rPr>
        <w:t xml:space="preserve"> </w:t>
      </w:r>
    </w:p>
    <w:p w14:paraId="0AE25A45" w14:textId="1CB38D48" w:rsidR="00D35319" w:rsidRPr="0020102C" w:rsidRDefault="00D35319"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Condiții de acces și durata studiilor:</w:t>
      </w:r>
      <w:r w:rsidRPr="0020102C">
        <w:rPr>
          <w:rFonts w:ascii="Times New Roman" w:eastAsia="Times New Roman" w:hAnsi="Times New Roman" w:cs="Times New Roman"/>
          <w:kern w:val="0"/>
          <w:sz w:val="24"/>
          <w:szCs w:val="24"/>
          <w:lang w:eastAsia="ro-MD"/>
          <w14:ligatures w14:val="none"/>
        </w:rPr>
        <w:t xml:space="preserve"> învățământul gimnazial se organizează pentru absolvenții învățământului primar și are o durată de 5 ani (clasele V–IX). Înscrierea se face în mod obligatoriu, fără probe de concurs, pentru elevii din districtul școlar corespunzător. Pentru clasele cu profil de arte sau sport, admiterea se face pe baza unor probe de aptitudini specifice.</w:t>
      </w:r>
    </w:p>
    <w:p w14:paraId="28ADB0A1" w14:textId="77777777" w:rsidR="00D35319" w:rsidRPr="0020102C" w:rsidRDefault="00D35319"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Organizarea și formele de studii:</w:t>
      </w:r>
      <w:r w:rsidRPr="0020102C">
        <w:rPr>
          <w:rFonts w:ascii="Times New Roman" w:eastAsia="Times New Roman" w:hAnsi="Times New Roman" w:cs="Times New Roman"/>
          <w:kern w:val="0"/>
          <w:sz w:val="24"/>
          <w:szCs w:val="24"/>
          <w:lang w:eastAsia="ro-MD"/>
          <w14:ligatures w14:val="none"/>
        </w:rPr>
        <w:t xml:space="preserve"> Învățământul gimnazial se desfășoară în instituții de învățământ general publice sau private, înființate conform legislației în vigoare. Activitatea este reglementată de:</w:t>
      </w:r>
    </w:p>
    <w:p w14:paraId="2A5DE6BB" w14:textId="05AAA556" w:rsidR="00D35319" w:rsidRPr="0020102C" w:rsidRDefault="00D35319" w:rsidP="00A41843">
      <w:pPr>
        <w:numPr>
          <w:ilvl w:val="0"/>
          <w:numId w:val="2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Planul-cadru pentru învățământul gimnazial, aprobat anual prin ordin al </w:t>
      </w:r>
      <w:r w:rsidR="006D6BA7"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w:t>
      </w:r>
    </w:p>
    <w:p w14:paraId="6F697064" w14:textId="07555C50" w:rsidR="00D35319" w:rsidRPr="0020102C" w:rsidRDefault="00D35319" w:rsidP="00A41843">
      <w:pPr>
        <w:numPr>
          <w:ilvl w:val="0"/>
          <w:numId w:val="2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Curriculumul național pentru învățământul gimnazial, aprobat prin ordin MEC, care stabilește competențele-</w:t>
      </w:r>
      <w:r w:rsidR="00071CAF" w:rsidRPr="0020102C">
        <w:rPr>
          <w:rFonts w:ascii="Times New Roman" w:eastAsia="Times New Roman" w:hAnsi="Times New Roman" w:cs="Times New Roman"/>
          <w:kern w:val="0"/>
          <w:sz w:val="24"/>
          <w:szCs w:val="24"/>
          <w:lang w:eastAsia="ro-MD"/>
          <w14:ligatures w14:val="none"/>
        </w:rPr>
        <w:t>cheie</w:t>
      </w:r>
      <w:r w:rsidRPr="0020102C">
        <w:rPr>
          <w:rFonts w:ascii="Times New Roman" w:eastAsia="Times New Roman" w:hAnsi="Times New Roman" w:cs="Times New Roman"/>
          <w:kern w:val="0"/>
          <w:sz w:val="24"/>
          <w:szCs w:val="24"/>
          <w:lang w:eastAsia="ro-MD"/>
          <w14:ligatures w14:val="none"/>
        </w:rPr>
        <w:t>, obiectivele de învățare și conținuturile pe discipline și arii curriculare;</w:t>
      </w:r>
    </w:p>
    <w:p w14:paraId="3B09B213" w14:textId="77777777" w:rsidR="00D35319" w:rsidRPr="0020102C" w:rsidRDefault="00D35319" w:rsidP="00A41843">
      <w:pPr>
        <w:numPr>
          <w:ilvl w:val="0"/>
          <w:numId w:val="2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Regulamentul de organizare și funcționare a instituțiilor de învățământ primar, gimnazial și liceal, aprobat prin Ordin MEC nr. 932/08.08.2018.</w:t>
      </w:r>
    </w:p>
    <w:p w14:paraId="7E016594" w14:textId="77777777" w:rsidR="00D35319" w:rsidRPr="0020102C" w:rsidRDefault="00D35319"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Trăsături curriculare generale:</w:t>
      </w:r>
      <w:r w:rsidRPr="0020102C">
        <w:rPr>
          <w:rFonts w:ascii="Times New Roman" w:eastAsia="Times New Roman" w:hAnsi="Times New Roman" w:cs="Times New Roman"/>
          <w:kern w:val="0"/>
          <w:sz w:val="24"/>
          <w:szCs w:val="24"/>
          <w:lang w:eastAsia="ro-MD"/>
          <w14:ligatures w14:val="none"/>
        </w:rPr>
        <w:t xml:space="preserve"> Curriculumul gimnazial promovează dezvoltarea competențelor transversale și orientarea elevilor către un traseu educațional adaptat intereselor și potențialului personal. Accentul se pune pe consolidarea achizițiilor de bază, dezvoltarea gândirii critice și logice, a competențelor digitale și civice, precum și pe pregătirea pentru continuarea studiilor la nivel liceal sau profesional tehnic.</w:t>
      </w:r>
    </w:p>
    <w:p w14:paraId="16A2E770" w14:textId="7E9586AA" w:rsidR="00D35319" w:rsidRPr="0020102C" w:rsidRDefault="00D35319"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și certificarea:</w:t>
      </w:r>
      <w:r w:rsidRPr="0020102C">
        <w:rPr>
          <w:rFonts w:ascii="Times New Roman" w:eastAsia="Times New Roman" w:hAnsi="Times New Roman" w:cs="Times New Roman"/>
          <w:kern w:val="0"/>
          <w:sz w:val="24"/>
          <w:szCs w:val="24"/>
          <w:lang w:eastAsia="ro-MD"/>
          <w14:ligatures w14:val="none"/>
        </w:rPr>
        <w:t xml:space="preserve"> Învățământul gimnazial se finalizează cu examenele naționale de absolvire, organizate conform metodologiei aprobate de </w:t>
      </w:r>
      <w:r w:rsidR="006D6BA7"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xml:space="preserve">. Promovarea acestora conduce la eliberarea </w:t>
      </w:r>
      <w:r w:rsidRPr="0020102C">
        <w:rPr>
          <w:rFonts w:ascii="Times New Roman" w:eastAsia="Times New Roman" w:hAnsi="Times New Roman" w:cs="Times New Roman"/>
          <w:b/>
          <w:bCs/>
          <w:kern w:val="0"/>
          <w:sz w:val="24"/>
          <w:szCs w:val="24"/>
          <w:lang w:eastAsia="ro-MD"/>
          <w14:ligatures w14:val="none"/>
        </w:rPr>
        <w:t>certificatului de studii gimnaziale</w:t>
      </w:r>
      <w:r w:rsidRPr="0020102C">
        <w:rPr>
          <w:rFonts w:ascii="Times New Roman" w:eastAsia="Times New Roman" w:hAnsi="Times New Roman" w:cs="Times New Roman"/>
          <w:kern w:val="0"/>
          <w:sz w:val="24"/>
          <w:szCs w:val="24"/>
          <w:lang w:eastAsia="ro-MD"/>
          <w14:ligatures w14:val="none"/>
        </w:rPr>
        <w:t>.</w:t>
      </w:r>
    </w:p>
    <w:p w14:paraId="296FD1D5" w14:textId="58375CE6" w:rsidR="00495C96" w:rsidRPr="0020102C" w:rsidRDefault="009527BA" w:rsidP="005C4FE9">
      <w:pPr>
        <w:spacing w:before="120" w:after="120" w:line="276" w:lineRule="auto"/>
        <w:jc w:val="both"/>
        <w:rPr>
          <w:rFonts w:ascii="Times New Roman" w:hAnsi="Times New Roman" w:cs="Times New Roman"/>
          <w:b/>
          <w:bCs/>
          <w:sz w:val="24"/>
          <w:szCs w:val="24"/>
        </w:rPr>
      </w:pPr>
      <w:r w:rsidRPr="0020102C">
        <w:rPr>
          <w:rStyle w:val="af9"/>
          <w:rFonts w:ascii="Times New Roman" w:hAnsi="Times New Roman" w:cs="Times New Roman"/>
          <w:sz w:val="24"/>
          <w:szCs w:val="24"/>
        </w:rPr>
        <w:t xml:space="preserve">Trasee educaționale și relația cu CNC: </w:t>
      </w:r>
      <w:r w:rsidRPr="0020102C">
        <w:rPr>
          <w:rFonts w:ascii="Times New Roman" w:hAnsi="Times New Roman" w:cs="Times New Roman"/>
          <w:sz w:val="24"/>
          <w:szCs w:val="24"/>
        </w:rPr>
        <w:t xml:space="preserve">Finalizarea </w:t>
      </w:r>
      <w:r w:rsidR="0031122E" w:rsidRPr="0020102C">
        <w:rPr>
          <w:rFonts w:ascii="Times New Roman" w:eastAsia="Times New Roman" w:hAnsi="Times New Roman" w:cs="Times New Roman"/>
          <w:kern w:val="0"/>
          <w:sz w:val="24"/>
          <w:szCs w:val="24"/>
          <w:lang w:eastAsia="ro-MD"/>
          <w14:ligatures w14:val="none"/>
        </w:rPr>
        <w:t xml:space="preserve">Învățământul gimnazial </w:t>
      </w:r>
      <w:r w:rsidRPr="0020102C">
        <w:rPr>
          <w:rFonts w:ascii="Times New Roman" w:hAnsi="Times New Roman" w:cs="Times New Roman"/>
          <w:sz w:val="24"/>
          <w:szCs w:val="24"/>
        </w:rPr>
        <w:t xml:space="preserve">este atestată prin </w:t>
      </w:r>
      <w:r w:rsidRPr="0020102C">
        <w:rPr>
          <w:rStyle w:val="af9"/>
          <w:rFonts w:ascii="Times New Roman" w:hAnsi="Times New Roman" w:cs="Times New Roman"/>
          <w:sz w:val="24"/>
          <w:szCs w:val="24"/>
        </w:rPr>
        <w:t>Certificatul de studii gimnaziale</w:t>
      </w:r>
      <w:r w:rsidRPr="0020102C">
        <w:rPr>
          <w:rFonts w:ascii="Times New Roman" w:hAnsi="Times New Roman" w:cs="Times New Roman"/>
          <w:sz w:val="24"/>
          <w:szCs w:val="24"/>
        </w:rPr>
        <w:t xml:space="preserve">, care confirmă dobândirea competențelor fundamentale și oferă acces la învățământul liceal sau la învățământul profesional </w:t>
      </w:r>
      <w:r w:rsidRPr="001F6026">
        <w:rPr>
          <w:rFonts w:ascii="Times New Roman" w:hAnsi="Times New Roman" w:cs="Times New Roman"/>
          <w:sz w:val="24"/>
          <w:szCs w:val="24"/>
        </w:rPr>
        <w:t>tehnic secundar/postsecundar</w:t>
      </w:r>
      <w:r w:rsidRPr="0020102C">
        <w:rPr>
          <w:rFonts w:ascii="Times New Roman" w:hAnsi="Times New Roman" w:cs="Times New Roman"/>
          <w:sz w:val="24"/>
          <w:szCs w:val="24"/>
        </w:rPr>
        <w:t xml:space="preserve">. Totuși, certificatul nu reprezintă o calificare profesională, întrucât nu conferă dreptul de exercitare a unei ocupații și nu atestă competențe specifice unei profesii. </w:t>
      </w:r>
      <w:r w:rsidR="0054736B" w:rsidRPr="0020102C">
        <w:rPr>
          <w:rFonts w:ascii="Times New Roman" w:hAnsi="Times New Roman" w:cs="Times New Roman"/>
          <w:sz w:val="24"/>
          <w:szCs w:val="24"/>
        </w:rPr>
        <w:t>Prin urmare</w:t>
      </w:r>
      <w:r w:rsidR="00E8299D" w:rsidRPr="0020102C">
        <w:rPr>
          <w:rFonts w:ascii="Times New Roman" w:hAnsi="Times New Roman" w:cs="Times New Roman"/>
          <w:sz w:val="24"/>
          <w:szCs w:val="24"/>
        </w:rPr>
        <w:t>, î</w:t>
      </w:r>
      <w:r w:rsidRPr="0020102C">
        <w:rPr>
          <w:rFonts w:ascii="Times New Roman" w:hAnsi="Times New Roman" w:cs="Times New Roman"/>
          <w:sz w:val="24"/>
          <w:szCs w:val="24"/>
        </w:rPr>
        <w:t xml:space="preserve">n CNC, finalizarea gimnaziului este asociată </w:t>
      </w:r>
      <w:r w:rsidRPr="0020102C">
        <w:rPr>
          <w:rStyle w:val="af9"/>
          <w:rFonts w:ascii="Times New Roman" w:hAnsi="Times New Roman" w:cs="Times New Roman"/>
          <w:sz w:val="24"/>
          <w:szCs w:val="24"/>
        </w:rPr>
        <w:t xml:space="preserve">nivelului </w:t>
      </w:r>
      <w:r w:rsidR="009C0C76" w:rsidRPr="0020102C">
        <w:rPr>
          <w:rStyle w:val="af9"/>
          <w:rFonts w:ascii="Times New Roman" w:hAnsi="Times New Roman" w:cs="Times New Roman"/>
          <w:sz w:val="24"/>
          <w:szCs w:val="24"/>
        </w:rPr>
        <w:t>2</w:t>
      </w:r>
      <w:r w:rsidRPr="0020102C">
        <w:rPr>
          <w:rFonts w:ascii="Times New Roman" w:hAnsi="Times New Roman" w:cs="Times New Roman"/>
          <w:sz w:val="24"/>
          <w:szCs w:val="24"/>
        </w:rPr>
        <w:t xml:space="preserve">, corespunzător achizițiilor generale fundamentale, comparabile cu descriptorii nivelului </w:t>
      </w:r>
      <w:r w:rsidR="009C0C76" w:rsidRPr="0020102C">
        <w:rPr>
          <w:rFonts w:ascii="Times New Roman" w:hAnsi="Times New Roman" w:cs="Times New Roman"/>
          <w:sz w:val="24"/>
          <w:szCs w:val="24"/>
        </w:rPr>
        <w:t>2</w:t>
      </w:r>
      <w:r w:rsidRPr="0020102C">
        <w:rPr>
          <w:rFonts w:ascii="Times New Roman" w:hAnsi="Times New Roman" w:cs="Times New Roman"/>
          <w:sz w:val="24"/>
          <w:szCs w:val="24"/>
        </w:rPr>
        <w:t xml:space="preserve"> al EQF.</w:t>
      </w:r>
    </w:p>
    <w:p w14:paraId="6694CF05" w14:textId="77777777" w:rsidR="001A1645" w:rsidRPr="0020102C" w:rsidRDefault="001A1645"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3.2.4. Învățământul liceal</w:t>
      </w:r>
    </w:p>
    <w:p w14:paraId="1A228B73" w14:textId="77777777" w:rsidR="00D67CC9" w:rsidRPr="0020102C" w:rsidRDefault="00D67CC9" w:rsidP="005C4FE9">
      <w:pPr>
        <w:pStyle w:val="af8"/>
        <w:spacing w:before="120" w:beforeAutospacing="0" w:after="120" w:afterAutospacing="0" w:line="276" w:lineRule="auto"/>
        <w:jc w:val="both"/>
      </w:pPr>
      <w:r w:rsidRPr="0020102C">
        <w:t>Învățământul liceal asigură dezvoltarea competențelor definite prin Curriculumul național și sprijină elevii în alegerea traseului educațional sau profesional individual către învățământul superior sau învățământul profesional tehnic postsecundar nonterțiar, în funcție de potențial, vocație și performanțe.</w:t>
      </w:r>
    </w:p>
    <w:p w14:paraId="3A4C69E8" w14:textId="77777777" w:rsidR="00D67CC9" w:rsidRPr="0020102C" w:rsidRDefault="00D67CC9" w:rsidP="005C4FE9">
      <w:pPr>
        <w:pStyle w:val="af8"/>
        <w:spacing w:before="120" w:beforeAutospacing="0" w:after="120" w:afterAutospacing="0" w:line="276" w:lineRule="auto"/>
        <w:jc w:val="both"/>
      </w:pPr>
      <w:r w:rsidRPr="0020102C">
        <w:rPr>
          <w:rStyle w:val="af9"/>
          <w:rFonts w:eastAsiaTheme="majorEastAsia"/>
        </w:rPr>
        <w:t>Condiții de acces și durata studiilor.</w:t>
      </w:r>
      <w:r w:rsidRPr="0020102C">
        <w:t xml:space="preserve"> Învățământul liceal este accesibil absolvenților ciclului gimnazial, precum și absolvenților învățământului profesional tehnic secundar și se organizează pe o durată de 3 ani (clasele X–XII), iar în cazul formei cu frecvență redusă – 4 ani (clasele X–XIII).</w:t>
      </w:r>
    </w:p>
    <w:p w14:paraId="2087CCCA" w14:textId="77777777" w:rsidR="00D67CC9" w:rsidRPr="0020102C" w:rsidRDefault="00D67CC9" w:rsidP="005C4FE9">
      <w:pPr>
        <w:pStyle w:val="af8"/>
        <w:spacing w:before="120" w:beforeAutospacing="0" w:after="120" w:afterAutospacing="0" w:line="276" w:lineRule="auto"/>
        <w:jc w:val="both"/>
      </w:pPr>
      <w:r w:rsidRPr="0020102C">
        <w:rPr>
          <w:rStyle w:val="af9"/>
          <w:rFonts w:eastAsiaTheme="majorEastAsia"/>
        </w:rPr>
        <w:t>Organizare și forme de studii.</w:t>
      </w:r>
      <w:r w:rsidRPr="0020102C">
        <w:t xml:space="preserve"> Învățământul liceal se organizează în instituții publice și private autorizate, cu următoarele filiere:</w:t>
      </w:r>
    </w:p>
    <w:p w14:paraId="14C81D41" w14:textId="77777777" w:rsidR="00D67CC9" w:rsidRPr="0020102C" w:rsidRDefault="00D67CC9" w:rsidP="00A41843">
      <w:pPr>
        <w:pStyle w:val="af8"/>
        <w:numPr>
          <w:ilvl w:val="0"/>
          <w:numId w:val="25"/>
        </w:numPr>
        <w:spacing w:before="120" w:beforeAutospacing="0" w:after="120" w:afterAutospacing="0" w:line="276" w:lineRule="auto"/>
        <w:jc w:val="both"/>
      </w:pPr>
      <w:r w:rsidRPr="0020102C">
        <w:t xml:space="preserve">filiera </w:t>
      </w:r>
      <w:r w:rsidRPr="0020102C">
        <w:rPr>
          <w:rStyle w:val="af9"/>
          <w:rFonts w:eastAsiaTheme="majorEastAsia"/>
        </w:rPr>
        <w:t>teoretică</w:t>
      </w:r>
      <w:r w:rsidRPr="0020102C">
        <w:t>, cu profilurile umanist și real, respectiv profil general;</w:t>
      </w:r>
    </w:p>
    <w:p w14:paraId="5C16FF1C" w14:textId="77777777" w:rsidR="00D67CC9" w:rsidRPr="0020102C" w:rsidRDefault="00D67CC9" w:rsidP="00A41843">
      <w:pPr>
        <w:pStyle w:val="af8"/>
        <w:numPr>
          <w:ilvl w:val="0"/>
          <w:numId w:val="25"/>
        </w:numPr>
        <w:spacing w:before="120" w:beforeAutospacing="0" w:after="120" w:afterAutospacing="0" w:line="276" w:lineRule="auto"/>
        <w:jc w:val="both"/>
      </w:pPr>
      <w:r w:rsidRPr="0020102C">
        <w:lastRenderedPageBreak/>
        <w:t xml:space="preserve">filiera </w:t>
      </w:r>
      <w:r w:rsidRPr="0020102C">
        <w:rPr>
          <w:rStyle w:val="af9"/>
          <w:rFonts w:eastAsiaTheme="majorEastAsia"/>
        </w:rPr>
        <w:t>vocațională</w:t>
      </w:r>
      <w:r w:rsidRPr="0020102C">
        <w:t>, cu profilurile de arte, sport, teologic, militar.</w:t>
      </w:r>
    </w:p>
    <w:p w14:paraId="7945AD5C" w14:textId="5EF3D179" w:rsidR="00D67CC9" w:rsidRPr="0020102C" w:rsidRDefault="00D67CC9" w:rsidP="005C4FE9">
      <w:pPr>
        <w:pStyle w:val="af8"/>
        <w:spacing w:before="120" w:beforeAutospacing="0" w:after="120" w:afterAutospacing="0" w:line="276" w:lineRule="auto"/>
        <w:jc w:val="both"/>
      </w:pPr>
      <w:r w:rsidRPr="0020102C">
        <w:t xml:space="preserve">Pentru elevii cu dizabilități sau cei aflați în situații speciale (instituții penitenciare, medicale), învățământul liceal poate fi organizat la distanță sau la domiciliu. Admiterea se face prin concurs, conform metodologiei aprobate de </w:t>
      </w:r>
      <w:r w:rsidR="006D6BA7" w:rsidRPr="001F6026">
        <w:t>MEC</w:t>
      </w:r>
      <w:r w:rsidRPr="0020102C">
        <w:t>, iar la profilurile de arte și sport se includ probe suplimentare de aptitudini.</w:t>
      </w:r>
    </w:p>
    <w:p w14:paraId="01189A9C" w14:textId="0910A176" w:rsidR="00D67CC9" w:rsidRPr="0020102C" w:rsidRDefault="00D67CC9" w:rsidP="005C4FE9">
      <w:pPr>
        <w:pStyle w:val="af8"/>
        <w:spacing w:before="120" w:beforeAutospacing="0" w:after="120" w:afterAutospacing="0" w:line="276" w:lineRule="auto"/>
        <w:jc w:val="both"/>
      </w:pPr>
      <w:r w:rsidRPr="0020102C">
        <w:rPr>
          <w:rStyle w:val="af9"/>
          <w:rFonts w:eastAsiaTheme="majorEastAsia"/>
        </w:rPr>
        <w:t>Trăsături curriculare generale.</w:t>
      </w:r>
      <w:r w:rsidRPr="0020102C">
        <w:t xml:space="preserve"> Curriculumul liceal promovează aprofundarea competențelor-</w:t>
      </w:r>
      <w:r w:rsidR="00071CAF" w:rsidRPr="0020102C">
        <w:t>cheie</w:t>
      </w:r>
      <w:r w:rsidRPr="0020102C">
        <w:t>, dezvoltarea gândirii critice și orientarea către domenii de specializare. Accentul se pune pe pregătirea pentru studii superioare sau pentru integrarea în trasee profesionale ulterioare.</w:t>
      </w:r>
    </w:p>
    <w:p w14:paraId="27F013A3" w14:textId="4AB7FAB4" w:rsidR="00D67CC9" w:rsidRPr="0020102C" w:rsidRDefault="00D67CC9" w:rsidP="005C4FE9">
      <w:pPr>
        <w:pStyle w:val="af8"/>
        <w:spacing w:before="120" w:beforeAutospacing="0" w:after="120" w:afterAutospacing="0" w:line="276" w:lineRule="auto"/>
        <w:jc w:val="both"/>
      </w:pPr>
      <w:r w:rsidRPr="0020102C">
        <w:rPr>
          <w:rStyle w:val="af9"/>
          <w:rFonts w:eastAsiaTheme="majorEastAsia"/>
        </w:rPr>
        <w:t>Evaluare și certificare.</w:t>
      </w:r>
      <w:r w:rsidRPr="0020102C">
        <w:t xml:space="preserve"> Studiile liceale se în</w:t>
      </w:r>
      <w:r w:rsidR="00071CAF" w:rsidRPr="0020102C">
        <w:t>cheie</w:t>
      </w:r>
      <w:r w:rsidRPr="0020102C">
        <w:t xml:space="preserve"> cu examenul național de bacalaureat, organizat de </w:t>
      </w:r>
      <w:r w:rsidR="006D6BA7" w:rsidRPr="001F6026">
        <w:t>MEC</w:t>
      </w:r>
      <w:r w:rsidRPr="0020102C">
        <w:t xml:space="preserve">. Promovarea acestuia conferă </w:t>
      </w:r>
      <w:r w:rsidRPr="0020102C">
        <w:rPr>
          <w:rStyle w:val="af9"/>
          <w:rFonts w:eastAsiaTheme="majorEastAsia"/>
        </w:rPr>
        <w:t>Diploma de bacalaureat</w:t>
      </w:r>
      <w:r w:rsidRPr="0020102C">
        <w:t>, care oferă acces la învățământul superior și la programe de învățământ profesional tehnic postsecundar nonterțiar. În cazul nepromovării, se eliberează un certificat de studii liceale, care permite continuarea formării profesionale prin programe de nivel secundar sau postsecundar.</w:t>
      </w:r>
    </w:p>
    <w:p w14:paraId="402E1A33" w14:textId="0F19ACE0" w:rsidR="00D67CC9" w:rsidRPr="0020102C" w:rsidRDefault="00D67CC9" w:rsidP="005C4FE9">
      <w:pPr>
        <w:pStyle w:val="af8"/>
        <w:spacing w:before="120" w:beforeAutospacing="0" w:after="120" w:afterAutospacing="0" w:line="276" w:lineRule="auto"/>
        <w:jc w:val="both"/>
      </w:pPr>
      <w:r w:rsidRPr="0020102C">
        <w:rPr>
          <w:rStyle w:val="af9"/>
          <w:rFonts w:eastAsiaTheme="majorEastAsia"/>
        </w:rPr>
        <w:t>Trasee educaționale și relația cu CNC.</w:t>
      </w:r>
      <w:r w:rsidRPr="0020102C">
        <w:t xml:space="preserve"> Învățământul liceal constituie nivelul superior al educației generale obligatorii și deschide accesul către trasee educaționale diversificate: universitar, profesional tehnic postsecundar sau formare profesională continuă. În </w:t>
      </w:r>
      <w:r w:rsidR="006D6BA7" w:rsidRPr="001F6026">
        <w:rPr>
          <w:rStyle w:val="af9"/>
          <w:rFonts w:eastAsiaTheme="majorEastAsia"/>
        </w:rPr>
        <w:t>CNC</w:t>
      </w:r>
      <w:r w:rsidRPr="0020102C">
        <w:t xml:space="preserve">, finalizarea liceului este încadrată la </w:t>
      </w:r>
      <w:r w:rsidRPr="0020102C">
        <w:rPr>
          <w:rStyle w:val="af9"/>
          <w:rFonts w:eastAsiaTheme="majorEastAsia"/>
        </w:rPr>
        <w:t xml:space="preserve">nivelul </w:t>
      </w:r>
      <w:r w:rsidR="00EB3219" w:rsidRPr="0020102C">
        <w:rPr>
          <w:rStyle w:val="af9"/>
          <w:rFonts w:eastAsiaTheme="majorEastAsia"/>
        </w:rPr>
        <w:t>4</w:t>
      </w:r>
      <w:r w:rsidRPr="0020102C">
        <w:rPr>
          <w:rStyle w:val="af9"/>
          <w:rFonts w:eastAsiaTheme="majorEastAsia"/>
        </w:rPr>
        <w:t xml:space="preserve"> CNC</w:t>
      </w:r>
      <w:r w:rsidRPr="0020102C">
        <w:t xml:space="preserve">. În raport cu </w:t>
      </w:r>
      <w:r w:rsidRPr="0020102C">
        <w:rPr>
          <w:rStyle w:val="af9"/>
          <w:rFonts w:eastAsiaTheme="majorEastAsia"/>
        </w:rPr>
        <w:t>EQF</w:t>
      </w:r>
      <w:r w:rsidRPr="0020102C">
        <w:t>, diploma de bacalaureat, prin rolul său de document de acces la învățământul superior, este</w:t>
      </w:r>
      <w:r w:rsidR="004055B7" w:rsidRPr="0020102C">
        <w:t xml:space="preserve">, la fel, </w:t>
      </w:r>
      <w:r w:rsidRPr="0020102C">
        <w:rPr>
          <w:rStyle w:val="af9"/>
          <w:rFonts w:eastAsiaTheme="majorEastAsia"/>
        </w:rPr>
        <w:t>echivalată funcțional cu nivelul 4 EQF</w:t>
      </w:r>
      <w:r w:rsidRPr="0020102C">
        <w:t>, conform practicii europene. Totuși, diploma de bacalaureat nu reprezintă o calificare profesională în sine, ci un document de acces care confirmă dobândirea competențelor generale necesare pentru trecerea către nivelurile educaționale și ocupaționale superioare.</w:t>
      </w:r>
    </w:p>
    <w:p w14:paraId="4A14A571" w14:textId="77777777" w:rsidR="00D06CE2" w:rsidRPr="007A7643" w:rsidRDefault="00D06CE2"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3.2.5. Învățământul artistic</w:t>
      </w:r>
    </w:p>
    <w:p w14:paraId="151BC103" w14:textId="77777777"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Învățământul artistic are rolul de a asigura dezvoltarea multilaterală a personalității sub aspect artistic, social și de agrement. El contribuie la îmbogățirea spațiului cultural și spiritual al societății prin promovarea și valorificarea patrimoniului național și universal.</w:t>
      </w:r>
    </w:p>
    <w:p w14:paraId="64C84536" w14:textId="6709CCEA"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Organizarea învățământului artistic:</w:t>
      </w:r>
      <w:r w:rsidRPr="0020102C">
        <w:rPr>
          <w:rFonts w:ascii="Times New Roman" w:eastAsia="Times New Roman" w:hAnsi="Times New Roman" w:cs="Times New Roman"/>
          <w:kern w:val="0"/>
          <w:sz w:val="24"/>
          <w:szCs w:val="24"/>
          <w:lang w:eastAsia="ro-MD"/>
          <w14:ligatures w14:val="none"/>
        </w:rPr>
        <w:t xml:space="preserve"> Învățământul artistic este reglementat prin standarde educaționale elaborate de </w:t>
      </w:r>
      <w:r w:rsidR="006D6BA7"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cu participarea instituțiilor de specialitate. Organizarea acestuia ia în considerare specificul domeniului, fiind implementate politici și strategii educaționale adaptate. Admiterea se realizează pe bază de concurs, prin evaluarea aptitudinilor specifice.</w:t>
      </w:r>
    </w:p>
    <w:p w14:paraId="72142080" w14:textId="77777777"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Învățământul artistic formal cuprinde două tipuri:</w:t>
      </w:r>
    </w:p>
    <w:p w14:paraId="092FC052" w14:textId="77777777" w:rsidR="00D06CE2" w:rsidRPr="0020102C" w:rsidRDefault="00D06CE2" w:rsidP="00A41843">
      <w:pPr>
        <w:numPr>
          <w:ilvl w:val="0"/>
          <w:numId w:val="2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învățământ artistic specializat</w:t>
      </w:r>
      <w:r w:rsidRPr="0020102C">
        <w:rPr>
          <w:rFonts w:ascii="Times New Roman" w:eastAsia="Times New Roman" w:hAnsi="Times New Roman" w:cs="Times New Roman"/>
          <w:kern w:val="0"/>
          <w:sz w:val="24"/>
          <w:szCs w:val="24"/>
          <w:lang w:eastAsia="ro-MD"/>
          <w14:ligatures w14:val="none"/>
        </w:rPr>
        <w:t>, orientat spre excelență și cultivarea competențelor în domeniul artelor, organizat în instituții de învățământ secundar vocațional de arte, colegii, centre de excelență și instituții de învățământ superior;</w:t>
      </w:r>
    </w:p>
    <w:p w14:paraId="07F1B9F9" w14:textId="77777777" w:rsidR="00D06CE2" w:rsidRPr="0020102C" w:rsidRDefault="00D06CE2" w:rsidP="00A41843">
      <w:pPr>
        <w:numPr>
          <w:ilvl w:val="0"/>
          <w:numId w:val="2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învățământ artistic complementar</w:t>
      </w:r>
      <w:r w:rsidRPr="0020102C">
        <w:rPr>
          <w:rFonts w:ascii="Times New Roman" w:eastAsia="Times New Roman" w:hAnsi="Times New Roman" w:cs="Times New Roman"/>
          <w:kern w:val="0"/>
          <w:sz w:val="24"/>
          <w:szCs w:val="24"/>
          <w:lang w:eastAsia="ro-MD"/>
          <w14:ligatures w14:val="none"/>
        </w:rPr>
        <w:t>, de caracter benevol, organizat în instituții extrașcolare artistice (școli de muzică, teatru, arte plastice, dans etc.), cu programe adaptate dezvoltării aptitudinilor artistice ale copiilor și tinerilor.</w:t>
      </w:r>
    </w:p>
    <w:p w14:paraId="5F783110" w14:textId="7E07080B"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Personalul didactic este încadrat conform nivelului instituțional (preuniversitar, profesional tehnic sau universitar), iar structura și modul de organizare a învățământului artistic sunt reglementate prin regulament aprobat de </w:t>
      </w:r>
      <w:r w:rsidR="006D6BA7"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w:t>
      </w:r>
    </w:p>
    <w:p w14:paraId="20FF2814" w14:textId="77777777"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w:t>
      </w:r>
      <w:r w:rsidRPr="0020102C">
        <w:rPr>
          <w:rFonts w:ascii="Times New Roman" w:eastAsia="Times New Roman" w:hAnsi="Times New Roman" w:cs="Times New Roman"/>
          <w:kern w:val="0"/>
          <w:sz w:val="24"/>
          <w:szCs w:val="24"/>
          <w:lang w:eastAsia="ro-MD"/>
          <w14:ligatures w14:val="none"/>
        </w:rPr>
        <w:t xml:space="preserve"> în cadrul învățământului artistic are un caracter specific, punând accent pe performanțe practice și pe expresivitate artistică, nu doar pe cunoștințe teoretice. Metodele de evaluare includ examene practice (recitaluri, spectacole, expoziții), portofolii individuale, probe teoretice de specialitate și evaluarea continuă </w:t>
      </w:r>
      <w:r w:rsidRPr="0020102C">
        <w:rPr>
          <w:rFonts w:ascii="Times New Roman" w:eastAsia="Times New Roman" w:hAnsi="Times New Roman" w:cs="Times New Roman"/>
          <w:kern w:val="0"/>
          <w:sz w:val="24"/>
          <w:szCs w:val="24"/>
          <w:lang w:eastAsia="ro-MD"/>
          <w14:ligatures w14:val="none"/>
        </w:rPr>
        <w:lastRenderedPageBreak/>
        <w:t>a progresului artistic. Rezultatele evaluării se concretizează în actele de studii prevăzute de legislație și constituie criteriul esențial pentru obținerea documentelor de studii.</w:t>
      </w:r>
    </w:p>
    <w:p w14:paraId="77B14501" w14:textId="36B4C0A7"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Învățământul artistic și relația cu CNC:</w:t>
      </w:r>
      <w:r w:rsidRPr="0020102C">
        <w:rPr>
          <w:rFonts w:ascii="Times New Roman" w:eastAsia="Times New Roman" w:hAnsi="Times New Roman" w:cs="Times New Roman"/>
          <w:kern w:val="0"/>
          <w:sz w:val="24"/>
          <w:szCs w:val="24"/>
          <w:lang w:eastAsia="ro-MD"/>
          <w14:ligatures w14:val="none"/>
        </w:rPr>
        <w:t xml:space="preserve"> Actele de studii eliberate în cadrul învățământului artistic includ atât documente generale (de exemplu, Diploma de bacalaureat sau Diploma de studii superioare), cât și documente specifice, precum </w:t>
      </w:r>
      <w:r w:rsidRPr="0020102C">
        <w:rPr>
          <w:rFonts w:ascii="Times New Roman" w:eastAsia="Times New Roman" w:hAnsi="Times New Roman" w:cs="Times New Roman"/>
          <w:b/>
          <w:bCs/>
          <w:kern w:val="0"/>
          <w:sz w:val="24"/>
          <w:szCs w:val="24"/>
          <w:lang w:eastAsia="ro-MD"/>
          <w14:ligatures w14:val="none"/>
        </w:rPr>
        <w:t>Certificatul de competență artistică</w:t>
      </w:r>
      <w:r w:rsidRPr="0020102C">
        <w:rPr>
          <w:rFonts w:ascii="Times New Roman" w:eastAsia="Times New Roman" w:hAnsi="Times New Roman" w:cs="Times New Roman"/>
          <w:kern w:val="0"/>
          <w:sz w:val="24"/>
          <w:szCs w:val="24"/>
          <w:lang w:eastAsia="ro-MD"/>
          <w14:ligatures w14:val="none"/>
        </w:rPr>
        <w:t xml:space="preserve"> sau </w:t>
      </w:r>
      <w:r w:rsidRPr="0020102C">
        <w:rPr>
          <w:rFonts w:ascii="Times New Roman" w:eastAsia="Times New Roman" w:hAnsi="Times New Roman" w:cs="Times New Roman"/>
          <w:b/>
          <w:bCs/>
          <w:kern w:val="0"/>
          <w:sz w:val="24"/>
          <w:szCs w:val="24"/>
          <w:lang w:eastAsia="ro-MD"/>
          <w14:ligatures w14:val="none"/>
        </w:rPr>
        <w:t>Diploma de studii artistice</w:t>
      </w:r>
      <w:r w:rsidRPr="0020102C">
        <w:rPr>
          <w:rFonts w:ascii="Times New Roman" w:eastAsia="Times New Roman" w:hAnsi="Times New Roman" w:cs="Times New Roman"/>
          <w:kern w:val="0"/>
          <w:sz w:val="24"/>
          <w:szCs w:val="24"/>
          <w:lang w:eastAsia="ro-MD"/>
          <w14:ligatures w14:val="none"/>
        </w:rPr>
        <w:t xml:space="preserve"> (în învățământul profesional tehnic postsecundar și postsecundar nonterțiar de arte). În relația cu CNC, doar diplomele și certificatele care conferă drept de acces la niveluri educaționale superioare sau la ocuparea unor funcții reglementate pe piața muncii se consideră </w:t>
      </w:r>
      <w:r w:rsidRPr="0020102C">
        <w:rPr>
          <w:rFonts w:ascii="Times New Roman" w:eastAsia="Times New Roman" w:hAnsi="Times New Roman" w:cs="Times New Roman"/>
          <w:b/>
          <w:bCs/>
          <w:kern w:val="0"/>
          <w:sz w:val="24"/>
          <w:szCs w:val="24"/>
          <w:lang w:eastAsia="ro-MD"/>
          <w14:ligatures w14:val="none"/>
        </w:rPr>
        <w:t>calificări</w:t>
      </w:r>
      <w:r w:rsidRPr="0020102C">
        <w:rPr>
          <w:rFonts w:ascii="Times New Roman" w:eastAsia="Times New Roman" w:hAnsi="Times New Roman" w:cs="Times New Roman"/>
          <w:kern w:val="0"/>
          <w:sz w:val="24"/>
          <w:szCs w:val="24"/>
          <w:lang w:eastAsia="ro-MD"/>
          <w14:ligatures w14:val="none"/>
        </w:rPr>
        <w:t>.</w:t>
      </w:r>
    </w:p>
    <w:p w14:paraId="66B12AFA" w14:textId="77777777"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Pentru o imagine comparativă între formele de învățământ artistic (specializat și complementar), se prezintă în </w:t>
      </w:r>
      <w:r w:rsidRPr="0020102C">
        <w:rPr>
          <w:rFonts w:ascii="Times New Roman" w:eastAsia="Times New Roman" w:hAnsi="Times New Roman" w:cs="Times New Roman"/>
          <w:b/>
          <w:bCs/>
          <w:kern w:val="0"/>
          <w:sz w:val="24"/>
          <w:szCs w:val="24"/>
          <w:lang w:eastAsia="ro-MD"/>
          <w14:ligatures w14:val="none"/>
        </w:rPr>
        <w:t>Anexa X</w:t>
      </w:r>
      <w:r w:rsidRPr="0020102C">
        <w:rPr>
          <w:rFonts w:ascii="Times New Roman" w:eastAsia="Times New Roman" w:hAnsi="Times New Roman" w:cs="Times New Roman"/>
          <w:kern w:val="0"/>
          <w:sz w:val="24"/>
          <w:szCs w:val="24"/>
          <w:lang w:eastAsia="ro-MD"/>
          <w14:ligatures w14:val="none"/>
        </w:rPr>
        <w:t xml:space="preserve"> un tabel sinoptic al principalelor caracteristici.</w:t>
      </w:r>
    </w:p>
    <w:p w14:paraId="35CA9D26" w14:textId="77777777" w:rsidR="00D06CE2" w:rsidRPr="0020102C" w:rsidRDefault="00D06CE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i/>
          <w:iCs/>
          <w:kern w:val="0"/>
          <w:sz w:val="24"/>
          <w:szCs w:val="24"/>
          <w:lang w:eastAsia="ro-MD"/>
          <w14:ligatures w14:val="none"/>
        </w:rPr>
        <w:t>Notă metodologică:</w:t>
      </w:r>
      <w:r w:rsidRPr="0020102C">
        <w:rPr>
          <w:rFonts w:ascii="Times New Roman" w:eastAsia="Times New Roman" w:hAnsi="Times New Roman" w:cs="Times New Roman"/>
          <w:kern w:val="0"/>
          <w:sz w:val="24"/>
          <w:szCs w:val="24"/>
          <w:lang w:eastAsia="ro-MD"/>
          <w14:ligatures w14:val="none"/>
        </w:rPr>
        <w:t xml:space="preserve"> În clasificarea CNC și în raportarea la EQF, </w:t>
      </w:r>
      <w:r w:rsidRPr="0020102C">
        <w:rPr>
          <w:rFonts w:ascii="Times New Roman" w:eastAsia="Times New Roman" w:hAnsi="Times New Roman" w:cs="Times New Roman"/>
          <w:b/>
          <w:bCs/>
          <w:kern w:val="0"/>
          <w:sz w:val="24"/>
          <w:szCs w:val="24"/>
          <w:lang w:eastAsia="ro-MD"/>
          <w14:ligatures w14:val="none"/>
        </w:rPr>
        <w:t>certificatele de competență artistică</w:t>
      </w:r>
      <w:r w:rsidRPr="0020102C">
        <w:rPr>
          <w:rFonts w:ascii="Times New Roman" w:eastAsia="Times New Roman" w:hAnsi="Times New Roman" w:cs="Times New Roman"/>
          <w:kern w:val="0"/>
          <w:sz w:val="24"/>
          <w:szCs w:val="24"/>
          <w:lang w:eastAsia="ro-MD"/>
          <w14:ligatures w14:val="none"/>
        </w:rPr>
        <w:t xml:space="preserve"> nu sunt încadrate la un anumit nivel de calificare. Deși sunt emise în urma unei evaluări oficiale și atestă competențe reale în domeniul artistic, aceste certificate au caracter complementar și nu conferă titularului nici un drept profesional reglementat și nici acces direct la niveluri superioare de studii. Prin urmare, ele reprezintă documente de studii cu valoare educațională și culturală, dar nu constituie calificări în sens strict CNC/EQF.</w:t>
      </w:r>
    </w:p>
    <w:p w14:paraId="160424EE" w14:textId="77777777" w:rsidR="00E91D2E" w:rsidRPr="0020102C" w:rsidRDefault="00E91D2E"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 xml:space="preserve">Anexa </w:t>
      </w:r>
      <w:r w:rsidRPr="0020102C">
        <w:rPr>
          <w:rStyle w:val="af9"/>
          <w:rFonts w:ascii="Times New Roman" w:eastAsiaTheme="majorEastAsia" w:hAnsi="Times New Roman" w:cs="Times New Roman"/>
          <w:color w:val="3494BA" w:themeColor="accent1"/>
          <w:sz w:val="24"/>
          <w:szCs w:val="24"/>
          <w:highlight w:val="yellow"/>
          <w:lang w:eastAsia="ro-MD"/>
        </w:rPr>
        <w:t>X</w:t>
      </w:r>
      <w:r w:rsidRPr="0020102C">
        <w:rPr>
          <w:rStyle w:val="af9"/>
          <w:rFonts w:ascii="Times New Roman" w:eastAsiaTheme="majorEastAsia" w:hAnsi="Times New Roman" w:cs="Times New Roman"/>
          <w:color w:val="3494BA" w:themeColor="accent1"/>
          <w:sz w:val="24"/>
          <w:szCs w:val="24"/>
          <w:lang w:eastAsia="ro-MD"/>
        </w:rPr>
        <w:t>. Formele de învățământ artistic – caracteristici comparative</w:t>
      </w:r>
    </w:p>
    <w:tbl>
      <w:tblPr>
        <w:tblStyle w:val="aff"/>
        <w:tblW w:w="0" w:type="auto"/>
        <w:tblLook w:val="04A0" w:firstRow="1" w:lastRow="0" w:firstColumn="1" w:lastColumn="0" w:noHBand="0" w:noVBand="1"/>
      </w:tblPr>
      <w:tblGrid>
        <w:gridCol w:w="1838"/>
        <w:gridCol w:w="3686"/>
        <w:gridCol w:w="4104"/>
      </w:tblGrid>
      <w:tr w:rsidR="001E6BDD" w:rsidRPr="001F6026" w14:paraId="6E47E69E" w14:textId="77777777" w:rsidTr="005D2B58">
        <w:tc>
          <w:tcPr>
            <w:tcW w:w="1838" w:type="dxa"/>
            <w:vAlign w:val="center"/>
          </w:tcPr>
          <w:p w14:paraId="425E881F" w14:textId="5EA63C55"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Caracteristici</w:t>
            </w:r>
          </w:p>
        </w:tc>
        <w:tc>
          <w:tcPr>
            <w:tcW w:w="3686" w:type="dxa"/>
            <w:vAlign w:val="center"/>
          </w:tcPr>
          <w:p w14:paraId="3F98F078" w14:textId="2A656AF6"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Învățământ artistic specializat</w:t>
            </w:r>
          </w:p>
        </w:tc>
        <w:tc>
          <w:tcPr>
            <w:tcW w:w="4104" w:type="dxa"/>
            <w:vAlign w:val="center"/>
          </w:tcPr>
          <w:p w14:paraId="694DF1F3" w14:textId="0FC5304B"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Învățământ artistic complementar</w:t>
            </w:r>
          </w:p>
        </w:tc>
      </w:tr>
      <w:tr w:rsidR="001E6BDD" w:rsidRPr="001F6026" w14:paraId="6D70F6FB" w14:textId="77777777" w:rsidTr="005D2B58">
        <w:tc>
          <w:tcPr>
            <w:tcW w:w="1838" w:type="dxa"/>
            <w:vAlign w:val="center"/>
          </w:tcPr>
          <w:p w14:paraId="57673874" w14:textId="1ADA6751"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Statut</w:t>
            </w:r>
          </w:p>
        </w:tc>
        <w:tc>
          <w:tcPr>
            <w:tcW w:w="3686" w:type="dxa"/>
            <w:vAlign w:val="center"/>
          </w:tcPr>
          <w:p w14:paraId="2DED9A20" w14:textId="47BA5F80"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 xml:space="preserve">Parte a învățământului formal (secundar vocațional, colegii, </w:t>
            </w:r>
            <w:r w:rsidRPr="0020102C">
              <w:rPr>
                <w:rFonts w:ascii="Times New Roman" w:eastAsia="Times New Roman" w:hAnsi="Times New Roman" w:cs="Times New Roman"/>
                <w:kern w:val="0"/>
                <w:sz w:val="24"/>
                <w:szCs w:val="24"/>
                <w:lang w:eastAsia="ro-MD"/>
                <w14:ligatures w14:val="none"/>
              </w:rPr>
              <w:t>centre de excelență, învățământ superior)</w:t>
            </w:r>
          </w:p>
        </w:tc>
        <w:tc>
          <w:tcPr>
            <w:tcW w:w="4104" w:type="dxa"/>
            <w:vAlign w:val="center"/>
          </w:tcPr>
          <w:p w14:paraId="0F3E8B41" w14:textId="53EE7981"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Parte a învățământului extrașcolar, cu caracter non-formal și benevol</w:t>
            </w:r>
          </w:p>
        </w:tc>
      </w:tr>
      <w:tr w:rsidR="001E6BDD" w:rsidRPr="001F6026" w14:paraId="5EDBCC34" w14:textId="77777777" w:rsidTr="005D2B58">
        <w:tc>
          <w:tcPr>
            <w:tcW w:w="1838" w:type="dxa"/>
            <w:vAlign w:val="center"/>
          </w:tcPr>
          <w:p w14:paraId="21BFE822" w14:textId="7EB8390E"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Misiune</w:t>
            </w:r>
          </w:p>
        </w:tc>
        <w:tc>
          <w:tcPr>
            <w:tcW w:w="3686" w:type="dxa"/>
            <w:vAlign w:val="center"/>
          </w:tcPr>
          <w:p w14:paraId="5A391806" w14:textId="7C71BD34"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Cultivarea excelenței și dezvoltarea competențelor artistice la nivel înalt</w:t>
            </w:r>
          </w:p>
        </w:tc>
        <w:tc>
          <w:tcPr>
            <w:tcW w:w="4104" w:type="dxa"/>
            <w:vAlign w:val="center"/>
          </w:tcPr>
          <w:p w14:paraId="5B5B7672" w14:textId="32745C1E"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Dezvoltarea aptitudinilor și intereselor artistice pentru agrement și formare personală</w:t>
            </w:r>
          </w:p>
        </w:tc>
      </w:tr>
      <w:tr w:rsidR="001E6BDD" w:rsidRPr="001F6026" w14:paraId="053040C1" w14:textId="77777777" w:rsidTr="005D2B58">
        <w:tc>
          <w:tcPr>
            <w:tcW w:w="1838" w:type="dxa"/>
            <w:vAlign w:val="center"/>
          </w:tcPr>
          <w:p w14:paraId="3135CA19" w14:textId="34FEB7DA"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Instituții</w:t>
            </w:r>
          </w:p>
        </w:tc>
        <w:tc>
          <w:tcPr>
            <w:tcW w:w="3686" w:type="dxa"/>
            <w:vAlign w:val="center"/>
          </w:tcPr>
          <w:p w14:paraId="7796E770" w14:textId="2ADFEE94"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 xml:space="preserve">- Licee de profil (secundar, ciclul II, clase de arte) </w:t>
            </w:r>
            <w:r w:rsidRPr="0020102C">
              <w:rPr>
                <w:rFonts w:ascii="Times New Roman" w:eastAsia="Times New Roman" w:hAnsi="Times New Roman" w:cs="Times New Roman"/>
                <w:kern w:val="0"/>
                <w:sz w:val="24"/>
                <w:szCs w:val="24"/>
                <w:lang w:eastAsia="ro-MD"/>
                <w14:ligatures w14:val="none"/>
              </w:rPr>
              <w:br/>
              <w:t xml:space="preserve">- Colegii și Centre de excelență de arte </w:t>
            </w:r>
            <w:r w:rsidRPr="0020102C">
              <w:rPr>
                <w:rFonts w:ascii="Times New Roman" w:eastAsia="Times New Roman" w:hAnsi="Times New Roman" w:cs="Times New Roman"/>
                <w:kern w:val="0"/>
                <w:sz w:val="24"/>
                <w:szCs w:val="24"/>
                <w:lang w:eastAsia="ro-MD"/>
                <w14:ligatures w14:val="none"/>
              </w:rPr>
              <w:br/>
              <w:t>- Universități de profil artistic</w:t>
            </w:r>
          </w:p>
        </w:tc>
        <w:tc>
          <w:tcPr>
            <w:tcW w:w="4104" w:type="dxa"/>
            <w:vAlign w:val="center"/>
          </w:tcPr>
          <w:p w14:paraId="7339A307" w14:textId="6BD06912"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 xml:space="preserve">- Școli de muzică </w:t>
            </w:r>
            <w:r w:rsidRPr="0020102C">
              <w:rPr>
                <w:rFonts w:ascii="Times New Roman" w:eastAsia="Times New Roman" w:hAnsi="Times New Roman" w:cs="Times New Roman"/>
                <w:kern w:val="0"/>
                <w:sz w:val="24"/>
                <w:szCs w:val="24"/>
                <w:lang w:eastAsia="ro-MD"/>
                <w14:ligatures w14:val="none"/>
              </w:rPr>
              <w:br/>
              <w:t xml:space="preserve">- Școli de teatru </w:t>
            </w:r>
            <w:r w:rsidRPr="0020102C">
              <w:rPr>
                <w:rFonts w:ascii="Times New Roman" w:eastAsia="Times New Roman" w:hAnsi="Times New Roman" w:cs="Times New Roman"/>
                <w:kern w:val="0"/>
                <w:sz w:val="24"/>
                <w:szCs w:val="24"/>
                <w:lang w:eastAsia="ro-MD"/>
                <w14:ligatures w14:val="none"/>
              </w:rPr>
              <w:br/>
              <w:t xml:space="preserve">- Școli de arte plastice </w:t>
            </w:r>
            <w:r w:rsidRPr="0020102C">
              <w:rPr>
                <w:rFonts w:ascii="Times New Roman" w:eastAsia="Times New Roman" w:hAnsi="Times New Roman" w:cs="Times New Roman"/>
                <w:kern w:val="0"/>
                <w:sz w:val="24"/>
                <w:szCs w:val="24"/>
                <w:lang w:eastAsia="ro-MD"/>
                <w14:ligatures w14:val="none"/>
              </w:rPr>
              <w:br/>
              <w:t>- Școli de dans</w:t>
            </w:r>
          </w:p>
        </w:tc>
      </w:tr>
      <w:tr w:rsidR="001E6BDD" w:rsidRPr="001F6026" w14:paraId="01882014" w14:textId="77777777" w:rsidTr="005D2B58">
        <w:tc>
          <w:tcPr>
            <w:tcW w:w="1838" w:type="dxa"/>
            <w:vAlign w:val="center"/>
          </w:tcPr>
          <w:p w14:paraId="2730CD4F" w14:textId="355BD86B"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Tipul de educație</w:t>
            </w:r>
          </w:p>
        </w:tc>
        <w:tc>
          <w:tcPr>
            <w:tcW w:w="3686" w:type="dxa"/>
            <w:vAlign w:val="center"/>
          </w:tcPr>
          <w:p w14:paraId="16411516" w14:textId="1F8A4489"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Formală, continuă, integrată cu educația generală</w:t>
            </w:r>
          </w:p>
        </w:tc>
        <w:tc>
          <w:tcPr>
            <w:tcW w:w="4104" w:type="dxa"/>
            <w:vAlign w:val="center"/>
          </w:tcPr>
          <w:p w14:paraId="59D2A81C" w14:textId="1673F013"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Non-formală, extrașcolară, benevolă</w:t>
            </w:r>
          </w:p>
        </w:tc>
      </w:tr>
      <w:tr w:rsidR="001E6BDD" w:rsidRPr="001F6026" w14:paraId="173918C5" w14:textId="77777777" w:rsidTr="005D2B58">
        <w:tc>
          <w:tcPr>
            <w:tcW w:w="1838" w:type="dxa"/>
            <w:vAlign w:val="center"/>
          </w:tcPr>
          <w:p w14:paraId="5E4353F0" w14:textId="78CDB422"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Acces</w:t>
            </w:r>
          </w:p>
        </w:tc>
        <w:tc>
          <w:tcPr>
            <w:tcW w:w="3686" w:type="dxa"/>
            <w:vAlign w:val="center"/>
          </w:tcPr>
          <w:p w14:paraId="57F812A0" w14:textId="06847524"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Prin concurs, evaluarea aptitudinilor artistice</w:t>
            </w:r>
          </w:p>
        </w:tc>
        <w:tc>
          <w:tcPr>
            <w:tcW w:w="4104" w:type="dxa"/>
            <w:vAlign w:val="center"/>
          </w:tcPr>
          <w:p w14:paraId="62EF73C4" w14:textId="228E9210"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Benevol, la solicitarea elevilor/părinților</w:t>
            </w:r>
          </w:p>
        </w:tc>
      </w:tr>
      <w:tr w:rsidR="001E6BDD" w:rsidRPr="001F6026" w14:paraId="3ABD0979" w14:textId="77777777" w:rsidTr="005D2B58">
        <w:tc>
          <w:tcPr>
            <w:tcW w:w="1838" w:type="dxa"/>
            <w:vAlign w:val="center"/>
          </w:tcPr>
          <w:p w14:paraId="241CA629" w14:textId="52863B31"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Rezultate ale învățării</w:t>
            </w:r>
          </w:p>
        </w:tc>
        <w:tc>
          <w:tcPr>
            <w:tcW w:w="3686" w:type="dxa"/>
            <w:vAlign w:val="center"/>
          </w:tcPr>
          <w:p w14:paraId="7A1F3FC5" w14:textId="0299964E"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Obținerea de calificări și competențe specifice artelor, recunoscute oficial</w:t>
            </w:r>
          </w:p>
        </w:tc>
        <w:tc>
          <w:tcPr>
            <w:tcW w:w="4104" w:type="dxa"/>
            <w:vAlign w:val="center"/>
          </w:tcPr>
          <w:p w14:paraId="1BDE5058" w14:textId="5927D719"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Dezvoltarea aptitudinilor artistice și culturale, fără certificare formală în CNC</w:t>
            </w:r>
          </w:p>
        </w:tc>
      </w:tr>
      <w:tr w:rsidR="001E6BDD" w:rsidRPr="001F6026" w14:paraId="317F069B" w14:textId="77777777" w:rsidTr="005D2B58">
        <w:tc>
          <w:tcPr>
            <w:tcW w:w="1838" w:type="dxa"/>
            <w:vAlign w:val="center"/>
          </w:tcPr>
          <w:p w14:paraId="6B80F6A5" w14:textId="6873ACBA"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Certificare / Diplome</w:t>
            </w:r>
          </w:p>
        </w:tc>
        <w:tc>
          <w:tcPr>
            <w:tcW w:w="3686" w:type="dxa"/>
            <w:vAlign w:val="center"/>
          </w:tcPr>
          <w:p w14:paraId="4D83100D" w14:textId="38B659D3"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 xml:space="preserve">- Certificat de studii secundare de profil </w:t>
            </w:r>
            <w:r w:rsidRPr="0020102C">
              <w:rPr>
                <w:rFonts w:ascii="Times New Roman" w:eastAsia="Times New Roman" w:hAnsi="Times New Roman" w:cs="Times New Roman"/>
                <w:kern w:val="0"/>
                <w:sz w:val="24"/>
                <w:szCs w:val="24"/>
                <w:lang w:eastAsia="ro-MD"/>
                <w14:ligatures w14:val="none"/>
              </w:rPr>
              <w:br/>
              <w:t xml:space="preserve">- Diplomă de tehnician în arte (nivel 4 CNC) </w:t>
            </w:r>
            <w:r w:rsidRPr="0020102C">
              <w:rPr>
                <w:rFonts w:ascii="Times New Roman" w:eastAsia="Times New Roman" w:hAnsi="Times New Roman" w:cs="Times New Roman"/>
                <w:kern w:val="0"/>
                <w:sz w:val="24"/>
                <w:szCs w:val="24"/>
                <w:lang w:eastAsia="ro-MD"/>
                <w14:ligatures w14:val="none"/>
              </w:rPr>
              <w:br/>
              <w:t xml:space="preserve">- Diplomă de licență în arte (nivel 6 CNC) </w:t>
            </w:r>
            <w:r w:rsidRPr="0020102C">
              <w:rPr>
                <w:rFonts w:ascii="Times New Roman" w:eastAsia="Times New Roman" w:hAnsi="Times New Roman" w:cs="Times New Roman"/>
                <w:kern w:val="0"/>
                <w:sz w:val="24"/>
                <w:szCs w:val="24"/>
                <w:lang w:eastAsia="ro-MD"/>
                <w14:ligatures w14:val="none"/>
              </w:rPr>
              <w:br/>
            </w:r>
            <w:r w:rsidRPr="0020102C">
              <w:rPr>
                <w:rFonts w:ascii="Times New Roman" w:eastAsia="Times New Roman" w:hAnsi="Times New Roman" w:cs="Times New Roman"/>
                <w:kern w:val="0"/>
                <w:sz w:val="24"/>
                <w:szCs w:val="24"/>
                <w:lang w:eastAsia="ro-MD"/>
                <w14:ligatures w14:val="none"/>
              </w:rPr>
              <w:lastRenderedPageBreak/>
              <w:t xml:space="preserve">- Diplomă de master (nivel 7 CNC) </w:t>
            </w:r>
            <w:r w:rsidRPr="0020102C">
              <w:rPr>
                <w:rFonts w:ascii="Times New Roman" w:eastAsia="Times New Roman" w:hAnsi="Times New Roman" w:cs="Times New Roman"/>
                <w:kern w:val="0"/>
                <w:sz w:val="24"/>
                <w:szCs w:val="24"/>
                <w:lang w:eastAsia="ro-MD"/>
                <w14:ligatures w14:val="none"/>
              </w:rPr>
              <w:br/>
              <w:t>- Diplomă de doctorat (nivel 8 CNC)</w:t>
            </w:r>
          </w:p>
        </w:tc>
        <w:tc>
          <w:tcPr>
            <w:tcW w:w="4104" w:type="dxa"/>
            <w:vAlign w:val="center"/>
          </w:tcPr>
          <w:p w14:paraId="380BA328" w14:textId="46A0CFF7"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lastRenderedPageBreak/>
              <w:t>Certificate interne ale instituțiilor extrașcolare (fără recunoaștere CNC)</w:t>
            </w:r>
          </w:p>
        </w:tc>
      </w:tr>
      <w:tr w:rsidR="001E6BDD" w:rsidRPr="001F6026" w14:paraId="12300839" w14:textId="77777777" w:rsidTr="005D2B58">
        <w:tc>
          <w:tcPr>
            <w:tcW w:w="1838" w:type="dxa"/>
            <w:vAlign w:val="center"/>
          </w:tcPr>
          <w:p w14:paraId="327021F0" w14:textId="2257082E"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lastRenderedPageBreak/>
              <w:t>Legătura cu CNC</w:t>
            </w:r>
          </w:p>
        </w:tc>
        <w:tc>
          <w:tcPr>
            <w:tcW w:w="3686" w:type="dxa"/>
            <w:vAlign w:val="center"/>
          </w:tcPr>
          <w:p w14:paraId="12D2BE5F" w14:textId="7FE19131"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Produce calificări încadrate în niveluri CNC (4–8, în funcție de nivelul de studii)</w:t>
            </w:r>
          </w:p>
        </w:tc>
        <w:tc>
          <w:tcPr>
            <w:tcW w:w="4104" w:type="dxa"/>
            <w:vAlign w:val="center"/>
          </w:tcPr>
          <w:p w14:paraId="39DDEF3F" w14:textId="0B8C05C2" w:rsidR="001E6BDD" w:rsidRPr="0020102C" w:rsidRDefault="001E6BDD" w:rsidP="005D2B58">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Nu generează calificări CNC, dar sprijină dezvoltarea aptitudinilor și pregătirea pentru programe formale</w:t>
            </w:r>
          </w:p>
        </w:tc>
      </w:tr>
    </w:tbl>
    <w:p w14:paraId="7EA719B8" w14:textId="4CA4A77F" w:rsidR="00695C3F" w:rsidRPr="0020102C" w:rsidRDefault="00695C3F"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3.2.6. Educația incluzivă</w:t>
      </w:r>
    </w:p>
    <w:p w14:paraId="1FF005FC" w14:textId="77777777" w:rsidR="00211B56" w:rsidRPr="0020102C" w:rsidRDefault="00211B56" w:rsidP="005C4FE9">
      <w:pPr>
        <w:pStyle w:val="af8"/>
        <w:spacing w:before="120" w:beforeAutospacing="0" w:after="120" w:afterAutospacing="0" w:line="276" w:lineRule="auto"/>
        <w:jc w:val="both"/>
      </w:pPr>
      <w:r w:rsidRPr="0020102C">
        <w:t>Conform Codului educației, învățământul pentru copiii și elevii cu cerințe educaționale speciale (CES) este parte integrantă a sistemului național de educație și are drept scop educarea, reabilitarea și/sau recuperarea, precum și incluziunea educațională, socială și profesională a persoanelor cu dificultăți de învățare, de comunicare și interacțiune, cu deficiențe senzoriale, fizice, emoționale, comportamentale sau sociale (art. 32). Educația incluzivă se bazează pe principiul accesului egal la educație pentru toți și urmărește integrarea în comunitatea școlară, familială și socială.</w:t>
      </w:r>
    </w:p>
    <w:p w14:paraId="562244BA" w14:textId="77777777" w:rsidR="00211B56" w:rsidRPr="0020102C" w:rsidRDefault="00211B56" w:rsidP="005C4FE9">
      <w:pPr>
        <w:pStyle w:val="af8"/>
        <w:spacing w:before="120" w:beforeAutospacing="0" w:after="120" w:afterAutospacing="0" w:line="276" w:lineRule="auto"/>
        <w:jc w:val="both"/>
      </w:pPr>
      <w:r w:rsidRPr="0020102C">
        <w:rPr>
          <w:rStyle w:val="af9"/>
          <w:rFonts w:eastAsiaTheme="majorEastAsia"/>
        </w:rPr>
        <w:t>Forme de organizare:</w:t>
      </w:r>
      <w:r w:rsidRPr="0020102C">
        <w:t xml:space="preserve"> Învățământul pentru copiii și elevii cu CES este gratuit și se realizează în:</w:t>
      </w:r>
    </w:p>
    <w:p w14:paraId="7BB3658A" w14:textId="77777777" w:rsidR="00211B56" w:rsidRPr="0020102C" w:rsidRDefault="00211B56" w:rsidP="00A41843">
      <w:pPr>
        <w:pStyle w:val="af8"/>
        <w:numPr>
          <w:ilvl w:val="0"/>
          <w:numId w:val="27"/>
        </w:numPr>
        <w:spacing w:before="120" w:beforeAutospacing="0" w:after="120" w:afterAutospacing="0" w:line="276" w:lineRule="auto"/>
        <w:jc w:val="both"/>
      </w:pPr>
      <w:r w:rsidRPr="0020102C">
        <w:t>instituții de învățământ general,</w:t>
      </w:r>
    </w:p>
    <w:p w14:paraId="2C4B5466" w14:textId="77777777" w:rsidR="00211B56" w:rsidRPr="0020102C" w:rsidRDefault="00211B56" w:rsidP="00A41843">
      <w:pPr>
        <w:pStyle w:val="af8"/>
        <w:numPr>
          <w:ilvl w:val="0"/>
          <w:numId w:val="27"/>
        </w:numPr>
        <w:spacing w:before="120" w:beforeAutospacing="0" w:after="120" w:afterAutospacing="0" w:line="276" w:lineRule="auto"/>
        <w:jc w:val="both"/>
      </w:pPr>
      <w:r w:rsidRPr="0020102C">
        <w:t>instituții de învățământ special,</w:t>
      </w:r>
    </w:p>
    <w:p w14:paraId="60F18ADE" w14:textId="77777777" w:rsidR="00211B56" w:rsidRPr="0020102C" w:rsidRDefault="00211B56" w:rsidP="00A41843">
      <w:pPr>
        <w:pStyle w:val="af8"/>
        <w:numPr>
          <w:ilvl w:val="0"/>
          <w:numId w:val="27"/>
        </w:numPr>
        <w:spacing w:before="120" w:beforeAutospacing="0" w:after="120" w:afterAutospacing="0" w:line="276" w:lineRule="auto"/>
        <w:jc w:val="both"/>
      </w:pPr>
      <w:r w:rsidRPr="0020102C">
        <w:t>prin instruire la domiciliu.</w:t>
      </w:r>
    </w:p>
    <w:p w14:paraId="2D69613C" w14:textId="4F4FA8E6" w:rsidR="00211B56" w:rsidRPr="0020102C" w:rsidRDefault="00211B56" w:rsidP="005C4FE9">
      <w:pPr>
        <w:pStyle w:val="af8"/>
        <w:spacing w:before="120" w:beforeAutospacing="0" w:after="120" w:afterAutospacing="0" w:line="276" w:lineRule="auto"/>
        <w:jc w:val="both"/>
      </w:pPr>
      <w:r w:rsidRPr="0020102C">
        <w:t xml:space="preserve">Integrarea se face prin înscriere în clase obișnuite sau în clase/grupe speciale, pe baza evaluării individualizate realizate de structuri abilitate conform metodologiilor aprobate de </w:t>
      </w:r>
      <w:r w:rsidR="006D6BA7" w:rsidRPr="001F6026">
        <w:t>MEC</w:t>
      </w:r>
      <w:r w:rsidRPr="0020102C">
        <w:t>.</w:t>
      </w:r>
    </w:p>
    <w:p w14:paraId="7E8A3A3C" w14:textId="77777777" w:rsidR="00211B56" w:rsidRPr="0020102C" w:rsidRDefault="00211B56" w:rsidP="005C4FE9">
      <w:pPr>
        <w:pStyle w:val="af8"/>
        <w:spacing w:before="120" w:beforeAutospacing="0" w:after="120" w:afterAutospacing="0" w:line="276" w:lineRule="auto"/>
        <w:jc w:val="both"/>
      </w:pPr>
      <w:r w:rsidRPr="0020102C">
        <w:rPr>
          <w:rStyle w:val="af9"/>
          <w:rFonts w:eastAsiaTheme="majorEastAsia"/>
        </w:rPr>
        <w:t>Servicii educaționale de sprijin:</w:t>
      </w:r>
      <w:r w:rsidRPr="0020102C">
        <w:t xml:space="preserve"> În instituțiile de învățământ general pot fi organizate servicii de specializare înaltă de tip Unități de educație incluzivă sau alte servicii destinate copiilor cu dizabilități severe. În aceste instituții activează cadre didactice de sprijin abilitate pentru incluziunea elevilor cu CES. Personalul didactic este calificat în psihopedagogie specială și beneficiază de formare specifică. De asemenea, instituțiile de învățământ general și special colaborează cu structuri sociale, organizații publice sau private, pentru a asigura suport educațional, psihopedagogic și social.</w:t>
      </w:r>
    </w:p>
    <w:p w14:paraId="62D7DCB7" w14:textId="394382E8" w:rsidR="004A6EA5" w:rsidRPr="0020102C" w:rsidRDefault="00211B56" w:rsidP="005C4FE9">
      <w:pPr>
        <w:pStyle w:val="af8"/>
        <w:spacing w:before="120" w:beforeAutospacing="0" w:after="120" w:afterAutospacing="0" w:line="276" w:lineRule="auto"/>
        <w:jc w:val="both"/>
      </w:pPr>
      <w:r w:rsidRPr="0020102C">
        <w:rPr>
          <w:rStyle w:val="af9"/>
          <w:rFonts w:eastAsiaTheme="majorEastAsia"/>
        </w:rPr>
        <w:t xml:space="preserve">Trăsături curriculare </w:t>
      </w:r>
      <w:r w:rsidR="001D5076" w:rsidRPr="0020102C">
        <w:rPr>
          <w:rStyle w:val="af9"/>
          <w:rFonts w:eastAsiaTheme="majorEastAsia"/>
        </w:rPr>
        <w:t>și evaluarea elevilor cu CES:</w:t>
      </w:r>
      <w:r w:rsidRPr="0020102C">
        <w:t xml:space="preserve"> Învățământul special se desfășoară conform Curriculumului național și planurilor-cadru aprobate de Minister, precum și în baza planurilor educaționale individualizate</w:t>
      </w:r>
      <w:r w:rsidR="00D645CA" w:rsidRPr="0020102C">
        <w:t xml:space="preserve"> (PEI).</w:t>
      </w:r>
      <w:r w:rsidR="001D5076" w:rsidRPr="0020102C">
        <w:t xml:space="preserve"> </w:t>
      </w:r>
      <w:r w:rsidR="001D5076" w:rsidRPr="0020102C">
        <w:rPr>
          <w:rStyle w:val="af9"/>
          <w:rFonts w:eastAsiaTheme="majorEastAsia"/>
          <w:b w:val="0"/>
          <w:bCs w:val="0"/>
        </w:rPr>
        <w:t>Evaluarea elevilor cu CES</w:t>
      </w:r>
      <w:r w:rsidR="001D5076" w:rsidRPr="0020102C">
        <w:rPr>
          <w:b/>
          <w:bCs/>
        </w:rPr>
        <w:t xml:space="preserve"> </w:t>
      </w:r>
      <w:r w:rsidR="004A6EA5" w:rsidRPr="0020102C">
        <w:t xml:space="preserve">se bazează pe aceleași standarde curriculare ca și pentru ceilalți elevi, însă se aplică adaptări rezonabile </w:t>
      </w:r>
      <w:r w:rsidR="007D50E0" w:rsidRPr="0020102C">
        <w:t>stabilite în PEI.</w:t>
      </w:r>
      <w:r w:rsidR="004A6EA5" w:rsidRPr="0020102C">
        <w:t xml:space="preserve"> Rezultatele evaluării au aceeași valoare juridică și recunoaștere ca în învățământul general</w:t>
      </w:r>
      <w:r w:rsidR="00E656EB" w:rsidRPr="0020102C">
        <w:t>.</w:t>
      </w:r>
      <w:r w:rsidR="004A6EA5" w:rsidRPr="0020102C">
        <w:t xml:space="preserve"> Prin urmare, sistemul asigură echitate în accesul la calificări, chiar dacă procesul de învățare și evaluare este adaptat.</w:t>
      </w:r>
    </w:p>
    <w:p w14:paraId="62E3E413" w14:textId="77777777" w:rsidR="00211B56" w:rsidRPr="0020102C" w:rsidRDefault="00211B56" w:rsidP="005C4FE9">
      <w:pPr>
        <w:pStyle w:val="af8"/>
        <w:spacing w:before="120" w:beforeAutospacing="0" w:after="120" w:afterAutospacing="0" w:line="276" w:lineRule="auto"/>
        <w:jc w:val="both"/>
      </w:pPr>
      <w:r w:rsidRPr="0020102C">
        <w:rPr>
          <w:rStyle w:val="af9"/>
          <w:rFonts w:eastAsiaTheme="majorEastAsia"/>
        </w:rPr>
        <w:t>Educația incluzivă și CNC:</w:t>
      </w:r>
      <w:r w:rsidRPr="0020102C">
        <w:t xml:space="preserve"> Educația incluzivă nu reprezintă un nivel distinct de calificare în Cadrul Național al Calificărilor (CNC), ci constituie o dimensiune transversală aplicabilă tuturor nivelurilor și tipurilor de educație. Actele de studii obținute de elevii cu CES (de exemplu: certificat de studii gimnaziale, diplomă de bacalaureat, certificat/diplomă profesională etc.) sunt identice ca format, conținut și valoare juridică cu cele ale tuturor elevilor. Prin urmare, CNC garantează recunoașterea egală a calificărilor, indiferent de particularitățile individuale ale beneficiarilor.</w:t>
      </w:r>
    </w:p>
    <w:p w14:paraId="5BB18AB6" w14:textId="77777777" w:rsidR="00211B56" w:rsidRPr="0020102C" w:rsidRDefault="00211B56" w:rsidP="005C4FE9">
      <w:pPr>
        <w:pStyle w:val="af8"/>
        <w:spacing w:before="120" w:beforeAutospacing="0" w:after="120" w:afterAutospacing="0" w:line="276" w:lineRule="auto"/>
        <w:jc w:val="both"/>
      </w:pPr>
      <w:r w:rsidRPr="0020102C">
        <w:rPr>
          <w:rStyle w:val="af9"/>
          <w:rFonts w:eastAsiaTheme="majorEastAsia"/>
          <w:i/>
          <w:iCs/>
        </w:rPr>
        <w:t>Notă metodologică</w:t>
      </w:r>
      <w:r w:rsidRPr="0020102C">
        <w:rPr>
          <w:rStyle w:val="af9"/>
          <w:rFonts w:eastAsiaTheme="majorEastAsia"/>
        </w:rPr>
        <w:t>:</w:t>
      </w:r>
      <w:r w:rsidRPr="0020102C">
        <w:t xml:space="preserve"> În procesul de referențiere la EQF, educația incluzivă trebuie analizată nu ca furnizoare de calificări distincte, ci ca mecanism de asigurare a accesului echitabil la aceleași calificări recunoscute la nivel național și european. Aceasta înseamnă că toate calificările descrise în CNC se aplică uniform, iar </w:t>
      </w:r>
      <w:r w:rsidRPr="0020102C">
        <w:lastRenderedPageBreak/>
        <w:t>educația incluzivă oferă suportul necesar pentru ca persoanele cu CES să atingă rezultatele de învățare și să obțină calificările oficiale.</w:t>
      </w:r>
    </w:p>
    <w:p w14:paraId="24C3208E" w14:textId="382505EC" w:rsidR="007A23F3" w:rsidRPr="007A7643" w:rsidRDefault="007A23F3" w:rsidP="005C4FE9">
      <w:pPr>
        <w:spacing w:before="120" w:after="120" w:line="276" w:lineRule="auto"/>
        <w:jc w:val="both"/>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w:t>
      </w:r>
      <w:r w:rsidR="00FD6B6F" w:rsidRPr="0020102C">
        <w:rPr>
          <w:rStyle w:val="af9"/>
          <w:rFonts w:ascii="Times New Roman" w:eastAsiaTheme="majorEastAsia" w:hAnsi="Times New Roman" w:cs="Times New Roman"/>
          <w:color w:val="3494BA" w:themeColor="accent1"/>
          <w:sz w:val="24"/>
          <w:szCs w:val="24"/>
          <w:lang w:eastAsia="ro-MD"/>
        </w:rPr>
        <w:t>7</w:t>
      </w:r>
      <w:r w:rsidRPr="0020102C">
        <w:rPr>
          <w:rStyle w:val="af9"/>
          <w:rFonts w:ascii="Times New Roman" w:eastAsiaTheme="majorEastAsia" w:hAnsi="Times New Roman" w:cs="Times New Roman"/>
          <w:color w:val="3494BA" w:themeColor="accent1"/>
          <w:sz w:val="24"/>
          <w:szCs w:val="24"/>
          <w:lang w:eastAsia="ro-MD"/>
        </w:rPr>
        <w:t>. Învățământ extrașcolar</w:t>
      </w:r>
    </w:p>
    <w:p w14:paraId="6CC4A254" w14:textId="77777777" w:rsidR="007A23F3" w:rsidRPr="0020102C" w:rsidRDefault="007A23F3"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Învățământul extrașcolar are rolul de a completa și valorifica procesul educațional desfășurat în instituțiile școlare, prin activități care contribuie la dezvoltarea potențialului cognitiv, afectiv și acțional al copiilor și tinerilor, răspunzând intereselor și opțiunilor acestora pentru timpul liber. El oferă posibilități suplimentare de informare, documentare, comunicare, dezvoltare, incluziune socială și autorealizare.</w:t>
      </w:r>
    </w:p>
    <w:p w14:paraId="4E9459F0" w14:textId="77777777" w:rsidR="007A23F3" w:rsidRPr="0020102C" w:rsidRDefault="007A23F3"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Forme de organizare:</w:t>
      </w:r>
      <w:r w:rsidRPr="0020102C">
        <w:rPr>
          <w:rFonts w:ascii="Times New Roman" w:eastAsia="Times New Roman" w:hAnsi="Times New Roman" w:cs="Times New Roman"/>
          <w:kern w:val="0"/>
          <w:sz w:val="24"/>
          <w:szCs w:val="24"/>
          <w:lang w:eastAsia="ro-MD"/>
          <w14:ligatures w14:val="none"/>
        </w:rPr>
        <w:t xml:space="preserve"> Învățământul extrașcolar este benevol și se realizează prin instituții specializate publice și private (centre, palate și case de creație, școli de arte, școli de sport, tabere de odihnă, centre sportive pentru pregătirea loturilor naționale etc.), dar și în instituțiile de învățământ general, în baza intereselor și opțiunilor copiilor și tinerilor. Activitățile se desfășoară individual sau în grup, sub îndrumarea cadrelor didactice cu pregătire specifică, în colaborare cu familia, unități socioculturale, organizații de copii și tineret sau mass-media.</w:t>
      </w:r>
    </w:p>
    <w:p w14:paraId="2C4B3BE8" w14:textId="77777777" w:rsidR="007A23F3" w:rsidRPr="0020102C" w:rsidRDefault="007A23F3"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Instituțiile de învățământ extrașcolar funcționează în baza unui regulament-tip aprobat de Ministerul Educației și Cercetării și a regulamentelor proprii coordonate cu autoritățile locale. Accesul la serviciile educaționale gratuite este deschis tuturor beneficiarilor cu vârste între 5 și 21 de ani, în condiții de egalitate și nediscriminare.</w:t>
      </w:r>
    </w:p>
    <w:p w14:paraId="5D460673" w14:textId="77777777" w:rsidR="007A23F3" w:rsidRPr="0020102C" w:rsidRDefault="007A23F3"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Învățământul extrașcolar și CNC:</w:t>
      </w:r>
      <w:r w:rsidRPr="0020102C">
        <w:rPr>
          <w:rFonts w:ascii="Times New Roman" w:eastAsia="Times New Roman" w:hAnsi="Times New Roman" w:cs="Times New Roman"/>
          <w:kern w:val="0"/>
          <w:sz w:val="24"/>
          <w:szCs w:val="24"/>
          <w:lang w:eastAsia="ro-MD"/>
          <w14:ligatures w14:val="none"/>
        </w:rPr>
        <w:t xml:space="preserve"> Activitățile extrașcolare nu conduc la obținerea unor calificări profesionale recunoscute în Cadrul Național al Calificărilor (CNC), ci au un rol complementar și formativ. Documentele eliberate (certificate de participare, diplome de merit, atestate de performanță sportivă sau artistică) atestă competențe și aptitudini individuale, dar nu sunt încadrate ca „calificări” în sensul CNC/EQF.</w:t>
      </w:r>
    </w:p>
    <w:p w14:paraId="62725B71" w14:textId="77777777" w:rsidR="007A23F3" w:rsidRPr="0020102C" w:rsidRDefault="007A23F3"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i/>
          <w:iCs/>
          <w:kern w:val="0"/>
          <w:sz w:val="24"/>
          <w:szCs w:val="24"/>
          <w:lang w:eastAsia="ro-MD"/>
          <w14:ligatures w14:val="none"/>
        </w:rPr>
        <w:t>Notă metodologică:</w:t>
      </w:r>
      <w:r w:rsidRPr="0020102C">
        <w:rPr>
          <w:rFonts w:ascii="Times New Roman" w:eastAsia="Times New Roman" w:hAnsi="Times New Roman" w:cs="Times New Roman"/>
          <w:kern w:val="0"/>
          <w:sz w:val="24"/>
          <w:szCs w:val="24"/>
          <w:lang w:eastAsia="ro-MD"/>
          <w14:ligatures w14:val="none"/>
        </w:rPr>
        <w:t xml:space="preserve"> Învățământul extrașcolar este un spațiu flexibil de formare nonformală și informală, care susține dezvoltarea personală și pregătirea pentru viață. Din perspectiva CNC, activitățile extrașcolare pot contribui la acumularea de rezultate ale învățării cu valoare educațională și socială, însă acestea nu sunt recunoscute ca niveluri de calificare.</w:t>
      </w:r>
    </w:p>
    <w:p w14:paraId="327A1933" w14:textId="513F86F3" w:rsidR="00F871A1" w:rsidRPr="0020102C" w:rsidRDefault="00F871A1"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3.2.</w:t>
      </w:r>
      <w:r w:rsidR="004731B1" w:rsidRPr="0020102C">
        <w:rPr>
          <w:rStyle w:val="af9"/>
          <w:rFonts w:ascii="Times New Roman" w:eastAsiaTheme="majorEastAsia" w:hAnsi="Times New Roman" w:cs="Times New Roman"/>
          <w:color w:val="3494BA" w:themeColor="accent1"/>
          <w:sz w:val="24"/>
          <w:szCs w:val="24"/>
          <w:lang w:eastAsia="ro-MD"/>
        </w:rPr>
        <w:t>8</w:t>
      </w:r>
      <w:r w:rsidRPr="0020102C">
        <w:rPr>
          <w:rStyle w:val="af9"/>
          <w:rFonts w:ascii="Times New Roman" w:eastAsiaTheme="majorEastAsia" w:hAnsi="Times New Roman" w:cs="Times New Roman"/>
          <w:color w:val="3494BA" w:themeColor="accent1"/>
          <w:sz w:val="24"/>
          <w:szCs w:val="24"/>
          <w:lang w:eastAsia="ro-MD"/>
        </w:rPr>
        <w:t>. Alternativele educaționale</w:t>
      </w:r>
    </w:p>
    <w:p w14:paraId="11257805" w14:textId="77777777" w:rsidR="00F871A1" w:rsidRPr="0020102C" w:rsidRDefault="00F871A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Alternativele educaționale reprezintă o expresie a pluralismului educațional și răspund dreptului la educație diferențiată. Ele oferă elevilor și familiilor posibilitatea de a alege modele pedagogice diferite de învățământul tradițional, păstrându-se totuși integrarea în sistemul național de educație.</w:t>
      </w:r>
    </w:p>
    <w:p w14:paraId="657A1E06" w14:textId="77777777" w:rsidR="00F871A1" w:rsidRPr="0020102C" w:rsidRDefault="00F871A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Forme de organizare:</w:t>
      </w:r>
      <w:r w:rsidRPr="0020102C">
        <w:rPr>
          <w:rFonts w:ascii="Times New Roman" w:eastAsia="Times New Roman" w:hAnsi="Times New Roman" w:cs="Times New Roman"/>
          <w:kern w:val="0"/>
          <w:sz w:val="24"/>
          <w:szCs w:val="24"/>
          <w:lang w:eastAsia="ro-MD"/>
          <w14:ligatures w14:val="none"/>
        </w:rPr>
        <w:t xml:space="preserve"> Alternativele educaționale, publice sau private, se înființează cu aprobarea Ministerului Educației și Cercetării și beneficiază de autonomie organizațională, desfășurându-și activitatea în conformitate cu standardele educaționale de stat și cu specificul pedagogic al fiecărei alternative. Nu există districte școlare stabilite pentru alternative, ceea ce oferă libertate în alegerea școlii.</w:t>
      </w:r>
    </w:p>
    <w:p w14:paraId="18DEAD97" w14:textId="77777777" w:rsidR="00F871A1" w:rsidRPr="0020102C" w:rsidRDefault="00F871A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 și funcționare:</w:t>
      </w:r>
      <w:r w:rsidRPr="0020102C">
        <w:rPr>
          <w:rFonts w:ascii="Times New Roman" w:eastAsia="Times New Roman" w:hAnsi="Times New Roman" w:cs="Times New Roman"/>
          <w:kern w:val="0"/>
          <w:sz w:val="24"/>
          <w:szCs w:val="24"/>
          <w:lang w:eastAsia="ro-MD"/>
          <w14:ligatures w14:val="none"/>
        </w:rPr>
        <w:t xml:space="preserve"> Ministerul Educației și Cercetării stabilește modul de organizare, evaluare și acreditare al alternativelor educaționale. Acestea funcționează conform regulamentelor proprii și asigură respectarea standardelor curriculare de bază, dar pot utiliza metode, forme de organizare și instrumente de evaluare specifice modelului pedagogic adoptat.</w:t>
      </w:r>
    </w:p>
    <w:p w14:paraId="31B6326D" w14:textId="77777777" w:rsidR="00F871A1" w:rsidRPr="0020102C" w:rsidRDefault="00F871A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Alternativele educaționale și CNC:</w:t>
      </w:r>
      <w:r w:rsidRPr="0020102C">
        <w:rPr>
          <w:rFonts w:ascii="Times New Roman" w:eastAsia="Times New Roman" w:hAnsi="Times New Roman" w:cs="Times New Roman"/>
          <w:kern w:val="0"/>
          <w:sz w:val="24"/>
          <w:szCs w:val="24"/>
          <w:lang w:eastAsia="ro-MD"/>
          <w14:ligatures w14:val="none"/>
        </w:rPr>
        <w:t xml:space="preserve"> În relația cu CNC, alternativele educaționale nu generează calificări distincte, ci oferă rute alternative pentru obținerea acelorași calificări reglementate în sistemul național (certificat de studii gimnaziale, diplomă de bacalaureat, diplome profesionale etc.). Astfel, absolvenții </w:t>
      </w:r>
      <w:r w:rsidRPr="0020102C">
        <w:rPr>
          <w:rFonts w:ascii="Times New Roman" w:eastAsia="Times New Roman" w:hAnsi="Times New Roman" w:cs="Times New Roman"/>
          <w:kern w:val="0"/>
          <w:sz w:val="24"/>
          <w:szCs w:val="24"/>
          <w:lang w:eastAsia="ro-MD"/>
          <w14:ligatures w14:val="none"/>
        </w:rPr>
        <w:lastRenderedPageBreak/>
        <w:t>alternativelor educaționale obțin documente cu aceeași valoare juridică și acces la aceleași niveluri de calificare descrise în CNC/EQF.</w:t>
      </w:r>
    </w:p>
    <w:p w14:paraId="35B95EC2" w14:textId="77777777" w:rsidR="00F871A1" w:rsidRPr="0020102C" w:rsidRDefault="00F871A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i/>
          <w:iCs/>
          <w:kern w:val="0"/>
          <w:sz w:val="24"/>
          <w:szCs w:val="24"/>
          <w:lang w:eastAsia="ro-MD"/>
          <w14:ligatures w14:val="none"/>
        </w:rPr>
        <w:t>Notă metodologică:</w:t>
      </w:r>
      <w:r w:rsidRPr="0020102C">
        <w:rPr>
          <w:rFonts w:ascii="Times New Roman" w:eastAsia="Times New Roman" w:hAnsi="Times New Roman" w:cs="Times New Roman"/>
          <w:kern w:val="0"/>
          <w:sz w:val="24"/>
          <w:szCs w:val="24"/>
          <w:lang w:eastAsia="ro-MD"/>
          <w14:ligatures w14:val="none"/>
        </w:rPr>
        <w:t xml:space="preserve"> Alternativele educaționale contribuie la diversificarea sistemului, dar nu afectează unitatea recunoașterii calificărilor. Din perspectiva CNC și EQF, ele constituie modalități diferite de atingere a acelorași rezultate de învățare, asigurând libertatea de alegere și respectarea pluralismului educațional.</w:t>
      </w:r>
    </w:p>
    <w:p w14:paraId="61D07251" w14:textId="77777777" w:rsidR="00472FB4" w:rsidRPr="0020102C" w:rsidRDefault="00472FB4" w:rsidP="005C4FE9">
      <w:pPr>
        <w:spacing w:before="120" w:after="120" w:line="276" w:lineRule="auto"/>
        <w:jc w:val="both"/>
        <w:rPr>
          <w:rFonts w:ascii="Times New Roman" w:eastAsia="Times New Roman" w:hAnsi="Times New Roman" w:cs="Times New Roman"/>
          <w:kern w:val="0"/>
          <w:sz w:val="24"/>
          <w:szCs w:val="24"/>
          <w:lang w:eastAsia="ro-MD"/>
          <w14:ligatures w14:val="none"/>
        </w:rPr>
      </w:pPr>
    </w:p>
    <w:p w14:paraId="316B926A" w14:textId="190CE4A7" w:rsidR="009E411F" w:rsidRPr="0020102C" w:rsidRDefault="009E411F"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3.3. Î</w:t>
      </w:r>
      <w:r w:rsidR="00B12BA4" w:rsidRPr="0020102C">
        <w:rPr>
          <w:rStyle w:val="af9"/>
          <w:rFonts w:ascii="Times New Roman" w:eastAsiaTheme="majorEastAsia" w:hAnsi="Times New Roman" w:cs="Times New Roman"/>
          <w:color w:val="3494BA" w:themeColor="accent1"/>
          <w:sz w:val="24"/>
          <w:szCs w:val="24"/>
          <w:lang w:eastAsia="ro-MD"/>
        </w:rPr>
        <w:t>NVĂȚĂMÂNTUL PROFESIONAL TEHNIC</w:t>
      </w:r>
    </w:p>
    <w:p w14:paraId="2A768ED7" w14:textId="588CCD68" w:rsidR="00F12C24" w:rsidRPr="0020102C" w:rsidRDefault="00F12C24"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Învățământul profesional tehnic (ÎPT) este parte integrantă a sistemului național de educație. Misiunea sa este de a pregăti viitorii </w:t>
      </w:r>
      <w:r w:rsidR="002A66A3">
        <w:rPr>
          <w:rFonts w:ascii="Times New Roman" w:eastAsia="Times New Roman" w:hAnsi="Times New Roman" w:cs="Times New Roman"/>
          <w:kern w:val="0"/>
          <w:sz w:val="24"/>
          <w:szCs w:val="24"/>
          <w:lang w:eastAsia="ro-MD"/>
          <w14:ligatures w14:val="none"/>
        </w:rPr>
        <w:t>muncitori calificați</w:t>
      </w:r>
      <w:r w:rsidR="00BC66C2">
        <w:rPr>
          <w:rFonts w:ascii="Times New Roman" w:eastAsia="Times New Roman" w:hAnsi="Times New Roman" w:cs="Times New Roman"/>
          <w:kern w:val="0"/>
          <w:sz w:val="24"/>
          <w:szCs w:val="24"/>
          <w:lang w:eastAsia="ro-MD"/>
          <w14:ligatures w14:val="none"/>
        </w:rPr>
        <w:t>, maiștri</w:t>
      </w:r>
      <w:r w:rsidR="002A66A3">
        <w:rPr>
          <w:rFonts w:ascii="Times New Roman" w:eastAsia="Times New Roman" w:hAnsi="Times New Roman" w:cs="Times New Roman"/>
          <w:kern w:val="0"/>
          <w:sz w:val="24"/>
          <w:szCs w:val="24"/>
          <w:lang w:eastAsia="ro-MD"/>
          <w14:ligatures w14:val="none"/>
        </w:rPr>
        <w:t xml:space="preserve"> şi tehnicieni </w:t>
      </w:r>
      <w:r w:rsidRPr="0020102C">
        <w:rPr>
          <w:rFonts w:ascii="Times New Roman" w:eastAsia="Times New Roman" w:hAnsi="Times New Roman" w:cs="Times New Roman"/>
          <w:kern w:val="0"/>
          <w:sz w:val="24"/>
          <w:szCs w:val="24"/>
          <w:lang w:eastAsia="ro-MD"/>
          <w14:ligatures w14:val="none"/>
        </w:rPr>
        <w:t>pentru diferite domenii economice și sociale și de a dezvolta competențele necesare pentru integrarea pe piața muncii.</w:t>
      </w:r>
    </w:p>
    <w:p w14:paraId="21529511" w14:textId="5188E028" w:rsidR="00F12C24" w:rsidRPr="0020102C" w:rsidRDefault="00F12C24"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Organizarea generală este reglementată de </w:t>
      </w:r>
      <w:r w:rsidRPr="0020102C">
        <w:rPr>
          <w:rFonts w:ascii="Times New Roman" w:eastAsia="Times New Roman" w:hAnsi="Times New Roman" w:cs="Times New Roman"/>
          <w:b/>
          <w:bCs/>
          <w:kern w:val="0"/>
          <w:sz w:val="24"/>
          <w:szCs w:val="24"/>
          <w:lang w:eastAsia="ro-MD"/>
          <w14:ligatures w14:val="none"/>
        </w:rPr>
        <w:t>Codul educației</w:t>
      </w:r>
      <w:r w:rsidRPr="0020102C">
        <w:rPr>
          <w:rFonts w:ascii="Times New Roman" w:eastAsia="Times New Roman" w:hAnsi="Times New Roman" w:cs="Times New Roman"/>
          <w:kern w:val="0"/>
          <w:sz w:val="24"/>
          <w:szCs w:val="24"/>
          <w:lang w:eastAsia="ro-MD"/>
          <w14:ligatures w14:val="none"/>
        </w:rPr>
        <w:t xml:space="preserve"> și de </w:t>
      </w:r>
      <w:r w:rsidRPr="0020102C">
        <w:rPr>
          <w:rFonts w:ascii="Times New Roman" w:eastAsia="Times New Roman" w:hAnsi="Times New Roman" w:cs="Times New Roman"/>
          <w:b/>
          <w:bCs/>
          <w:kern w:val="0"/>
          <w:sz w:val="24"/>
          <w:szCs w:val="24"/>
          <w:lang w:eastAsia="ro-MD"/>
          <w14:ligatures w14:val="none"/>
        </w:rPr>
        <w:t>Regulamentul-cadru</w:t>
      </w:r>
      <w:r w:rsidRPr="0020102C">
        <w:rPr>
          <w:rFonts w:ascii="Times New Roman" w:eastAsia="Times New Roman" w:hAnsi="Times New Roman" w:cs="Times New Roman"/>
          <w:kern w:val="0"/>
          <w:sz w:val="24"/>
          <w:szCs w:val="24"/>
          <w:lang w:eastAsia="ro-MD"/>
          <w14:ligatures w14:val="none"/>
        </w:rPr>
        <w:t xml:space="preserve"> aprobat de MEC. Procesul de instruire în programele de formare profesională tehnică secundară, postsecundară și postsecundară nonterțiară se desfășoară conform </w:t>
      </w:r>
      <w:r w:rsidRPr="0020102C">
        <w:rPr>
          <w:rFonts w:ascii="Times New Roman" w:eastAsia="Times New Roman" w:hAnsi="Times New Roman" w:cs="Times New Roman"/>
          <w:b/>
          <w:bCs/>
          <w:kern w:val="0"/>
          <w:sz w:val="24"/>
          <w:szCs w:val="24"/>
          <w:lang w:eastAsia="ro-MD"/>
          <w14:ligatures w14:val="none"/>
        </w:rPr>
        <w:t>standardelor naționale de referință</w:t>
      </w:r>
      <w:r w:rsidRPr="0020102C">
        <w:rPr>
          <w:rFonts w:ascii="Times New Roman" w:eastAsia="Times New Roman" w:hAnsi="Times New Roman" w:cs="Times New Roman"/>
          <w:kern w:val="0"/>
          <w:sz w:val="24"/>
          <w:szCs w:val="24"/>
          <w:lang w:eastAsia="ro-MD"/>
          <w14:ligatures w14:val="none"/>
        </w:rPr>
        <w:t xml:space="preserve"> și standardelor de acreditare elaborate de ANACEC și aprobate de Guvern. Rezultatele învățării sunt formulate în </w:t>
      </w:r>
      <w:r w:rsidRPr="0020102C">
        <w:rPr>
          <w:rFonts w:ascii="Times New Roman" w:eastAsia="Times New Roman" w:hAnsi="Times New Roman" w:cs="Times New Roman"/>
          <w:b/>
          <w:bCs/>
          <w:kern w:val="0"/>
          <w:sz w:val="24"/>
          <w:szCs w:val="24"/>
          <w:lang w:eastAsia="ro-MD"/>
          <w14:ligatures w14:val="none"/>
        </w:rPr>
        <w:t>CNC</w:t>
      </w:r>
      <w:r w:rsidRPr="0020102C">
        <w:rPr>
          <w:rFonts w:ascii="Times New Roman" w:eastAsia="Times New Roman" w:hAnsi="Times New Roman" w:cs="Times New Roman"/>
          <w:kern w:val="0"/>
          <w:sz w:val="24"/>
          <w:szCs w:val="24"/>
          <w:lang w:eastAsia="ro-MD"/>
          <w14:ligatures w14:val="none"/>
        </w:rPr>
        <w:t>.</w:t>
      </w:r>
    </w:p>
    <w:p w14:paraId="7FF5D76E" w14:textId="77777777" w:rsidR="00F12C24" w:rsidRPr="0020102C" w:rsidRDefault="00F12C24"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lang w:eastAsia="ro-MD"/>
        </w:rPr>
        <w:t>Organizarea ÎPT</w:t>
      </w:r>
    </w:p>
    <w:p w14:paraId="2C529562" w14:textId="5AF54DD7" w:rsidR="00F12C24" w:rsidRPr="0020102C" w:rsidRDefault="00F12C24"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ÎPT formează muncitori calificați, ma</w:t>
      </w:r>
      <w:r w:rsidR="002959D4" w:rsidRPr="0020102C">
        <w:rPr>
          <w:rFonts w:ascii="Times New Roman" w:eastAsia="Times New Roman" w:hAnsi="Times New Roman" w:cs="Times New Roman"/>
          <w:kern w:val="0"/>
          <w:sz w:val="24"/>
          <w:szCs w:val="24"/>
          <w:lang w:eastAsia="ro-MD"/>
          <w14:ligatures w14:val="none"/>
        </w:rPr>
        <w:t>i</w:t>
      </w:r>
      <w:r w:rsidRPr="0020102C">
        <w:rPr>
          <w:rFonts w:ascii="Times New Roman" w:eastAsia="Times New Roman" w:hAnsi="Times New Roman" w:cs="Times New Roman"/>
          <w:kern w:val="0"/>
          <w:sz w:val="24"/>
          <w:szCs w:val="24"/>
          <w:lang w:eastAsia="ro-MD"/>
          <w14:ligatures w14:val="none"/>
        </w:rPr>
        <w:t>ștri</w:t>
      </w:r>
      <w:r w:rsidR="00F044CD">
        <w:rPr>
          <w:rFonts w:ascii="Times New Roman" w:eastAsia="Times New Roman" w:hAnsi="Times New Roman" w:cs="Times New Roman"/>
          <w:kern w:val="0"/>
          <w:sz w:val="24"/>
          <w:szCs w:val="24"/>
          <w:lang w:eastAsia="ro-MD"/>
          <w14:ligatures w14:val="none"/>
        </w:rPr>
        <w:t xml:space="preserve"> și</w:t>
      </w:r>
      <w:r w:rsidRPr="0020102C">
        <w:rPr>
          <w:rFonts w:ascii="Times New Roman" w:eastAsia="Times New Roman" w:hAnsi="Times New Roman" w:cs="Times New Roman"/>
          <w:kern w:val="0"/>
          <w:sz w:val="24"/>
          <w:szCs w:val="24"/>
          <w:lang w:eastAsia="ro-MD"/>
          <w14:ligatures w14:val="none"/>
        </w:rPr>
        <w:t xml:space="preserve"> tehnicieni conform CNC și nomenclatoarelor aprobate de Guvern.</w:t>
      </w:r>
      <w:r w:rsidR="00F57061" w:rsidRPr="0020102C">
        <w:rPr>
          <w:rFonts w:ascii="Times New Roman" w:eastAsia="Times New Roman" w:hAnsi="Times New Roman" w:cs="Times New Roman"/>
          <w:kern w:val="0"/>
          <w:sz w:val="24"/>
          <w:szCs w:val="24"/>
          <w:lang w:eastAsia="ro-MD"/>
          <w14:ligatures w14:val="none"/>
        </w:rPr>
        <w:t xml:space="preserve"> </w:t>
      </w:r>
      <w:r w:rsidR="00E06B08" w:rsidRPr="0020102C">
        <w:rPr>
          <w:rFonts w:ascii="Times New Roman" w:eastAsia="Times New Roman" w:hAnsi="Times New Roman" w:cs="Times New Roman"/>
          <w:kern w:val="0"/>
          <w:sz w:val="24"/>
          <w:szCs w:val="24"/>
          <w:lang w:eastAsia="ro-MD"/>
          <w14:ligatures w14:val="none"/>
        </w:rPr>
        <w:t>ÎPT</w:t>
      </w:r>
      <w:r w:rsidR="0097696A" w:rsidRPr="0020102C">
        <w:rPr>
          <w:rFonts w:ascii="Times New Roman" w:eastAsia="Times New Roman" w:hAnsi="Times New Roman" w:cs="Times New Roman"/>
          <w:kern w:val="0"/>
          <w:sz w:val="24"/>
          <w:szCs w:val="24"/>
          <w:lang w:eastAsia="ro-MD"/>
          <w14:ligatures w14:val="none"/>
        </w:rPr>
        <w:t xml:space="preserve"> se </w:t>
      </w:r>
      <w:r w:rsidRPr="0020102C">
        <w:rPr>
          <w:rFonts w:ascii="Times New Roman" w:eastAsia="Times New Roman" w:hAnsi="Times New Roman" w:cs="Times New Roman"/>
          <w:kern w:val="0"/>
          <w:sz w:val="24"/>
          <w:szCs w:val="24"/>
          <w:lang w:eastAsia="ro-MD"/>
          <w14:ligatures w14:val="none"/>
        </w:rPr>
        <w:t>desfășoară în școli profesionale, colegii și centre de excelență, publice și private, autorizate sau acreditate, în parteneriat cu agenți economici și organizații din domeniu.</w:t>
      </w:r>
      <w:r w:rsidR="0097696A" w:rsidRPr="0020102C">
        <w:rPr>
          <w:rFonts w:ascii="Times New Roman" w:eastAsia="Times New Roman" w:hAnsi="Times New Roman" w:cs="Times New Roman"/>
          <w:kern w:val="0"/>
          <w:sz w:val="24"/>
          <w:szCs w:val="24"/>
          <w:lang w:eastAsia="ro-MD"/>
          <w14:ligatures w14:val="none"/>
        </w:rPr>
        <w:t xml:space="preserve"> Programele </w:t>
      </w:r>
      <w:r w:rsidR="00763061" w:rsidRPr="0020102C">
        <w:rPr>
          <w:rFonts w:ascii="Times New Roman" w:eastAsia="Times New Roman" w:hAnsi="Times New Roman" w:cs="Times New Roman"/>
          <w:kern w:val="0"/>
          <w:sz w:val="24"/>
          <w:szCs w:val="24"/>
          <w:lang w:eastAsia="ro-MD"/>
          <w14:ligatures w14:val="none"/>
        </w:rPr>
        <w:t xml:space="preserve">de formare profesională sunt de trei tipuri: </w:t>
      </w:r>
    </w:p>
    <w:p w14:paraId="7739A20C" w14:textId="373FB0FF" w:rsidR="00F12C24" w:rsidRPr="0020102C" w:rsidRDefault="002A726B" w:rsidP="00A41843">
      <w:pPr>
        <w:numPr>
          <w:ilvl w:val="0"/>
          <w:numId w:val="2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Programe de </w:t>
      </w:r>
      <w:r w:rsidR="0098276E" w:rsidRPr="0020102C">
        <w:rPr>
          <w:rFonts w:ascii="Times New Roman" w:eastAsia="Times New Roman" w:hAnsi="Times New Roman" w:cs="Times New Roman"/>
          <w:kern w:val="0"/>
          <w:sz w:val="24"/>
          <w:szCs w:val="24"/>
          <w:lang w:eastAsia="ro-MD"/>
          <w14:ligatures w14:val="none"/>
        </w:rPr>
        <w:t xml:space="preserve">formare </w:t>
      </w:r>
      <w:r w:rsidR="00F12C24" w:rsidRPr="0020102C">
        <w:rPr>
          <w:rFonts w:ascii="Times New Roman" w:eastAsia="Times New Roman" w:hAnsi="Times New Roman" w:cs="Times New Roman"/>
          <w:kern w:val="0"/>
          <w:sz w:val="24"/>
          <w:szCs w:val="24"/>
          <w:lang w:eastAsia="ro-MD"/>
          <w14:ligatures w14:val="none"/>
        </w:rPr>
        <w:t>profesional</w:t>
      </w:r>
      <w:r w:rsidRPr="0020102C">
        <w:rPr>
          <w:rFonts w:ascii="Times New Roman" w:eastAsia="Times New Roman" w:hAnsi="Times New Roman" w:cs="Times New Roman"/>
          <w:kern w:val="0"/>
          <w:sz w:val="24"/>
          <w:szCs w:val="24"/>
          <w:lang w:eastAsia="ro-MD"/>
          <w14:ligatures w14:val="none"/>
        </w:rPr>
        <w:t>ă</w:t>
      </w:r>
      <w:r w:rsidR="00F12C24" w:rsidRPr="0020102C">
        <w:rPr>
          <w:rFonts w:ascii="Times New Roman" w:eastAsia="Times New Roman" w:hAnsi="Times New Roman" w:cs="Times New Roman"/>
          <w:kern w:val="0"/>
          <w:sz w:val="24"/>
          <w:szCs w:val="24"/>
          <w:lang w:eastAsia="ro-MD"/>
          <w14:ligatures w14:val="none"/>
        </w:rPr>
        <w:t xml:space="preserve"> tehnic</w:t>
      </w:r>
      <w:r w:rsidRPr="0020102C">
        <w:rPr>
          <w:rFonts w:ascii="Times New Roman" w:eastAsia="Times New Roman" w:hAnsi="Times New Roman" w:cs="Times New Roman"/>
          <w:kern w:val="0"/>
          <w:sz w:val="24"/>
          <w:szCs w:val="24"/>
          <w:lang w:eastAsia="ro-MD"/>
          <w14:ligatures w14:val="none"/>
        </w:rPr>
        <w:t>ă</w:t>
      </w:r>
      <w:r w:rsidR="00F12C24" w:rsidRPr="0020102C">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s</w:t>
      </w:r>
      <w:r w:rsidR="0098276E" w:rsidRPr="0020102C">
        <w:rPr>
          <w:rFonts w:ascii="Times New Roman" w:eastAsia="Times New Roman" w:hAnsi="Times New Roman" w:cs="Times New Roman"/>
          <w:kern w:val="0"/>
          <w:sz w:val="24"/>
          <w:szCs w:val="24"/>
          <w:lang w:eastAsia="ro-MD"/>
          <w14:ligatures w14:val="none"/>
        </w:rPr>
        <w:t>ecundar</w:t>
      </w:r>
      <w:r w:rsidRPr="0020102C">
        <w:rPr>
          <w:rFonts w:ascii="Times New Roman" w:eastAsia="Times New Roman" w:hAnsi="Times New Roman" w:cs="Times New Roman"/>
          <w:kern w:val="0"/>
          <w:sz w:val="24"/>
          <w:szCs w:val="24"/>
          <w:lang w:eastAsia="ro-MD"/>
          <w14:ligatures w14:val="none"/>
        </w:rPr>
        <w:t>ă</w:t>
      </w:r>
      <w:r w:rsidR="0098276E" w:rsidRPr="0020102C">
        <w:rPr>
          <w:rFonts w:ascii="Times New Roman" w:eastAsia="Times New Roman" w:hAnsi="Times New Roman" w:cs="Times New Roman"/>
          <w:kern w:val="0"/>
          <w:sz w:val="24"/>
          <w:szCs w:val="24"/>
          <w:lang w:eastAsia="ro-MD"/>
          <w14:ligatures w14:val="none"/>
        </w:rPr>
        <w:t xml:space="preserve"> </w:t>
      </w:r>
      <w:r w:rsidR="00F12C24" w:rsidRPr="0020102C">
        <w:rPr>
          <w:rFonts w:ascii="Times New Roman" w:eastAsia="Times New Roman" w:hAnsi="Times New Roman" w:cs="Times New Roman"/>
          <w:kern w:val="0"/>
          <w:sz w:val="24"/>
          <w:szCs w:val="24"/>
          <w:lang w:eastAsia="ro-MD"/>
          <w14:ligatures w14:val="none"/>
        </w:rPr>
        <w:t>(ISCED 3)</w:t>
      </w:r>
    </w:p>
    <w:p w14:paraId="790A9134" w14:textId="51408629" w:rsidR="00F12C24" w:rsidRPr="0020102C" w:rsidRDefault="00C438A6" w:rsidP="00A41843">
      <w:pPr>
        <w:numPr>
          <w:ilvl w:val="0"/>
          <w:numId w:val="2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Programe de formare profesională tehnică p</w:t>
      </w:r>
      <w:r w:rsidR="00F12C24" w:rsidRPr="0020102C">
        <w:rPr>
          <w:rFonts w:ascii="Times New Roman" w:eastAsia="Times New Roman" w:hAnsi="Times New Roman" w:cs="Times New Roman"/>
          <w:kern w:val="0"/>
          <w:sz w:val="24"/>
          <w:szCs w:val="24"/>
          <w:lang w:eastAsia="ro-MD"/>
          <w14:ligatures w14:val="none"/>
        </w:rPr>
        <w:t>ostsecundar</w:t>
      </w:r>
      <w:r w:rsidRPr="0020102C">
        <w:rPr>
          <w:rFonts w:ascii="Times New Roman" w:eastAsia="Times New Roman" w:hAnsi="Times New Roman" w:cs="Times New Roman"/>
          <w:kern w:val="0"/>
          <w:sz w:val="24"/>
          <w:szCs w:val="24"/>
          <w:lang w:eastAsia="ro-MD"/>
          <w14:ligatures w14:val="none"/>
        </w:rPr>
        <w:t>ă</w:t>
      </w:r>
      <w:r w:rsidR="00F12C24" w:rsidRPr="0020102C">
        <w:rPr>
          <w:rFonts w:ascii="Times New Roman" w:eastAsia="Times New Roman" w:hAnsi="Times New Roman" w:cs="Times New Roman"/>
          <w:kern w:val="0"/>
          <w:sz w:val="24"/>
          <w:szCs w:val="24"/>
          <w:lang w:eastAsia="ro-MD"/>
          <w14:ligatures w14:val="none"/>
        </w:rPr>
        <w:t xml:space="preserve"> (ISCED 4)</w:t>
      </w:r>
    </w:p>
    <w:p w14:paraId="257178FE" w14:textId="1E11546B" w:rsidR="00F12C24" w:rsidRPr="0020102C" w:rsidRDefault="00C438A6" w:rsidP="00A41843">
      <w:pPr>
        <w:numPr>
          <w:ilvl w:val="0"/>
          <w:numId w:val="2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Programe de formare profesională tehnică p</w:t>
      </w:r>
      <w:r w:rsidR="00F12C24" w:rsidRPr="0020102C">
        <w:rPr>
          <w:rFonts w:ascii="Times New Roman" w:eastAsia="Times New Roman" w:hAnsi="Times New Roman" w:cs="Times New Roman"/>
          <w:kern w:val="0"/>
          <w:sz w:val="24"/>
          <w:szCs w:val="24"/>
          <w:lang w:eastAsia="ro-MD"/>
          <w14:ligatures w14:val="none"/>
        </w:rPr>
        <w:t>ostsecundar</w:t>
      </w:r>
      <w:r w:rsidRPr="0020102C">
        <w:rPr>
          <w:rFonts w:ascii="Times New Roman" w:eastAsia="Times New Roman" w:hAnsi="Times New Roman" w:cs="Times New Roman"/>
          <w:kern w:val="0"/>
          <w:sz w:val="24"/>
          <w:szCs w:val="24"/>
          <w:lang w:eastAsia="ro-MD"/>
          <w14:ligatures w14:val="none"/>
        </w:rPr>
        <w:t>ă</w:t>
      </w:r>
      <w:r w:rsidR="00F12C24" w:rsidRPr="0020102C">
        <w:rPr>
          <w:rFonts w:ascii="Times New Roman" w:eastAsia="Times New Roman" w:hAnsi="Times New Roman" w:cs="Times New Roman"/>
          <w:kern w:val="0"/>
          <w:sz w:val="24"/>
          <w:szCs w:val="24"/>
          <w:lang w:eastAsia="ro-MD"/>
          <w14:ligatures w14:val="none"/>
        </w:rPr>
        <w:t xml:space="preserve"> nonterțiar</w:t>
      </w:r>
      <w:r w:rsidRPr="0020102C">
        <w:rPr>
          <w:rFonts w:ascii="Times New Roman" w:eastAsia="Times New Roman" w:hAnsi="Times New Roman" w:cs="Times New Roman"/>
          <w:kern w:val="0"/>
          <w:sz w:val="24"/>
          <w:szCs w:val="24"/>
          <w:lang w:eastAsia="ro-MD"/>
          <w14:ligatures w14:val="none"/>
        </w:rPr>
        <w:t>ă</w:t>
      </w:r>
      <w:r w:rsidR="00F12C24" w:rsidRPr="0020102C">
        <w:rPr>
          <w:rFonts w:ascii="Times New Roman" w:eastAsia="Times New Roman" w:hAnsi="Times New Roman" w:cs="Times New Roman"/>
          <w:kern w:val="0"/>
          <w:sz w:val="24"/>
          <w:szCs w:val="24"/>
          <w:lang w:eastAsia="ro-MD"/>
          <w14:ligatures w14:val="none"/>
        </w:rPr>
        <w:t xml:space="preserve"> (ISCED 5)</w:t>
      </w:r>
    </w:p>
    <w:p w14:paraId="07DD05B3" w14:textId="77777777" w:rsidR="00825C3B" w:rsidRPr="0020102C" w:rsidRDefault="00825C3B" w:rsidP="005C4FE9">
      <w:pPr>
        <w:pStyle w:val="af8"/>
        <w:spacing w:before="120" w:beforeAutospacing="0" w:after="120" w:afterAutospacing="0" w:line="276" w:lineRule="auto"/>
        <w:jc w:val="both"/>
      </w:pPr>
      <w:r w:rsidRPr="0020102C">
        <w:t>Învățământul profesional tehnic se organizează sub două forme principale:</w:t>
      </w:r>
    </w:p>
    <w:p w14:paraId="453056FB" w14:textId="77777777" w:rsidR="00825C3B" w:rsidRPr="0020102C" w:rsidRDefault="00825C3B" w:rsidP="00A41843">
      <w:pPr>
        <w:pStyle w:val="af8"/>
        <w:numPr>
          <w:ilvl w:val="0"/>
          <w:numId w:val="30"/>
        </w:numPr>
        <w:spacing w:before="120" w:beforeAutospacing="0" w:after="120" w:afterAutospacing="0" w:line="276" w:lineRule="auto"/>
        <w:jc w:val="both"/>
      </w:pPr>
      <w:r w:rsidRPr="0020102C">
        <w:rPr>
          <w:rStyle w:val="af9"/>
          <w:rFonts w:eastAsiaTheme="majorEastAsia"/>
        </w:rPr>
        <w:t>Învățământ clasic</w:t>
      </w:r>
      <w:r w:rsidRPr="0020102C">
        <w:t>, realizat în instituții de ÎPT prin instruire teoretică și practică în ateliere, laboratoare sau unități economice partenere.</w:t>
      </w:r>
    </w:p>
    <w:p w14:paraId="6A85A270" w14:textId="31D04FB8" w:rsidR="00825C3B" w:rsidRPr="0020102C" w:rsidRDefault="00825C3B" w:rsidP="00A41843">
      <w:pPr>
        <w:pStyle w:val="af8"/>
        <w:numPr>
          <w:ilvl w:val="0"/>
          <w:numId w:val="30"/>
        </w:numPr>
        <w:spacing w:before="120" w:beforeAutospacing="0" w:after="120" w:afterAutospacing="0" w:line="276" w:lineRule="auto"/>
        <w:jc w:val="both"/>
      </w:pPr>
      <w:r w:rsidRPr="0020102C">
        <w:rPr>
          <w:rStyle w:val="af9"/>
          <w:rFonts w:eastAsiaTheme="majorEastAsia"/>
        </w:rPr>
        <w:t>Învățământ dual</w:t>
      </w:r>
      <w:r w:rsidRPr="0020102C">
        <w:t xml:space="preserve">, organizat în parteneriat direct între instituțiile de ÎPT și agenții economici. </w:t>
      </w:r>
      <w:r w:rsidR="00C97E65" w:rsidRPr="0020102C">
        <w:t>I</w:t>
      </w:r>
      <w:r w:rsidRPr="0020102C">
        <w:t>nstruirea are loc atât în instituția de învățământ, cât și la locul de muncă. Elevii sunt în același timp angajați ai agentului economic și beneficiază de formare practică directă în producție.</w:t>
      </w:r>
    </w:p>
    <w:p w14:paraId="23B598ED" w14:textId="2CB87832" w:rsidR="00825C3B" w:rsidRPr="0020102C" w:rsidRDefault="007D135D" w:rsidP="005C4FE9">
      <w:pPr>
        <w:pStyle w:val="af8"/>
        <w:spacing w:before="120" w:beforeAutospacing="0" w:after="120" w:afterAutospacing="0" w:line="276" w:lineRule="auto"/>
        <w:jc w:val="both"/>
      </w:pPr>
      <w:r w:rsidRPr="0020102C">
        <w:t>ÎPT</w:t>
      </w:r>
      <w:r w:rsidR="00825C3B" w:rsidRPr="0020102C">
        <w:t xml:space="preserve"> poate fi organizat și în instituții rezidențiale, instituții medicale sau penitenciare.</w:t>
      </w:r>
    </w:p>
    <w:p w14:paraId="3ECD6647" w14:textId="510F9091" w:rsidR="00F12C24" w:rsidRPr="007A7643" w:rsidRDefault="00BB255E" w:rsidP="005C4FE9">
      <w:pPr>
        <w:spacing w:before="120" w:after="120"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Style w:val="af9"/>
          <w:rFonts w:ascii="Times New Roman" w:eastAsiaTheme="majorEastAsia" w:hAnsi="Times New Roman" w:cs="Times New Roman"/>
          <w:color w:val="3494BA" w:themeColor="accent1"/>
          <w:sz w:val="24"/>
          <w:szCs w:val="24"/>
        </w:rPr>
        <w:t>C</w:t>
      </w:r>
      <w:r w:rsidR="00F12C24" w:rsidRPr="0020102C">
        <w:rPr>
          <w:rStyle w:val="af9"/>
          <w:rFonts w:ascii="Times New Roman" w:eastAsiaTheme="majorEastAsia" w:hAnsi="Times New Roman" w:cs="Times New Roman"/>
          <w:color w:val="3494BA" w:themeColor="accent1"/>
          <w:sz w:val="24"/>
          <w:szCs w:val="24"/>
          <w:lang w:eastAsia="ro-MD"/>
        </w:rPr>
        <w:t>ondiții de acces și durata programelor</w:t>
      </w:r>
    </w:p>
    <w:tbl>
      <w:tblPr>
        <w:tblStyle w:val="aff"/>
        <w:tblW w:w="0" w:type="auto"/>
        <w:tblLook w:val="04A0" w:firstRow="1" w:lastRow="0" w:firstColumn="1" w:lastColumn="0" w:noHBand="0" w:noVBand="1"/>
      </w:tblPr>
      <w:tblGrid>
        <w:gridCol w:w="3176"/>
        <w:gridCol w:w="3176"/>
        <w:gridCol w:w="3176"/>
      </w:tblGrid>
      <w:tr w:rsidR="008A29CB" w:rsidRPr="001F6026" w14:paraId="3AC16A81" w14:textId="77777777" w:rsidTr="008A29CB">
        <w:trPr>
          <w:trHeight w:val="498"/>
        </w:trPr>
        <w:tc>
          <w:tcPr>
            <w:tcW w:w="3176" w:type="dxa"/>
            <w:vAlign w:val="center"/>
          </w:tcPr>
          <w:p w14:paraId="6D27B22F" w14:textId="74D3C77C"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Nivel ISCED</w:t>
            </w:r>
          </w:p>
        </w:tc>
        <w:tc>
          <w:tcPr>
            <w:tcW w:w="3176" w:type="dxa"/>
            <w:vAlign w:val="center"/>
          </w:tcPr>
          <w:p w14:paraId="26EBA82A" w14:textId="7B98CE6A"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9821CF">
              <w:rPr>
                <w:rFonts w:ascii="Times New Roman" w:eastAsia="Times New Roman" w:hAnsi="Times New Roman" w:cs="Times New Roman"/>
                <w:b/>
                <w:bCs/>
                <w:kern w:val="0"/>
                <w:sz w:val="24"/>
                <w:szCs w:val="24"/>
                <w:lang w:eastAsia="ro-MD"/>
                <w14:ligatures w14:val="none"/>
              </w:rPr>
              <w:t>Condiții de acces</w:t>
            </w:r>
          </w:p>
        </w:tc>
        <w:tc>
          <w:tcPr>
            <w:tcW w:w="3176" w:type="dxa"/>
            <w:vAlign w:val="center"/>
          </w:tcPr>
          <w:p w14:paraId="399F2D19" w14:textId="3033A7C7"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Durata</w:t>
            </w:r>
          </w:p>
        </w:tc>
      </w:tr>
      <w:tr w:rsidR="008A29CB" w:rsidRPr="001F6026" w14:paraId="40699775" w14:textId="77777777" w:rsidTr="008A29CB">
        <w:trPr>
          <w:trHeight w:val="776"/>
        </w:trPr>
        <w:tc>
          <w:tcPr>
            <w:tcW w:w="3176" w:type="dxa"/>
            <w:vAlign w:val="center"/>
          </w:tcPr>
          <w:p w14:paraId="291FA517" w14:textId="6172565A"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3 – Secundar profesional tehnic</w:t>
            </w:r>
          </w:p>
        </w:tc>
        <w:tc>
          <w:tcPr>
            <w:tcW w:w="3176" w:type="dxa"/>
            <w:vAlign w:val="center"/>
          </w:tcPr>
          <w:p w14:paraId="3E0D2F1C" w14:textId="1E28875D"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Studii gimnaziale</w:t>
            </w:r>
            <w:r w:rsidR="00C97311">
              <w:rPr>
                <w:rFonts w:ascii="Times New Roman" w:eastAsia="Times New Roman" w:hAnsi="Times New Roman" w:cs="Times New Roman"/>
                <w:kern w:val="0"/>
                <w:sz w:val="24"/>
                <w:szCs w:val="24"/>
                <w:lang w:eastAsia="ro-MD"/>
                <w14:ligatures w14:val="none"/>
              </w:rPr>
              <w:t xml:space="preserve">, </w:t>
            </w:r>
            <w:r w:rsidR="00C97311" w:rsidRPr="00FA73FC">
              <w:rPr>
                <w:rFonts w:ascii="Times New Roman" w:hAnsi="Times New Roman" w:cs="Times New Roman"/>
                <w:sz w:val="24"/>
                <w:szCs w:val="18"/>
                <w:shd w:val="clear" w:color="auto" w:fill="FFFFFF"/>
                <w:lang w:val="it-IT"/>
              </w:rPr>
              <w:t>studii medii de cultură generală</w:t>
            </w:r>
            <w:r w:rsidR="000713E0" w:rsidRPr="00FA73FC">
              <w:rPr>
                <w:rFonts w:ascii="Times New Roman" w:hAnsi="Times New Roman" w:cs="Times New Roman"/>
                <w:sz w:val="24"/>
                <w:szCs w:val="18"/>
                <w:shd w:val="clear" w:color="auto" w:fill="FFFFFF"/>
                <w:lang w:val="it-IT"/>
              </w:rPr>
              <w:t>,</w:t>
            </w:r>
            <w:r w:rsidRPr="00FA73FC">
              <w:rPr>
                <w:rFonts w:ascii="Times New Roman" w:eastAsia="Times New Roman" w:hAnsi="Times New Roman" w:cs="Times New Roman"/>
                <w:kern w:val="0"/>
                <w:sz w:val="24"/>
                <w:szCs w:val="24"/>
                <w:lang w:eastAsia="ro-MD"/>
                <w14:ligatures w14:val="none"/>
              </w:rPr>
              <w:t xml:space="preserve"> </w:t>
            </w:r>
            <w:r w:rsidRPr="007A7643">
              <w:rPr>
                <w:rFonts w:ascii="Times New Roman" w:eastAsia="Times New Roman" w:hAnsi="Times New Roman" w:cs="Times New Roman"/>
                <w:kern w:val="0"/>
                <w:sz w:val="24"/>
                <w:szCs w:val="24"/>
                <w:lang w:eastAsia="ro-MD"/>
                <w14:ligatures w14:val="none"/>
              </w:rPr>
              <w:t>liceale</w:t>
            </w:r>
          </w:p>
        </w:tc>
        <w:tc>
          <w:tcPr>
            <w:tcW w:w="3176" w:type="dxa"/>
            <w:vAlign w:val="center"/>
          </w:tcPr>
          <w:p w14:paraId="1AD51127" w14:textId="74ED8417"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1–3 ani (în funcție de complexitate și baza de studii)</w:t>
            </w:r>
          </w:p>
        </w:tc>
      </w:tr>
      <w:tr w:rsidR="008A29CB" w:rsidRPr="001F6026" w14:paraId="1029AEE2" w14:textId="77777777" w:rsidTr="008A29CB">
        <w:trPr>
          <w:trHeight w:val="986"/>
        </w:trPr>
        <w:tc>
          <w:tcPr>
            <w:tcW w:w="3176" w:type="dxa"/>
            <w:vAlign w:val="center"/>
          </w:tcPr>
          <w:p w14:paraId="2DE43926" w14:textId="059C51D7"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20102C">
              <w:rPr>
                <w:rFonts w:ascii="Times New Roman" w:eastAsia="Times New Roman" w:hAnsi="Times New Roman" w:cs="Times New Roman"/>
                <w:b/>
                <w:bCs/>
                <w:kern w:val="0"/>
                <w:sz w:val="24"/>
                <w:szCs w:val="24"/>
                <w:lang w:eastAsia="ro-MD"/>
                <w14:ligatures w14:val="none"/>
              </w:rPr>
              <w:t>4 – Postsecundar profesional tehnic</w:t>
            </w:r>
          </w:p>
        </w:tc>
        <w:tc>
          <w:tcPr>
            <w:tcW w:w="3176" w:type="dxa"/>
            <w:vAlign w:val="center"/>
          </w:tcPr>
          <w:p w14:paraId="277131E2" w14:textId="58FC4985"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Studii gimnaziale / liceale / certificat de calificare</w:t>
            </w:r>
          </w:p>
        </w:tc>
        <w:tc>
          <w:tcPr>
            <w:tcW w:w="3176" w:type="dxa"/>
            <w:vAlign w:val="center"/>
          </w:tcPr>
          <w:p w14:paraId="3C938517" w14:textId="77692A85"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3-5 ani sau 2-3 ani (în funcție de specialitate și formă de învățământ)</w:t>
            </w:r>
          </w:p>
        </w:tc>
      </w:tr>
      <w:tr w:rsidR="008A29CB" w:rsidRPr="001F6026" w14:paraId="7433FC45" w14:textId="77777777" w:rsidTr="008A29CB">
        <w:trPr>
          <w:trHeight w:val="1129"/>
        </w:trPr>
        <w:tc>
          <w:tcPr>
            <w:tcW w:w="3176" w:type="dxa"/>
            <w:vAlign w:val="center"/>
          </w:tcPr>
          <w:p w14:paraId="2A26BCB7" w14:textId="203365C2"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B37F48">
              <w:rPr>
                <w:rFonts w:ascii="Times New Roman" w:eastAsia="Times New Roman" w:hAnsi="Times New Roman" w:cs="Times New Roman"/>
                <w:b/>
                <w:bCs/>
                <w:kern w:val="0"/>
                <w:sz w:val="24"/>
                <w:szCs w:val="24"/>
                <w:lang w:eastAsia="ro-MD"/>
                <w14:ligatures w14:val="none"/>
              </w:rPr>
              <w:lastRenderedPageBreak/>
              <w:t>5</w:t>
            </w:r>
            <w:r w:rsidRPr="0020102C">
              <w:rPr>
                <w:rFonts w:ascii="Times New Roman" w:eastAsia="Times New Roman" w:hAnsi="Times New Roman" w:cs="Times New Roman"/>
                <w:b/>
                <w:bCs/>
                <w:kern w:val="0"/>
                <w:sz w:val="24"/>
                <w:szCs w:val="24"/>
                <w:lang w:eastAsia="ro-MD"/>
                <w14:ligatures w14:val="none"/>
              </w:rPr>
              <w:t xml:space="preserve"> – Postsecundar nonterțiar</w:t>
            </w:r>
          </w:p>
        </w:tc>
        <w:tc>
          <w:tcPr>
            <w:tcW w:w="3176" w:type="dxa"/>
            <w:vAlign w:val="center"/>
          </w:tcPr>
          <w:p w14:paraId="2B229432" w14:textId="6ED37A3F"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Studii gimnaziale / diplomă de bacalaureat / echivalări recunoscute</w:t>
            </w:r>
          </w:p>
        </w:tc>
        <w:tc>
          <w:tcPr>
            <w:tcW w:w="3176" w:type="dxa"/>
            <w:vAlign w:val="center"/>
          </w:tcPr>
          <w:p w14:paraId="689C023A" w14:textId="7F6A9A20" w:rsidR="008A29CB" w:rsidRPr="0020102C" w:rsidRDefault="008A29CB" w:rsidP="008A29CB">
            <w:pPr>
              <w:spacing w:line="276" w:lineRule="auto"/>
              <w:outlineLvl w:val="2"/>
              <w:rPr>
                <w:rStyle w:val="af9"/>
                <w:rFonts w:ascii="Times New Roman" w:eastAsiaTheme="majorEastAsia" w:hAnsi="Times New Roman" w:cs="Times New Roman"/>
                <w:color w:val="3494BA" w:themeColor="accent1"/>
                <w:sz w:val="24"/>
                <w:szCs w:val="24"/>
                <w:lang w:eastAsia="ro-MD"/>
              </w:rPr>
            </w:pPr>
            <w:r w:rsidRPr="007A7643">
              <w:rPr>
                <w:rFonts w:ascii="Times New Roman" w:eastAsia="Times New Roman" w:hAnsi="Times New Roman" w:cs="Times New Roman"/>
                <w:kern w:val="0"/>
                <w:sz w:val="24"/>
                <w:szCs w:val="24"/>
                <w:lang w:eastAsia="ro-MD"/>
                <w14:ligatures w14:val="none"/>
              </w:rPr>
              <w:t>2-3 ani sau 4-5 ani (în funcție de domeniu, ex. pedagogie, sănătate)</w:t>
            </w:r>
          </w:p>
        </w:tc>
      </w:tr>
    </w:tbl>
    <w:p w14:paraId="46F86F1E" w14:textId="77777777" w:rsidR="002A2215" w:rsidRPr="007A7643" w:rsidRDefault="002A2215" w:rsidP="00A25E37">
      <w:pPr>
        <w:pStyle w:val="af8"/>
        <w:spacing w:before="120" w:beforeAutospacing="0" w:after="120" w:afterAutospacing="0" w:line="276" w:lineRule="auto"/>
        <w:rPr>
          <w:rStyle w:val="af9"/>
          <w:rFonts w:eastAsiaTheme="majorEastAsia"/>
          <w:color w:val="3494BA" w:themeColor="accent1"/>
          <w:kern w:val="2"/>
          <w:lang w:eastAsia="en-US"/>
          <w14:ligatures w14:val="standardContextual"/>
        </w:rPr>
      </w:pPr>
      <w:r w:rsidRPr="0020102C">
        <w:rPr>
          <w:rStyle w:val="af9"/>
          <w:rFonts w:eastAsiaTheme="majorEastAsia"/>
          <w:color w:val="3494BA" w:themeColor="accent1"/>
          <w:kern w:val="2"/>
          <w:lang w:eastAsia="en-US"/>
          <w14:ligatures w14:val="standardContextual"/>
        </w:rPr>
        <w:t>Calificările în învățământul profesional tehnic</w:t>
      </w:r>
    </w:p>
    <w:p w14:paraId="43CBB015" w14:textId="46228759" w:rsidR="002A2215" w:rsidRPr="0020102C" w:rsidRDefault="00F01A1C" w:rsidP="00A25E37">
      <w:pPr>
        <w:pStyle w:val="af8"/>
        <w:spacing w:before="120" w:beforeAutospacing="0" w:after="120" w:afterAutospacing="0" w:line="276" w:lineRule="auto"/>
        <w:jc w:val="both"/>
        <w:rPr>
          <w:rFonts w:eastAsiaTheme="minorHAnsi"/>
          <w:color w:val="333333"/>
          <w:kern w:val="2"/>
          <w:shd w:val="clear" w:color="auto" w:fill="FFFFFF"/>
          <w:lang w:eastAsia="en-US"/>
          <w14:ligatures w14:val="standardContextual"/>
        </w:rPr>
      </w:pPr>
      <w:r w:rsidRPr="0020102C">
        <w:rPr>
          <w:rFonts w:eastAsiaTheme="minorHAnsi"/>
          <w:color w:val="333333"/>
          <w:kern w:val="2"/>
          <w:shd w:val="clear" w:color="auto" w:fill="FFFFFF"/>
          <w:lang w:eastAsia="en-US"/>
          <w14:ligatures w14:val="standardContextual"/>
        </w:rPr>
        <w:t>Conform Codului educației, art. 66, c</w:t>
      </w:r>
      <w:r w:rsidR="002A2215" w:rsidRPr="0020102C">
        <w:rPr>
          <w:rFonts w:eastAsiaTheme="minorHAnsi"/>
          <w:color w:val="333333"/>
          <w:kern w:val="2"/>
          <w:shd w:val="clear" w:color="auto" w:fill="FFFFFF"/>
          <w:lang w:eastAsia="en-US"/>
          <w14:ligatures w14:val="standardContextual"/>
        </w:rPr>
        <w:t xml:space="preserve">alificările în învățământul profesional tehnic se acordă </w:t>
      </w:r>
      <w:r w:rsidR="00FE70E8" w:rsidRPr="0020102C">
        <w:rPr>
          <w:rFonts w:eastAsiaTheme="minorHAnsi"/>
          <w:color w:val="333333"/>
          <w:kern w:val="2"/>
          <w:shd w:val="clear" w:color="auto" w:fill="FFFFFF"/>
          <w:lang w:eastAsia="en-US"/>
          <w14:ligatures w14:val="standardContextual"/>
        </w:rPr>
        <w:t xml:space="preserve">în baza </w:t>
      </w:r>
      <w:r w:rsidR="002A2215" w:rsidRPr="0020102C">
        <w:rPr>
          <w:rFonts w:eastAsiaTheme="minorHAnsi"/>
          <w:color w:val="333333"/>
          <w:kern w:val="2"/>
          <w:shd w:val="clear" w:color="auto" w:fill="FFFFFF"/>
          <w:lang w:eastAsia="en-US"/>
          <w14:ligatures w14:val="standardContextual"/>
        </w:rPr>
        <w:t xml:space="preserve">standardelor ocupaționale și de calificare, </w:t>
      </w:r>
      <w:r w:rsidR="0059204F" w:rsidRPr="0020102C">
        <w:rPr>
          <w:rFonts w:eastAsiaTheme="minorHAnsi"/>
          <w:color w:val="333333"/>
          <w:kern w:val="2"/>
          <w:shd w:val="clear" w:color="auto" w:fill="FFFFFF"/>
          <w:lang w:eastAsia="en-US"/>
          <w14:ligatures w14:val="standardContextual"/>
        </w:rPr>
        <w:t xml:space="preserve">corespunzător </w:t>
      </w:r>
      <w:r w:rsidR="002C3AB5" w:rsidRPr="001F6026">
        <w:rPr>
          <w:rFonts w:eastAsiaTheme="minorHAnsi"/>
          <w:color w:val="333333"/>
          <w:kern w:val="2"/>
          <w:shd w:val="clear" w:color="auto" w:fill="FFFFFF"/>
          <w:lang w:eastAsia="en-US"/>
          <w14:ligatures w14:val="standardContextual"/>
        </w:rPr>
        <w:t>CNC</w:t>
      </w:r>
      <w:r w:rsidR="0059204F" w:rsidRPr="0020102C">
        <w:rPr>
          <w:rFonts w:eastAsiaTheme="minorHAnsi"/>
          <w:color w:val="333333"/>
          <w:kern w:val="2"/>
          <w:shd w:val="clear" w:color="auto" w:fill="FFFFFF"/>
          <w:lang w:eastAsia="en-US"/>
          <w14:ligatures w14:val="standardContextual"/>
        </w:rPr>
        <w:t xml:space="preserve"> și </w:t>
      </w:r>
      <w:r w:rsidR="002A2215" w:rsidRPr="0020102C">
        <w:rPr>
          <w:rFonts w:eastAsiaTheme="minorHAnsi"/>
          <w:color w:val="333333"/>
          <w:kern w:val="2"/>
          <w:shd w:val="clear" w:color="auto" w:fill="FFFFFF"/>
          <w:lang w:eastAsia="en-US"/>
          <w14:ligatures w14:val="standardContextual"/>
        </w:rPr>
        <w:t xml:space="preserve">în concordanță cu </w:t>
      </w:r>
      <w:r w:rsidR="002C3AB5" w:rsidRPr="001F6026">
        <w:rPr>
          <w:rFonts w:eastAsiaTheme="minorHAnsi"/>
          <w:color w:val="333333"/>
          <w:kern w:val="2"/>
          <w:shd w:val="clear" w:color="auto" w:fill="FFFFFF"/>
          <w:lang w:eastAsia="en-US"/>
          <w14:ligatures w14:val="standardContextual"/>
        </w:rPr>
        <w:t>EQF</w:t>
      </w:r>
      <w:r w:rsidR="002A2215" w:rsidRPr="0020102C">
        <w:rPr>
          <w:rFonts w:eastAsiaTheme="minorHAnsi"/>
          <w:color w:val="333333"/>
          <w:kern w:val="2"/>
          <w:shd w:val="clear" w:color="auto" w:fill="FFFFFF"/>
          <w:lang w:eastAsia="en-US"/>
          <w14:ligatures w14:val="standardContextual"/>
        </w:rPr>
        <w:t xml:space="preserve"> și cerințele pieței muncii. Standardele de calificare sunt elaborate de </w:t>
      </w:r>
      <w:r w:rsidR="002C3AB5" w:rsidRPr="001F6026">
        <w:rPr>
          <w:rFonts w:eastAsiaTheme="minorHAnsi"/>
          <w:color w:val="333333"/>
          <w:kern w:val="2"/>
          <w:shd w:val="clear" w:color="auto" w:fill="FFFFFF"/>
          <w:lang w:eastAsia="en-US"/>
          <w14:ligatures w14:val="standardContextual"/>
        </w:rPr>
        <w:t>MEC</w:t>
      </w:r>
      <w:r w:rsidR="002A2215" w:rsidRPr="0020102C">
        <w:rPr>
          <w:rFonts w:eastAsiaTheme="minorHAnsi"/>
          <w:color w:val="333333"/>
          <w:kern w:val="2"/>
          <w:shd w:val="clear" w:color="auto" w:fill="FFFFFF"/>
          <w:lang w:eastAsia="en-US"/>
          <w14:ligatures w14:val="standardContextual"/>
        </w:rPr>
        <w:t xml:space="preserve"> împreună cu ministerele de resort, comitetele sectoriale, instituțiile de învățământ, agenții economici și alți parteneri sociali. Nivelurile de calificare se definesc prin rezultatele învățării necesare exercitării meseriei/profesiei. </w:t>
      </w:r>
    </w:p>
    <w:p w14:paraId="37FC8B27" w14:textId="226D3B11" w:rsidR="00134B47" w:rsidRPr="007A7643" w:rsidRDefault="00134B47" w:rsidP="00A25E37">
      <w:pPr>
        <w:spacing w:before="120" w:after="120" w:line="276" w:lineRule="auto"/>
        <w:jc w:val="both"/>
        <w:outlineLvl w:val="2"/>
        <w:rPr>
          <w:rStyle w:val="af9"/>
          <w:rFonts w:ascii="Times New Roman" w:eastAsiaTheme="majorEastAsia" w:hAnsi="Times New Roman" w:cs="Times New Roman"/>
          <w:color w:val="3494BA" w:themeColor="accent1"/>
          <w:sz w:val="24"/>
          <w:szCs w:val="24"/>
        </w:rPr>
      </w:pPr>
      <w:r w:rsidRPr="0020102C">
        <w:rPr>
          <w:rStyle w:val="af9"/>
          <w:rFonts w:ascii="Times New Roman" w:eastAsiaTheme="majorEastAsia" w:hAnsi="Times New Roman" w:cs="Times New Roman"/>
          <w:color w:val="3494BA" w:themeColor="accent1"/>
          <w:sz w:val="24"/>
          <w:szCs w:val="24"/>
        </w:rPr>
        <w:t xml:space="preserve">Curriculum </w:t>
      </w:r>
      <w:r w:rsidR="00296946" w:rsidRPr="0020102C">
        <w:rPr>
          <w:rStyle w:val="af9"/>
          <w:rFonts w:ascii="Times New Roman" w:eastAsiaTheme="majorEastAsia" w:hAnsi="Times New Roman" w:cs="Times New Roman"/>
          <w:color w:val="3494BA" w:themeColor="accent1"/>
          <w:sz w:val="24"/>
          <w:szCs w:val="24"/>
        </w:rPr>
        <w:t>în</w:t>
      </w:r>
      <w:r w:rsidR="00E6211E" w:rsidRPr="0020102C">
        <w:rPr>
          <w:rStyle w:val="af9"/>
          <w:rFonts w:ascii="Times New Roman" w:hAnsi="Times New Roman" w:cs="Times New Roman"/>
          <w:color w:val="3494BA" w:themeColor="accent1"/>
          <w:sz w:val="24"/>
          <w:szCs w:val="24"/>
        </w:rPr>
        <w:t xml:space="preserve"> învățământul profesional tehnic</w:t>
      </w:r>
    </w:p>
    <w:p w14:paraId="029A7CD5" w14:textId="3E81CDE3" w:rsidR="00774A8C" w:rsidRPr="0020102C" w:rsidRDefault="00774A8C" w:rsidP="00A25E37">
      <w:pPr>
        <w:pStyle w:val="af8"/>
        <w:shd w:val="clear" w:color="auto" w:fill="FFFFFF"/>
        <w:spacing w:before="120" w:beforeAutospacing="0" w:after="120" w:afterAutospacing="0" w:line="276" w:lineRule="auto"/>
        <w:jc w:val="both"/>
        <w:rPr>
          <w:rFonts w:eastAsiaTheme="minorHAnsi"/>
          <w:color w:val="333333"/>
          <w:kern w:val="2"/>
          <w:shd w:val="clear" w:color="auto" w:fill="FFFFFF"/>
          <w:lang w:eastAsia="en-US"/>
          <w14:ligatures w14:val="standardContextual"/>
        </w:rPr>
      </w:pPr>
      <w:r w:rsidRPr="0020102C">
        <w:rPr>
          <w:rFonts w:eastAsiaTheme="minorHAnsi"/>
          <w:color w:val="333333"/>
          <w:kern w:val="2"/>
          <w:shd w:val="clear" w:color="auto" w:fill="FFFFFF"/>
          <w:lang w:eastAsia="en-US"/>
          <w14:ligatures w14:val="standardContextual"/>
        </w:rPr>
        <w:t>Curriculumul în învățământul profesional tehnic include:</w:t>
      </w:r>
    </w:p>
    <w:p w14:paraId="7BB3B172" w14:textId="77777777" w:rsidR="00774A8C" w:rsidRPr="0020102C" w:rsidRDefault="00774A8C" w:rsidP="005C4FE9">
      <w:pPr>
        <w:pStyle w:val="af8"/>
        <w:shd w:val="clear" w:color="auto" w:fill="FFFFFF"/>
        <w:spacing w:before="120" w:beforeAutospacing="0" w:after="120" w:afterAutospacing="0" w:line="276" w:lineRule="auto"/>
        <w:ind w:firstLine="680"/>
        <w:jc w:val="both"/>
        <w:rPr>
          <w:rFonts w:eastAsiaTheme="minorHAnsi"/>
          <w:color w:val="333333"/>
          <w:kern w:val="2"/>
          <w:shd w:val="clear" w:color="auto" w:fill="FFFFFF"/>
          <w:lang w:eastAsia="en-US"/>
          <w14:ligatures w14:val="standardContextual"/>
        </w:rPr>
      </w:pPr>
      <w:r w:rsidRPr="0020102C">
        <w:rPr>
          <w:rFonts w:eastAsiaTheme="minorHAnsi"/>
          <w:color w:val="333333"/>
          <w:kern w:val="2"/>
          <w:shd w:val="clear" w:color="auto" w:fill="FFFFFF"/>
          <w:lang w:eastAsia="en-US"/>
          <w14:ligatures w14:val="standardContextual"/>
        </w:rPr>
        <w:t>a) planul-cadru de învățământ şi planurile de învățământ pe meserii şi specialităţi;</w:t>
      </w:r>
    </w:p>
    <w:p w14:paraId="37AB59DA" w14:textId="77777777" w:rsidR="00774A8C" w:rsidRPr="0020102C" w:rsidRDefault="00774A8C" w:rsidP="005C4FE9">
      <w:pPr>
        <w:pStyle w:val="af8"/>
        <w:shd w:val="clear" w:color="auto" w:fill="FFFFFF"/>
        <w:spacing w:before="120" w:beforeAutospacing="0" w:after="120" w:afterAutospacing="0" w:line="276" w:lineRule="auto"/>
        <w:ind w:firstLine="680"/>
        <w:jc w:val="both"/>
        <w:rPr>
          <w:rFonts w:eastAsiaTheme="minorHAnsi"/>
          <w:color w:val="333333"/>
          <w:kern w:val="2"/>
          <w:shd w:val="clear" w:color="auto" w:fill="FFFFFF"/>
          <w:lang w:eastAsia="en-US"/>
          <w14:ligatures w14:val="standardContextual"/>
        </w:rPr>
      </w:pPr>
      <w:r w:rsidRPr="0020102C">
        <w:rPr>
          <w:rFonts w:eastAsiaTheme="minorHAnsi"/>
          <w:color w:val="333333"/>
          <w:kern w:val="2"/>
          <w:shd w:val="clear" w:color="auto" w:fill="FFFFFF"/>
          <w:lang w:eastAsia="en-US"/>
          <w14:ligatures w14:val="standardContextual"/>
        </w:rPr>
        <w:t>b) curricula pe module/discipline;</w:t>
      </w:r>
    </w:p>
    <w:p w14:paraId="43A2DF48" w14:textId="77777777" w:rsidR="00774A8C" w:rsidRPr="0020102C" w:rsidRDefault="00774A8C" w:rsidP="005C4FE9">
      <w:pPr>
        <w:pStyle w:val="af8"/>
        <w:shd w:val="clear" w:color="auto" w:fill="FFFFFF"/>
        <w:spacing w:before="120" w:beforeAutospacing="0" w:after="120" w:afterAutospacing="0" w:line="276" w:lineRule="auto"/>
        <w:ind w:firstLine="680"/>
        <w:jc w:val="both"/>
        <w:rPr>
          <w:rFonts w:eastAsiaTheme="minorHAnsi"/>
          <w:color w:val="333333"/>
          <w:kern w:val="2"/>
          <w:shd w:val="clear" w:color="auto" w:fill="FFFFFF"/>
          <w:lang w:eastAsia="en-US"/>
          <w14:ligatures w14:val="standardContextual"/>
        </w:rPr>
      </w:pPr>
      <w:r w:rsidRPr="0020102C">
        <w:rPr>
          <w:rFonts w:eastAsiaTheme="minorHAnsi"/>
          <w:color w:val="333333"/>
          <w:kern w:val="2"/>
          <w:shd w:val="clear" w:color="auto" w:fill="FFFFFF"/>
          <w:lang w:eastAsia="en-US"/>
          <w14:ligatures w14:val="standardContextual"/>
        </w:rPr>
        <w:t>c) ghiduri metodologice de aplicare a curricula.</w:t>
      </w:r>
    </w:p>
    <w:p w14:paraId="42DAB3ED" w14:textId="3BB1CC8E" w:rsidR="00783EFE" w:rsidRPr="0020102C" w:rsidRDefault="00783EFE" w:rsidP="005C4FE9">
      <w:pPr>
        <w:pStyle w:val="af8"/>
        <w:shd w:val="clear" w:color="auto" w:fill="FFFFFF"/>
        <w:spacing w:before="120" w:beforeAutospacing="0" w:after="120" w:afterAutospacing="0" w:line="276" w:lineRule="auto"/>
        <w:jc w:val="both"/>
        <w:rPr>
          <w:rFonts w:eastAsiaTheme="minorHAnsi"/>
          <w:color w:val="333333"/>
          <w:kern w:val="2"/>
          <w:shd w:val="clear" w:color="auto" w:fill="FFFFFF"/>
          <w:lang w:eastAsia="en-US"/>
          <w14:ligatures w14:val="standardContextual"/>
        </w:rPr>
      </w:pPr>
      <w:r w:rsidRPr="0020102C">
        <w:rPr>
          <w:rFonts w:eastAsiaTheme="minorHAnsi"/>
          <w:color w:val="333333"/>
          <w:kern w:val="2"/>
          <w:shd w:val="clear" w:color="auto" w:fill="FFFFFF"/>
          <w:lang w:eastAsia="en-US"/>
          <w14:ligatures w14:val="standardContextual"/>
        </w:rPr>
        <w:t>Curriculumul se elaborează de experţi în domeniu, pe niveluri de învățământ (secundar, postsecundar şi postsecundar nonterţiar) şi pe domenii de formare profesională,</w:t>
      </w:r>
      <w:r w:rsidR="002B357D" w:rsidRPr="0020102C">
        <w:rPr>
          <w:rFonts w:eastAsiaTheme="minorHAnsi"/>
          <w:color w:val="333333"/>
          <w:kern w:val="2"/>
          <w:shd w:val="clear" w:color="auto" w:fill="FFFFFF"/>
          <w:lang w:eastAsia="en-US"/>
          <w14:ligatures w14:val="standardContextual"/>
        </w:rPr>
        <w:t xml:space="preserve"> </w:t>
      </w:r>
      <w:r w:rsidRPr="0020102C">
        <w:rPr>
          <w:rFonts w:eastAsiaTheme="minorHAnsi"/>
          <w:color w:val="333333"/>
          <w:kern w:val="2"/>
          <w:shd w:val="clear" w:color="auto" w:fill="FFFFFF"/>
          <w:lang w:eastAsia="en-US"/>
          <w14:ligatures w14:val="standardContextual"/>
        </w:rPr>
        <w:t xml:space="preserve">în baza standardelor de calificare și a descriptorilor </w:t>
      </w:r>
      <w:r w:rsidR="002C3AB5" w:rsidRPr="001F6026">
        <w:rPr>
          <w:rFonts w:eastAsiaTheme="minorHAnsi"/>
          <w:color w:val="333333"/>
          <w:kern w:val="2"/>
          <w:shd w:val="clear" w:color="auto" w:fill="FFFFFF"/>
          <w:lang w:eastAsia="en-US"/>
          <w14:ligatures w14:val="standardContextual"/>
        </w:rPr>
        <w:t>CNC</w:t>
      </w:r>
      <w:r w:rsidRPr="0020102C">
        <w:rPr>
          <w:rFonts w:eastAsiaTheme="minorHAnsi"/>
          <w:color w:val="333333"/>
          <w:kern w:val="2"/>
          <w:shd w:val="clear" w:color="auto" w:fill="FFFFFF"/>
          <w:lang w:eastAsia="en-US"/>
          <w14:ligatures w14:val="standardContextual"/>
        </w:rPr>
        <w:t>,</w:t>
      </w:r>
      <w:r w:rsidR="002B357D" w:rsidRPr="0020102C">
        <w:rPr>
          <w:rFonts w:eastAsiaTheme="minorHAnsi"/>
          <w:color w:val="333333"/>
          <w:kern w:val="2"/>
          <w:shd w:val="clear" w:color="auto" w:fill="FFFFFF"/>
          <w:lang w:eastAsia="en-US"/>
          <w14:ligatures w14:val="standardContextual"/>
        </w:rPr>
        <w:t xml:space="preserve"> </w:t>
      </w:r>
      <w:r w:rsidRPr="0020102C">
        <w:rPr>
          <w:rFonts w:eastAsiaTheme="minorHAnsi"/>
          <w:color w:val="333333"/>
          <w:kern w:val="2"/>
          <w:shd w:val="clear" w:color="auto" w:fill="FFFFFF"/>
          <w:lang w:eastAsia="en-US"/>
          <w14:ligatures w14:val="standardContextual"/>
        </w:rPr>
        <w:t xml:space="preserve">în conformitate cu </w:t>
      </w:r>
      <w:r w:rsidR="00E36A5A" w:rsidRPr="0020102C">
        <w:rPr>
          <w:i/>
          <w:iCs/>
        </w:rPr>
        <w:t>Cadrul de referinţă al curriculumului pentru învățământul profesional tehnic</w:t>
      </w:r>
      <w:r w:rsidR="00E36A5A" w:rsidRPr="0020102C">
        <w:t xml:space="preserve"> și </w:t>
      </w:r>
      <w:r w:rsidR="00F518E5" w:rsidRPr="0020102C">
        <w:rPr>
          <w:i/>
          <w:iCs/>
        </w:rPr>
        <w:t>Ghidul metodologic de elaborare a curriculumului pentru învățământul profesional tehnic</w:t>
      </w:r>
      <w:r w:rsidR="0098655A" w:rsidRPr="0020102C">
        <w:rPr>
          <w:rFonts w:eastAsiaTheme="minorHAnsi"/>
          <w:color w:val="333333"/>
          <w:kern w:val="2"/>
          <w:shd w:val="clear" w:color="auto" w:fill="FFFFFF"/>
          <w:lang w:eastAsia="en-US"/>
          <w14:ligatures w14:val="standardContextual"/>
        </w:rPr>
        <w:t xml:space="preserve">. Curriculumul </w:t>
      </w:r>
      <w:r w:rsidRPr="0020102C">
        <w:rPr>
          <w:rFonts w:eastAsiaTheme="minorHAnsi"/>
          <w:color w:val="333333"/>
          <w:kern w:val="2"/>
          <w:shd w:val="clear" w:color="auto" w:fill="FFFFFF"/>
          <w:lang w:eastAsia="en-US"/>
          <w14:ligatures w14:val="standardContextual"/>
        </w:rPr>
        <w:t xml:space="preserve">se coordonează cu comitetele sectoriale şi se aprobă de </w:t>
      </w:r>
      <w:r w:rsidR="002C3AB5" w:rsidRPr="001F6026">
        <w:rPr>
          <w:rFonts w:eastAsiaTheme="minorHAnsi"/>
          <w:color w:val="333333"/>
          <w:kern w:val="2"/>
          <w:shd w:val="clear" w:color="auto" w:fill="FFFFFF"/>
          <w:lang w:eastAsia="en-US"/>
          <w14:ligatures w14:val="standardContextual"/>
        </w:rPr>
        <w:t>MEC</w:t>
      </w:r>
      <w:r w:rsidR="0098655A" w:rsidRPr="0020102C">
        <w:rPr>
          <w:rFonts w:eastAsiaTheme="minorHAnsi"/>
          <w:color w:val="333333"/>
          <w:kern w:val="2"/>
          <w:shd w:val="clear" w:color="auto" w:fill="FFFFFF"/>
          <w:lang w:eastAsia="en-US"/>
          <w14:ligatures w14:val="standardContextual"/>
        </w:rPr>
        <w:t xml:space="preserve"> </w:t>
      </w:r>
      <w:r w:rsidRPr="0020102C">
        <w:rPr>
          <w:rFonts w:eastAsiaTheme="minorHAnsi"/>
          <w:color w:val="333333"/>
          <w:kern w:val="2"/>
          <w:shd w:val="clear" w:color="auto" w:fill="FFFFFF"/>
          <w:lang w:eastAsia="en-US"/>
          <w14:ligatures w14:val="standardContextual"/>
        </w:rPr>
        <w:t>prin coordonare cu organele centrale de resort.</w:t>
      </w:r>
    </w:p>
    <w:p w14:paraId="3B55FF7A" w14:textId="06AEBF85" w:rsidR="00FB43E0" w:rsidRPr="0020102C" w:rsidRDefault="00FB43E0"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Standardele </w:t>
      </w:r>
      <w:r w:rsidR="00733E64" w:rsidRPr="0020102C">
        <w:rPr>
          <w:rFonts w:ascii="Times New Roman" w:eastAsia="Times New Roman" w:hAnsi="Times New Roman" w:cs="Times New Roman"/>
          <w:kern w:val="0"/>
          <w:sz w:val="24"/>
          <w:szCs w:val="24"/>
          <w:lang w:eastAsia="ro-MD"/>
          <w14:ligatures w14:val="none"/>
        </w:rPr>
        <w:t xml:space="preserve">de calificare </w:t>
      </w:r>
      <w:r w:rsidRPr="0020102C">
        <w:rPr>
          <w:rFonts w:ascii="Times New Roman" w:eastAsia="Times New Roman" w:hAnsi="Times New Roman" w:cs="Times New Roman"/>
          <w:kern w:val="0"/>
          <w:sz w:val="24"/>
          <w:szCs w:val="24"/>
          <w:lang w:eastAsia="ro-MD"/>
          <w14:ligatures w14:val="none"/>
        </w:rPr>
        <w:t>stabilesc rezultatele învățării, competențele specifice și criteriile de evaluare, asigurând coerența între pregătirea școlară și cerințele pieței muncii.</w:t>
      </w:r>
    </w:p>
    <w:p w14:paraId="6266A353" w14:textId="6019DE7E" w:rsidR="00C83351" w:rsidRPr="0020102C" w:rsidRDefault="00C83351" w:rsidP="005C4FE9">
      <w:pPr>
        <w:spacing w:before="120" w:after="120" w:line="276" w:lineRule="auto"/>
        <w:jc w:val="both"/>
        <w:outlineLvl w:val="2"/>
        <w:rPr>
          <w:rStyle w:val="af9"/>
          <w:rFonts w:ascii="Times New Roman" w:eastAsiaTheme="majorEastAsia" w:hAnsi="Times New Roman" w:cs="Times New Roman"/>
          <w:color w:val="3494BA" w:themeColor="accent1"/>
          <w:sz w:val="24"/>
          <w:szCs w:val="24"/>
        </w:rPr>
      </w:pPr>
      <w:r w:rsidRPr="0020102C">
        <w:rPr>
          <w:rStyle w:val="af9"/>
          <w:rFonts w:ascii="Times New Roman" w:eastAsiaTheme="majorEastAsia" w:hAnsi="Times New Roman" w:cs="Times New Roman"/>
          <w:color w:val="3494BA" w:themeColor="accent1"/>
          <w:sz w:val="24"/>
          <w:szCs w:val="24"/>
        </w:rPr>
        <w:t>Rolul agenților economici</w:t>
      </w:r>
    </w:p>
    <w:p w14:paraId="169486FD" w14:textId="77777777" w:rsidR="00C83351" w:rsidRPr="0020102C" w:rsidRDefault="00C83351"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Parteneriatul cu agenții economici este un element definitoriu pentru ÎPT. Aceștia contribuie prin:</w:t>
      </w:r>
    </w:p>
    <w:p w14:paraId="5B0B5799" w14:textId="77777777" w:rsidR="00C83351" w:rsidRPr="0020102C" w:rsidRDefault="00C83351" w:rsidP="00A41843">
      <w:pPr>
        <w:numPr>
          <w:ilvl w:val="0"/>
          <w:numId w:val="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oferirea de locuri de practică și de stagii profesionale,</w:t>
      </w:r>
    </w:p>
    <w:p w14:paraId="5D2C718E" w14:textId="77777777" w:rsidR="00C83351" w:rsidRPr="0020102C" w:rsidRDefault="00C83351" w:rsidP="00A41843">
      <w:pPr>
        <w:numPr>
          <w:ilvl w:val="0"/>
          <w:numId w:val="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participarea la organizarea învățământului dual,</w:t>
      </w:r>
    </w:p>
    <w:p w14:paraId="0D0D40C9" w14:textId="77777777" w:rsidR="00C83351" w:rsidRPr="0020102C" w:rsidRDefault="00C83351" w:rsidP="00A41843">
      <w:pPr>
        <w:numPr>
          <w:ilvl w:val="0"/>
          <w:numId w:val="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implicarea în târguri ale locurilor de muncă,</w:t>
      </w:r>
    </w:p>
    <w:p w14:paraId="507B1D95" w14:textId="77777777" w:rsidR="00C83351" w:rsidRPr="0020102C" w:rsidRDefault="00C83351" w:rsidP="00A41843">
      <w:pPr>
        <w:numPr>
          <w:ilvl w:val="0"/>
          <w:numId w:val="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participarea la elaborarea nomenclatoarelor de meserii și calificări și a standardelor ocupaționale,</w:t>
      </w:r>
    </w:p>
    <w:p w14:paraId="1E2AD0AC" w14:textId="77777777" w:rsidR="00C83351" w:rsidRPr="0020102C" w:rsidRDefault="00C83351" w:rsidP="00A41843">
      <w:pPr>
        <w:numPr>
          <w:ilvl w:val="0"/>
          <w:numId w:val="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angajarea absolvenților.</w:t>
      </w:r>
    </w:p>
    <w:p w14:paraId="00B87EE1" w14:textId="67EC22E3" w:rsidR="00194BE3" w:rsidRPr="0020102C" w:rsidRDefault="00194BE3" w:rsidP="005C4FE9">
      <w:pPr>
        <w:spacing w:before="120" w:after="120" w:line="276" w:lineRule="auto"/>
        <w:jc w:val="both"/>
        <w:outlineLvl w:val="2"/>
        <w:rPr>
          <w:rStyle w:val="af9"/>
          <w:rFonts w:ascii="Times New Roman" w:eastAsiaTheme="majorEastAsia" w:hAnsi="Times New Roman" w:cs="Times New Roman"/>
          <w:color w:val="3494BA" w:themeColor="accent1"/>
          <w:sz w:val="24"/>
          <w:szCs w:val="24"/>
        </w:rPr>
      </w:pPr>
      <w:r w:rsidRPr="00F57FCB">
        <w:rPr>
          <w:rFonts w:ascii="Times New Roman" w:hAnsi="Times New Roman" w:cs="Times New Roman"/>
          <w:sz w:val="24"/>
          <w:szCs w:val="24"/>
        </w:rPr>
        <w:t>Instituțiile publice și întreprinderile de stat trebuie să ofere anual locuri de practică în proporție de cel puțin 10% din efectivul de personal.</w:t>
      </w:r>
    </w:p>
    <w:p w14:paraId="0232CBDB" w14:textId="7858C633" w:rsidR="00142D1E" w:rsidRPr="0020102C" w:rsidRDefault="00142D1E" w:rsidP="005C4FE9">
      <w:pPr>
        <w:spacing w:before="120" w:after="120" w:line="276" w:lineRule="auto"/>
        <w:jc w:val="both"/>
        <w:outlineLvl w:val="2"/>
        <w:rPr>
          <w:rStyle w:val="af9"/>
          <w:rFonts w:ascii="Times New Roman" w:eastAsiaTheme="majorEastAsia" w:hAnsi="Times New Roman" w:cs="Times New Roman"/>
          <w:color w:val="3494BA" w:themeColor="accent1"/>
          <w:sz w:val="24"/>
          <w:szCs w:val="24"/>
        </w:rPr>
      </w:pPr>
      <w:r w:rsidRPr="0020102C">
        <w:rPr>
          <w:rStyle w:val="af9"/>
          <w:rFonts w:ascii="Times New Roman" w:eastAsiaTheme="majorEastAsia" w:hAnsi="Times New Roman" w:cs="Times New Roman"/>
          <w:color w:val="3494BA" w:themeColor="accent1"/>
          <w:sz w:val="24"/>
          <w:szCs w:val="24"/>
        </w:rPr>
        <w:t xml:space="preserve">Evaluarea </w:t>
      </w:r>
      <w:r w:rsidR="001F0912" w:rsidRPr="0020102C">
        <w:rPr>
          <w:rStyle w:val="af9"/>
          <w:rFonts w:ascii="Times New Roman" w:eastAsiaTheme="majorEastAsia" w:hAnsi="Times New Roman" w:cs="Times New Roman"/>
          <w:color w:val="3494BA" w:themeColor="accent1"/>
          <w:sz w:val="24"/>
          <w:szCs w:val="24"/>
        </w:rPr>
        <w:t>și certificarea</w:t>
      </w:r>
    </w:p>
    <w:p w14:paraId="376FAD61" w14:textId="0C2380AD" w:rsidR="00DB6320" w:rsidRPr="0020102C" w:rsidRDefault="000B35A1" w:rsidP="005C4FE9">
      <w:pPr>
        <w:pStyle w:val="af8"/>
        <w:spacing w:before="120" w:beforeAutospacing="0" w:after="120" w:afterAutospacing="0" w:line="276" w:lineRule="auto"/>
        <w:jc w:val="both"/>
      </w:pPr>
      <w:r w:rsidRPr="0020102C">
        <w:t>Finalizarea programelor se face prin evaluarea rezultatelor de învățare, conform standardelor de calificare</w:t>
      </w:r>
      <w:r w:rsidR="00133B39" w:rsidRPr="0020102C">
        <w:t xml:space="preserve"> și</w:t>
      </w:r>
      <w:r w:rsidR="00904D6F" w:rsidRPr="0020102C">
        <w:rPr>
          <w:rFonts w:eastAsiaTheme="minorHAnsi"/>
          <w:color w:val="333333"/>
          <w:kern w:val="2"/>
          <w:shd w:val="clear" w:color="auto" w:fill="FFFFFF"/>
          <w:lang w:eastAsia="en-US"/>
          <w14:ligatures w14:val="standardContextual"/>
        </w:rPr>
        <w:t xml:space="preserve"> procedurilor aprobate de M</w:t>
      </w:r>
      <w:r w:rsidR="00133B39" w:rsidRPr="0020102C">
        <w:rPr>
          <w:rFonts w:eastAsiaTheme="minorHAnsi"/>
          <w:color w:val="333333"/>
          <w:kern w:val="2"/>
          <w:shd w:val="clear" w:color="auto" w:fill="FFFFFF"/>
          <w:lang w:eastAsia="en-US"/>
          <w14:ligatures w14:val="standardContextual"/>
        </w:rPr>
        <w:t>EC</w:t>
      </w:r>
      <w:r w:rsidR="00DB6320" w:rsidRPr="0020102C">
        <w:t xml:space="preserve">. </w:t>
      </w:r>
      <w:r w:rsidR="00671608" w:rsidRPr="0020102C">
        <w:t>Evaluarea are componentă teoretică și practică și se realizează de comisii instituționale sau naționale</w:t>
      </w:r>
      <w:r w:rsidR="00DB6320" w:rsidRPr="0020102C">
        <w:t>.</w:t>
      </w:r>
    </w:p>
    <w:p w14:paraId="525B2D9E" w14:textId="77777777" w:rsidR="00DB6320" w:rsidRPr="0020102C" w:rsidRDefault="00DB6320" w:rsidP="00A25E37">
      <w:pPr>
        <w:pStyle w:val="af8"/>
        <w:spacing w:before="120" w:beforeAutospacing="0" w:after="120" w:afterAutospacing="0" w:line="276" w:lineRule="auto"/>
        <w:jc w:val="both"/>
      </w:pPr>
      <w:r w:rsidRPr="0020102C">
        <w:t>Certificarea se face prin eliberarea documentelor de studii corespunzătoare nivelului:</w:t>
      </w:r>
    </w:p>
    <w:p w14:paraId="5A6757FB" w14:textId="07163CB3" w:rsidR="008E3AB1" w:rsidRPr="0020102C" w:rsidRDefault="00CB12CF" w:rsidP="00A41843">
      <w:pPr>
        <w:pStyle w:val="af8"/>
        <w:numPr>
          <w:ilvl w:val="0"/>
          <w:numId w:val="31"/>
        </w:numPr>
        <w:spacing w:before="120" w:beforeAutospacing="0" w:after="120" w:afterAutospacing="0" w:line="276" w:lineRule="auto"/>
        <w:jc w:val="both"/>
      </w:pPr>
      <w:r w:rsidRPr="0020102C">
        <w:lastRenderedPageBreak/>
        <w:t>Certificat de calificare (învățământ profesional tehnic secundar)</w:t>
      </w:r>
      <w:r w:rsidR="000C018E" w:rsidRPr="0020102C">
        <w:t xml:space="preserve"> </w:t>
      </w:r>
      <w:r w:rsidR="008E3AB1" w:rsidRPr="0020102C">
        <w:t>– nivel 3 ISCED</w:t>
      </w:r>
      <w:r w:rsidR="000C018E" w:rsidRPr="0020102C">
        <w:t xml:space="preserve">, </w:t>
      </w:r>
      <w:r w:rsidR="008E3AB1" w:rsidRPr="0020102C">
        <w:t>nivel 3 CNC/EQF.</w:t>
      </w:r>
    </w:p>
    <w:p w14:paraId="49A72581" w14:textId="0103EAB2" w:rsidR="008E3AB1" w:rsidRPr="0020102C" w:rsidRDefault="00A0516C" w:rsidP="00A41843">
      <w:pPr>
        <w:pStyle w:val="af8"/>
        <w:numPr>
          <w:ilvl w:val="0"/>
          <w:numId w:val="31"/>
        </w:numPr>
        <w:spacing w:before="120" w:beforeAutospacing="0" w:after="120" w:afterAutospacing="0" w:line="276" w:lineRule="auto"/>
        <w:jc w:val="both"/>
      </w:pPr>
      <w:r w:rsidRPr="0020102C">
        <w:t xml:space="preserve">Diplomă de studii profesionale (învățământ profesional tehnic postsecundar) </w:t>
      </w:r>
      <w:r w:rsidR="008E3AB1" w:rsidRPr="0020102C">
        <w:t xml:space="preserve">– nivel </w:t>
      </w:r>
      <w:r w:rsidR="0045077B" w:rsidRPr="0020102C">
        <w:t>4</w:t>
      </w:r>
      <w:r w:rsidR="008E3AB1" w:rsidRPr="0020102C">
        <w:t xml:space="preserve"> ISCED</w:t>
      </w:r>
      <w:r w:rsidRPr="0020102C">
        <w:t xml:space="preserve">, </w:t>
      </w:r>
      <w:r w:rsidR="008E3AB1" w:rsidRPr="0020102C">
        <w:t>nivel 4 CNC/EQF.</w:t>
      </w:r>
    </w:p>
    <w:p w14:paraId="30D890DC" w14:textId="5685CC44" w:rsidR="00DB6320" w:rsidRPr="0020102C" w:rsidRDefault="00A0516C" w:rsidP="00A41843">
      <w:pPr>
        <w:pStyle w:val="af8"/>
        <w:numPr>
          <w:ilvl w:val="0"/>
          <w:numId w:val="31"/>
        </w:numPr>
        <w:spacing w:before="120" w:beforeAutospacing="0" w:after="120" w:afterAutospacing="0" w:line="276" w:lineRule="auto"/>
        <w:jc w:val="both"/>
      </w:pPr>
      <w:r w:rsidRPr="001F6026">
        <w:t xml:space="preserve">Diplomă de studii profesionale (învățământ profesional tehnic </w:t>
      </w:r>
      <w:proofErr w:type="spellStart"/>
      <w:r w:rsidRPr="001F6026">
        <w:t>postsecundar</w:t>
      </w:r>
      <w:proofErr w:type="spellEnd"/>
      <w:r w:rsidRPr="001F6026">
        <w:t xml:space="preserve"> </w:t>
      </w:r>
      <w:proofErr w:type="spellStart"/>
      <w:r w:rsidRPr="001F6026">
        <w:t>nonterțiar</w:t>
      </w:r>
      <w:proofErr w:type="spellEnd"/>
      <w:r w:rsidRPr="001F6026">
        <w:t xml:space="preserve">) </w:t>
      </w:r>
      <w:r w:rsidR="008E3AB1" w:rsidRPr="0020102C">
        <w:t xml:space="preserve">– nivel </w:t>
      </w:r>
      <w:r w:rsidR="008E3AB1" w:rsidRPr="00B37F48">
        <w:t>5 ISCED</w:t>
      </w:r>
      <w:r w:rsidRPr="0020102C">
        <w:t xml:space="preserve">, </w:t>
      </w:r>
      <w:r w:rsidR="008E3AB1" w:rsidRPr="0020102C">
        <w:t>nivel 5 CNC/EQF.</w:t>
      </w:r>
    </w:p>
    <w:p w14:paraId="3C07B357" w14:textId="2992977F" w:rsidR="00724B0E" w:rsidRPr="0020102C" w:rsidRDefault="00A25E37" w:rsidP="002C3AB5">
      <w:pPr>
        <w:pStyle w:val="af8"/>
        <w:spacing w:before="120" w:beforeAutospacing="0" w:after="120" w:afterAutospacing="0" w:line="276" w:lineRule="auto"/>
        <w:jc w:val="both"/>
      </w:pPr>
      <w:r w:rsidRPr="0020102C">
        <w:rPr>
          <w:rFonts w:eastAsiaTheme="minorHAnsi"/>
          <w:color w:val="333333"/>
          <w:kern w:val="2"/>
          <w:shd w:val="clear" w:color="auto" w:fill="FFFFFF"/>
          <w:lang w:eastAsia="en-US"/>
          <w14:ligatures w14:val="standardContextual"/>
        </w:rPr>
        <w:t>C</w:t>
      </w:r>
      <w:r w:rsidR="00724B0E" w:rsidRPr="0020102C">
        <w:rPr>
          <w:rFonts w:eastAsiaTheme="minorHAnsi"/>
          <w:color w:val="333333"/>
          <w:kern w:val="2"/>
          <w:shd w:val="clear" w:color="auto" w:fill="FFFFFF"/>
          <w:lang w:eastAsia="en-US"/>
          <w14:ligatures w14:val="standardContextual"/>
        </w:rPr>
        <w:t>alificări</w:t>
      </w:r>
      <w:r w:rsidRPr="0020102C">
        <w:rPr>
          <w:rFonts w:eastAsiaTheme="minorHAnsi"/>
          <w:color w:val="333333"/>
          <w:kern w:val="2"/>
          <w:shd w:val="clear" w:color="auto" w:fill="FFFFFF"/>
          <w:lang w:eastAsia="en-US"/>
          <w14:ligatures w14:val="standardContextual"/>
        </w:rPr>
        <w:t>le</w:t>
      </w:r>
      <w:r w:rsidR="00724B0E" w:rsidRPr="0020102C">
        <w:rPr>
          <w:rFonts w:eastAsiaTheme="minorHAnsi"/>
          <w:color w:val="333333"/>
          <w:kern w:val="2"/>
          <w:shd w:val="clear" w:color="auto" w:fill="FFFFFF"/>
          <w:lang w:eastAsia="en-US"/>
          <w14:ligatures w14:val="standardContextual"/>
        </w:rPr>
        <w:t xml:space="preserve"> </w:t>
      </w:r>
      <w:r w:rsidRPr="0020102C">
        <w:rPr>
          <w:rFonts w:eastAsiaTheme="minorHAnsi"/>
          <w:color w:val="333333"/>
          <w:kern w:val="2"/>
          <w:shd w:val="clear" w:color="auto" w:fill="FFFFFF"/>
          <w:lang w:eastAsia="en-US"/>
          <w14:ligatures w14:val="standardContextual"/>
        </w:rPr>
        <w:t>acordate la finalul studiilor sunt</w:t>
      </w:r>
      <w:r w:rsidR="00724B0E" w:rsidRPr="0020102C">
        <w:rPr>
          <w:rFonts w:eastAsiaTheme="minorHAnsi"/>
          <w:color w:val="333333"/>
          <w:kern w:val="2"/>
          <w:shd w:val="clear" w:color="auto" w:fill="FFFFFF"/>
          <w:lang w:eastAsia="en-US"/>
          <w14:ligatures w14:val="standardContextual"/>
        </w:rPr>
        <w:t xml:space="preserve"> înregistrate în Registrul Național al Calificărilor</w:t>
      </w:r>
      <w:r w:rsidRPr="0020102C">
        <w:rPr>
          <w:rFonts w:eastAsiaTheme="minorHAnsi"/>
          <w:color w:val="333333"/>
          <w:kern w:val="2"/>
          <w:shd w:val="clear" w:color="auto" w:fill="FFFFFF"/>
          <w:lang w:eastAsia="en-US"/>
          <w14:ligatures w14:val="standardContextual"/>
        </w:rPr>
        <w:t>, iar</w:t>
      </w:r>
      <w:r w:rsidR="00724B0E" w:rsidRPr="0020102C">
        <w:rPr>
          <w:rFonts w:eastAsiaTheme="minorHAnsi"/>
          <w:color w:val="333333"/>
          <w:kern w:val="2"/>
          <w:shd w:val="clear" w:color="auto" w:fill="FFFFFF"/>
          <w:lang w:eastAsia="en-US"/>
          <w14:ligatures w14:val="standardContextual"/>
        </w:rPr>
        <w:t xml:space="preserve"> volumul și dimensiunea calificărilor pot fi exprimate în credite </w:t>
      </w:r>
      <w:r w:rsidR="008E3A2E" w:rsidRPr="0020102C">
        <w:rPr>
          <w:rFonts w:eastAsiaTheme="minorHAnsi"/>
          <w:color w:val="333333"/>
          <w:kern w:val="2"/>
          <w:shd w:val="clear" w:color="auto" w:fill="FFFFFF"/>
          <w:lang w:eastAsia="en-US"/>
          <w14:ligatures w14:val="standardContextual"/>
        </w:rPr>
        <w:t>ECVET</w:t>
      </w:r>
      <w:r w:rsidR="00724B0E" w:rsidRPr="0020102C">
        <w:rPr>
          <w:rFonts w:eastAsiaTheme="minorHAnsi"/>
          <w:color w:val="333333"/>
          <w:kern w:val="2"/>
          <w:shd w:val="clear" w:color="auto" w:fill="FFFFFF"/>
          <w:lang w:eastAsia="en-US"/>
          <w14:ligatures w14:val="standardContextual"/>
        </w:rPr>
        <w:t>.</w:t>
      </w:r>
    </w:p>
    <w:p w14:paraId="47688F90" w14:textId="77777777" w:rsidR="00A97A32" w:rsidRPr="00F57FCB" w:rsidRDefault="001F0912" w:rsidP="002C3AB5">
      <w:pPr>
        <w:spacing w:before="120" w:after="120" w:line="276" w:lineRule="auto"/>
        <w:jc w:val="both"/>
        <w:outlineLvl w:val="2"/>
        <w:rPr>
          <w:rStyle w:val="af9"/>
          <w:rFonts w:ascii="Times New Roman" w:eastAsiaTheme="majorEastAsia" w:hAnsi="Times New Roman" w:cs="Times New Roman"/>
          <w:color w:val="3494BA" w:themeColor="accent1"/>
          <w:sz w:val="24"/>
          <w:szCs w:val="24"/>
        </w:rPr>
      </w:pPr>
      <w:r w:rsidRPr="0020102C">
        <w:rPr>
          <w:rStyle w:val="af9"/>
          <w:rFonts w:ascii="Times New Roman" w:eastAsiaTheme="majorEastAsia" w:hAnsi="Times New Roman" w:cs="Times New Roman"/>
          <w:color w:val="3494BA" w:themeColor="accent1"/>
          <w:sz w:val="24"/>
          <w:szCs w:val="24"/>
        </w:rPr>
        <w:t xml:space="preserve">Trasee educaționale și relația cu CNC: </w:t>
      </w:r>
    </w:p>
    <w:p w14:paraId="1E6F4C7A" w14:textId="77777777" w:rsidR="007B7D30" w:rsidRPr="001F6026" w:rsidRDefault="007B7D30" w:rsidP="00F57FCB">
      <w:pPr>
        <w:pStyle w:val="af8"/>
        <w:spacing w:before="120" w:beforeAutospacing="0" w:after="120" w:afterAutospacing="0" w:line="276" w:lineRule="auto"/>
        <w:jc w:val="both"/>
      </w:pPr>
      <w:r w:rsidRPr="0020102C">
        <w:t>Traseele educaționale sunt aliniate CNC și permit progresia pe verticală:</w:t>
      </w:r>
    </w:p>
    <w:p w14:paraId="2ED59566" w14:textId="7F730FEF" w:rsidR="007B7D30" w:rsidRPr="001F6026" w:rsidRDefault="007B7D30" w:rsidP="00A41843">
      <w:pPr>
        <w:pStyle w:val="af8"/>
        <w:numPr>
          <w:ilvl w:val="0"/>
          <w:numId w:val="32"/>
        </w:numPr>
        <w:spacing w:before="120" w:beforeAutospacing="0" w:after="120" w:afterAutospacing="0" w:line="276" w:lineRule="auto"/>
        <w:jc w:val="both"/>
      </w:pPr>
      <w:r w:rsidRPr="0020102C">
        <w:t xml:space="preserve">Absolvenții nivelului 3 pot continua la nivelul 4 sau se pot angaja </w:t>
      </w:r>
      <w:r w:rsidR="00E54375" w:rsidRPr="001F6026">
        <w:t>în calitate de</w:t>
      </w:r>
      <w:r w:rsidRPr="001F6026">
        <w:t xml:space="preserve"> muncitori calificați.</w:t>
      </w:r>
    </w:p>
    <w:p w14:paraId="52D142EB" w14:textId="50C02D29" w:rsidR="007B7D30" w:rsidRPr="001F6026" w:rsidRDefault="007B7D30" w:rsidP="00A41843">
      <w:pPr>
        <w:pStyle w:val="af8"/>
        <w:numPr>
          <w:ilvl w:val="0"/>
          <w:numId w:val="32"/>
        </w:numPr>
        <w:spacing w:before="120" w:beforeAutospacing="0" w:after="120" w:afterAutospacing="0" w:line="276" w:lineRule="auto"/>
        <w:jc w:val="both"/>
      </w:pPr>
      <w:r w:rsidRPr="0020102C">
        <w:t xml:space="preserve">Absolvenții nivelului 4 pot accede la nivelul 5 sau la ciclul I universitar ori se pot angaja </w:t>
      </w:r>
      <w:r w:rsidR="00E54375" w:rsidRPr="001F6026">
        <w:t xml:space="preserve">în calitate </w:t>
      </w:r>
      <w:r w:rsidR="00E54375" w:rsidRPr="0020102C">
        <w:t>de</w:t>
      </w:r>
      <w:r w:rsidRPr="001F6026">
        <w:t xml:space="preserve"> tehnicieni.</w:t>
      </w:r>
    </w:p>
    <w:p w14:paraId="41011B8B" w14:textId="2EBE485E" w:rsidR="007B7D30" w:rsidRPr="001F6026" w:rsidRDefault="007B7D30" w:rsidP="00A41843">
      <w:pPr>
        <w:pStyle w:val="af8"/>
        <w:numPr>
          <w:ilvl w:val="0"/>
          <w:numId w:val="32"/>
        </w:numPr>
        <w:spacing w:before="120" w:beforeAutospacing="0" w:after="120" w:afterAutospacing="0" w:line="276" w:lineRule="auto"/>
        <w:jc w:val="both"/>
      </w:pPr>
      <w:r w:rsidRPr="0020102C">
        <w:t>Absolvenții nivelului 5 pot continua</w:t>
      </w:r>
      <w:r w:rsidR="00E54375" w:rsidRPr="001F6026">
        <w:t xml:space="preserve"> studiile</w:t>
      </w:r>
      <w:r w:rsidRPr="001F6026">
        <w:t xml:space="preserve"> la ciclul I universitar sau se pot integra direct pe piața </w:t>
      </w:r>
      <w:r w:rsidRPr="0020102C">
        <w:t>muncii.</w:t>
      </w:r>
    </w:p>
    <w:p w14:paraId="4300B92A" w14:textId="57B23A6F" w:rsidR="005F5F7E" w:rsidRPr="0020102C" w:rsidRDefault="005F5F7E" w:rsidP="005C4FE9">
      <w:pPr>
        <w:pStyle w:val="af8"/>
        <w:spacing w:before="120" w:beforeAutospacing="0" w:after="120" w:afterAutospacing="0" w:line="276" w:lineRule="auto"/>
        <w:jc w:val="both"/>
      </w:pPr>
      <w:r w:rsidRPr="0020102C">
        <w:rPr>
          <w:rStyle w:val="af9"/>
          <w:rFonts w:eastAsiaTheme="majorEastAsia"/>
        </w:rPr>
        <w:t>Nota metodologică:</w:t>
      </w:r>
      <w:r w:rsidRPr="0020102C">
        <w:t xml:space="preserve"> </w:t>
      </w:r>
      <w:r w:rsidR="0015496F" w:rsidRPr="0020102C">
        <w:t>În procesul de referențiere, traseele educaționale sunt analizate atât din perspectiva cadrului legislativ și curricular național, cât și prin corelarea lor cu nivelurile CNC și EQF. Această abordare are o dublă funcție: (a) integrarea absolvenților în sistemul educațional național pe verticala calificărilor și (b) recunoașterea europeană a calificărilor, care garantează mobilitatea educațională și profesională</w:t>
      </w:r>
      <w:r w:rsidRPr="0020102C">
        <w:t>.</w:t>
      </w:r>
    </w:p>
    <w:p w14:paraId="3E416466" w14:textId="77777777" w:rsidR="00344452" w:rsidRPr="00F57FCB" w:rsidRDefault="00344452" w:rsidP="005C4FE9">
      <w:pPr>
        <w:spacing w:before="120" w:after="120" w:line="276" w:lineRule="auto"/>
        <w:outlineLvl w:val="2"/>
        <w:rPr>
          <w:rStyle w:val="af9"/>
          <w:rFonts w:ascii="Times New Roman" w:eastAsiaTheme="majorEastAsia" w:hAnsi="Times New Roman" w:cs="Times New Roman"/>
          <w:color w:val="3494BA" w:themeColor="accent1"/>
          <w:sz w:val="24"/>
          <w:szCs w:val="24"/>
        </w:rPr>
      </w:pPr>
      <w:r w:rsidRPr="0020102C">
        <w:rPr>
          <w:rStyle w:val="af9"/>
          <w:rFonts w:ascii="Times New Roman" w:eastAsiaTheme="majorEastAsia" w:hAnsi="Times New Roman" w:cs="Times New Roman"/>
          <w:color w:val="3494BA" w:themeColor="accent1"/>
          <w:sz w:val="24"/>
          <w:szCs w:val="24"/>
        </w:rPr>
        <w:t>Legătura cu CNC și EQF</w:t>
      </w:r>
    </w:p>
    <w:p w14:paraId="6648993B" w14:textId="4AF9FD91" w:rsidR="00344452" w:rsidRPr="0020102C" w:rsidRDefault="0034445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Rezultatele evaluării constituie baza pentru acordarea documentelor de studii și a calificărilor corespunzătoare nivelurilor CNC și EQF. Evaluarea și certificarea sunt mecanismele prin care rezultatele învățării sunt validate și încadrate în CNC.</w:t>
      </w:r>
      <w:r w:rsidR="005F6ED4" w:rsidRPr="0020102C">
        <w:rPr>
          <w:rFonts w:ascii="Times New Roman" w:eastAsia="Times New Roman" w:hAnsi="Times New Roman" w:cs="Times New Roman"/>
          <w:kern w:val="0"/>
          <w:sz w:val="24"/>
          <w:szCs w:val="24"/>
          <w:lang w:eastAsia="ro-MD"/>
          <w14:ligatures w14:val="none"/>
        </w:rPr>
        <w:t xml:space="preserve"> </w:t>
      </w:r>
      <w:r w:rsidR="00ED00FD" w:rsidRPr="0020102C">
        <w:rPr>
          <w:rFonts w:ascii="Times New Roman" w:eastAsia="Times New Roman" w:hAnsi="Times New Roman" w:cs="Times New Roman"/>
          <w:kern w:val="0"/>
          <w:sz w:val="24"/>
          <w:szCs w:val="24"/>
          <w:lang w:eastAsia="ro-MD"/>
          <w14:ligatures w14:val="none"/>
        </w:rPr>
        <w:t>C</w:t>
      </w:r>
      <w:r w:rsidRPr="0020102C">
        <w:rPr>
          <w:rFonts w:ascii="Times New Roman" w:eastAsia="Times New Roman" w:hAnsi="Times New Roman" w:cs="Times New Roman"/>
          <w:kern w:val="0"/>
          <w:sz w:val="24"/>
          <w:szCs w:val="24"/>
          <w:lang w:eastAsia="ro-MD"/>
          <w14:ligatures w14:val="none"/>
        </w:rPr>
        <w:t>orelarea cu descriptorii EQF asigură recunoașterea și comparabilitatea calificărilor la nivel european.</w:t>
      </w:r>
    </w:p>
    <w:p w14:paraId="0A2B5F4D" w14:textId="77777777" w:rsidR="00344452" w:rsidRPr="0020102C" w:rsidRDefault="00344452"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Nota metodologică:</w:t>
      </w:r>
      <w:r w:rsidRPr="0020102C">
        <w:rPr>
          <w:rFonts w:ascii="Times New Roman" w:eastAsia="Times New Roman" w:hAnsi="Times New Roman" w:cs="Times New Roman"/>
          <w:kern w:val="0"/>
          <w:sz w:val="24"/>
          <w:szCs w:val="24"/>
          <w:lang w:eastAsia="ro-MD"/>
          <w14:ligatures w14:val="none"/>
        </w:rPr>
        <w:t xml:space="preserve"> În raportul de referențiere, evaluarea este analizată atât ca proces educațional intern, cât și ca mecanism de asigurare a credibilității calificărilor. Corelarea probelor de evaluare cu descriptorii de nivel EQF demonstrează că fiecare calificare reflectă standardele europene de transparență, calitate și relevanță.</w:t>
      </w:r>
    </w:p>
    <w:p w14:paraId="4F5F3D33" w14:textId="77777777" w:rsidR="00FF1BEB" w:rsidRPr="0020102C" w:rsidRDefault="00FF1BEB" w:rsidP="005C4FE9">
      <w:pPr>
        <w:spacing w:before="120" w:after="120" w:line="276" w:lineRule="auto"/>
        <w:jc w:val="both"/>
        <w:rPr>
          <w:rFonts w:ascii="Times New Roman" w:eastAsia="Times New Roman" w:hAnsi="Times New Roman" w:cs="Times New Roman"/>
          <w:kern w:val="0"/>
          <w:sz w:val="24"/>
          <w:szCs w:val="24"/>
          <w:lang w:eastAsia="ro-MD"/>
          <w14:ligatures w14:val="none"/>
        </w:rPr>
      </w:pPr>
    </w:p>
    <w:p w14:paraId="4D21785D" w14:textId="77777777" w:rsidR="00E27544" w:rsidRPr="0020102C" w:rsidRDefault="00E27544" w:rsidP="00D10FE6">
      <w:pPr>
        <w:spacing w:before="120" w:after="120" w:line="276" w:lineRule="auto"/>
        <w:jc w:val="both"/>
        <w:outlineLvl w:val="0"/>
        <w:rPr>
          <w:rStyle w:val="af9"/>
          <w:rFonts w:ascii="Times New Roman" w:eastAsiaTheme="majorEastAsia" w:hAnsi="Times New Roman" w:cs="Times New Roman"/>
          <w:color w:val="3494BA" w:themeColor="accent1"/>
          <w:sz w:val="24"/>
          <w:szCs w:val="24"/>
        </w:rPr>
      </w:pPr>
      <w:r w:rsidRPr="0020102C">
        <w:rPr>
          <w:rStyle w:val="af9"/>
          <w:rFonts w:ascii="Times New Roman" w:eastAsiaTheme="majorEastAsia" w:hAnsi="Times New Roman" w:cs="Times New Roman"/>
          <w:color w:val="3494BA" w:themeColor="accent1"/>
          <w:sz w:val="24"/>
          <w:szCs w:val="24"/>
        </w:rPr>
        <w:t>3.4. ÎNVĂȚĂMÂNTUL SUPERIOR</w:t>
      </w:r>
    </w:p>
    <w:p w14:paraId="4141DBE9" w14:textId="10B6B6AB" w:rsidR="00C02D0E" w:rsidRPr="0020102C" w:rsidRDefault="00C02D0E" w:rsidP="00D10FE6">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3.4.1. Misiunea învățământului superior</w:t>
      </w:r>
    </w:p>
    <w:p w14:paraId="2C35C06A" w14:textId="77777777" w:rsidR="007717E0" w:rsidRPr="0065185D" w:rsidRDefault="007717E0" w:rsidP="007717E0">
      <w:pPr>
        <w:spacing w:before="120" w:after="120" w:line="276" w:lineRule="auto"/>
        <w:jc w:val="both"/>
        <w:rPr>
          <w:rFonts w:ascii="PT Serif" w:hAnsi="PT Serif"/>
          <w:sz w:val="18"/>
          <w:szCs w:val="18"/>
          <w:lang w:val="it-IT"/>
          <w14:ligatures w14:val="none"/>
        </w:rPr>
      </w:pPr>
      <w:r w:rsidRPr="0065185D">
        <w:rPr>
          <w:rFonts w:ascii="Times New Roman" w:hAnsi="Times New Roman" w:cs="Times New Roman"/>
          <w:sz w:val="24"/>
          <w:szCs w:val="24"/>
          <w:shd w:val="clear" w:color="auto" w:fill="FFFFFF"/>
          <w:lang w:val="it-IT"/>
          <w14:ligatures w14:val="none"/>
        </w:rPr>
        <w:t>Învățământul superior este un factor-cheie pentru dezvoltarea culturală, economică şi socială a societăţii bazate tot mai mult pe cunoaștere şi un promotor al drepturilor omului, dezvoltării durabile, democraţiei, păcii şi justiţiei. Conform</w:t>
      </w:r>
      <w:r w:rsidRPr="0065185D">
        <w:rPr>
          <w:rFonts w:ascii="Times New Roman" w:eastAsia="Times New Roman" w:hAnsi="Times New Roman" w:cs="Times New Roman"/>
          <w:b/>
          <w:bCs/>
          <w:kern w:val="0"/>
          <w:sz w:val="24"/>
          <w:szCs w:val="24"/>
          <w:lang w:val="it-IT"/>
          <w14:ligatures w14:val="none"/>
        </w:rPr>
        <w:t xml:space="preserve"> Codului educației nr. 152/2014, art. 75 alin.(2)</w:t>
      </w:r>
      <w:r w:rsidRPr="0065185D">
        <w:rPr>
          <w:rFonts w:ascii="Times New Roman" w:eastAsia="Times New Roman" w:hAnsi="Times New Roman" w:cs="Times New Roman"/>
          <w:kern w:val="0"/>
          <w:sz w:val="24"/>
          <w:szCs w:val="24"/>
          <w:lang w:val="it-IT"/>
          <w14:ligatures w14:val="none"/>
        </w:rPr>
        <w:t xml:space="preserve">, misiunea sa este de a </w:t>
      </w:r>
      <w:r w:rsidRPr="0065185D">
        <w:rPr>
          <w:rFonts w:ascii="PT Serif" w:hAnsi="PT Serif"/>
          <w:lang w:val="it-IT"/>
          <w14:ligatures w14:val="none"/>
        </w:rPr>
        <w:t>crea, păstra şi disemina cunoştințe la cel mai înalt nivel de excelenţă; forma specialişti de înaltă calificare competitivi pe piaţa naţională şi internaţională a muncii; crea oportunităţi de formare profesională pe parcursul întregii vieţi; păstra, dezvolta şi promova valori naţionale cultural-istorice în contextul diversităţii culturale.</w:t>
      </w:r>
    </w:p>
    <w:p w14:paraId="2790F6D7" w14:textId="77777777"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Învățământul superior are responsabilitatea de a:</w:t>
      </w:r>
    </w:p>
    <w:p w14:paraId="7F5A4DA0" w14:textId="77777777" w:rsidR="00C02D0E" w:rsidRPr="0020102C" w:rsidRDefault="00C02D0E" w:rsidP="00A41843">
      <w:pPr>
        <w:numPr>
          <w:ilvl w:val="0"/>
          <w:numId w:val="5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pregăti specialiști pentru toate domeniile vieții economice, sociale, culturale și științifice;</w:t>
      </w:r>
    </w:p>
    <w:p w14:paraId="4660E3D1" w14:textId="77777777" w:rsidR="00C02D0E" w:rsidRPr="0020102C" w:rsidRDefault="00C02D0E" w:rsidP="00A41843">
      <w:pPr>
        <w:numPr>
          <w:ilvl w:val="0"/>
          <w:numId w:val="5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dezvolta cercetarea și inovarea ca fundament al progresului național;</w:t>
      </w:r>
    </w:p>
    <w:p w14:paraId="0E10A9F6" w14:textId="5E947591" w:rsidR="00C02D0E" w:rsidRPr="0020102C" w:rsidRDefault="00C02D0E" w:rsidP="00A41843">
      <w:pPr>
        <w:numPr>
          <w:ilvl w:val="0"/>
          <w:numId w:val="5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internaționaliza studiile prin participarea la Spațiul European al Învățământului Superior (</w:t>
      </w:r>
      <w:r w:rsidR="002513BE" w:rsidRPr="0020102C">
        <w:rPr>
          <w:rFonts w:ascii="Times New Roman" w:eastAsia="Times New Roman" w:hAnsi="Times New Roman" w:cs="Times New Roman"/>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w:t>
      </w:r>
    </w:p>
    <w:p w14:paraId="3054FE76" w14:textId="77777777" w:rsidR="00C02D0E" w:rsidRPr="0020102C" w:rsidRDefault="00C02D0E" w:rsidP="00A41843">
      <w:pPr>
        <w:numPr>
          <w:ilvl w:val="0"/>
          <w:numId w:val="5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consolida parteneriatele cu mediul economic și societatea civilă.</w:t>
      </w:r>
    </w:p>
    <w:p w14:paraId="46E62180" w14:textId="211B24EC" w:rsidR="00BD1A75" w:rsidRPr="00BD1A75" w:rsidRDefault="00C02D0E" w:rsidP="001D3C04">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0102C">
        <w:rPr>
          <w:rFonts w:ascii="Times New Roman" w:eastAsia="Times New Roman" w:hAnsi="Times New Roman" w:cs="Times New Roman"/>
          <w:kern w:val="0"/>
          <w:sz w:val="24"/>
          <w:szCs w:val="24"/>
          <w:lang w:eastAsia="ro-MD"/>
          <w14:ligatures w14:val="none"/>
        </w:rPr>
        <w:t xml:space="preserve">Instituțiile de învățământ superior (universități, academii, institute) sunt publice sau private și funcționează pe baza </w:t>
      </w:r>
      <w:r w:rsidRPr="0020102C">
        <w:rPr>
          <w:rFonts w:ascii="Times New Roman" w:eastAsia="Times New Roman" w:hAnsi="Times New Roman" w:cs="Times New Roman"/>
          <w:b/>
          <w:bCs/>
          <w:kern w:val="0"/>
          <w:sz w:val="24"/>
          <w:szCs w:val="24"/>
          <w:lang w:eastAsia="ro-MD"/>
          <w14:ligatures w14:val="none"/>
        </w:rPr>
        <w:t>autonomiei universitare</w:t>
      </w:r>
      <w:r w:rsidRPr="0020102C">
        <w:rPr>
          <w:rFonts w:ascii="Times New Roman" w:eastAsia="Times New Roman" w:hAnsi="Times New Roman" w:cs="Times New Roman"/>
          <w:kern w:val="0"/>
          <w:sz w:val="24"/>
          <w:szCs w:val="24"/>
          <w:lang w:eastAsia="ro-MD"/>
          <w14:ligatures w14:val="none"/>
        </w:rPr>
        <w:t>, prevăzută la art.</w:t>
      </w:r>
      <w:r w:rsidR="007B4508">
        <w:rPr>
          <w:rFonts w:ascii="Times New Roman" w:eastAsia="Times New Roman" w:hAnsi="Times New Roman" w:cs="Times New Roman"/>
          <w:kern w:val="0"/>
          <w:sz w:val="24"/>
          <w:szCs w:val="24"/>
          <w:lang w:eastAsia="ro-MD"/>
          <w14:ligatures w14:val="none"/>
        </w:rPr>
        <w:t>79</w:t>
      </w:r>
      <w:r w:rsidRPr="0020102C">
        <w:rPr>
          <w:rFonts w:ascii="Times New Roman" w:eastAsia="Times New Roman" w:hAnsi="Times New Roman" w:cs="Times New Roman"/>
          <w:kern w:val="0"/>
          <w:sz w:val="24"/>
          <w:szCs w:val="24"/>
          <w:lang w:eastAsia="ro-MD"/>
          <w14:ligatures w14:val="none"/>
        </w:rPr>
        <w:t xml:space="preserve"> din Cod</w:t>
      </w:r>
      <w:r w:rsidR="00C428B2">
        <w:rPr>
          <w:rFonts w:ascii="Times New Roman" w:eastAsia="Times New Roman" w:hAnsi="Times New Roman" w:cs="Times New Roman"/>
          <w:kern w:val="0"/>
          <w:sz w:val="24"/>
          <w:szCs w:val="24"/>
          <w:lang w:eastAsia="ro-MD"/>
          <w14:ligatures w14:val="none"/>
        </w:rPr>
        <w:t>ul educației</w:t>
      </w:r>
      <w:r w:rsidRPr="0020102C">
        <w:rPr>
          <w:rFonts w:ascii="Times New Roman" w:eastAsia="Times New Roman" w:hAnsi="Times New Roman" w:cs="Times New Roman"/>
          <w:kern w:val="0"/>
          <w:sz w:val="24"/>
          <w:szCs w:val="24"/>
          <w:lang w:eastAsia="ro-MD"/>
          <w14:ligatures w14:val="none"/>
        </w:rPr>
        <w:t xml:space="preserve">. </w:t>
      </w:r>
      <w:r w:rsidR="00BD1A75" w:rsidRPr="00BD1A75">
        <w:rPr>
          <w:rFonts w:ascii="Times New Roman" w:eastAsia="Times New Roman" w:hAnsi="Times New Roman" w:cs="Times New Roman"/>
          <w:kern w:val="0"/>
          <w:sz w:val="24"/>
          <w:szCs w:val="24"/>
          <w:lang w:val="ro-MD" w:eastAsia="ro-MD"/>
          <w14:ligatures w14:val="none"/>
        </w:rPr>
        <w:t>Autonomia universitară acoperă domeniile de conducere, organizare și funcționare ale instituției, procesele de predare și cercetare, precum și aspectele administrative și financiare. Ea se realizează, în principal, prin capacitatea instituției de a:</w:t>
      </w:r>
    </w:p>
    <w:p w14:paraId="059FF888" w14:textId="77777777" w:rsidR="00BD1A75" w:rsidRPr="00BD1A75" w:rsidRDefault="00BD1A75" w:rsidP="00A41843">
      <w:pPr>
        <w:numPr>
          <w:ilvl w:val="0"/>
          <w:numId w:val="16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D1A75">
        <w:rPr>
          <w:rFonts w:ascii="Times New Roman" w:eastAsia="Times New Roman" w:hAnsi="Times New Roman" w:cs="Times New Roman"/>
          <w:b/>
          <w:bCs/>
          <w:kern w:val="0"/>
          <w:sz w:val="24"/>
          <w:szCs w:val="24"/>
          <w:lang w:val="ro-MD" w:eastAsia="ro-MD"/>
          <w14:ligatures w14:val="none"/>
        </w:rPr>
        <w:t>gestiona independent procesele de învățământ și cercetare</w:t>
      </w:r>
      <w:r w:rsidRPr="00BD1A75">
        <w:rPr>
          <w:rFonts w:ascii="Times New Roman" w:eastAsia="Times New Roman" w:hAnsi="Times New Roman" w:cs="Times New Roman"/>
          <w:kern w:val="0"/>
          <w:sz w:val="24"/>
          <w:szCs w:val="24"/>
          <w:lang w:val="ro-MD" w:eastAsia="ro-MD"/>
          <w14:ligatures w14:val="none"/>
        </w:rPr>
        <w:t>, inclusiv stabilirea specialităților, elaborarea planurilor de studii și programelor analitice, în conformitate cu standardele educaționale de stat;</w:t>
      </w:r>
    </w:p>
    <w:p w14:paraId="650E2264" w14:textId="5B9B8477" w:rsidR="00BD1A75" w:rsidRPr="00BD1A75" w:rsidRDefault="00BD1A75" w:rsidP="00A41843">
      <w:pPr>
        <w:numPr>
          <w:ilvl w:val="0"/>
          <w:numId w:val="16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D1A75">
        <w:rPr>
          <w:rFonts w:ascii="Times New Roman" w:eastAsia="Times New Roman" w:hAnsi="Times New Roman" w:cs="Times New Roman"/>
          <w:b/>
          <w:bCs/>
          <w:kern w:val="0"/>
          <w:sz w:val="24"/>
          <w:szCs w:val="24"/>
          <w:lang w:val="ro-MD" w:eastAsia="ro-MD"/>
          <w14:ligatures w14:val="none"/>
        </w:rPr>
        <w:t>organiza admiterea candidaților</w:t>
      </w:r>
      <w:r w:rsidR="00DB6BB4">
        <w:rPr>
          <w:rFonts w:ascii="Times New Roman" w:eastAsia="Times New Roman" w:hAnsi="Times New Roman" w:cs="Times New Roman"/>
          <w:b/>
          <w:bCs/>
          <w:kern w:val="0"/>
          <w:sz w:val="24"/>
          <w:szCs w:val="24"/>
          <w:lang w:val="ro-MD" w:eastAsia="ro-MD"/>
          <w14:ligatures w14:val="none"/>
        </w:rPr>
        <w:t xml:space="preserve"> la studii</w:t>
      </w:r>
      <w:r w:rsidRPr="00BD1A75">
        <w:rPr>
          <w:rFonts w:ascii="Times New Roman" w:eastAsia="Times New Roman" w:hAnsi="Times New Roman" w:cs="Times New Roman"/>
          <w:kern w:val="0"/>
          <w:sz w:val="24"/>
          <w:szCs w:val="24"/>
          <w:lang w:val="ro-MD" w:eastAsia="ro-MD"/>
          <w14:ligatures w14:val="none"/>
        </w:rPr>
        <w:t>, în funcție de profilul și criteriile proprii ale instituției;</w:t>
      </w:r>
    </w:p>
    <w:p w14:paraId="6A4A3DE0" w14:textId="77777777" w:rsidR="00BD1A75" w:rsidRPr="00BD1A75" w:rsidRDefault="00BD1A75" w:rsidP="00A41843">
      <w:pPr>
        <w:numPr>
          <w:ilvl w:val="0"/>
          <w:numId w:val="16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D1A75">
        <w:rPr>
          <w:rFonts w:ascii="Times New Roman" w:eastAsia="Times New Roman" w:hAnsi="Times New Roman" w:cs="Times New Roman"/>
          <w:b/>
          <w:bCs/>
          <w:kern w:val="0"/>
          <w:sz w:val="24"/>
          <w:szCs w:val="24"/>
          <w:lang w:val="ro-MD" w:eastAsia="ro-MD"/>
          <w14:ligatures w14:val="none"/>
        </w:rPr>
        <w:t>recruta, evalua și promova personalul</w:t>
      </w:r>
      <w:r w:rsidRPr="00BD1A75">
        <w:rPr>
          <w:rFonts w:ascii="Times New Roman" w:eastAsia="Times New Roman" w:hAnsi="Times New Roman" w:cs="Times New Roman"/>
          <w:kern w:val="0"/>
          <w:sz w:val="24"/>
          <w:szCs w:val="24"/>
          <w:lang w:val="ro-MD" w:eastAsia="ro-MD"/>
          <w14:ligatures w14:val="none"/>
        </w:rPr>
        <w:t xml:space="preserve"> didactic și științific, precum și de a acorda titlurile didactice corespunzătoare;</w:t>
      </w:r>
    </w:p>
    <w:p w14:paraId="3D34BBA0" w14:textId="77777777" w:rsidR="00BD1A75" w:rsidRPr="00BD1A75" w:rsidRDefault="00BD1A75" w:rsidP="00A41843">
      <w:pPr>
        <w:numPr>
          <w:ilvl w:val="0"/>
          <w:numId w:val="16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D1A75">
        <w:rPr>
          <w:rFonts w:ascii="Times New Roman" w:eastAsia="Times New Roman" w:hAnsi="Times New Roman" w:cs="Times New Roman"/>
          <w:b/>
          <w:bCs/>
          <w:kern w:val="0"/>
          <w:sz w:val="24"/>
          <w:szCs w:val="24"/>
          <w:lang w:val="ro-MD" w:eastAsia="ro-MD"/>
          <w14:ligatures w14:val="none"/>
        </w:rPr>
        <w:t>asigura guvernanța democratică internă</w:t>
      </w:r>
      <w:r w:rsidRPr="00BD1A75">
        <w:rPr>
          <w:rFonts w:ascii="Times New Roman" w:eastAsia="Times New Roman" w:hAnsi="Times New Roman" w:cs="Times New Roman"/>
          <w:kern w:val="0"/>
          <w:sz w:val="24"/>
          <w:szCs w:val="24"/>
          <w:lang w:val="ro-MD" w:eastAsia="ro-MD"/>
          <w14:ligatures w14:val="none"/>
        </w:rPr>
        <w:t>, prin alegerea organelor de conducere prin vot secret;</w:t>
      </w:r>
    </w:p>
    <w:p w14:paraId="2B0ECFA1" w14:textId="77777777" w:rsidR="00BD1A75" w:rsidRPr="00BD1A75" w:rsidRDefault="00BD1A75" w:rsidP="00A41843">
      <w:pPr>
        <w:numPr>
          <w:ilvl w:val="0"/>
          <w:numId w:val="16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D1A75">
        <w:rPr>
          <w:rFonts w:ascii="Times New Roman" w:eastAsia="Times New Roman" w:hAnsi="Times New Roman" w:cs="Times New Roman"/>
          <w:b/>
          <w:bCs/>
          <w:kern w:val="0"/>
          <w:sz w:val="24"/>
          <w:szCs w:val="24"/>
          <w:lang w:val="ro-MD" w:eastAsia="ro-MD"/>
          <w14:ligatures w14:val="none"/>
        </w:rPr>
        <w:t>gestiona aspectele sociale, de disciplină și ordine</w:t>
      </w:r>
      <w:r w:rsidRPr="00BD1A75">
        <w:rPr>
          <w:rFonts w:ascii="Times New Roman" w:eastAsia="Times New Roman" w:hAnsi="Times New Roman" w:cs="Times New Roman"/>
          <w:kern w:val="0"/>
          <w:sz w:val="24"/>
          <w:szCs w:val="24"/>
          <w:lang w:val="ro-MD" w:eastAsia="ro-MD"/>
          <w14:ligatures w14:val="none"/>
        </w:rPr>
        <w:t xml:space="preserve"> pentru studenți și personal;</w:t>
      </w:r>
    </w:p>
    <w:p w14:paraId="2020E355" w14:textId="77777777" w:rsidR="00BD1A75" w:rsidRDefault="00BD1A75" w:rsidP="00A41843">
      <w:pPr>
        <w:numPr>
          <w:ilvl w:val="0"/>
          <w:numId w:val="16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D1A75">
        <w:rPr>
          <w:rFonts w:ascii="Times New Roman" w:eastAsia="Times New Roman" w:hAnsi="Times New Roman" w:cs="Times New Roman"/>
          <w:b/>
          <w:bCs/>
          <w:kern w:val="0"/>
          <w:sz w:val="24"/>
          <w:szCs w:val="24"/>
          <w:lang w:val="ro-MD" w:eastAsia="ro-MD"/>
          <w14:ligatures w14:val="none"/>
        </w:rPr>
        <w:t>dezvolta parteneriate și colaborări</w:t>
      </w:r>
      <w:r w:rsidRPr="00BD1A75">
        <w:rPr>
          <w:rFonts w:ascii="Times New Roman" w:eastAsia="Times New Roman" w:hAnsi="Times New Roman" w:cs="Times New Roman"/>
          <w:kern w:val="0"/>
          <w:sz w:val="24"/>
          <w:szCs w:val="24"/>
          <w:lang w:val="ro-MD" w:eastAsia="ro-MD"/>
          <w14:ligatures w14:val="none"/>
        </w:rPr>
        <w:t xml:space="preserve"> cu alte instituții educaționale și științifice, la nivel național și internațional.</w:t>
      </w:r>
    </w:p>
    <w:p w14:paraId="6D51E7BD" w14:textId="77777777" w:rsidR="000B14F2" w:rsidRDefault="000B14F2" w:rsidP="001D3C04">
      <w:pPr>
        <w:pStyle w:val="af8"/>
        <w:spacing w:before="120" w:beforeAutospacing="0" w:after="120" w:afterAutospacing="0" w:line="276" w:lineRule="auto"/>
        <w:rPr>
          <w:lang w:val="ro-MD"/>
        </w:rPr>
      </w:pPr>
      <w:r>
        <w:t>În plan financiar, autonomia universitară se exercită prin capacitatea instituțiilor de învățământ superior de a:</w:t>
      </w:r>
    </w:p>
    <w:p w14:paraId="7A34249C" w14:textId="77777777" w:rsidR="000B14F2" w:rsidRDefault="000B14F2" w:rsidP="00A41843">
      <w:pPr>
        <w:pStyle w:val="af8"/>
        <w:numPr>
          <w:ilvl w:val="0"/>
          <w:numId w:val="162"/>
        </w:numPr>
        <w:spacing w:before="120" w:beforeAutospacing="0" w:after="120" w:afterAutospacing="0" w:line="276" w:lineRule="auto"/>
      </w:pPr>
      <w:r>
        <w:rPr>
          <w:rStyle w:val="af9"/>
          <w:rFonts w:eastAsiaTheme="majorEastAsia"/>
        </w:rPr>
        <w:t>administra în mod independent resursele financiare</w:t>
      </w:r>
      <w:r>
        <w:t>, inclusiv fondurile alocate de la bugetul de stat, prin conturi proprii;</w:t>
      </w:r>
    </w:p>
    <w:p w14:paraId="3D6D64B1" w14:textId="7C511788" w:rsidR="000B14F2" w:rsidRDefault="000B14F2" w:rsidP="00A41843">
      <w:pPr>
        <w:pStyle w:val="af8"/>
        <w:numPr>
          <w:ilvl w:val="0"/>
          <w:numId w:val="162"/>
        </w:numPr>
        <w:spacing w:before="120" w:beforeAutospacing="0" w:after="120" w:afterAutospacing="0" w:line="276" w:lineRule="auto"/>
      </w:pPr>
      <w:r>
        <w:rPr>
          <w:rStyle w:val="af9"/>
          <w:rFonts w:eastAsiaTheme="majorEastAsia"/>
        </w:rPr>
        <w:t>utiliza resursele disponibile</w:t>
      </w:r>
      <w:r>
        <w:t xml:space="preserve"> </w:t>
      </w:r>
      <w:r w:rsidR="00BE76A7" w:rsidRPr="00BD1A75">
        <w:rPr>
          <w:lang w:val="ro-MD"/>
        </w:rPr>
        <w:t>și identifica surse suplimentare de venit</w:t>
      </w:r>
      <w:r w:rsidR="00BE76A7">
        <w:t xml:space="preserve"> </w:t>
      </w:r>
      <w:r>
        <w:t>pentru realizarea activităților prevăzute în statut, în baza deciziilor interne;</w:t>
      </w:r>
    </w:p>
    <w:p w14:paraId="28BCA30F" w14:textId="77777777" w:rsidR="000B14F2" w:rsidRDefault="000B14F2" w:rsidP="00A41843">
      <w:pPr>
        <w:pStyle w:val="af8"/>
        <w:numPr>
          <w:ilvl w:val="0"/>
          <w:numId w:val="162"/>
        </w:numPr>
        <w:spacing w:before="120" w:beforeAutospacing="0" w:after="120" w:afterAutospacing="0" w:line="276" w:lineRule="auto"/>
      </w:pPr>
      <w:r>
        <w:rPr>
          <w:rStyle w:val="af9"/>
          <w:rFonts w:eastAsiaTheme="majorEastAsia"/>
        </w:rPr>
        <w:t>acumula și gestiona venituri proprii</w:t>
      </w:r>
      <w:r>
        <w:t xml:space="preserve"> provenite din taxe, servicii prestate, lucrări executate și alte activități specifice, în conformitate cu nomenclatorul aprobat de Guvern;</w:t>
      </w:r>
    </w:p>
    <w:p w14:paraId="67C8383C" w14:textId="77777777" w:rsidR="000B14F2" w:rsidRDefault="000B14F2" w:rsidP="00A41843">
      <w:pPr>
        <w:pStyle w:val="af8"/>
        <w:numPr>
          <w:ilvl w:val="0"/>
          <w:numId w:val="162"/>
        </w:numPr>
        <w:spacing w:before="120" w:beforeAutospacing="0" w:after="120" w:afterAutospacing="0" w:line="276" w:lineRule="auto"/>
      </w:pPr>
      <w:r>
        <w:rPr>
          <w:rStyle w:val="af9"/>
          <w:rFonts w:eastAsiaTheme="majorEastAsia"/>
        </w:rPr>
        <w:t>gestiona și valorifica bunurile aflate în proprietatea instituției</w:t>
      </w:r>
      <w:r>
        <w:t>, dezvoltând baza materială și infrastructura educațională;</w:t>
      </w:r>
    </w:p>
    <w:p w14:paraId="07224212" w14:textId="77777777" w:rsidR="000B14F2" w:rsidRDefault="000B14F2" w:rsidP="00A41843">
      <w:pPr>
        <w:pStyle w:val="af8"/>
        <w:numPr>
          <w:ilvl w:val="0"/>
          <w:numId w:val="162"/>
        </w:numPr>
        <w:spacing w:before="120" w:beforeAutospacing="0" w:after="120" w:afterAutospacing="0" w:line="276" w:lineRule="auto"/>
      </w:pPr>
      <w:r>
        <w:rPr>
          <w:rStyle w:val="af9"/>
          <w:rFonts w:eastAsiaTheme="majorEastAsia"/>
        </w:rPr>
        <w:t>utiliza bunurile și drepturile aferente</w:t>
      </w:r>
      <w:r>
        <w:t xml:space="preserve"> pentru atingerea obiectivelor statutare și consolidarea sustenabilității financiare.</w:t>
      </w:r>
    </w:p>
    <w:p w14:paraId="774E3C36" w14:textId="7A14D1D6" w:rsidR="00C02D0E" w:rsidRPr="0020102C" w:rsidRDefault="00C02D0E" w:rsidP="001D3C04">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Autonomia </w:t>
      </w:r>
      <w:r w:rsidR="009F0058">
        <w:rPr>
          <w:rFonts w:ascii="Times New Roman" w:eastAsia="Times New Roman" w:hAnsi="Times New Roman" w:cs="Times New Roman"/>
          <w:kern w:val="0"/>
          <w:sz w:val="24"/>
          <w:szCs w:val="24"/>
          <w:lang w:eastAsia="ro-MD"/>
          <w14:ligatures w14:val="none"/>
        </w:rPr>
        <w:t xml:space="preserve">universitară </w:t>
      </w:r>
      <w:r w:rsidRPr="0020102C">
        <w:rPr>
          <w:rFonts w:ascii="Times New Roman" w:eastAsia="Times New Roman" w:hAnsi="Times New Roman" w:cs="Times New Roman"/>
          <w:kern w:val="0"/>
          <w:sz w:val="24"/>
          <w:szCs w:val="24"/>
          <w:lang w:eastAsia="ro-MD"/>
          <w14:ligatures w14:val="none"/>
        </w:rPr>
        <w:t xml:space="preserve">este exercitată în corelare cu standardele naționale de calitate, iar evaluarea externă și acreditarea programelor și instituțiilor sunt realizate de </w:t>
      </w:r>
      <w:r w:rsidRPr="0020102C">
        <w:rPr>
          <w:rFonts w:ascii="Times New Roman" w:eastAsia="Times New Roman" w:hAnsi="Times New Roman" w:cs="Times New Roman"/>
          <w:b/>
          <w:bCs/>
          <w:kern w:val="0"/>
          <w:sz w:val="24"/>
          <w:szCs w:val="24"/>
          <w:lang w:eastAsia="ro-MD"/>
          <w14:ligatures w14:val="none"/>
        </w:rPr>
        <w:t>ANACEC</w:t>
      </w:r>
      <w:r w:rsidRPr="0020102C">
        <w:rPr>
          <w:rFonts w:ascii="Times New Roman" w:eastAsia="Times New Roman" w:hAnsi="Times New Roman" w:cs="Times New Roman"/>
          <w:kern w:val="0"/>
          <w:sz w:val="24"/>
          <w:szCs w:val="24"/>
          <w:lang w:eastAsia="ro-MD"/>
          <w14:ligatures w14:val="none"/>
        </w:rPr>
        <w:t>, conform standardelor aprobate de Guvern</w:t>
      </w:r>
      <w:r w:rsidRPr="0020102C">
        <w:rPr>
          <w:rStyle w:val="afc"/>
          <w:rFonts w:ascii="Times New Roman" w:eastAsia="Times New Roman" w:hAnsi="Times New Roman" w:cs="Times New Roman"/>
          <w:kern w:val="0"/>
          <w:sz w:val="24"/>
          <w:szCs w:val="24"/>
          <w:lang w:eastAsia="ro-MD"/>
          <w14:ligatures w14:val="none"/>
        </w:rPr>
        <w:footnoteReference w:id="29"/>
      </w:r>
      <w:r w:rsidRPr="0020102C">
        <w:rPr>
          <w:rFonts w:ascii="Times New Roman" w:eastAsia="Times New Roman" w:hAnsi="Times New Roman" w:cs="Times New Roman"/>
          <w:kern w:val="0"/>
          <w:sz w:val="24"/>
          <w:szCs w:val="24"/>
          <w:lang w:eastAsia="ro-MD"/>
          <w14:ligatures w14:val="none"/>
        </w:rPr>
        <w:t>.</w:t>
      </w:r>
    </w:p>
    <w:p w14:paraId="44D0AE48" w14:textId="77777777" w:rsidR="00C02D0E" w:rsidRPr="0020102C" w:rsidRDefault="00C02D0E"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3.4.2. Structura după ciclurile Bologna (licență–master–doctorat)</w:t>
      </w:r>
    </w:p>
    <w:p w14:paraId="14BADC05" w14:textId="77777777" w:rsidR="00C02D0E" w:rsidRPr="000B1003" w:rsidRDefault="00C02D0E" w:rsidP="000B1003">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Învățământul superior este organizat conform Procesului Bologna, în trei cicluri corelate cu CNC (HG nr. 330/2023) și </w:t>
      </w:r>
      <w:r w:rsidRPr="000B1003">
        <w:rPr>
          <w:rFonts w:ascii="Times New Roman" w:eastAsia="Times New Roman" w:hAnsi="Times New Roman" w:cs="Times New Roman"/>
          <w:kern w:val="0"/>
          <w:sz w:val="24"/>
          <w:szCs w:val="24"/>
          <w:lang w:eastAsia="ro-MD"/>
          <w14:ligatures w14:val="none"/>
        </w:rPr>
        <w:t>EQF:</w:t>
      </w:r>
    </w:p>
    <w:p w14:paraId="53BBECAE" w14:textId="2F12F977" w:rsidR="00C02D0E" w:rsidRPr="00C566F5" w:rsidRDefault="00C02D0E" w:rsidP="00A41843">
      <w:pPr>
        <w:pStyle w:val="a7"/>
        <w:numPr>
          <w:ilvl w:val="0"/>
          <w:numId w:val="55"/>
        </w:numPr>
        <w:spacing w:before="120" w:after="120" w:line="276" w:lineRule="auto"/>
        <w:jc w:val="both"/>
        <w:rPr>
          <w:rFonts w:ascii="Times New Roman" w:eastAsia="Times New Roman" w:hAnsi="Times New Roman" w:cs="Times New Roman"/>
          <w:kern w:val="0"/>
          <w:sz w:val="24"/>
          <w:szCs w:val="24"/>
          <w:lang w:eastAsia="ro-MD"/>
          <w14:ligatures w14:val="none"/>
        </w:rPr>
      </w:pPr>
      <w:r w:rsidRPr="000B1003">
        <w:rPr>
          <w:rStyle w:val="af9"/>
          <w:rFonts w:ascii="Times New Roman" w:eastAsiaTheme="majorEastAsia" w:hAnsi="Times New Roman" w:cs="Times New Roman"/>
          <w:sz w:val="24"/>
          <w:szCs w:val="24"/>
        </w:rPr>
        <w:lastRenderedPageBreak/>
        <w:t>Ciclul I – Licență (CNC/EQF 6)</w:t>
      </w:r>
      <w:r w:rsidRPr="000B1003">
        <w:rPr>
          <w:rFonts w:ascii="Times New Roman" w:hAnsi="Times New Roman" w:cs="Times New Roman"/>
          <w:sz w:val="24"/>
          <w:szCs w:val="24"/>
        </w:rPr>
        <w:t>: acces pe baza diplomei de bacalaureat</w:t>
      </w:r>
      <w:r w:rsidR="00BA0936" w:rsidRPr="000B1003">
        <w:rPr>
          <w:rFonts w:ascii="Times New Roman" w:hAnsi="Times New Roman" w:cs="Times New Roman"/>
          <w:sz w:val="24"/>
          <w:szCs w:val="24"/>
        </w:rPr>
        <w:t xml:space="preserve">, </w:t>
      </w:r>
      <w:r w:rsidR="00CE5C2A" w:rsidRPr="000B1003">
        <w:rPr>
          <w:rFonts w:ascii="Times New Roman" w:hAnsi="Times New Roman" w:cs="Times New Roman"/>
          <w:sz w:val="24"/>
          <w:szCs w:val="24"/>
        </w:rPr>
        <w:t>a</w:t>
      </w:r>
      <w:r w:rsidR="00071177" w:rsidRPr="000B1003">
        <w:rPr>
          <w:rFonts w:ascii="Times New Roman" w:hAnsi="Times New Roman" w:cs="Times New Roman"/>
          <w:sz w:val="24"/>
          <w:szCs w:val="24"/>
        </w:rPr>
        <w:t>testat de studii medii de cultură generală</w:t>
      </w:r>
      <w:r w:rsidR="00CE5C2A" w:rsidRPr="000B1003">
        <w:rPr>
          <w:rFonts w:ascii="Times New Roman" w:hAnsi="Times New Roman" w:cs="Times New Roman"/>
          <w:sz w:val="24"/>
          <w:szCs w:val="24"/>
        </w:rPr>
        <w:t>,</w:t>
      </w:r>
      <w:r w:rsidR="005A0323" w:rsidRPr="000B1003">
        <w:rPr>
          <w:rFonts w:ascii="Times New Roman" w:hAnsi="Times New Roman" w:cs="Times New Roman"/>
          <w:sz w:val="24"/>
          <w:szCs w:val="24"/>
        </w:rPr>
        <w:t xml:space="preserve"> </w:t>
      </w:r>
      <w:r w:rsidR="007E3A1D" w:rsidRPr="000B1003">
        <w:rPr>
          <w:rFonts w:ascii="Times New Roman" w:hAnsi="Times New Roman" w:cs="Times New Roman"/>
          <w:sz w:val="24"/>
          <w:szCs w:val="24"/>
        </w:rPr>
        <w:t xml:space="preserve">atestat de studii medii, </w:t>
      </w:r>
      <w:r w:rsidR="00CD0B34" w:rsidRPr="000B1003">
        <w:rPr>
          <w:rFonts w:ascii="Times New Roman" w:hAnsi="Times New Roman" w:cs="Times New Roman"/>
          <w:sz w:val="24"/>
          <w:szCs w:val="24"/>
        </w:rPr>
        <w:t xml:space="preserve">atestat de absolvire a școlii medii, </w:t>
      </w:r>
      <w:r w:rsidR="00E87EBC" w:rsidRPr="000B1003">
        <w:rPr>
          <w:rFonts w:ascii="Times New Roman" w:hAnsi="Times New Roman" w:cs="Times New Roman"/>
          <w:sz w:val="24"/>
          <w:szCs w:val="24"/>
        </w:rPr>
        <w:t>diplomă</w:t>
      </w:r>
      <w:r w:rsidR="006D6FAF" w:rsidRPr="000B1003">
        <w:rPr>
          <w:rFonts w:ascii="Times New Roman" w:hAnsi="Times New Roman" w:cs="Times New Roman"/>
          <w:sz w:val="24"/>
          <w:szCs w:val="24"/>
        </w:rPr>
        <w:t xml:space="preserve"> (cu anexă – extrasul notelor finale a reușitei)</w:t>
      </w:r>
      <w:r w:rsidR="00E87EBC" w:rsidRPr="000B1003">
        <w:rPr>
          <w:rFonts w:ascii="Times New Roman" w:hAnsi="Times New Roman" w:cs="Times New Roman"/>
          <w:sz w:val="24"/>
          <w:szCs w:val="24"/>
        </w:rPr>
        <w:t xml:space="preserve">, </w:t>
      </w:r>
      <w:r w:rsidR="005A0323" w:rsidRPr="000B1003">
        <w:rPr>
          <w:rFonts w:ascii="Times New Roman" w:hAnsi="Times New Roman" w:cs="Times New Roman"/>
          <w:sz w:val="24"/>
          <w:szCs w:val="24"/>
        </w:rPr>
        <w:t>diplomă de absolvire a liceului,</w:t>
      </w:r>
      <w:r w:rsidR="00BD35C1" w:rsidRPr="000B1003">
        <w:rPr>
          <w:rFonts w:ascii="Times New Roman" w:hAnsi="Times New Roman" w:cs="Times New Roman"/>
          <w:sz w:val="24"/>
          <w:szCs w:val="24"/>
        </w:rPr>
        <w:t xml:space="preserve"> diplomă de absolvire a învățământului mediu general,</w:t>
      </w:r>
      <w:r w:rsidR="00071177" w:rsidRPr="000B1003">
        <w:rPr>
          <w:rFonts w:ascii="Times New Roman" w:hAnsi="Times New Roman" w:cs="Times New Roman"/>
          <w:sz w:val="24"/>
          <w:szCs w:val="24"/>
        </w:rPr>
        <w:t xml:space="preserve"> </w:t>
      </w:r>
      <w:r w:rsidR="008D172F" w:rsidRPr="000B1003">
        <w:rPr>
          <w:rFonts w:ascii="Times New Roman" w:hAnsi="Times New Roman" w:cs="Times New Roman"/>
          <w:sz w:val="24"/>
          <w:szCs w:val="24"/>
        </w:rPr>
        <w:t xml:space="preserve">diplomei </w:t>
      </w:r>
      <w:r w:rsidR="00BA0936" w:rsidRPr="000B1003">
        <w:rPr>
          <w:rFonts w:ascii="Times New Roman" w:hAnsi="Times New Roman" w:cs="Times New Roman"/>
          <w:sz w:val="24"/>
          <w:szCs w:val="24"/>
        </w:rPr>
        <w:t>de studii profesionale</w:t>
      </w:r>
      <w:r w:rsidR="00DE4C98" w:rsidRPr="000B1003">
        <w:rPr>
          <w:rFonts w:ascii="Times New Roman" w:hAnsi="Times New Roman" w:cs="Times New Roman"/>
          <w:sz w:val="24"/>
          <w:szCs w:val="24"/>
        </w:rPr>
        <w:t xml:space="preserve"> (învățământ profesional tehnic postsecundar)</w:t>
      </w:r>
      <w:r w:rsidR="00BA0936" w:rsidRPr="000B1003">
        <w:rPr>
          <w:rFonts w:ascii="Times New Roman" w:hAnsi="Times New Roman" w:cs="Times New Roman"/>
          <w:sz w:val="24"/>
          <w:szCs w:val="24"/>
        </w:rPr>
        <w:t>,</w:t>
      </w:r>
      <w:r w:rsidR="008D172F" w:rsidRPr="000B1003">
        <w:rPr>
          <w:rFonts w:ascii="Times New Roman" w:hAnsi="Times New Roman" w:cs="Times New Roman"/>
          <w:sz w:val="24"/>
          <w:szCs w:val="24"/>
        </w:rPr>
        <w:t xml:space="preserve"> </w:t>
      </w:r>
      <w:r w:rsidR="00F05E7E" w:rsidRPr="000B1003">
        <w:rPr>
          <w:rFonts w:ascii="Times New Roman" w:hAnsi="Times New Roman" w:cs="Times New Roman"/>
          <w:sz w:val="24"/>
          <w:szCs w:val="24"/>
        </w:rPr>
        <w:t xml:space="preserve">diplomă de studii medii de specialitate, </w:t>
      </w:r>
      <w:r w:rsidR="002C1130" w:rsidRPr="000B1003">
        <w:rPr>
          <w:rFonts w:ascii="Times New Roman" w:hAnsi="Times New Roman" w:cs="Times New Roman"/>
          <w:sz w:val="24"/>
          <w:szCs w:val="24"/>
        </w:rPr>
        <w:t>diplomă de absolvire a școlii profesionale polivalente de treapta III (tehnician-tehnolog)</w:t>
      </w:r>
      <w:r w:rsidR="00BB231E" w:rsidRPr="000B1003">
        <w:rPr>
          <w:rFonts w:ascii="Times New Roman" w:hAnsi="Times New Roman" w:cs="Times New Roman"/>
          <w:sz w:val="24"/>
          <w:szCs w:val="24"/>
        </w:rPr>
        <w:t xml:space="preserve">, </w:t>
      </w:r>
      <w:r w:rsidR="002B282A" w:rsidRPr="000B1003">
        <w:rPr>
          <w:rFonts w:ascii="Times New Roman" w:hAnsi="Times New Roman" w:cs="Times New Roman"/>
          <w:sz w:val="24"/>
          <w:szCs w:val="24"/>
        </w:rPr>
        <w:t>diplomă de studii profesionale (învățământ profesional tehnic postsecundar nonterțiar)</w:t>
      </w:r>
      <w:r w:rsidR="00343B26" w:rsidRPr="000B1003">
        <w:rPr>
          <w:rFonts w:ascii="Times New Roman" w:hAnsi="Times New Roman" w:cs="Times New Roman"/>
          <w:sz w:val="24"/>
          <w:szCs w:val="24"/>
        </w:rPr>
        <w:t>, Diplomă de studii superioare scurte</w:t>
      </w:r>
      <w:r w:rsidR="007E08AF" w:rsidRPr="000B1003">
        <w:rPr>
          <w:rFonts w:ascii="Times New Roman" w:hAnsi="Times New Roman" w:cs="Times New Roman"/>
          <w:sz w:val="24"/>
          <w:szCs w:val="24"/>
        </w:rPr>
        <w:t xml:space="preserve">, </w:t>
      </w:r>
      <w:r w:rsidR="00343B26" w:rsidRPr="000B1003">
        <w:rPr>
          <w:rFonts w:ascii="Times New Roman" w:hAnsi="Times New Roman" w:cs="Times New Roman"/>
          <w:sz w:val="24"/>
          <w:szCs w:val="24"/>
        </w:rPr>
        <w:t>Diplomă de studii superioare de scurtă durată</w:t>
      </w:r>
      <w:r w:rsidR="00657250" w:rsidRPr="000B1003">
        <w:rPr>
          <w:rFonts w:ascii="Times New Roman" w:hAnsi="Times New Roman" w:cs="Times New Roman"/>
          <w:sz w:val="24"/>
          <w:szCs w:val="24"/>
        </w:rPr>
        <w:t xml:space="preserve"> </w:t>
      </w:r>
      <w:r w:rsidR="00BA0936" w:rsidRPr="000B1003">
        <w:rPr>
          <w:rFonts w:ascii="Times New Roman" w:hAnsi="Times New Roman" w:cs="Times New Roman"/>
          <w:sz w:val="24"/>
          <w:szCs w:val="24"/>
        </w:rPr>
        <w:t>sau un act echivalent de studii recunoscut de structura abilitată pentru r</w:t>
      </w:r>
      <w:r w:rsidR="00A446D0" w:rsidRPr="000B1003">
        <w:rPr>
          <w:rFonts w:ascii="Times New Roman" w:hAnsi="Times New Roman" w:cs="Times New Roman"/>
          <w:sz w:val="24"/>
          <w:szCs w:val="24"/>
        </w:rPr>
        <w:t>e</w:t>
      </w:r>
      <w:r w:rsidR="00BA0936" w:rsidRPr="000B1003">
        <w:rPr>
          <w:rFonts w:ascii="Times New Roman" w:hAnsi="Times New Roman" w:cs="Times New Roman"/>
          <w:sz w:val="24"/>
          <w:szCs w:val="24"/>
        </w:rPr>
        <w:t>cunoașterea și echivalarea actelor de studii și calificărilor (Anexa nr. 3 la HG nr.330/2023</w:t>
      </w:r>
      <w:r w:rsidR="00BA0936" w:rsidRPr="00C566F5">
        <w:rPr>
          <w:rFonts w:ascii="Times New Roman" w:hAnsi="Times New Roman" w:cs="Times New Roman"/>
          <w:sz w:val="24"/>
          <w:szCs w:val="24"/>
        </w:rPr>
        <w:t>)</w:t>
      </w:r>
      <w:r w:rsidR="00C566F5">
        <w:rPr>
          <w:rFonts w:ascii="Times New Roman" w:hAnsi="Times New Roman" w:cs="Times New Roman"/>
          <w:sz w:val="24"/>
          <w:szCs w:val="24"/>
        </w:rPr>
        <w:t xml:space="preserve">; </w:t>
      </w:r>
      <w:r w:rsidRPr="00C566F5">
        <w:rPr>
          <w:rFonts w:ascii="Times New Roman" w:hAnsi="Times New Roman" w:cs="Times New Roman"/>
          <w:sz w:val="24"/>
          <w:szCs w:val="24"/>
        </w:rPr>
        <w:t xml:space="preserve">durată uzuală 180–240 ECTS (3–4 ani); reglementări specifice și opțiuni de </w:t>
      </w:r>
      <w:r w:rsidRPr="00C566F5">
        <w:rPr>
          <w:rStyle w:val="af9"/>
          <w:rFonts w:ascii="Times New Roman" w:eastAsiaTheme="majorEastAsia" w:hAnsi="Times New Roman" w:cs="Times New Roman"/>
          <w:b w:val="0"/>
          <w:bCs w:val="0"/>
          <w:sz w:val="24"/>
          <w:szCs w:val="24"/>
        </w:rPr>
        <w:t>învățământ dual</w:t>
      </w:r>
      <w:r w:rsidRPr="00C566F5">
        <w:rPr>
          <w:rFonts w:ascii="Times New Roman" w:hAnsi="Times New Roman" w:cs="Times New Roman"/>
          <w:sz w:val="24"/>
          <w:szCs w:val="24"/>
        </w:rPr>
        <w:t xml:space="preserve"> introduse prin HG nr. 660/2024. </w:t>
      </w:r>
    </w:p>
    <w:p w14:paraId="6B73BD34" w14:textId="24B97A8C" w:rsidR="00C02D0E" w:rsidRPr="0020102C" w:rsidRDefault="00C02D0E" w:rsidP="00A41843">
      <w:pPr>
        <w:pStyle w:val="af8"/>
        <w:numPr>
          <w:ilvl w:val="0"/>
          <w:numId w:val="55"/>
        </w:numPr>
        <w:spacing w:before="120" w:beforeAutospacing="0" w:after="120" w:afterAutospacing="0" w:line="276" w:lineRule="auto"/>
        <w:jc w:val="both"/>
      </w:pPr>
      <w:r w:rsidRPr="00242FD9">
        <w:rPr>
          <w:rStyle w:val="af9"/>
          <w:rFonts w:eastAsiaTheme="majorEastAsia"/>
        </w:rPr>
        <w:t>Ciclul II – Master (CNC/EQF 7)</w:t>
      </w:r>
      <w:r w:rsidRPr="0020102C">
        <w:t xml:space="preserve">: acces pe baza </w:t>
      </w:r>
      <w:r w:rsidR="00A42A5B">
        <w:t>d</w:t>
      </w:r>
      <w:r w:rsidR="00A42A5B" w:rsidRPr="00D514D7">
        <w:t>iplomă de studii superioare de licență</w:t>
      </w:r>
      <w:r w:rsidR="00C90D16">
        <w:t>,</w:t>
      </w:r>
      <w:r w:rsidR="00070127" w:rsidRPr="00070127">
        <w:t xml:space="preserve"> </w:t>
      </w:r>
      <w:r w:rsidR="00070127" w:rsidRPr="00D514D7">
        <w:t>Diplomă de licență învățământ superior</w:t>
      </w:r>
      <w:r w:rsidR="00070127">
        <w:t>,</w:t>
      </w:r>
      <w:r w:rsidR="00A42A5B" w:rsidRPr="00826824">
        <w:t xml:space="preserve"> </w:t>
      </w:r>
      <w:r w:rsidR="00242FD9">
        <w:t>Diplomă de studii superioare, Diplomă de studii superioare universitare</w:t>
      </w:r>
      <w:r w:rsidR="00242FD9" w:rsidRPr="00826824">
        <w:t xml:space="preserve"> </w:t>
      </w:r>
      <w:r w:rsidR="00430CFD" w:rsidRPr="00826824">
        <w:t xml:space="preserve">sau </w:t>
      </w:r>
      <w:r w:rsidR="001657C3">
        <w:t>un alt act echivalent de studii</w:t>
      </w:r>
      <w:r w:rsidR="00C566F5">
        <w:t xml:space="preserve"> </w:t>
      </w:r>
      <w:r w:rsidR="00430CFD" w:rsidRPr="00826824">
        <w:t>echivalent acesteia</w:t>
      </w:r>
      <w:r w:rsidRPr="0020102C">
        <w:t xml:space="preserve">; durată 90–120 ECTS (1,5–2 ani), conform HG nr. 80/2022. </w:t>
      </w:r>
    </w:p>
    <w:p w14:paraId="522E669B" w14:textId="7A9F2619" w:rsidR="00C02D0E" w:rsidRPr="0020102C" w:rsidRDefault="00C02D0E" w:rsidP="00A41843">
      <w:pPr>
        <w:pStyle w:val="af8"/>
        <w:numPr>
          <w:ilvl w:val="0"/>
          <w:numId w:val="55"/>
        </w:numPr>
        <w:spacing w:before="120" w:beforeAutospacing="0" w:after="120" w:afterAutospacing="0" w:line="276" w:lineRule="auto"/>
        <w:jc w:val="both"/>
      </w:pPr>
      <w:r w:rsidRPr="00762250">
        <w:rPr>
          <w:rStyle w:val="af9"/>
          <w:rFonts w:eastAsiaTheme="majorEastAsia"/>
        </w:rPr>
        <w:t>Ciclul III – Doctorat (CNC/EQF 8)</w:t>
      </w:r>
      <w:r w:rsidRPr="0020102C">
        <w:t xml:space="preserve">: acces pe baza diplomei </w:t>
      </w:r>
      <w:r w:rsidR="002C08B1" w:rsidRPr="00DE0022">
        <w:t>de studii superioare de master</w:t>
      </w:r>
      <w:r w:rsidRPr="0020102C">
        <w:t xml:space="preserve">; </w:t>
      </w:r>
      <w:r w:rsidR="003D3793" w:rsidRPr="003D3793">
        <w:t>Diplomă de master</w:t>
      </w:r>
      <w:r w:rsidR="005E4821">
        <w:t xml:space="preserve"> </w:t>
      </w:r>
      <w:r w:rsidR="003D3793" w:rsidRPr="003D3793">
        <w:t>învățământ superior</w:t>
      </w:r>
      <w:r w:rsidR="005E4821">
        <w:t>,</w:t>
      </w:r>
      <w:r w:rsidR="003D3793" w:rsidRPr="003D3793">
        <w:t xml:space="preserve"> </w:t>
      </w:r>
      <w:r w:rsidR="00762250">
        <w:t>Diplomă de magistru,</w:t>
      </w:r>
      <w:r w:rsidR="004619B9">
        <w:t xml:space="preserve"> </w:t>
      </w:r>
      <w:r w:rsidR="00762250">
        <w:t>Diplomă de master</w:t>
      </w:r>
      <w:r w:rsidR="004619B9">
        <w:t xml:space="preserve">, </w:t>
      </w:r>
      <w:r w:rsidR="004619B9" w:rsidRPr="00D514D7">
        <w:t>Diplomă de licență învățământ superior</w:t>
      </w:r>
      <w:r w:rsidR="004619B9">
        <w:t>,</w:t>
      </w:r>
      <w:r w:rsidR="00762250" w:rsidRPr="0020102C">
        <w:t xml:space="preserve"> </w:t>
      </w:r>
      <w:r w:rsidR="005F2BC4" w:rsidRPr="005F2BC4">
        <w:t>Diplomă de licență învățământ superior universitar</w:t>
      </w:r>
      <w:r w:rsidR="005F2BC4">
        <w:t>,</w:t>
      </w:r>
      <w:r w:rsidR="005F2BC4" w:rsidRPr="005F2BC4">
        <w:t xml:space="preserve"> </w:t>
      </w:r>
      <w:r w:rsidR="00732D17" w:rsidRPr="00D514D7">
        <w:t>Diplomă de studii superioare universitare de licență</w:t>
      </w:r>
      <w:r w:rsidR="00732D17">
        <w:t xml:space="preserve">, </w:t>
      </w:r>
      <w:r w:rsidR="00CF3122" w:rsidRPr="00D514D7">
        <w:t>Diplomă de licență</w:t>
      </w:r>
      <w:r w:rsidR="00CF3122">
        <w:t>,</w:t>
      </w:r>
      <w:r w:rsidR="00CF3122" w:rsidRPr="0020102C">
        <w:t xml:space="preserve"> </w:t>
      </w:r>
      <w:r w:rsidR="00252A38" w:rsidRPr="00252A38">
        <w:t>Diplomă de studii superioare</w:t>
      </w:r>
      <w:r w:rsidR="00962C64">
        <w:t xml:space="preserve">, </w:t>
      </w:r>
      <w:r w:rsidR="00962C64" w:rsidRPr="00D514D7">
        <w:t>Diplomă</w:t>
      </w:r>
      <w:r w:rsidR="001F00B0">
        <w:t xml:space="preserve">, </w:t>
      </w:r>
      <w:r w:rsidR="0086573D" w:rsidRPr="00C97848">
        <w:t>Diplomă de studii superioare integrate (Licență şi Master)</w:t>
      </w:r>
      <w:r w:rsidR="0086573D" w:rsidRPr="00486085">
        <w:t xml:space="preserve"> </w:t>
      </w:r>
      <w:r w:rsidR="00906402" w:rsidRPr="00826824">
        <w:t xml:space="preserve">sau </w:t>
      </w:r>
      <w:r w:rsidR="00224FB4">
        <w:t>un alt act echivalent de studii</w:t>
      </w:r>
      <w:r w:rsidR="00224FB4" w:rsidRPr="00826824" w:rsidDel="00224FB4">
        <w:t xml:space="preserve"> </w:t>
      </w:r>
      <w:r w:rsidR="00906402" w:rsidRPr="00826824">
        <w:t>echivalent acesteia</w:t>
      </w:r>
      <w:r w:rsidR="00252A38" w:rsidRPr="00252A38">
        <w:t xml:space="preserve"> </w:t>
      </w:r>
      <w:r w:rsidRPr="0020102C">
        <w:t xml:space="preserve">reglementat prin </w:t>
      </w:r>
      <w:r w:rsidR="008A0A4F">
        <w:t xml:space="preserve">HG 330/2023, Anexa 3 și </w:t>
      </w:r>
      <w:r w:rsidRPr="0020102C">
        <w:t xml:space="preserve">HG nr. 1007/2014 (și acte subsecvente). </w:t>
      </w:r>
    </w:p>
    <w:p w14:paraId="592325BE" w14:textId="4528461E" w:rsidR="00C02D0E" w:rsidRDefault="00C02D0E" w:rsidP="00D10FE6">
      <w:pPr>
        <w:pStyle w:val="af8"/>
        <w:spacing w:before="120" w:beforeAutospacing="0" w:after="120" w:afterAutospacing="0" w:line="276" w:lineRule="auto"/>
        <w:jc w:val="both"/>
      </w:pPr>
      <w:r w:rsidRPr="0020102C">
        <w:t xml:space="preserve">Corelarea cu EQF și cu descriptorii de nivel (Dublin Descriptors pentru ciclurile </w:t>
      </w:r>
      <w:r w:rsidR="00E857B0" w:rsidRPr="0020102C">
        <w:t>ÎS</w:t>
      </w:r>
      <w:r w:rsidRPr="0020102C">
        <w:t xml:space="preserve">) este consacrată în documentele </w:t>
      </w:r>
      <w:r w:rsidR="002513BE" w:rsidRPr="0020102C">
        <w:t>EHEA</w:t>
      </w:r>
      <w:r w:rsidRPr="0020102C">
        <w:t xml:space="preserve">/ESG și în actele naționale privind CNC (HG nr. 330/2023). </w:t>
      </w:r>
    </w:p>
    <w:p w14:paraId="279E71E2" w14:textId="77777777" w:rsidR="00C02D0E" w:rsidRPr="0020102C" w:rsidRDefault="00C02D0E"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3.4.3. Condiții de acces și programele de studii</w:t>
      </w:r>
    </w:p>
    <w:p w14:paraId="2569062C" w14:textId="12C93025" w:rsidR="00A624B0" w:rsidRPr="0020102C" w:rsidRDefault="00A624B0" w:rsidP="00D10FE6">
      <w:pPr>
        <w:pStyle w:val="af8"/>
        <w:spacing w:before="120" w:beforeAutospacing="0" w:after="120" w:afterAutospacing="0" w:line="276" w:lineRule="auto"/>
        <w:jc w:val="both"/>
      </w:pPr>
      <w:r w:rsidRPr="0020102C">
        <w:t xml:space="preserve">Accesul în ciclurile de studii este reglementat de </w:t>
      </w:r>
      <w:r w:rsidRPr="0020102C">
        <w:rPr>
          <w:rStyle w:val="af9"/>
          <w:rFonts w:eastAsiaTheme="majorEastAsia"/>
          <w:b w:val="0"/>
          <w:bCs w:val="0"/>
        </w:rPr>
        <w:t>Codul educației nr. 152/2014</w:t>
      </w:r>
      <w:r w:rsidRPr="0020102C">
        <w:t>, precum și de regulamentele aprobate de MEC. Admiterea are loc anual, pe baza diplomelor</w:t>
      </w:r>
      <w:r w:rsidR="00701498">
        <w:t xml:space="preserve"> </w:t>
      </w:r>
      <w:r w:rsidR="00701498" w:rsidRPr="00701498">
        <w:t xml:space="preserve">sau </w:t>
      </w:r>
      <w:r w:rsidR="00701498" w:rsidRPr="00701498">
        <w:rPr>
          <w:lang w:val="it-IT"/>
        </w:rPr>
        <w:t>acte</w:t>
      </w:r>
      <w:r w:rsidR="00701498">
        <w:rPr>
          <w:lang w:val="it-IT"/>
        </w:rPr>
        <w:t>lor</w:t>
      </w:r>
      <w:r w:rsidR="00701498" w:rsidRPr="00701498">
        <w:rPr>
          <w:lang w:val="it-IT"/>
        </w:rPr>
        <w:t xml:space="preserve"> de studii echivalente</w:t>
      </w:r>
      <w:r w:rsidR="00701498">
        <w:rPr>
          <w:lang w:val="it-IT"/>
        </w:rPr>
        <w:t>,</w:t>
      </w:r>
      <w:r w:rsidRPr="00701498">
        <w:t xml:space="preserve"> </w:t>
      </w:r>
      <w:r w:rsidRPr="0020102C">
        <w:t>obținute la nivelul precedent și, după caz, a examenelor sau concursurilor de admitere stabilite de instituțiile de învățământ superior, conform cadrului normativ național</w:t>
      </w:r>
      <w:r w:rsidR="0079707C">
        <w:t xml:space="preserve"> și instituțional. Fiecare instituție de învățământ superior își elaborează propriul Regulament de admitere la studii superioare. </w:t>
      </w:r>
      <w:r w:rsidR="0079707C" w:rsidRPr="0078428F">
        <w:t>chrome-extension://efaidnbmnnnibpcajpcglclefindmkaj/https://upsc.md/wp-content/uploads/2025/07/Regulament_Admitere_2025_fin.pdf</w:t>
      </w:r>
      <w:r w:rsidRPr="0020102C">
        <w:t>.</w:t>
      </w:r>
    </w:p>
    <w:p w14:paraId="3D381B87" w14:textId="7C9B3AE6" w:rsidR="00812E51" w:rsidRPr="0020102C" w:rsidRDefault="00812E51"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Programele de studii</w:t>
      </w:r>
      <w:r w:rsidRPr="0020102C">
        <w:rPr>
          <w:rFonts w:ascii="Times New Roman" w:eastAsia="Times New Roman" w:hAnsi="Times New Roman" w:cs="Times New Roman"/>
          <w:kern w:val="0"/>
          <w:sz w:val="24"/>
          <w:szCs w:val="24"/>
          <w:lang w:eastAsia="ro-MD"/>
          <w14:ligatures w14:val="none"/>
        </w:rPr>
        <w:t xml:space="preserve"> sunt elaborate de </w:t>
      </w:r>
      <w:r w:rsidR="00705E28" w:rsidRPr="00705E28">
        <w:rPr>
          <w:rFonts w:ascii="Times New Roman" w:eastAsia="Times New Roman" w:hAnsi="Times New Roman" w:cs="Times New Roman"/>
          <w:kern w:val="0"/>
          <w:sz w:val="24"/>
          <w:szCs w:val="24"/>
          <w:lang w:val="it-IT"/>
        </w:rPr>
        <w:t xml:space="preserve">instituțiile de învățământ superior </w:t>
      </w:r>
      <w:r w:rsidRPr="0020102C">
        <w:rPr>
          <w:rFonts w:ascii="Times New Roman" w:eastAsia="Times New Roman" w:hAnsi="Times New Roman" w:cs="Times New Roman"/>
          <w:kern w:val="0"/>
          <w:sz w:val="24"/>
          <w:szCs w:val="24"/>
          <w:lang w:eastAsia="ro-MD"/>
          <w14:ligatures w14:val="none"/>
        </w:rPr>
        <w:t>pe domenii de formare profesională, în baza:</w:t>
      </w:r>
    </w:p>
    <w:p w14:paraId="2C84E648" w14:textId="77777777" w:rsidR="00812E51" w:rsidRPr="0020102C" w:rsidRDefault="00812E51" w:rsidP="00A41843">
      <w:pPr>
        <w:numPr>
          <w:ilvl w:val="0"/>
          <w:numId w:val="5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standardelor de calificare aprobate de MEC (art. 96 alin. (2));</w:t>
      </w:r>
    </w:p>
    <w:p w14:paraId="018322A4" w14:textId="1363F268" w:rsidR="00812E51" w:rsidRPr="0020102C" w:rsidRDefault="00812E51" w:rsidP="00A41843">
      <w:pPr>
        <w:numPr>
          <w:ilvl w:val="0"/>
          <w:numId w:val="5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descriptorilor de nivel din CNC, corelați cu EQF și Dublin Descriptor</w:t>
      </w:r>
      <w:r w:rsidR="00452B06" w:rsidRPr="0020102C">
        <w:rPr>
          <w:rFonts w:ascii="Times New Roman" w:eastAsia="Times New Roman" w:hAnsi="Times New Roman" w:cs="Times New Roman"/>
          <w:kern w:val="0"/>
          <w:sz w:val="24"/>
          <w:szCs w:val="24"/>
          <w:lang w:eastAsia="ro-MD"/>
          <w14:ligatures w14:val="none"/>
        </w:rPr>
        <w:t>i</w:t>
      </w:r>
      <w:r w:rsidRPr="0020102C">
        <w:rPr>
          <w:rFonts w:ascii="Times New Roman" w:eastAsia="Times New Roman" w:hAnsi="Times New Roman" w:cs="Times New Roman"/>
          <w:kern w:val="0"/>
          <w:sz w:val="24"/>
          <w:szCs w:val="24"/>
          <w:lang w:eastAsia="ro-MD"/>
          <w14:ligatures w14:val="none"/>
        </w:rPr>
        <w:t>;</w:t>
      </w:r>
    </w:p>
    <w:p w14:paraId="1ED48FD3" w14:textId="77777777" w:rsidR="00812E51" w:rsidRPr="009579A6" w:rsidRDefault="00812E51" w:rsidP="00A41843">
      <w:pPr>
        <w:numPr>
          <w:ilvl w:val="0"/>
          <w:numId w:val="51"/>
        </w:numPr>
        <w:spacing w:before="120" w:after="120" w:line="276" w:lineRule="auto"/>
        <w:jc w:val="both"/>
        <w:rPr>
          <w:rFonts w:ascii="Times New Roman" w:eastAsia="Times New Roman" w:hAnsi="Times New Roman" w:cs="Times New Roman"/>
          <w:kern w:val="0"/>
          <w:sz w:val="24"/>
          <w:szCs w:val="24"/>
          <w:lang w:eastAsia="ro-MD"/>
          <w14:ligatures w14:val="none"/>
        </w:rPr>
      </w:pPr>
      <w:r w:rsidRPr="009579A6">
        <w:rPr>
          <w:rFonts w:ascii="Times New Roman" w:eastAsia="Times New Roman" w:hAnsi="Times New Roman" w:cs="Times New Roman"/>
          <w:kern w:val="0"/>
          <w:sz w:val="24"/>
          <w:szCs w:val="24"/>
          <w:lang w:eastAsia="ro-MD"/>
          <w14:ligatures w14:val="none"/>
        </w:rPr>
        <w:t>principiilor sistemului european de credite transferabile (ECTS)</w:t>
      </w:r>
      <w:r w:rsidRPr="009579A6">
        <w:rPr>
          <w:rStyle w:val="afc"/>
          <w:rFonts w:ascii="Times New Roman" w:eastAsia="Times New Roman" w:hAnsi="Times New Roman" w:cs="Times New Roman"/>
          <w:kern w:val="0"/>
          <w:sz w:val="24"/>
          <w:szCs w:val="24"/>
          <w:lang w:eastAsia="ro-MD"/>
          <w14:ligatures w14:val="none"/>
        </w:rPr>
        <w:footnoteReference w:id="30"/>
      </w:r>
      <w:r w:rsidRPr="009579A6">
        <w:rPr>
          <w:rFonts w:ascii="Times New Roman" w:eastAsia="Times New Roman" w:hAnsi="Times New Roman" w:cs="Times New Roman"/>
          <w:kern w:val="0"/>
          <w:sz w:val="24"/>
          <w:szCs w:val="24"/>
          <w:lang w:eastAsia="ro-MD"/>
          <w14:ligatures w14:val="none"/>
        </w:rPr>
        <w:t>.</w:t>
      </w:r>
    </w:p>
    <w:p w14:paraId="0FA6A33A" w14:textId="60995C9E" w:rsidR="0036212F" w:rsidRPr="009579A6" w:rsidRDefault="00B81475" w:rsidP="00A41843">
      <w:pPr>
        <w:numPr>
          <w:ilvl w:val="0"/>
          <w:numId w:val="51"/>
        </w:numPr>
        <w:spacing w:before="120" w:after="120" w:line="276" w:lineRule="auto"/>
        <w:jc w:val="both"/>
        <w:rPr>
          <w:rFonts w:ascii="Times New Roman" w:eastAsia="Times New Roman" w:hAnsi="Times New Roman" w:cs="Times New Roman"/>
          <w:kern w:val="0"/>
          <w:sz w:val="24"/>
          <w:szCs w:val="24"/>
          <w:lang w:eastAsia="ro-MD"/>
          <w14:ligatures w14:val="none"/>
        </w:rPr>
      </w:pPr>
      <w:hyperlink r:id="rId11" w:history="1">
        <w:r w:rsidR="0036212F" w:rsidRPr="00C055E1">
          <w:rPr>
            <w:rStyle w:val="aff0"/>
            <w:rFonts w:ascii="Times New Roman" w:eastAsia="Times New Roman" w:hAnsi="Times New Roman" w:cs="Times New Roman"/>
            <w:color w:val="auto"/>
            <w:kern w:val="0"/>
            <w:sz w:val="24"/>
            <w:szCs w:val="24"/>
            <w:u w:val="none"/>
            <w:lang w:eastAsia="ro-MD"/>
            <w14:ligatures w14:val="none"/>
          </w:rPr>
          <w:t>nomenclatorului domeniilor de studii și al specialităților în învățământul superior</w:t>
        </w:r>
      </w:hyperlink>
      <w:r w:rsidR="0036212F" w:rsidRPr="009579A6">
        <w:rPr>
          <w:rFonts w:ascii="Times New Roman" w:eastAsia="Times New Roman" w:hAnsi="Times New Roman" w:cs="Times New Roman"/>
          <w:kern w:val="0"/>
          <w:sz w:val="24"/>
          <w:szCs w:val="24"/>
          <w:lang w:eastAsia="ro-MD"/>
          <w14:ligatures w14:val="none"/>
        </w:rPr>
        <w:t xml:space="preserve">, aprobat prin </w:t>
      </w:r>
      <w:r w:rsidR="00C055E1">
        <w:rPr>
          <w:rFonts w:ascii="Times New Roman" w:eastAsia="Times New Roman" w:hAnsi="Times New Roman" w:cs="Times New Roman"/>
          <w:kern w:val="0"/>
          <w:sz w:val="24"/>
          <w:szCs w:val="24"/>
          <w:lang w:eastAsia="ro-MD"/>
          <w14:ligatures w14:val="none"/>
        </w:rPr>
        <w:t>HG</w:t>
      </w:r>
      <w:r w:rsidR="0036212F" w:rsidRPr="009579A6">
        <w:rPr>
          <w:rFonts w:ascii="Times New Roman" w:eastAsia="Times New Roman" w:hAnsi="Times New Roman" w:cs="Times New Roman"/>
          <w:kern w:val="0"/>
          <w:sz w:val="24"/>
          <w:szCs w:val="24"/>
          <w:lang w:eastAsia="ro-MD"/>
          <w14:ligatures w14:val="none"/>
        </w:rPr>
        <w:t xml:space="preserve"> Nr. 412</w:t>
      </w:r>
      <w:r w:rsidR="00C055E1">
        <w:rPr>
          <w:rFonts w:ascii="Times New Roman" w:eastAsia="Times New Roman" w:hAnsi="Times New Roman" w:cs="Times New Roman"/>
          <w:kern w:val="0"/>
          <w:sz w:val="24"/>
          <w:szCs w:val="24"/>
          <w:lang w:eastAsia="ro-MD"/>
          <w14:ligatures w14:val="none"/>
        </w:rPr>
        <w:t>/</w:t>
      </w:r>
      <w:r w:rsidR="0036212F" w:rsidRPr="009579A6">
        <w:rPr>
          <w:rFonts w:ascii="Times New Roman" w:eastAsia="Times New Roman" w:hAnsi="Times New Roman" w:cs="Times New Roman"/>
          <w:kern w:val="0"/>
          <w:sz w:val="24"/>
          <w:szCs w:val="24"/>
          <w:lang w:eastAsia="ro-MD"/>
          <w14:ligatures w14:val="none"/>
        </w:rPr>
        <w:t>2024, cu ulterioarele modificări</w:t>
      </w:r>
      <w:r w:rsidR="00C055E1">
        <w:rPr>
          <w:rFonts w:ascii="Times New Roman" w:eastAsia="Times New Roman" w:hAnsi="Times New Roman" w:cs="Times New Roman"/>
          <w:kern w:val="0"/>
          <w:sz w:val="24"/>
          <w:szCs w:val="24"/>
          <w:lang w:eastAsia="ro-MD"/>
          <w14:ligatures w14:val="none"/>
        </w:rPr>
        <w:t xml:space="preserve"> </w:t>
      </w:r>
      <w:r w:rsidR="00C055E1" w:rsidRPr="005E2860">
        <w:rPr>
          <w:rFonts w:ascii="Times New Roman" w:eastAsia="Times New Roman" w:hAnsi="Times New Roman" w:cs="Times New Roman"/>
          <w:color w:val="333333"/>
          <w:kern w:val="0"/>
          <w:sz w:val="24"/>
          <w:szCs w:val="24"/>
          <w:lang w:val="ro-MD" w:eastAsia="ro-MD"/>
          <w14:ligatures w14:val="none"/>
        </w:rPr>
        <w:t>(</w:t>
      </w:r>
      <w:hyperlink r:id="rId12" w:history="1">
        <w:r w:rsidR="00C055E1" w:rsidRPr="005E2860">
          <w:rPr>
            <w:rFonts w:ascii="Times New Roman" w:eastAsia="Times New Roman" w:hAnsi="Times New Roman" w:cs="Times New Roman"/>
            <w:color w:val="467886"/>
            <w:kern w:val="0"/>
            <w:sz w:val="24"/>
            <w:szCs w:val="24"/>
            <w:u w:val="single"/>
            <w:lang w:val="ro-MD" w:eastAsia="ro-MD"/>
            <w14:ligatures w14:val="none"/>
          </w:rPr>
          <w:t>link</w:t>
        </w:r>
      </w:hyperlink>
      <w:r w:rsidR="00C055E1" w:rsidRPr="005E2860">
        <w:rPr>
          <w:rFonts w:ascii="Times New Roman" w:eastAsia="Times New Roman" w:hAnsi="Times New Roman" w:cs="Times New Roman"/>
          <w:color w:val="333333"/>
          <w:kern w:val="0"/>
          <w:sz w:val="24"/>
          <w:szCs w:val="24"/>
          <w:lang w:val="ro-MD" w:eastAsia="ro-MD"/>
          <w14:ligatures w14:val="none"/>
        </w:rPr>
        <w:t>)</w:t>
      </w:r>
    </w:p>
    <w:p w14:paraId="68929CB7" w14:textId="4B29586F" w:rsidR="0036212F" w:rsidRPr="009579A6" w:rsidRDefault="0036212F" w:rsidP="00A41843">
      <w:pPr>
        <w:numPr>
          <w:ilvl w:val="0"/>
          <w:numId w:val="51"/>
        </w:numPr>
        <w:spacing w:before="120" w:after="120" w:line="276" w:lineRule="auto"/>
        <w:jc w:val="both"/>
        <w:rPr>
          <w:rFonts w:ascii="Times New Roman" w:eastAsia="Times New Roman" w:hAnsi="Times New Roman" w:cs="Times New Roman"/>
          <w:kern w:val="0"/>
          <w:sz w:val="24"/>
          <w:szCs w:val="24"/>
          <w:lang w:eastAsia="ro-MD"/>
          <w14:ligatures w14:val="none"/>
        </w:rPr>
      </w:pPr>
      <w:r w:rsidRPr="009579A6">
        <w:rPr>
          <w:rFonts w:ascii="Times New Roman" w:eastAsia="Times New Roman" w:hAnsi="Times New Roman" w:cs="Times New Roman"/>
          <w:kern w:val="0"/>
          <w:sz w:val="24"/>
          <w:szCs w:val="24"/>
          <w:lang w:eastAsia="ro-MD"/>
          <w14:ligatures w14:val="none"/>
        </w:rPr>
        <w:lastRenderedPageBreak/>
        <w:t>panului-cadru pentru studii superioare de licență, master și integrate, aprobat prin Ordinul Ministrului Educației și Cercetării nr. 510 din 07.04.2025</w:t>
      </w:r>
    </w:p>
    <w:p w14:paraId="2EB99C5E" w14:textId="0AA63C00" w:rsidR="00812E51" w:rsidRPr="0020102C" w:rsidRDefault="00812E51"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Curriculumul universitar</w:t>
      </w:r>
      <w:r w:rsidRPr="0020102C">
        <w:rPr>
          <w:rFonts w:ascii="Times New Roman" w:eastAsia="Times New Roman" w:hAnsi="Times New Roman" w:cs="Times New Roman"/>
          <w:kern w:val="0"/>
          <w:sz w:val="24"/>
          <w:szCs w:val="24"/>
          <w:lang w:eastAsia="ro-MD"/>
          <w14:ligatures w14:val="none"/>
        </w:rPr>
        <w:t xml:space="preserve"> include: </w:t>
      </w:r>
    </w:p>
    <w:p w14:paraId="361FE7C0" w14:textId="0BCC111F" w:rsidR="00A624B0" w:rsidRPr="0020102C" w:rsidRDefault="00A624B0" w:rsidP="00A41843">
      <w:pPr>
        <w:pStyle w:val="af8"/>
        <w:numPr>
          <w:ilvl w:val="0"/>
          <w:numId w:val="56"/>
        </w:numPr>
        <w:spacing w:before="120" w:beforeAutospacing="0" w:after="120" w:afterAutospacing="0" w:line="276" w:lineRule="auto"/>
        <w:jc w:val="both"/>
      </w:pPr>
      <w:r w:rsidRPr="0020102C">
        <w:rPr>
          <w:rFonts w:eastAsiaTheme="majorEastAsia"/>
        </w:rPr>
        <w:t>planuri de învățământ</w:t>
      </w:r>
      <w:r w:rsidRPr="0020102C">
        <w:t xml:space="preserve"> pe domenii și programe de studii;</w:t>
      </w:r>
    </w:p>
    <w:p w14:paraId="010A8247" w14:textId="77777777" w:rsidR="00A624B0" w:rsidRDefault="00A624B0" w:rsidP="00A41843">
      <w:pPr>
        <w:pStyle w:val="af8"/>
        <w:numPr>
          <w:ilvl w:val="0"/>
          <w:numId w:val="56"/>
        </w:numPr>
        <w:spacing w:before="120" w:beforeAutospacing="0" w:after="120" w:afterAutospacing="0" w:line="276" w:lineRule="auto"/>
        <w:jc w:val="both"/>
      </w:pPr>
      <w:r w:rsidRPr="0020102C">
        <w:t>descrierea unităților de curs și a competențelor vizate;</w:t>
      </w:r>
    </w:p>
    <w:p w14:paraId="05DF10B9" w14:textId="053F40E4" w:rsidR="00A70EFF" w:rsidRPr="009579A6" w:rsidRDefault="00A70EFF" w:rsidP="00A41843">
      <w:pPr>
        <w:pStyle w:val="a7"/>
        <w:numPr>
          <w:ilvl w:val="0"/>
          <w:numId w:val="56"/>
        </w:numPr>
        <w:rPr>
          <w:rFonts w:ascii="Times New Roman" w:eastAsia="Times New Roman" w:hAnsi="Times New Roman" w:cs="Times New Roman"/>
          <w:kern w:val="0"/>
          <w:sz w:val="24"/>
          <w:szCs w:val="24"/>
          <w:lang w:eastAsia="ro-MD"/>
          <w14:ligatures w14:val="none"/>
        </w:rPr>
      </w:pPr>
      <w:r w:rsidRPr="009579A6">
        <w:rPr>
          <w:rFonts w:ascii="Times New Roman" w:eastAsia="Times New Roman" w:hAnsi="Times New Roman" w:cs="Times New Roman"/>
          <w:kern w:val="0"/>
          <w:sz w:val="24"/>
          <w:szCs w:val="24"/>
          <w:lang w:eastAsia="ro-MD"/>
          <w14:ligatures w14:val="none"/>
        </w:rPr>
        <w:t>curricula unităților de curs/modulelor</w:t>
      </w:r>
    </w:p>
    <w:p w14:paraId="0B3482E3" w14:textId="77777777" w:rsidR="00A624B0" w:rsidRPr="0020102C" w:rsidRDefault="00A624B0" w:rsidP="00A41843">
      <w:pPr>
        <w:pStyle w:val="af8"/>
        <w:numPr>
          <w:ilvl w:val="0"/>
          <w:numId w:val="56"/>
        </w:numPr>
        <w:spacing w:before="120" w:beforeAutospacing="0" w:after="120" w:afterAutospacing="0" w:line="276" w:lineRule="auto"/>
        <w:jc w:val="both"/>
      </w:pPr>
      <w:r w:rsidRPr="0020102C">
        <w:t>metodologii de predare, învățare și evaluare;</w:t>
      </w:r>
    </w:p>
    <w:p w14:paraId="788DEE91" w14:textId="77777777" w:rsidR="00A624B0" w:rsidRPr="0020102C" w:rsidRDefault="00A624B0" w:rsidP="00A41843">
      <w:pPr>
        <w:pStyle w:val="af8"/>
        <w:numPr>
          <w:ilvl w:val="0"/>
          <w:numId w:val="56"/>
        </w:numPr>
        <w:spacing w:before="120" w:beforeAutospacing="0" w:after="120" w:afterAutospacing="0" w:line="276" w:lineRule="auto"/>
        <w:jc w:val="both"/>
      </w:pPr>
      <w:r w:rsidRPr="0020102C">
        <w:t>volumul de muncă exprimat în credite de studii transferabile (ECTS);</w:t>
      </w:r>
    </w:p>
    <w:p w14:paraId="78062D8A" w14:textId="77777777" w:rsidR="00A624B0" w:rsidRPr="0020102C" w:rsidRDefault="00A624B0" w:rsidP="00A41843">
      <w:pPr>
        <w:pStyle w:val="af8"/>
        <w:numPr>
          <w:ilvl w:val="0"/>
          <w:numId w:val="56"/>
        </w:numPr>
        <w:spacing w:before="120" w:beforeAutospacing="0" w:after="120" w:afterAutospacing="0" w:line="276" w:lineRule="auto"/>
        <w:jc w:val="both"/>
      </w:pPr>
      <w:r w:rsidRPr="0020102C">
        <w:t>mecanisme de corelare cu cerințele pieței muncii și cu standardele internaționale de calitate.</w:t>
      </w:r>
    </w:p>
    <w:p w14:paraId="200E0F48" w14:textId="77777777" w:rsidR="00A624B0" w:rsidRPr="005E2860" w:rsidRDefault="00A624B0" w:rsidP="00D10FE6">
      <w:pPr>
        <w:pStyle w:val="af8"/>
        <w:spacing w:before="120" w:beforeAutospacing="0" w:after="120" w:afterAutospacing="0" w:line="276" w:lineRule="auto"/>
        <w:jc w:val="both"/>
      </w:pPr>
      <w:r w:rsidRPr="0020102C">
        <w:t xml:space="preserve">Curriculumul universitar este aprobat de </w:t>
      </w:r>
      <w:r w:rsidRPr="0020102C">
        <w:rPr>
          <w:rStyle w:val="af9"/>
          <w:rFonts w:eastAsiaTheme="majorEastAsia"/>
          <w:b w:val="0"/>
          <w:bCs w:val="0"/>
        </w:rPr>
        <w:t>senatul instituției</w:t>
      </w:r>
      <w:r w:rsidRPr="0020102C">
        <w:t xml:space="preserve">, iar </w:t>
      </w:r>
      <w:r w:rsidRPr="0020102C">
        <w:rPr>
          <w:rStyle w:val="af9"/>
          <w:rFonts w:eastAsiaTheme="majorEastAsia"/>
          <w:b w:val="0"/>
          <w:bCs w:val="0"/>
        </w:rPr>
        <w:t xml:space="preserve">concordanța dintre curriculum și calificarea </w:t>
      </w:r>
      <w:r w:rsidRPr="005E2860">
        <w:rPr>
          <w:rStyle w:val="af9"/>
          <w:rFonts w:eastAsiaTheme="majorEastAsia"/>
          <w:b w:val="0"/>
          <w:bCs w:val="0"/>
        </w:rPr>
        <w:t>acordată</w:t>
      </w:r>
      <w:r w:rsidRPr="005E2860">
        <w:t xml:space="preserve"> constituie un criteriu obligatoriu în evaluarea calității programelor de studii.</w:t>
      </w:r>
    </w:p>
    <w:p w14:paraId="7EB18344" w14:textId="3AE570F8" w:rsidR="00A624B0" w:rsidRDefault="00A624B0" w:rsidP="00D10FE6">
      <w:pPr>
        <w:pStyle w:val="af8"/>
        <w:spacing w:before="120" w:beforeAutospacing="0" w:after="120" w:afterAutospacing="0" w:line="276" w:lineRule="auto"/>
        <w:jc w:val="both"/>
      </w:pPr>
      <w:r w:rsidRPr="0020102C">
        <w:t xml:space="preserve">În prezent, </w:t>
      </w:r>
      <w:r w:rsidR="00B43213" w:rsidRPr="00B43213">
        <w:rPr>
          <w:lang w:val="it-IT"/>
        </w:rPr>
        <w:t>instituțiile de învățământ superior</w:t>
      </w:r>
      <w:r w:rsidRPr="0020102C">
        <w:t xml:space="preserve"> din Republica Moldova oferă programe în peste </w:t>
      </w:r>
      <w:r w:rsidRPr="0020102C">
        <w:rPr>
          <w:rStyle w:val="af9"/>
          <w:rFonts w:eastAsiaTheme="majorEastAsia"/>
          <w:b w:val="0"/>
          <w:bCs w:val="0"/>
        </w:rPr>
        <w:t>200 de domenii de formare profesională</w:t>
      </w:r>
      <w:r w:rsidRPr="0020102C">
        <w:t xml:space="preserve">, iar portofoliul național include aproximativ </w:t>
      </w:r>
      <w:r w:rsidRPr="0020102C">
        <w:rPr>
          <w:rStyle w:val="af9"/>
          <w:rFonts w:eastAsiaTheme="majorEastAsia"/>
          <w:b w:val="0"/>
          <w:bCs w:val="0"/>
        </w:rPr>
        <w:t>1.200 de programe acreditate</w:t>
      </w:r>
      <w:r w:rsidRPr="0020102C">
        <w:t xml:space="preserve"> la ciclurile de licență, master și doctorat (date MEC, 2023). Acestea reflectă diversitatea sistemului, dar și orientarea spre integrarea descriptorilor CNC, </w:t>
      </w:r>
      <w:r w:rsidRPr="0020102C">
        <w:rPr>
          <w:rStyle w:val="af9"/>
          <w:rFonts w:eastAsiaTheme="majorEastAsia"/>
          <w:b w:val="0"/>
          <w:bCs w:val="0"/>
        </w:rPr>
        <w:t>EQF</w:t>
      </w:r>
      <w:r w:rsidRPr="0020102C">
        <w:t xml:space="preserve"> și </w:t>
      </w:r>
      <w:r w:rsidRPr="0020102C">
        <w:rPr>
          <w:rStyle w:val="af9"/>
          <w:rFonts w:eastAsiaTheme="majorEastAsia"/>
          <w:b w:val="0"/>
          <w:bCs w:val="0"/>
        </w:rPr>
        <w:t>Dublin Descriptor</w:t>
      </w:r>
      <w:r w:rsidR="00452B06" w:rsidRPr="0020102C">
        <w:rPr>
          <w:rStyle w:val="af9"/>
          <w:rFonts w:eastAsiaTheme="majorEastAsia"/>
          <w:b w:val="0"/>
          <w:bCs w:val="0"/>
        </w:rPr>
        <w:t>i</w:t>
      </w:r>
      <w:r w:rsidRPr="0020102C">
        <w:t>, asigurând comparabilitatea și recunoașterea la nivel european.</w:t>
      </w:r>
    </w:p>
    <w:p w14:paraId="06AC8086" w14:textId="6BE4FF74" w:rsidR="00905CD5" w:rsidRDefault="00905CD5" w:rsidP="00905CD5">
      <w:pPr>
        <w:pStyle w:val="af8"/>
        <w:spacing w:before="120" w:beforeAutospacing="0" w:after="120" w:afterAutospacing="0" w:line="276" w:lineRule="auto"/>
        <w:jc w:val="both"/>
        <w:rPr>
          <w:lang w:val="ro-MD"/>
        </w:rPr>
      </w:pPr>
      <w:r>
        <w:t xml:space="preserve">Programele de studii în cadrul învăţământului superior sunt organizate prin învăţământ cu frecvenţă, frecvenţă redusă, la distanţă. Începând cu 2025 în învăţământul superior de nivel 6 CNC au fost dezvoltate programe duale. (HG660/2024 </w:t>
      </w:r>
      <w:r w:rsidR="00F6394D">
        <w:t>(</w:t>
      </w:r>
      <w:hyperlink r:id="rId13" w:history="1">
        <w:r w:rsidR="00F6394D" w:rsidRPr="00F6394D">
          <w:rPr>
            <w:rStyle w:val="aff0"/>
          </w:rPr>
          <w:t>link</w:t>
        </w:r>
      </w:hyperlink>
      <w:r w:rsidR="00F6394D">
        <w:t xml:space="preserve">) </w:t>
      </w:r>
    </w:p>
    <w:p w14:paraId="52E0F6A2" w14:textId="77777777" w:rsidR="00C02D0E" w:rsidRPr="0020102C" w:rsidRDefault="00C02D0E"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3.4.4. Sisteme de asigurare a calității</w:t>
      </w:r>
    </w:p>
    <w:p w14:paraId="1B6290FA" w14:textId="65D4C75D"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Conform Codului educației, art. 96 alin. (3)</w:t>
      </w:r>
      <w:r w:rsidR="008A4BAC">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 xml:space="preserve"> art. 99</w:t>
      </w:r>
      <w:r w:rsidR="008A4BAC">
        <w:rPr>
          <w:rFonts w:ascii="Times New Roman" w:eastAsia="Times New Roman" w:hAnsi="Times New Roman" w:cs="Times New Roman"/>
          <w:kern w:val="0"/>
          <w:sz w:val="24"/>
          <w:szCs w:val="24"/>
          <w:lang w:eastAsia="ro-MD"/>
          <w14:ligatures w14:val="none"/>
        </w:rPr>
        <w:t xml:space="preserve"> și art. 112</w:t>
      </w:r>
      <w:r w:rsidR="004552C4">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 xml:space="preserve"> calitatea în învățământul superior se asigură prin:</w:t>
      </w:r>
    </w:p>
    <w:p w14:paraId="2F607E6B" w14:textId="77777777" w:rsidR="00C02D0E" w:rsidRPr="0020102C" w:rsidRDefault="00C02D0E" w:rsidP="00A41843">
      <w:pPr>
        <w:numPr>
          <w:ilvl w:val="0"/>
          <w:numId w:val="5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standarde de calificare elaborate de MEC;</w:t>
      </w:r>
    </w:p>
    <w:p w14:paraId="23DEA02C" w14:textId="77777777" w:rsidR="00C02D0E" w:rsidRPr="0020102C" w:rsidRDefault="00C02D0E" w:rsidP="00A41843">
      <w:pPr>
        <w:numPr>
          <w:ilvl w:val="0"/>
          <w:numId w:val="5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standarde de acreditare elaborate de ANACEC și aprobate de Guvern.</w:t>
      </w:r>
    </w:p>
    <w:p w14:paraId="2EB36E89" w14:textId="5703484D" w:rsidR="00C02D0E"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Instituțiile au structuri interne de QA, dar evaluarea externă, efectuată de ANACEC sau de agenții înregistrate în </w:t>
      </w:r>
      <w:r w:rsidR="0007467F" w:rsidRPr="0040142F">
        <w:rPr>
          <w:rFonts w:ascii="Times New Roman" w:eastAsia="Times New Roman" w:hAnsi="Times New Roman" w:cs="Times New Roman"/>
          <w:kern w:val="0"/>
          <w:sz w:val="24"/>
          <w:szCs w:val="24"/>
          <w14:ligatures w14:val="none"/>
        </w:rPr>
        <w:t>Registrul European pentru Asigurarea Calităţii în Învățămîntul Superio</w:t>
      </w:r>
      <w:r w:rsidR="0007467F">
        <w:rPr>
          <w:rFonts w:ascii="Times New Roman" w:eastAsia="Times New Roman" w:hAnsi="Times New Roman" w:cs="Times New Roman"/>
          <w:kern w:val="0"/>
          <w:sz w:val="24"/>
          <w:szCs w:val="24"/>
          <w14:ligatures w14:val="none"/>
        </w:rPr>
        <w:t>r</w:t>
      </w:r>
      <w:r w:rsidR="0007467F" w:rsidRPr="00006D96">
        <w:rPr>
          <w:rFonts w:ascii="Times New Roman" w:eastAsia="Times New Roman" w:hAnsi="Times New Roman" w:cs="Times New Roman"/>
          <w:kern w:val="0"/>
          <w:sz w:val="24"/>
          <w:szCs w:val="24"/>
          <w14:ligatures w14:val="none"/>
        </w:rPr>
        <w:t xml:space="preserve"> </w:t>
      </w:r>
      <w:r w:rsidR="0007467F">
        <w:rPr>
          <w:rFonts w:ascii="Times New Roman" w:eastAsia="Times New Roman" w:hAnsi="Times New Roman" w:cs="Times New Roman"/>
          <w:kern w:val="0"/>
          <w:sz w:val="24"/>
          <w:szCs w:val="24"/>
          <w14:ligatures w14:val="none"/>
        </w:rPr>
        <w:t>(</w:t>
      </w:r>
      <w:r w:rsidRPr="0020102C">
        <w:rPr>
          <w:rFonts w:ascii="Times New Roman" w:eastAsia="Times New Roman" w:hAnsi="Times New Roman" w:cs="Times New Roman"/>
          <w:kern w:val="0"/>
          <w:sz w:val="24"/>
          <w:szCs w:val="24"/>
          <w:lang w:eastAsia="ro-MD"/>
          <w14:ligatures w14:val="none"/>
        </w:rPr>
        <w:t>EQAR</w:t>
      </w:r>
      <w:r w:rsidR="0007467F">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 reprezintă condiția fundamentală pentru funcționare. Evaluările externe se fac cel puțin o dată la 5 ani și sunt aliniate la ESG 2015</w:t>
      </w:r>
      <w:r w:rsidR="00812E51" w:rsidRPr="0020102C">
        <w:rPr>
          <w:rStyle w:val="afc"/>
          <w:rFonts w:ascii="Times New Roman" w:eastAsia="Times New Roman" w:hAnsi="Times New Roman" w:cs="Times New Roman"/>
          <w:kern w:val="0"/>
          <w:sz w:val="24"/>
          <w:szCs w:val="24"/>
          <w:lang w:eastAsia="ro-MD"/>
          <w14:ligatures w14:val="none"/>
        </w:rPr>
        <w:footnoteReference w:id="31"/>
      </w:r>
      <w:r w:rsidRPr="0020102C">
        <w:rPr>
          <w:rFonts w:ascii="Times New Roman" w:eastAsia="Times New Roman" w:hAnsi="Times New Roman" w:cs="Times New Roman"/>
          <w:kern w:val="0"/>
          <w:sz w:val="24"/>
          <w:szCs w:val="24"/>
          <w:lang w:eastAsia="ro-MD"/>
          <w14:ligatures w14:val="none"/>
        </w:rPr>
        <w:t>.</w:t>
      </w:r>
    </w:p>
    <w:p w14:paraId="124B6D4D" w14:textId="77777777" w:rsidR="00660C87" w:rsidRPr="00F6394D" w:rsidRDefault="00660C87" w:rsidP="00660C87">
      <w:pPr>
        <w:pStyle w:val="af8"/>
        <w:shd w:val="clear" w:color="auto" w:fill="FFFFFF"/>
        <w:spacing w:before="0" w:beforeAutospacing="0" w:after="0" w:afterAutospacing="0"/>
        <w:jc w:val="both"/>
        <w:rPr>
          <w:sz w:val="18"/>
          <w:szCs w:val="18"/>
          <w:lang w:val="it-IT"/>
        </w:rPr>
      </w:pPr>
      <w:r w:rsidRPr="00F6394D">
        <w:rPr>
          <w:lang w:val="it-IT"/>
        </w:rPr>
        <w:t>Conform cadrului normativ actual, asigurarea calităţii în învățământul superior este realizată printr-un ansamblu de acţiuni de dezvoltare a capacităţii instituţionale de elaborare, planificare şi implementare de programe de studii, prin care se formează şi se consolidează încrederea beneficiarilor că instituţia ofertantă de educaţie satisface şi îmbunătăţeşte standardele de calitate în conformitate cu misiunea asumată de aceasta.</w:t>
      </w:r>
    </w:p>
    <w:p w14:paraId="4C426FE6" w14:textId="77777777" w:rsidR="00746425" w:rsidRPr="00F6394D" w:rsidRDefault="00746425" w:rsidP="00746425">
      <w:pPr>
        <w:pStyle w:val="af8"/>
        <w:shd w:val="clear" w:color="auto" w:fill="FFFFFF"/>
        <w:spacing w:before="0" w:beforeAutospacing="0" w:after="0" w:afterAutospacing="0"/>
        <w:jc w:val="both"/>
        <w:rPr>
          <w:sz w:val="18"/>
          <w:szCs w:val="18"/>
          <w:lang w:val="it-IT"/>
        </w:rPr>
      </w:pPr>
      <w:r w:rsidRPr="00F6394D">
        <w:rPr>
          <w:lang w:val="it-IT"/>
        </w:rPr>
        <w:t>Managementul calităţii în învățământul superior este asigurat:</w:t>
      </w:r>
    </w:p>
    <w:p w14:paraId="2BCBA24C" w14:textId="77777777" w:rsidR="00746425" w:rsidRPr="00F6394D" w:rsidRDefault="00746425" w:rsidP="00746425">
      <w:pPr>
        <w:pStyle w:val="af8"/>
        <w:shd w:val="clear" w:color="auto" w:fill="FFFFFF"/>
        <w:spacing w:before="0" w:beforeAutospacing="0" w:after="0" w:afterAutospacing="0"/>
        <w:jc w:val="both"/>
        <w:rPr>
          <w:sz w:val="18"/>
          <w:szCs w:val="18"/>
          <w:lang w:val="it-IT"/>
        </w:rPr>
      </w:pPr>
      <w:r w:rsidRPr="00F6394D">
        <w:rPr>
          <w:lang w:val="it-IT"/>
        </w:rPr>
        <w:t>a) la nivel naţional - de Ministerul Educației și Cercetării şi de Agenţia Naţională de Asigurare a Calităţii în Educație și Cercetare;</w:t>
      </w:r>
    </w:p>
    <w:p w14:paraId="3E1E0BFC" w14:textId="77777777" w:rsidR="00746425" w:rsidRPr="00F6394D" w:rsidRDefault="00746425" w:rsidP="00746425">
      <w:pPr>
        <w:pStyle w:val="af8"/>
        <w:shd w:val="clear" w:color="auto" w:fill="FFFFFF"/>
        <w:spacing w:before="0" w:beforeAutospacing="0" w:after="0" w:afterAutospacing="0"/>
        <w:jc w:val="both"/>
        <w:rPr>
          <w:sz w:val="18"/>
          <w:szCs w:val="18"/>
          <w:lang w:val="it-IT"/>
        </w:rPr>
      </w:pPr>
      <w:r w:rsidRPr="00F6394D">
        <w:rPr>
          <w:lang w:val="it-IT"/>
        </w:rPr>
        <w:t>b) la nivel instituţional - de structuri interne de asigurare a calităţii.</w:t>
      </w:r>
    </w:p>
    <w:p w14:paraId="34A43A3D" w14:textId="747C6A89"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În prezent, peste 1.200 de programe sunt acreditate la nivel național, acoperind domenii diverse, de la științe sociale și umaniste</w:t>
      </w:r>
      <w:r w:rsidR="00E67F35">
        <w:rPr>
          <w:rFonts w:ascii="Times New Roman" w:eastAsia="Times New Roman" w:hAnsi="Times New Roman" w:cs="Times New Roman"/>
          <w:kern w:val="0"/>
          <w:sz w:val="24"/>
          <w:szCs w:val="24"/>
          <w:lang w:eastAsia="ro-MD"/>
          <w14:ligatures w14:val="none"/>
        </w:rPr>
        <w:t>, științe ale educației,</w:t>
      </w:r>
      <w:r w:rsidRPr="0020102C">
        <w:rPr>
          <w:rFonts w:ascii="Times New Roman" w:eastAsia="Times New Roman" w:hAnsi="Times New Roman" w:cs="Times New Roman"/>
          <w:kern w:val="0"/>
          <w:sz w:val="24"/>
          <w:szCs w:val="24"/>
          <w:lang w:eastAsia="ro-MD"/>
          <w14:ligatures w14:val="none"/>
        </w:rPr>
        <w:t xml:space="preserve"> la medicină, inginerie și IT.</w:t>
      </w:r>
    </w:p>
    <w:p w14:paraId="0D1D5D39" w14:textId="77777777" w:rsidR="00C02D0E" w:rsidRPr="0020102C" w:rsidRDefault="00C02D0E"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3.4.5. Finalizare, Suplimentul la diplomă și instrumentele de transparență</w:t>
      </w:r>
    </w:p>
    <w:p w14:paraId="3A8E022A" w14:textId="1DE2BCA6" w:rsidR="00C02D0E" w:rsidRPr="0020102C" w:rsidRDefault="00B62703"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La f</w:t>
      </w:r>
      <w:r w:rsidR="00C02D0E" w:rsidRPr="0020102C">
        <w:rPr>
          <w:rFonts w:ascii="Times New Roman" w:eastAsia="Times New Roman" w:hAnsi="Times New Roman" w:cs="Times New Roman"/>
          <w:kern w:val="0"/>
          <w:sz w:val="24"/>
          <w:szCs w:val="24"/>
          <w:lang w:eastAsia="ro-MD"/>
          <w14:ligatures w14:val="none"/>
        </w:rPr>
        <w:t xml:space="preserve">inalizarea </w:t>
      </w:r>
      <w:r w:rsidR="007B7385">
        <w:rPr>
          <w:rFonts w:ascii="Times New Roman" w:eastAsia="Times New Roman" w:hAnsi="Times New Roman" w:cs="Times New Roman"/>
          <w:kern w:val="0"/>
          <w:sz w:val="24"/>
          <w:szCs w:val="24"/>
          <w:lang w:eastAsia="ro-MD"/>
          <w14:ligatures w14:val="none"/>
        </w:rPr>
        <w:t>învățământului</w:t>
      </w:r>
      <w:r w:rsidR="00C02D0E" w:rsidRPr="0020102C">
        <w:rPr>
          <w:rFonts w:ascii="Times New Roman" w:eastAsia="Times New Roman" w:hAnsi="Times New Roman" w:cs="Times New Roman"/>
          <w:kern w:val="0"/>
          <w:sz w:val="24"/>
          <w:szCs w:val="24"/>
          <w:lang w:eastAsia="ro-MD"/>
          <w14:ligatures w14:val="none"/>
        </w:rPr>
        <w:t xml:space="preserve"> </w:t>
      </w:r>
      <w:r w:rsidR="00DE7E75">
        <w:rPr>
          <w:rFonts w:ascii="Times New Roman" w:eastAsia="Times New Roman" w:hAnsi="Times New Roman" w:cs="Times New Roman"/>
          <w:kern w:val="0"/>
          <w:sz w:val="24"/>
          <w:szCs w:val="24"/>
          <w:lang w:eastAsia="ro-MD"/>
          <w14:ligatures w14:val="none"/>
        </w:rPr>
        <w:t>superio</w:t>
      </w:r>
      <w:r w:rsidR="007B7385">
        <w:rPr>
          <w:rFonts w:ascii="Times New Roman" w:eastAsia="Times New Roman" w:hAnsi="Times New Roman" w:cs="Times New Roman"/>
          <w:kern w:val="0"/>
          <w:sz w:val="24"/>
          <w:szCs w:val="24"/>
          <w:lang w:eastAsia="ro-MD"/>
          <w14:ligatures w14:val="none"/>
        </w:rPr>
        <w:t>r, conform</w:t>
      </w:r>
      <w:r w:rsidR="00C02D0E" w:rsidRPr="0020102C">
        <w:rPr>
          <w:rFonts w:ascii="Times New Roman" w:eastAsia="Times New Roman" w:hAnsi="Times New Roman" w:cs="Times New Roman"/>
          <w:kern w:val="0"/>
          <w:sz w:val="24"/>
          <w:szCs w:val="24"/>
          <w:lang w:eastAsia="ro-MD"/>
          <w14:ligatures w14:val="none"/>
        </w:rPr>
        <w:t xml:space="preserve"> Codul</w:t>
      </w:r>
      <w:r w:rsidR="007B7385">
        <w:rPr>
          <w:rFonts w:ascii="Times New Roman" w:eastAsia="Times New Roman" w:hAnsi="Times New Roman" w:cs="Times New Roman"/>
          <w:kern w:val="0"/>
          <w:sz w:val="24"/>
          <w:szCs w:val="24"/>
          <w:lang w:eastAsia="ro-MD"/>
          <w14:ligatures w14:val="none"/>
        </w:rPr>
        <w:t>ui</w:t>
      </w:r>
      <w:r w:rsidR="00C02D0E" w:rsidRPr="0020102C">
        <w:rPr>
          <w:rFonts w:ascii="Times New Roman" w:eastAsia="Times New Roman" w:hAnsi="Times New Roman" w:cs="Times New Roman"/>
          <w:kern w:val="0"/>
          <w:sz w:val="24"/>
          <w:szCs w:val="24"/>
          <w:lang w:eastAsia="ro-MD"/>
          <w14:ligatures w14:val="none"/>
        </w:rPr>
        <w:t xml:space="preserve"> educației, </w:t>
      </w:r>
      <w:r w:rsidR="007B7385">
        <w:rPr>
          <w:rFonts w:ascii="Times New Roman" w:eastAsia="Times New Roman" w:hAnsi="Times New Roman" w:cs="Times New Roman"/>
          <w:kern w:val="0"/>
          <w:sz w:val="24"/>
          <w:szCs w:val="24"/>
          <w:lang w:eastAsia="ro-MD"/>
          <w14:ligatures w14:val="none"/>
        </w:rPr>
        <w:t xml:space="preserve">156/2014, </w:t>
      </w:r>
      <w:r w:rsidR="00C02D0E" w:rsidRPr="0020102C">
        <w:rPr>
          <w:rFonts w:ascii="Times New Roman" w:eastAsia="Times New Roman" w:hAnsi="Times New Roman" w:cs="Times New Roman"/>
          <w:kern w:val="0"/>
          <w:sz w:val="24"/>
          <w:szCs w:val="24"/>
          <w:lang w:eastAsia="ro-MD"/>
          <w14:ligatures w14:val="none"/>
        </w:rPr>
        <w:t xml:space="preserve">art. </w:t>
      </w:r>
      <w:r w:rsidR="00131067">
        <w:rPr>
          <w:rFonts w:ascii="Times New Roman" w:eastAsia="Times New Roman" w:hAnsi="Times New Roman" w:cs="Times New Roman"/>
          <w:kern w:val="0"/>
          <w:sz w:val="24"/>
          <w:szCs w:val="24"/>
          <w:lang w:eastAsia="ro-MD"/>
          <w14:ligatures w14:val="none"/>
        </w:rPr>
        <w:t>17</w:t>
      </w:r>
      <w:r w:rsidR="007B7385">
        <w:rPr>
          <w:rFonts w:ascii="Times New Roman" w:eastAsia="Times New Roman" w:hAnsi="Times New Roman" w:cs="Times New Roman"/>
          <w:kern w:val="0"/>
          <w:sz w:val="24"/>
          <w:szCs w:val="24"/>
          <w:lang w:eastAsia="ro-MD"/>
          <w14:ligatures w14:val="none"/>
        </w:rPr>
        <w:t xml:space="preserve">, se eliberează </w:t>
      </w:r>
      <w:r w:rsidR="000B3074">
        <w:rPr>
          <w:rFonts w:ascii="Times New Roman" w:eastAsia="Times New Roman" w:hAnsi="Times New Roman" w:cs="Times New Roman"/>
          <w:kern w:val="0"/>
          <w:sz w:val="24"/>
          <w:szCs w:val="24"/>
          <w:lang w:eastAsia="ro-MD"/>
          <w14:ligatures w14:val="none"/>
        </w:rPr>
        <w:t>următoarele acte de studii:</w:t>
      </w:r>
    </w:p>
    <w:p w14:paraId="74F5D068" w14:textId="1D411FFC" w:rsidR="00C02D0E" w:rsidRPr="0020102C" w:rsidRDefault="00142B07" w:rsidP="00A41843">
      <w:pPr>
        <w:numPr>
          <w:ilvl w:val="0"/>
          <w:numId w:val="53"/>
        </w:num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 xml:space="preserve">ciclul I - </w:t>
      </w:r>
      <w:r w:rsidR="004661DA" w:rsidRPr="004661DA">
        <w:rPr>
          <w:rFonts w:ascii="Times New Roman" w:eastAsia="Times New Roman" w:hAnsi="Times New Roman" w:cs="Times New Roman"/>
          <w:kern w:val="0"/>
          <w:sz w:val="24"/>
          <w:szCs w:val="24"/>
          <w:lang w:eastAsia="ro-MD"/>
          <w14:ligatures w14:val="none"/>
        </w:rPr>
        <w:t>Diplomă de studii superioare de licență</w:t>
      </w:r>
      <w:r w:rsidR="00273219">
        <w:rPr>
          <w:rFonts w:ascii="Times New Roman" w:eastAsia="Times New Roman" w:hAnsi="Times New Roman" w:cs="Times New Roman"/>
          <w:kern w:val="0"/>
          <w:sz w:val="24"/>
          <w:szCs w:val="24"/>
          <w:lang w:eastAsia="ro-MD"/>
          <w14:ligatures w14:val="none"/>
        </w:rPr>
        <w:t xml:space="preserve">, </w:t>
      </w:r>
      <w:r w:rsidR="00C02D0E" w:rsidRPr="0020102C">
        <w:rPr>
          <w:rFonts w:ascii="Times New Roman" w:eastAsia="Times New Roman" w:hAnsi="Times New Roman" w:cs="Times New Roman"/>
          <w:kern w:val="0"/>
          <w:sz w:val="24"/>
          <w:szCs w:val="24"/>
          <w:lang w:eastAsia="ro-MD"/>
          <w14:ligatures w14:val="none"/>
        </w:rPr>
        <w:t>nivel 6 CNC/EQF;</w:t>
      </w:r>
    </w:p>
    <w:p w14:paraId="15492D1B" w14:textId="0461632B" w:rsidR="00C02D0E" w:rsidRDefault="00142B07" w:rsidP="00A41843">
      <w:pPr>
        <w:numPr>
          <w:ilvl w:val="0"/>
          <w:numId w:val="53"/>
        </w:num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ciclul I</w:t>
      </w:r>
      <w:r w:rsidR="00790DF0">
        <w:rPr>
          <w:rFonts w:ascii="Times New Roman" w:eastAsia="Times New Roman" w:hAnsi="Times New Roman" w:cs="Times New Roman"/>
          <w:kern w:val="0"/>
          <w:sz w:val="24"/>
          <w:szCs w:val="24"/>
          <w:lang w:eastAsia="ro-MD"/>
          <w14:ligatures w14:val="none"/>
        </w:rPr>
        <w:t>I</w:t>
      </w:r>
      <w:r>
        <w:rPr>
          <w:rFonts w:ascii="Times New Roman" w:eastAsia="Times New Roman" w:hAnsi="Times New Roman" w:cs="Times New Roman"/>
          <w:kern w:val="0"/>
          <w:sz w:val="24"/>
          <w:szCs w:val="24"/>
          <w:lang w:eastAsia="ro-MD"/>
          <w14:ligatures w14:val="none"/>
        </w:rPr>
        <w:t xml:space="preserve"> - </w:t>
      </w:r>
      <w:r w:rsidR="004163DE" w:rsidRPr="004163DE">
        <w:rPr>
          <w:rFonts w:ascii="Times New Roman" w:eastAsia="Times New Roman" w:hAnsi="Times New Roman" w:cs="Times New Roman"/>
          <w:kern w:val="0"/>
          <w:sz w:val="24"/>
          <w:szCs w:val="24"/>
          <w:lang w:eastAsia="ro-MD"/>
          <w14:ligatures w14:val="none"/>
        </w:rPr>
        <w:t>Diplomă de studii superioare de master</w:t>
      </w:r>
      <w:r w:rsidR="00273219">
        <w:rPr>
          <w:rFonts w:ascii="Times New Roman" w:eastAsia="Times New Roman" w:hAnsi="Times New Roman" w:cs="Times New Roman"/>
          <w:kern w:val="0"/>
          <w:sz w:val="24"/>
          <w:szCs w:val="24"/>
          <w:lang w:eastAsia="ro-MD"/>
          <w14:ligatures w14:val="none"/>
        </w:rPr>
        <w:t xml:space="preserve">, </w:t>
      </w:r>
      <w:r w:rsidR="00C02D0E" w:rsidRPr="0020102C">
        <w:rPr>
          <w:rFonts w:ascii="Times New Roman" w:eastAsia="Times New Roman" w:hAnsi="Times New Roman" w:cs="Times New Roman"/>
          <w:kern w:val="0"/>
          <w:sz w:val="24"/>
          <w:szCs w:val="24"/>
          <w:lang w:eastAsia="ro-MD"/>
          <w14:ligatures w14:val="none"/>
        </w:rPr>
        <w:t>nivel 7 CNC/EQF;</w:t>
      </w:r>
    </w:p>
    <w:p w14:paraId="20DFE8EC" w14:textId="29F17F3A" w:rsidR="008006B8" w:rsidRPr="009979AD" w:rsidRDefault="00142B07" w:rsidP="00A41843">
      <w:pPr>
        <w:numPr>
          <w:ilvl w:val="0"/>
          <w:numId w:val="5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9979AD">
        <w:rPr>
          <w:rFonts w:ascii="Times New Roman" w:eastAsia="Times New Roman" w:hAnsi="Times New Roman" w:cs="Times New Roman"/>
          <w:kern w:val="0"/>
          <w:sz w:val="24"/>
          <w:szCs w:val="24"/>
          <w:lang w:eastAsia="ro-MD"/>
          <w14:ligatures w14:val="none"/>
        </w:rPr>
        <w:t>ciclul I</w:t>
      </w:r>
      <w:r w:rsidR="00CE44DB" w:rsidRPr="009979AD">
        <w:rPr>
          <w:rFonts w:ascii="Times New Roman" w:eastAsia="Times New Roman" w:hAnsi="Times New Roman" w:cs="Times New Roman"/>
          <w:kern w:val="0"/>
          <w:sz w:val="24"/>
          <w:szCs w:val="24"/>
          <w:lang w:eastAsia="ro-MD"/>
          <w14:ligatures w14:val="none"/>
        </w:rPr>
        <w:t>I</w:t>
      </w:r>
      <w:r w:rsidRPr="009979AD">
        <w:rPr>
          <w:rFonts w:ascii="Times New Roman" w:eastAsia="Times New Roman" w:hAnsi="Times New Roman" w:cs="Times New Roman"/>
          <w:kern w:val="0"/>
          <w:sz w:val="24"/>
          <w:szCs w:val="24"/>
          <w:lang w:eastAsia="ro-MD"/>
          <w14:ligatures w14:val="none"/>
        </w:rPr>
        <w:t xml:space="preserve"> - </w:t>
      </w:r>
      <w:r w:rsidR="008006B8" w:rsidRPr="009979AD">
        <w:rPr>
          <w:rFonts w:ascii="Times New Roman" w:eastAsia="Times New Roman" w:hAnsi="Times New Roman" w:cs="Times New Roman"/>
          <w:kern w:val="0"/>
          <w:sz w:val="24"/>
          <w:szCs w:val="24"/>
          <w:lang w:eastAsia="ro-MD"/>
          <w14:ligatures w14:val="none"/>
        </w:rPr>
        <w:t>Diplomă de studii superioare integrate</w:t>
      </w:r>
      <w:r w:rsidR="00273219" w:rsidRPr="009979AD">
        <w:rPr>
          <w:rFonts w:ascii="Times New Roman" w:eastAsia="Times New Roman" w:hAnsi="Times New Roman" w:cs="Times New Roman"/>
          <w:kern w:val="0"/>
          <w:sz w:val="24"/>
          <w:szCs w:val="24"/>
          <w:lang w:eastAsia="ro-MD"/>
          <w14:ligatures w14:val="none"/>
        </w:rPr>
        <w:t xml:space="preserve">, </w:t>
      </w:r>
      <w:r w:rsidR="008006B8" w:rsidRPr="009979AD">
        <w:rPr>
          <w:rFonts w:ascii="Times New Roman" w:eastAsia="Times New Roman" w:hAnsi="Times New Roman" w:cs="Times New Roman"/>
          <w:kern w:val="0"/>
          <w:sz w:val="24"/>
          <w:szCs w:val="24"/>
          <w:lang w:eastAsia="ro-MD"/>
          <w14:ligatures w14:val="none"/>
        </w:rPr>
        <w:t>nivel 7</w:t>
      </w:r>
      <w:r w:rsidR="004B73FE" w:rsidRPr="009979AD">
        <w:rPr>
          <w:rFonts w:ascii="Times New Roman" w:eastAsia="Times New Roman" w:hAnsi="Times New Roman" w:cs="Times New Roman"/>
          <w:kern w:val="0"/>
          <w:sz w:val="24"/>
          <w:szCs w:val="24"/>
          <w:lang w:eastAsia="ro-MD"/>
          <w14:ligatures w14:val="none"/>
        </w:rPr>
        <w:t xml:space="preserve"> </w:t>
      </w:r>
      <w:r w:rsidR="008006B8" w:rsidRPr="009979AD">
        <w:rPr>
          <w:rFonts w:ascii="Times New Roman" w:eastAsia="Times New Roman" w:hAnsi="Times New Roman" w:cs="Times New Roman"/>
          <w:kern w:val="0"/>
          <w:sz w:val="24"/>
          <w:szCs w:val="24"/>
          <w:lang w:eastAsia="ro-MD"/>
          <w14:ligatures w14:val="none"/>
        </w:rPr>
        <w:t>CNC/EQF</w:t>
      </w:r>
      <w:r w:rsidR="00273219" w:rsidRPr="009979AD">
        <w:rPr>
          <w:rFonts w:ascii="Times New Roman" w:eastAsia="Times New Roman" w:hAnsi="Times New Roman" w:cs="Times New Roman"/>
          <w:kern w:val="0"/>
          <w:sz w:val="24"/>
          <w:szCs w:val="24"/>
          <w:lang w:eastAsia="ro-MD"/>
          <w14:ligatures w14:val="none"/>
        </w:rPr>
        <w:t>;</w:t>
      </w:r>
    </w:p>
    <w:p w14:paraId="33541A15" w14:textId="27E77F21" w:rsidR="00C02D0E" w:rsidRPr="0020102C" w:rsidRDefault="00142B07" w:rsidP="00A41843">
      <w:pPr>
        <w:numPr>
          <w:ilvl w:val="0"/>
          <w:numId w:val="53"/>
        </w:num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ciclul I</w:t>
      </w:r>
      <w:r w:rsidR="00CE44DB">
        <w:rPr>
          <w:rFonts w:ascii="Times New Roman" w:eastAsia="Times New Roman" w:hAnsi="Times New Roman" w:cs="Times New Roman"/>
          <w:kern w:val="0"/>
          <w:sz w:val="24"/>
          <w:szCs w:val="24"/>
          <w:lang w:eastAsia="ro-MD"/>
          <w14:ligatures w14:val="none"/>
        </w:rPr>
        <w:t>II</w:t>
      </w:r>
      <w:r>
        <w:rPr>
          <w:rFonts w:ascii="Times New Roman" w:eastAsia="Times New Roman" w:hAnsi="Times New Roman" w:cs="Times New Roman"/>
          <w:kern w:val="0"/>
          <w:sz w:val="24"/>
          <w:szCs w:val="24"/>
          <w:lang w:eastAsia="ro-MD"/>
          <w14:ligatures w14:val="none"/>
        </w:rPr>
        <w:t xml:space="preserve"> - </w:t>
      </w:r>
      <w:r w:rsidR="00C02D0E" w:rsidRPr="0020102C">
        <w:rPr>
          <w:rFonts w:ascii="Times New Roman" w:eastAsia="Times New Roman" w:hAnsi="Times New Roman" w:cs="Times New Roman"/>
          <w:kern w:val="0"/>
          <w:sz w:val="24"/>
          <w:szCs w:val="24"/>
          <w:lang w:eastAsia="ro-MD"/>
          <w14:ligatures w14:val="none"/>
        </w:rPr>
        <w:t xml:space="preserve">Diplomă de doctor </w:t>
      </w:r>
      <w:r w:rsidR="00FA42D7">
        <w:rPr>
          <w:rFonts w:ascii="Times New Roman" w:eastAsia="Times New Roman" w:hAnsi="Times New Roman" w:cs="Times New Roman"/>
          <w:kern w:val="0"/>
          <w:sz w:val="24"/>
          <w:szCs w:val="24"/>
          <w:lang w:eastAsia="ro-MD"/>
          <w14:ligatures w14:val="none"/>
        </w:rPr>
        <w:t>(în domeniul respectiv)</w:t>
      </w:r>
      <w:r w:rsidR="00273219">
        <w:rPr>
          <w:rFonts w:ascii="Times New Roman" w:eastAsia="Times New Roman" w:hAnsi="Times New Roman" w:cs="Times New Roman"/>
          <w:kern w:val="0"/>
          <w:sz w:val="24"/>
          <w:szCs w:val="24"/>
          <w:lang w:eastAsia="ro-MD"/>
          <w14:ligatures w14:val="none"/>
        </w:rPr>
        <w:t xml:space="preserve">, </w:t>
      </w:r>
      <w:r w:rsidR="00C02D0E" w:rsidRPr="0020102C">
        <w:rPr>
          <w:rFonts w:ascii="Times New Roman" w:eastAsia="Times New Roman" w:hAnsi="Times New Roman" w:cs="Times New Roman"/>
          <w:kern w:val="0"/>
          <w:sz w:val="24"/>
          <w:szCs w:val="24"/>
          <w:lang w:eastAsia="ro-MD"/>
          <w14:ligatures w14:val="none"/>
        </w:rPr>
        <w:t>nivel 8 CNC/EQF.</w:t>
      </w:r>
    </w:p>
    <w:p w14:paraId="3C797717" w14:textId="58AC95E4"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Toate diplomele sunt însoțite de Suplimentul </w:t>
      </w:r>
      <w:r w:rsidR="005F216E">
        <w:rPr>
          <w:rFonts w:ascii="Times New Roman" w:eastAsia="Times New Roman" w:hAnsi="Times New Roman" w:cs="Times New Roman"/>
          <w:kern w:val="0"/>
          <w:sz w:val="24"/>
          <w:szCs w:val="24"/>
          <w:lang w:eastAsia="ro-MD"/>
          <w14:ligatures w14:val="none"/>
        </w:rPr>
        <w:t xml:space="preserve">descriptiv </w:t>
      </w:r>
      <w:r w:rsidRPr="0020102C">
        <w:rPr>
          <w:rFonts w:ascii="Times New Roman" w:eastAsia="Times New Roman" w:hAnsi="Times New Roman" w:cs="Times New Roman"/>
          <w:kern w:val="0"/>
          <w:sz w:val="24"/>
          <w:szCs w:val="24"/>
          <w:lang w:eastAsia="ro-MD"/>
          <w14:ligatures w14:val="none"/>
        </w:rPr>
        <w:t>bilingv (română și engleză), conform Ordinului MEC nr. 1341/2019, facilitând recunoașterea internațională.</w:t>
      </w:r>
    </w:p>
    <w:p w14:paraId="1ADA7092" w14:textId="77777777"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Instrumentele de transparență includ:</w:t>
      </w:r>
    </w:p>
    <w:p w14:paraId="491D41E4" w14:textId="77777777" w:rsidR="00C02D0E" w:rsidRPr="0020102C" w:rsidRDefault="00C02D0E" w:rsidP="00A41843">
      <w:pPr>
        <w:numPr>
          <w:ilvl w:val="0"/>
          <w:numId w:val="5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aplicarea ECTS (Ordinul MEC nr. 1020/2023);</w:t>
      </w:r>
    </w:p>
    <w:p w14:paraId="0275B228" w14:textId="14F30AFA" w:rsidR="00C02D0E" w:rsidRPr="0020102C" w:rsidRDefault="00C02D0E" w:rsidP="00A41843">
      <w:pPr>
        <w:numPr>
          <w:ilvl w:val="0"/>
          <w:numId w:val="5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înregistrarea calificărilor în Registrul Național al Calificărilor (art. 97 alin. (5));</w:t>
      </w:r>
    </w:p>
    <w:p w14:paraId="78405257" w14:textId="77777777" w:rsidR="00C02D0E" w:rsidRPr="0020102C" w:rsidRDefault="00C02D0E" w:rsidP="00A41843">
      <w:pPr>
        <w:numPr>
          <w:ilvl w:val="0"/>
          <w:numId w:val="5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integrarea cu Europass și ENIC-NARIC Moldova.</w:t>
      </w:r>
    </w:p>
    <w:p w14:paraId="624CFF8D" w14:textId="47FB04F7" w:rsidR="00C02D0E" w:rsidRPr="0020102C" w:rsidRDefault="00812E51"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Style w:val="af9"/>
          <w:rFonts w:ascii="Times New Roman" w:hAnsi="Times New Roman" w:cs="Times New Roman"/>
          <w:sz w:val="24"/>
          <w:szCs w:val="24"/>
        </w:rPr>
        <w:t>Legătura cu CNC și EQF.</w:t>
      </w:r>
      <w:r w:rsidRPr="0020102C">
        <w:rPr>
          <w:rFonts w:ascii="Times New Roman" w:hAnsi="Times New Roman" w:cs="Times New Roman"/>
          <w:sz w:val="24"/>
          <w:szCs w:val="24"/>
        </w:rPr>
        <w:t xml:space="preserve"> Învățământul superior este integrat în CNC prin nivelurile 6–8, corespunzătoare descriptorilor de cunoștințe, aptitudini, responsabilitate și autonomie din EQF și Dublin Descriptors. Această corelare garantează comparabilitatea și recunoașterea europeană a diplomelor, facilitează mobilitatea academică și profesională și consolidează integrarea Republicii Moldova în Spațiul European al Învățământului Superior (</w:t>
      </w:r>
      <w:r w:rsidR="002513BE" w:rsidRPr="0020102C">
        <w:rPr>
          <w:rFonts w:ascii="Times New Roman" w:hAnsi="Times New Roman" w:cs="Times New Roman"/>
          <w:sz w:val="24"/>
          <w:szCs w:val="24"/>
        </w:rPr>
        <w:t>EHEA</w:t>
      </w:r>
      <w:r w:rsidRPr="0020102C">
        <w:rPr>
          <w:rFonts w:ascii="Times New Roman" w:hAnsi="Times New Roman" w:cs="Times New Roman"/>
          <w:sz w:val="24"/>
          <w:szCs w:val="24"/>
        </w:rPr>
        <w:t>).</w:t>
      </w:r>
    </w:p>
    <w:p w14:paraId="3EF4A5C8" w14:textId="77777777" w:rsidR="00C02D0E" w:rsidRPr="0020102C" w:rsidRDefault="00C02D0E"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3.4.6. Cercetare, dezvoltare și inovare</w:t>
      </w:r>
    </w:p>
    <w:p w14:paraId="42107542" w14:textId="4051F3B4" w:rsidR="00784E62" w:rsidRPr="002F053B" w:rsidRDefault="00C02D0E" w:rsidP="00784E62">
      <w:pPr>
        <w:pStyle w:val="af8"/>
        <w:shd w:val="clear" w:color="auto" w:fill="FFFFFF"/>
        <w:spacing w:before="0" w:beforeAutospacing="0" w:after="0" w:afterAutospacing="0"/>
        <w:jc w:val="both"/>
        <w:rPr>
          <w:lang w:val="it-IT"/>
        </w:rPr>
      </w:pPr>
      <w:r w:rsidRPr="002F053B">
        <w:t xml:space="preserve">Conform Codului educației, art. </w:t>
      </w:r>
      <w:r w:rsidR="00804341" w:rsidRPr="002F053B">
        <w:t>77</w:t>
      </w:r>
      <w:r w:rsidR="00F06034" w:rsidRPr="002F053B">
        <w:t>, alin. (2)</w:t>
      </w:r>
      <w:r w:rsidRPr="002F053B">
        <w:t xml:space="preserve">, </w:t>
      </w:r>
      <w:r w:rsidR="008478C6" w:rsidRPr="002F053B">
        <w:rPr>
          <w:szCs w:val="18"/>
          <w:shd w:val="clear" w:color="auto" w:fill="FFFFFF"/>
          <w:lang w:val="it-IT"/>
        </w:rPr>
        <w:t>programele de studii superioare includ activităţi educaţionale şi de cercetare sau creaţie artistică, care asigură formarea într-un domeniu academic sau profesional avansat, în conformitate cu cadrul normativ în vigoare.</w:t>
      </w:r>
      <w:r w:rsidR="008478C6" w:rsidRPr="002F053B">
        <w:rPr>
          <w:lang w:val="it-IT"/>
        </w:rPr>
        <w:t xml:space="preserve"> </w:t>
      </w:r>
      <w:r w:rsidR="00784E62" w:rsidRPr="002F053B">
        <w:rPr>
          <w:lang w:val="it-IT"/>
        </w:rPr>
        <w:t>Art.116 al Codului educației menționează: În instituţiile ofertante de programe de învățământ superior, activitatea de cercetare, dezvoltare şi inovare şi de creaţie artistică se realizează în scopul producerii de cunoaștere şi al formării profesionale a specialiştilor de înaltă calificare.</w:t>
      </w:r>
    </w:p>
    <w:p w14:paraId="4AE1654F" w14:textId="77777777" w:rsidR="00BD2CD6" w:rsidRPr="002F053B" w:rsidRDefault="00BD2CD6" w:rsidP="00BD2CD6">
      <w:pPr>
        <w:pStyle w:val="af8"/>
        <w:rPr>
          <w:lang w:val="ro-MD"/>
        </w:rPr>
      </w:pPr>
      <w:r w:rsidRPr="002F053B">
        <w:t xml:space="preserve">Cercetarea științifică din instituțiile de învățământ superior, în special cele care oferă programe de master și doctorat, este finanțată pe baza </w:t>
      </w:r>
      <w:r w:rsidRPr="002F053B">
        <w:rPr>
          <w:rStyle w:val="af9"/>
          <w:rFonts w:eastAsiaTheme="majorEastAsia"/>
          <w:b w:val="0"/>
          <w:bCs w:val="0"/>
        </w:rPr>
        <w:t>criteriilor de calitate și performanță</w:t>
      </w:r>
      <w:r w:rsidRPr="002F053B">
        <w:t xml:space="preserve">, prin </w:t>
      </w:r>
      <w:r w:rsidRPr="002F053B">
        <w:rPr>
          <w:rStyle w:val="af9"/>
          <w:rFonts w:eastAsiaTheme="majorEastAsia"/>
          <w:b w:val="0"/>
          <w:bCs w:val="0"/>
        </w:rPr>
        <w:t>mecanisme distincte</w:t>
      </w:r>
      <w:r w:rsidRPr="002F053B">
        <w:t xml:space="preserve"> stabilite prin regulament guvernamental, precum și din </w:t>
      </w:r>
      <w:r w:rsidRPr="002F053B">
        <w:rPr>
          <w:rStyle w:val="af9"/>
          <w:rFonts w:eastAsiaTheme="majorEastAsia"/>
          <w:b w:val="0"/>
          <w:bCs w:val="0"/>
        </w:rPr>
        <w:t>alte surse legale</w:t>
      </w:r>
      <w:r w:rsidRPr="002F053B">
        <w:t>.</w:t>
      </w:r>
    </w:p>
    <w:p w14:paraId="43F86ECD" w14:textId="77777777" w:rsidR="00BD2CD6" w:rsidRPr="002F053B" w:rsidRDefault="00BD2CD6" w:rsidP="00BD2CD6">
      <w:pPr>
        <w:pStyle w:val="af8"/>
      </w:pPr>
      <w:r w:rsidRPr="002F053B">
        <w:t xml:space="preserve">Organizarea și desfășurarea activităților de cercetare sunt reglementate prin </w:t>
      </w:r>
      <w:r w:rsidRPr="002F053B">
        <w:rPr>
          <w:rStyle w:val="af9"/>
          <w:rFonts w:eastAsiaTheme="majorEastAsia"/>
          <w:b w:val="0"/>
          <w:bCs w:val="0"/>
        </w:rPr>
        <w:t>Carta universitară</w:t>
      </w:r>
      <w:r w:rsidRPr="002F053B">
        <w:t xml:space="preserve">, </w:t>
      </w:r>
      <w:r w:rsidRPr="002F053B">
        <w:rPr>
          <w:rStyle w:val="af9"/>
          <w:rFonts w:eastAsiaTheme="majorEastAsia"/>
          <w:b w:val="0"/>
          <w:bCs w:val="0"/>
        </w:rPr>
        <w:t>regulamentele școlilor doctorale</w:t>
      </w:r>
      <w:r w:rsidRPr="002F053B">
        <w:t xml:space="preserve"> și </w:t>
      </w:r>
      <w:r w:rsidRPr="002F053B">
        <w:rPr>
          <w:rStyle w:val="af9"/>
          <w:rFonts w:eastAsiaTheme="majorEastAsia"/>
          <w:b w:val="0"/>
          <w:bCs w:val="0"/>
        </w:rPr>
        <w:t>actele normative aprobate de senatul universitar</w:t>
      </w:r>
      <w:r w:rsidRPr="002F053B">
        <w:t>.</w:t>
      </w:r>
    </w:p>
    <w:p w14:paraId="2CBF85EA" w14:textId="77777777" w:rsidR="00BD2CD6" w:rsidRPr="002F053B" w:rsidRDefault="00BD2CD6" w:rsidP="00BD2CD6">
      <w:pPr>
        <w:pStyle w:val="af8"/>
      </w:pPr>
      <w:r w:rsidRPr="002F053B">
        <w:rPr>
          <w:rStyle w:val="af9"/>
          <w:rFonts w:eastAsiaTheme="majorEastAsia"/>
          <w:b w:val="0"/>
          <w:bCs w:val="0"/>
        </w:rPr>
        <w:t>Finanțarea publică</w:t>
      </w:r>
      <w:r w:rsidRPr="002F053B">
        <w:t xml:space="preserve"> a proiectelor de cercetare, dezvoltare, inovare, creație artistică și sport se realizează </w:t>
      </w:r>
      <w:r w:rsidRPr="002F053B">
        <w:rPr>
          <w:rStyle w:val="af9"/>
          <w:rFonts w:eastAsiaTheme="majorEastAsia"/>
          <w:b w:val="0"/>
          <w:bCs w:val="0"/>
        </w:rPr>
        <w:t>exclusiv prin concursuri</w:t>
      </w:r>
      <w:r w:rsidRPr="002F053B">
        <w:t xml:space="preserve"> organizate de </w:t>
      </w:r>
      <w:r w:rsidRPr="002F053B">
        <w:rPr>
          <w:rStyle w:val="af9"/>
          <w:rFonts w:eastAsiaTheme="majorEastAsia"/>
          <w:b w:val="0"/>
          <w:bCs w:val="0"/>
        </w:rPr>
        <w:t>Agenția Națională pentru Cercetare și Dezvoltare</w:t>
      </w:r>
      <w:r w:rsidRPr="002F053B">
        <w:t xml:space="preserve">, iar instituțiile pot beneficia și de </w:t>
      </w:r>
      <w:r w:rsidRPr="002F053B">
        <w:rPr>
          <w:rStyle w:val="af9"/>
          <w:rFonts w:eastAsiaTheme="majorEastAsia"/>
          <w:b w:val="0"/>
          <w:bCs w:val="0"/>
        </w:rPr>
        <w:t>finanțare instituțională</w:t>
      </w:r>
      <w:r w:rsidRPr="002F053B">
        <w:t xml:space="preserve"> conform Codului cu privire la știință și inovare.</w:t>
      </w:r>
    </w:p>
    <w:p w14:paraId="4A813ADF" w14:textId="77777777" w:rsidR="00BD2CD6" w:rsidRPr="002F053B" w:rsidRDefault="00BD2CD6" w:rsidP="00BD2CD6">
      <w:pPr>
        <w:pStyle w:val="af8"/>
      </w:pPr>
      <w:r w:rsidRPr="002F053B">
        <w:t xml:space="preserve">Instituțiile de învățământ superior dețin </w:t>
      </w:r>
      <w:r w:rsidRPr="002F053B">
        <w:rPr>
          <w:rStyle w:val="af9"/>
          <w:rFonts w:eastAsiaTheme="majorEastAsia"/>
          <w:b w:val="0"/>
          <w:bCs w:val="0"/>
        </w:rPr>
        <w:t>dreptul de proprietate intelectuală</w:t>
      </w:r>
      <w:r w:rsidRPr="002F053B">
        <w:t xml:space="preserve"> asupra rezultatelor cercetării finanțate din fonduri publice și au </w:t>
      </w:r>
      <w:r w:rsidRPr="002F053B">
        <w:rPr>
          <w:rStyle w:val="af9"/>
          <w:rFonts w:eastAsiaTheme="majorEastAsia"/>
          <w:b w:val="0"/>
          <w:bCs w:val="0"/>
        </w:rPr>
        <w:t>autonomie în valorificarea acestora</w:t>
      </w:r>
      <w:r w:rsidRPr="002F053B">
        <w:t xml:space="preserve">, având obligația de a </w:t>
      </w:r>
      <w:r w:rsidRPr="002F053B">
        <w:rPr>
          <w:rStyle w:val="af9"/>
          <w:rFonts w:eastAsiaTheme="majorEastAsia"/>
          <w:b w:val="0"/>
          <w:bCs w:val="0"/>
        </w:rPr>
        <w:t>recompensa autorii</w:t>
      </w:r>
      <w:r w:rsidRPr="002F053B">
        <w:t xml:space="preserve"> cu minimum </w:t>
      </w:r>
      <w:r w:rsidRPr="002F053B">
        <w:rPr>
          <w:rStyle w:val="af9"/>
          <w:rFonts w:eastAsiaTheme="majorEastAsia"/>
          <w:b w:val="0"/>
          <w:bCs w:val="0"/>
        </w:rPr>
        <w:t>15% din veniturile</w:t>
      </w:r>
      <w:r w:rsidRPr="002F053B">
        <w:t xml:space="preserve"> obținute prin comercializare.</w:t>
      </w:r>
    </w:p>
    <w:p w14:paraId="5ABC672F" w14:textId="77777777" w:rsidR="00BD2CD6" w:rsidRPr="002F053B" w:rsidRDefault="00BD2CD6" w:rsidP="00BD2CD6">
      <w:pPr>
        <w:pStyle w:val="af8"/>
      </w:pPr>
      <w:r w:rsidRPr="002F053B">
        <w:lastRenderedPageBreak/>
        <w:t xml:space="preserve">Pentru cadrele didactice din domeniile </w:t>
      </w:r>
      <w:r w:rsidRPr="002F053B">
        <w:rPr>
          <w:rStyle w:val="af9"/>
          <w:rFonts w:eastAsiaTheme="majorEastAsia"/>
          <w:b w:val="0"/>
          <w:bCs w:val="0"/>
        </w:rPr>
        <w:t>artelor și sportului</w:t>
      </w:r>
      <w:r w:rsidRPr="002F053B">
        <w:t xml:space="preserve">, activitatea de creație artistică sau sportivă poate </w:t>
      </w:r>
      <w:r w:rsidRPr="002F053B">
        <w:rPr>
          <w:rStyle w:val="af9"/>
          <w:rFonts w:eastAsiaTheme="majorEastAsia"/>
          <w:b w:val="0"/>
          <w:bCs w:val="0"/>
        </w:rPr>
        <w:t>înlocui activitatea de cercetare științifică</w:t>
      </w:r>
      <w:r w:rsidRPr="002F053B">
        <w:t>.</w:t>
      </w:r>
    </w:p>
    <w:p w14:paraId="0C6F43D7" w14:textId="77777777" w:rsidR="00784E62" w:rsidRPr="002F053B" w:rsidRDefault="00784E62" w:rsidP="00784E62">
      <w:pPr>
        <w:pStyle w:val="af8"/>
        <w:shd w:val="clear" w:color="auto" w:fill="FFFFFF"/>
        <w:spacing w:before="0" w:beforeAutospacing="0" w:after="0" w:afterAutospacing="0"/>
        <w:jc w:val="both"/>
        <w:rPr>
          <w:rFonts w:ascii="PT Serif" w:hAnsi="PT Serif"/>
          <w:sz w:val="18"/>
          <w:szCs w:val="18"/>
          <w:lang w:val="it-IT"/>
        </w:rPr>
      </w:pPr>
      <w:r w:rsidRPr="002F053B">
        <w:rPr>
          <w:lang w:val="it-IT"/>
        </w:rPr>
        <w:t>În instituţiile de învățământ superior, activităţile de cercetare, dezvoltare şi inovare se efectuează în cadrul catedrelor, departamentelor, laboratoarelor şi altor unităţi proprii şi/sau în parteneriat cu alte instituţii, agenți economici sau autorităţi publice.</w:t>
      </w:r>
    </w:p>
    <w:p w14:paraId="78DB122C" w14:textId="6C59147F"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F053B">
        <w:rPr>
          <w:rFonts w:ascii="Times New Roman" w:eastAsia="Times New Roman" w:hAnsi="Times New Roman" w:cs="Times New Roman"/>
          <w:kern w:val="0"/>
          <w:sz w:val="24"/>
          <w:szCs w:val="24"/>
          <w:lang w:eastAsia="ro-MD"/>
          <w14:ligatures w14:val="none"/>
        </w:rPr>
        <w:t>Instituțiile de învățământ superior derulează proiecte fundamentale și aplicative, colaborează cu mediul economic și participă la rețele internaționale de cercetare.</w:t>
      </w:r>
      <w:r w:rsidR="00967EE3" w:rsidRPr="002F053B">
        <w:rPr>
          <w:rFonts w:ascii="Times New Roman" w:eastAsia="Times New Roman" w:hAnsi="Times New Roman" w:cs="Times New Roman"/>
          <w:kern w:val="0"/>
          <w:sz w:val="24"/>
          <w:szCs w:val="24"/>
          <w:lang w:eastAsia="ro-MD"/>
          <w14:ligatures w14:val="none"/>
        </w:rPr>
        <w:t xml:space="preserve"> </w:t>
      </w:r>
      <w:r w:rsidRPr="002F053B">
        <w:rPr>
          <w:rFonts w:ascii="Times New Roman" w:eastAsia="Times New Roman" w:hAnsi="Times New Roman" w:cs="Times New Roman"/>
          <w:kern w:val="0"/>
          <w:sz w:val="24"/>
          <w:szCs w:val="24"/>
          <w:lang w:eastAsia="ro-MD"/>
          <w14:ligatures w14:val="none"/>
        </w:rPr>
        <w:t xml:space="preserve">Participarea la programe europene precum Erasmus+, Horizon Europe și CEEPUS sprijină mobilitatea academică, dezvoltarea programelor comune, </w:t>
      </w:r>
      <w:r w:rsidR="007F4EBF" w:rsidRPr="002F053B">
        <w:rPr>
          <w:rFonts w:ascii="Times New Roman" w:eastAsia="Times New Roman" w:hAnsi="Times New Roman" w:cs="Times New Roman"/>
          <w:kern w:val="0"/>
          <w:sz w:val="24"/>
          <w:szCs w:val="24"/>
          <w:lang w:eastAsia="ro-MD"/>
          <w14:ligatures w14:val="none"/>
        </w:rPr>
        <w:t xml:space="preserve">programelor cu </w:t>
      </w:r>
      <w:r w:rsidRPr="002F053B">
        <w:rPr>
          <w:rFonts w:ascii="Times New Roman" w:eastAsia="Times New Roman" w:hAnsi="Times New Roman" w:cs="Times New Roman"/>
          <w:kern w:val="0"/>
          <w:sz w:val="24"/>
          <w:szCs w:val="24"/>
          <w:lang w:eastAsia="ro-MD"/>
          <w14:ligatures w14:val="none"/>
        </w:rPr>
        <w:t>diplome duble și integrarea în spațiul științific european.</w:t>
      </w:r>
    </w:p>
    <w:p w14:paraId="075516CD" w14:textId="5B6E6F7B" w:rsidR="00C02D0E" w:rsidRPr="0020102C" w:rsidRDefault="00C02D0E"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 2023, universitățile din Republica Moldova găzduiau peste 3.500 de studenți internaționali, majoritatea în domeniul medicinei și IT, ceea ce reflectă tendința de creștere a internaționalizării</w:t>
      </w:r>
      <w:r w:rsidR="00D2519A" w:rsidRPr="0020102C">
        <w:rPr>
          <w:rStyle w:val="afc"/>
          <w:rFonts w:ascii="Times New Roman" w:eastAsia="Times New Roman" w:hAnsi="Times New Roman" w:cs="Times New Roman"/>
          <w:kern w:val="0"/>
          <w:sz w:val="24"/>
          <w:szCs w:val="24"/>
          <w:lang w:eastAsia="ro-MD"/>
          <w14:ligatures w14:val="none"/>
        </w:rPr>
        <w:footnoteReference w:id="32"/>
      </w:r>
      <w:r w:rsidRPr="0020102C">
        <w:rPr>
          <w:rFonts w:ascii="Times New Roman" w:eastAsia="Times New Roman" w:hAnsi="Times New Roman" w:cs="Times New Roman"/>
          <w:kern w:val="0"/>
          <w:sz w:val="24"/>
          <w:szCs w:val="24"/>
          <w:lang w:eastAsia="ro-MD"/>
          <w14:ligatures w14:val="none"/>
        </w:rPr>
        <w:t>.</w:t>
      </w:r>
    </w:p>
    <w:p w14:paraId="5379CF0E" w14:textId="5764449A" w:rsidR="009B72EB" w:rsidRPr="00C22B70" w:rsidRDefault="00BE688F" w:rsidP="009B72EB">
      <w:p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În calitate de exemplu, p</w:t>
      </w:r>
      <w:r w:rsidR="009B72EB">
        <w:rPr>
          <w:rFonts w:ascii="Times New Roman" w:eastAsia="Times New Roman" w:hAnsi="Times New Roman" w:cs="Times New Roman"/>
          <w:kern w:val="0"/>
          <w:sz w:val="24"/>
          <w:szCs w:val="24"/>
          <w:lang w:eastAsia="ro-MD"/>
          <w14:ligatures w14:val="none"/>
        </w:rPr>
        <w:t xml:space="preserve">rezentăm </w:t>
      </w:r>
      <w:r w:rsidR="009B72EB" w:rsidRPr="00C22B70">
        <w:rPr>
          <w:rFonts w:ascii="Times New Roman" w:eastAsia="Times New Roman" w:hAnsi="Times New Roman" w:cs="Times New Roman"/>
          <w:kern w:val="0"/>
          <w:sz w:val="24"/>
          <w:szCs w:val="24"/>
          <w:lang w:eastAsia="ro-MD"/>
          <w14:ligatures w14:val="none"/>
        </w:rPr>
        <w:t xml:space="preserve">dinamica contingentului studenților internaționali la Universitatea Pedagogică de Stat ”Ion Creangă” din Chilinău în perioada anilor 2020-2025. </w:t>
      </w:r>
    </w:p>
    <w:p w14:paraId="0309331E" w14:textId="77777777" w:rsidR="009B72EB" w:rsidRPr="00C22B70" w:rsidRDefault="009B72EB" w:rsidP="009B72EB">
      <w:pPr>
        <w:spacing w:after="0"/>
        <w:ind w:firstLine="709"/>
        <w:jc w:val="both"/>
        <w:rPr>
          <w:rFonts w:ascii="Times New Roman" w:hAnsi="Times New Roman" w:cs="Times New Roman"/>
          <w:sz w:val="24"/>
          <w:szCs w:val="24"/>
          <w:lang w:val="en-US"/>
        </w:rPr>
      </w:pPr>
      <w:proofErr w:type="spellStart"/>
      <w:r w:rsidRPr="00C22B70">
        <w:rPr>
          <w:rFonts w:ascii="Times New Roman" w:hAnsi="Times New Roman" w:cs="Times New Roman"/>
          <w:sz w:val="24"/>
          <w:szCs w:val="24"/>
          <w:lang w:val="en-US"/>
        </w:rPr>
        <w:t>Licență</w:t>
      </w:r>
      <w:proofErr w:type="spellEnd"/>
      <w:r w:rsidRPr="00C22B70">
        <w:rPr>
          <w:rFonts w:ascii="Times New Roman" w:hAnsi="Times New Roman" w:cs="Times New Roman"/>
          <w:sz w:val="24"/>
          <w:szCs w:val="24"/>
          <w:lang w:val="en-US"/>
        </w:rPr>
        <w:t xml:space="preserve">, </w:t>
      </w:r>
      <w:proofErr w:type="spellStart"/>
      <w:r w:rsidRPr="00C22B70">
        <w:rPr>
          <w:rFonts w:ascii="Times New Roman" w:hAnsi="Times New Roman" w:cs="Times New Roman"/>
          <w:sz w:val="24"/>
          <w:szCs w:val="24"/>
          <w:lang w:val="en-US"/>
        </w:rPr>
        <w:t>Invățământ</w:t>
      </w:r>
      <w:proofErr w:type="spellEnd"/>
      <w:r w:rsidRPr="00C22B70">
        <w:rPr>
          <w:rFonts w:ascii="Times New Roman" w:hAnsi="Times New Roman" w:cs="Times New Roman"/>
          <w:sz w:val="24"/>
          <w:szCs w:val="24"/>
          <w:lang w:val="en-US"/>
        </w:rPr>
        <w:t xml:space="preserve"> cu </w:t>
      </w:r>
      <w:proofErr w:type="spellStart"/>
      <w:r w:rsidRPr="00C22B70">
        <w:rPr>
          <w:rFonts w:ascii="Times New Roman" w:hAnsi="Times New Roman" w:cs="Times New Roman"/>
          <w:sz w:val="24"/>
          <w:szCs w:val="24"/>
          <w:lang w:val="en-US"/>
        </w:rPr>
        <w:t>frecvență</w:t>
      </w:r>
      <w:proofErr w:type="spellEnd"/>
    </w:p>
    <w:tbl>
      <w:tblPr>
        <w:tblStyle w:val="aff"/>
        <w:tblW w:w="0" w:type="auto"/>
        <w:tblLook w:val="04A0" w:firstRow="1" w:lastRow="0" w:firstColumn="1" w:lastColumn="0" w:noHBand="0" w:noVBand="1"/>
      </w:tblPr>
      <w:tblGrid>
        <w:gridCol w:w="639"/>
        <w:gridCol w:w="825"/>
        <w:gridCol w:w="577"/>
        <w:gridCol w:w="639"/>
        <w:gridCol w:w="824"/>
        <w:gridCol w:w="576"/>
        <w:gridCol w:w="638"/>
        <w:gridCol w:w="824"/>
        <w:gridCol w:w="576"/>
        <w:gridCol w:w="638"/>
        <w:gridCol w:w="824"/>
        <w:gridCol w:w="576"/>
        <w:gridCol w:w="638"/>
        <w:gridCol w:w="824"/>
        <w:gridCol w:w="576"/>
      </w:tblGrid>
      <w:tr w:rsidR="009B72EB" w:rsidRPr="00C22B70" w14:paraId="097195D4" w14:textId="77777777" w:rsidTr="00B81475">
        <w:tc>
          <w:tcPr>
            <w:tcW w:w="2143" w:type="dxa"/>
            <w:gridSpan w:val="3"/>
          </w:tcPr>
          <w:p w14:paraId="12FAB003"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2020-2021</w:t>
            </w:r>
          </w:p>
        </w:tc>
        <w:tc>
          <w:tcPr>
            <w:tcW w:w="2144" w:type="dxa"/>
            <w:gridSpan w:val="3"/>
          </w:tcPr>
          <w:p w14:paraId="363F19B7"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2021-2022</w:t>
            </w:r>
          </w:p>
        </w:tc>
        <w:tc>
          <w:tcPr>
            <w:tcW w:w="2144" w:type="dxa"/>
            <w:gridSpan w:val="3"/>
          </w:tcPr>
          <w:p w14:paraId="2DCA5BEC"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2022-2023</w:t>
            </w:r>
          </w:p>
        </w:tc>
        <w:tc>
          <w:tcPr>
            <w:tcW w:w="2144" w:type="dxa"/>
            <w:gridSpan w:val="3"/>
          </w:tcPr>
          <w:p w14:paraId="4735296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2023-2024</w:t>
            </w:r>
          </w:p>
        </w:tc>
        <w:tc>
          <w:tcPr>
            <w:tcW w:w="769" w:type="dxa"/>
            <w:gridSpan w:val="3"/>
          </w:tcPr>
          <w:p w14:paraId="5D831961"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2024-2025</w:t>
            </w:r>
          </w:p>
        </w:tc>
      </w:tr>
      <w:tr w:rsidR="009B72EB" w:rsidRPr="00C22B70" w14:paraId="309C9B47" w14:textId="77777777" w:rsidTr="00B81475">
        <w:tc>
          <w:tcPr>
            <w:tcW w:w="665" w:type="dxa"/>
          </w:tcPr>
          <w:p w14:paraId="658D9598"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03B0CF2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3108947E"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31356085"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67C49160"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7B09FF84"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499C5D85"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0EBC86D2"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718CCF0C"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41EFF85E"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2E18157A"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6CFCAF4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325" w:type="dxa"/>
          </w:tcPr>
          <w:p w14:paraId="34DE0FD7"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222" w:type="dxa"/>
          </w:tcPr>
          <w:p w14:paraId="4612701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222" w:type="dxa"/>
          </w:tcPr>
          <w:p w14:paraId="4C63ED8A"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r>
      <w:tr w:rsidR="009B72EB" w:rsidRPr="00C22B70" w14:paraId="3C987B18" w14:textId="77777777" w:rsidTr="00B81475">
        <w:tc>
          <w:tcPr>
            <w:tcW w:w="665" w:type="dxa"/>
          </w:tcPr>
          <w:p w14:paraId="02FDCBF6"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10</w:t>
            </w:r>
          </w:p>
        </w:tc>
        <w:tc>
          <w:tcPr>
            <w:tcW w:w="864" w:type="dxa"/>
          </w:tcPr>
          <w:p w14:paraId="5D8655B0"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14</w:t>
            </w:r>
          </w:p>
        </w:tc>
        <w:tc>
          <w:tcPr>
            <w:tcW w:w="614" w:type="dxa"/>
          </w:tcPr>
          <w:p w14:paraId="0592190F"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24</w:t>
            </w:r>
          </w:p>
        </w:tc>
        <w:tc>
          <w:tcPr>
            <w:tcW w:w="666" w:type="dxa"/>
          </w:tcPr>
          <w:p w14:paraId="50D80FF1"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11</w:t>
            </w:r>
          </w:p>
        </w:tc>
        <w:tc>
          <w:tcPr>
            <w:tcW w:w="864" w:type="dxa"/>
          </w:tcPr>
          <w:p w14:paraId="0BE872EF"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11</w:t>
            </w:r>
          </w:p>
        </w:tc>
        <w:tc>
          <w:tcPr>
            <w:tcW w:w="614" w:type="dxa"/>
          </w:tcPr>
          <w:p w14:paraId="6F8E0141"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22</w:t>
            </w:r>
          </w:p>
        </w:tc>
        <w:tc>
          <w:tcPr>
            <w:tcW w:w="666" w:type="dxa"/>
          </w:tcPr>
          <w:p w14:paraId="35D310ED"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17</w:t>
            </w:r>
          </w:p>
        </w:tc>
        <w:tc>
          <w:tcPr>
            <w:tcW w:w="864" w:type="dxa"/>
          </w:tcPr>
          <w:p w14:paraId="7D3D26BD"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18</w:t>
            </w:r>
          </w:p>
        </w:tc>
        <w:tc>
          <w:tcPr>
            <w:tcW w:w="614" w:type="dxa"/>
          </w:tcPr>
          <w:p w14:paraId="2E042E47"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35</w:t>
            </w:r>
          </w:p>
        </w:tc>
        <w:tc>
          <w:tcPr>
            <w:tcW w:w="666" w:type="dxa"/>
          </w:tcPr>
          <w:p w14:paraId="717018F4"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16</w:t>
            </w:r>
          </w:p>
        </w:tc>
        <w:tc>
          <w:tcPr>
            <w:tcW w:w="864" w:type="dxa"/>
          </w:tcPr>
          <w:p w14:paraId="747A4D90"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11</w:t>
            </w:r>
          </w:p>
        </w:tc>
        <w:tc>
          <w:tcPr>
            <w:tcW w:w="614" w:type="dxa"/>
          </w:tcPr>
          <w:p w14:paraId="12FE7025"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27</w:t>
            </w:r>
          </w:p>
        </w:tc>
        <w:tc>
          <w:tcPr>
            <w:tcW w:w="325" w:type="dxa"/>
          </w:tcPr>
          <w:p w14:paraId="46210565"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20</w:t>
            </w:r>
          </w:p>
        </w:tc>
        <w:tc>
          <w:tcPr>
            <w:tcW w:w="222" w:type="dxa"/>
          </w:tcPr>
          <w:p w14:paraId="7BD8D83E"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12</w:t>
            </w:r>
          </w:p>
        </w:tc>
        <w:tc>
          <w:tcPr>
            <w:tcW w:w="222" w:type="dxa"/>
          </w:tcPr>
          <w:p w14:paraId="48ECB996"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32</w:t>
            </w:r>
          </w:p>
        </w:tc>
      </w:tr>
    </w:tbl>
    <w:p w14:paraId="4E248A63" w14:textId="77777777" w:rsidR="009B72EB" w:rsidRPr="00C22B70" w:rsidRDefault="009B72EB" w:rsidP="009B72EB">
      <w:pPr>
        <w:spacing w:after="0"/>
        <w:ind w:firstLine="709"/>
        <w:jc w:val="both"/>
        <w:rPr>
          <w:rFonts w:ascii="Times New Roman" w:hAnsi="Times New Roman" w:cs="Times New Roman"/>
          <w:sz w:val="24"/>
          <w:szCs w:val="24"/>
          <w:lang w:val="en-US"/>
        </w:rPr>
      </w:pPr>
    </w:p>
    <w:p w14:paraId="6ADDCBBB" w14:textId="77777777" w:rsidR="009B72EB" w:rsidRPr="00C22B70" w:rsidRDefault="009B72EB" w:rsidP="009B72EB">
      <w:pPr>
        <w:spacing w:after="0"/>
        <w:ind w:firstLine="709"/>
        <w:jc w:val="both"/>
        <w:rPr>
          <w:rFonts w:ascii="Times New Roman" w:hAnsi="Times New Roman" w:cs="Times New Roman"/>
          <w:sz w:val="24"/>
          <w:szCs w:val="24"/>
          <w:lang w:val="en-US"/>
        </w:rPr>
      </w:pPr>
      <w:proofErr w:type="spellStart"/>
      <w:r w:rsidRPr="00C22B70">
        <w:rPr>
          <w:rFonts w:ascii="Times New Roman" w:hAnsi="Times New Roman" w:cs="Times New Roman"/>
          <w:sz w:val="24"/>
          <w:szCs w:val="24"/>
          <w:lang w:val="en-US"/>
        </w:rPr>
        <w:t>Licență</w:t>
      </w:r>
      <w:proofErr w:type="spellEnd"/>
      <w:r w:rsidRPr="00C22B70">
        <w:rPr>
          <w:rFonts w:ascii="Times New Roman" w:hAnsi="Times New Roman" w:cs="Times New Roman"/>
          <w:sz w:val="24"/>
          <w:szCs w:val="24"/>
          <w:lang w:val="en-US"/>
        </w:rPr>
        <w:t xml:space="preserve">, </w:t>
      </w:r>
      <w:proofErr w:type="spellStart"/>
      <w:r w:rsidRPr="00C22B70">
        <w:rPr>
          <w:rFonts w:ascii="Times New Roman" w:hAnsi="Times New Roman" w:cs="Times New Roman"/>
          <w:sz w:val="24"/>
          <w:szCs w:val="24"/>
          <w:lang w:val="en-US"/>
        </w:rPr>
        <w:t>învățământ</w:t>
      </w:r>
      <w:proofErr w:type="spellEnd"/>
      <w:r w:rsidRPr="00C22B70">
        <w:rPr>
          <w:rFonts w:ascii="Times New Roman" w:hAnsi="Times New Roman" w:cs="Times New Roman"/>
          <w:sz w:val="24"/>
          <w:szCs w:val="24"/>
          <w:lang w:val="en-US"/>
        </w:rPr>
        <w:t xml:space="preserve"> cu </w:t>
      </w:r>
      <w:proofErr w:type="spellStart"/>
      <w:r w:rsidRPr="00C22B70">
        <w:rPr>
          <w:rFonts w:ascii="Times New Roman" w:hAnsi="Times New Roman" w:cs="Times New Roman"/>
          <w:sz w:val="24"/>
          <w:szCs w:val="24"/>
          <w:lang w:val="en-US"/>
        </w:rPr>
        <w:t>frecvență</w:t>
      </w:r>
      <w:proofErr w:type="spellEnd"/>
      <w:r w:rsidRPr="00C22B70">
        <w:rPr>
          <w:rFonts w:ascii="Times New Roman" w:hAnsi="Times New Roman" w:cs="Times New Roman"/>
          <w:sz w:val="24"/>
          <w:szCs w:val="24"/>
          <w:lang w:val="en-US"/>
        </w:rPr>
        <w:t xml:space="preserve"> </w:t>
      </w:r>
      <w:proofErr w:type="spellStart"/>
      <w:r w:rsidRPr="00C22B70">
        <w:rPr>
          <w:rFonts w:ascii="Times New Roman" w:hAnsi="Times New Roman" w:cs="Times New Roman"/>
          <w:sz w:val="24"/>
          <w:szCs w:val="24"/>
          <w:lang w:val="en-US"/>
        </w:rPr>
        <w:t>redusă</w:t>
      </w:r>
      <w:proofErr w:type="spellEnd"/>
    </w:p>
    <w:tbl>
      <w:tblPr>
        <w:tblStyle w:val="aff"/>
        <w:tblW w:w="0" w:type="auto"/>
        <w:tblLook w:val="04A0" w:firstRow="1" w:lastRow="0" w:firstColumn="1" w:lastColumn="0" w:noHBand="0" w:noVBand="1"/>
      </w:tblPr>
      <w:tblGrid>
        <w:gridCol w:w="639"/>
        <w:gridCol w:w="825"/>
        <w:gridCol w:w="577"/>
        <w:gridCol w:w="639"/>
        <w:gridCol w:w="824"/>
        <w:gridCol w:w="576"/>
        <w:gridCol w:w="638"/>
        <w:gridCol w:w="824"/>
        <w:gridCol w:w="576"/>
        <w:gridCol w:w="638"/>
        <w:gridCol w:w="824"/>
        <w:gridCol w:w="576"/>
        <w:gridCol w:w="638"/>
        <w:gridCol w:w="824"/>
        <w:gridCol w:w="576"/>
      </w:tblGrid>
      <w:tr w:rsidR="009B72EB" w:rsidRPr="00C22B70" w14:paraId="1309F039" w14:textId="77777777" w:rsidTr="00B81475">
        <w:tc>
          <w:tcPr>
            <w:tcW w:w="2143" w:type="dxa"/>
            <w:gridSpan w:val="3"/>
          </w:tcPr>
          <w:p w14:paraId="59DDC7FB"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2020-2021</w:t>
            </w:r>
          </w:p>
        </w:tc>
        <w:tc>
          <w:tcPr>
            <w:tcW w:w="2144" w:type="dxa"/>
            <w:gridSpan w:val="3"/>
          </w:tcPr>
          <w:p w14:paraId="2C4DDC8C"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2021-2022</w:t>
            </w:r>
          </w:p>
        </w:tc>
        <w:tc>
          <w:tcPr>
            <w:tcW w:w="2144" w:type="dxa"/>
            <w:gridSpan w:val="3"/>
          </w:tcPr>
          <w:p w14:paraId="4212C412"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2022-2023</w:t>
            </w:r>
          </w:p>
        </w:tc>
        <w:tc>
          <w:tcPr>
            <w:tcW w:w="2144" w:type="dxa"/>
            <w:gridSpan w:val="3"/>
          </w:tcPr>
          <w:p w14:paraId="64F8BEE1"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2023-2024</w:t>
            </w:r>
          </w:p>
        </w:tc>
        <w:tc>
          <w:tcPr>
            <w:tcW w:w="769" w:type="dxa"/>
            <w:gridSpan w:val="3"/>
          </w:tcPr>
          <w:p w14:paraId="35BF9D7F"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2024-2025</w:t>
            </w:r>
          </w:p>
        </w:tc>
      </w:tr>
      <w:tr w:rsidR="009B72EB" w:rsidRPr="00C22B70" w14:paraId="771479EF" w14:textId="77777777" w:rsidTr="00B81475">
        <w:tc>
          <w:tcPr>
            <w:tcW w:w="665" w:type="dxa"/>
          </w:tcPr>
          <w:p w14:paraId="7F518170"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74DF9182"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3FDE10C0"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45357E93"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3045ABAA"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7BD75F90"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107A0A1B"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34E26BC6"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6D4D6D15"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4E5EBCE2"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2381067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27E2C1D4"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325" w:type="dxa"/>
          </w:tcPr>
          <w:p w14:paraId="4132A261"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222" w:type="dxa"/>
          </w:tcPr>
          <w:p w14:paraId="4E8C3E33"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222" w:type="dxa"/>
          </w:tcPr>
          <w:p w14:paraId="753B17FF"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r>
      <w:tr w:rsidR="009B72EB" w:rsidRPr="00C22B70" w14:paraId="5274E450" w14:textId="77777777" w:rsidTr="00B81475">
        <w:tc>
          <w:tcPr>
            <w:tcW w:w="665" w:type="dxa"/>
          </w:tcPr>
          <w:p w14:paraId="6796C008"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w:t>
            </w:r>
          </w:p>
        </w:tc>
        <w:tc>
          <w:tcPr>
            <w:tcW w:w="864" w:type="dxa"/>
          </w:tcPr>
          <w:p w14:paraId="1D51D6A3"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37</w:t>
            </w:r>
          </w:p>
        </w:tc>
        <w:tc>
          <w:tcPr>
            <w:tcW w:w="614" w:type="dxa"/>
          </w:tcPr>
          <w:p w14:paraId="67A3FBFC"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37</w:t>
            </w:r>
          </w:p>
        </w:tc>
        <w:tc>
          <w:tcPr>
            <w:tcW w:w="666" w:type="dxa"/>
          </w:tcPr>
          <w:p w14:paraId="1906EB69" w14:textId="77777777" w:rsidR="009B72EB" w:rsidRPr="00C22B70" w:rsidRDefault="009B72EB" w:rsidP="00B81475">
            <w:pPr>
              <w:jc w:val="both"/>
              <w:rPr>
                <w:rFonts w:ascii="Times New Roman" w:hAnsi="Times New Roman" w:cs="Times New Roman"/>
                <w:b/>
                <w:bCs/>
                <w:sz w:val="24"/>
                <w:szCs w:val="24"/>
              </w:rPr>
            </w:pPr>
          </w:p>
        </w:tc>
        <w:tc>
          <w:tcPr>
            <w:tcW w:w="864" w:type="dxa"/>
          </w:tcPr>
          <w:p w14:paraId="3981CE19"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30</w:t>
            </w:r>
          </w:p>
        </w:tc>
        <w:tc>
          <w:tcPr>
            <w:tcW w:w="614" w:type="dxa"/>
          </w:tcPr>
          <w:p w14:paraId="43CC5C57"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30</w:t>
            </w:r>
          </w:p>
        </w:tc>
        <w:tc>
          <w:tcPr>
            <w:tcW w:w="666" w:type="dxa"/>
          </w:tcPr>
          <w:p w14:paraId="11FF457B"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w:t>
            </w:r>
          </w:p>
        </w:tc>
        <w:tc>
          <w:tcPr>
            <w:tcW w:w="864" w:type="dxa"/>
          </w:tcPr>
          <w:p w14:paraId="09194B4A"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36</w:t>
            </w:r>
          </w:p>
        </w:tc>
        <w:tc>
          <w:tcPr>
            <w:tcW w:w="614" w:type="dxa"/>
          </w:tcPr>
          <w:p w14:paraId="2A6A13ED"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36</w:t>
            </w:r>
          </w:p>
        </w:tc>
        <w:tc>
          <w:tcPr>
            <w:tcW w:w="666" w:type="dxa"/>
          </w:tcPr>
          <w:p w14:paraId="428B2DDC"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w:t>
            </w:r>
          </w:p>
        </w:tc>
        <w:tc>
          <w:tcPr>
            <w:tcW w:w="864" w:type="dxa"/>
          </w:tcPr>
          <w:p w14:paraId="706B24B0"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57</w:t>
            </w:r>
          </w:p>
        </w:tc>
        <w:tc>
          <w:tcPr>
            <w:tcW w:w="614" w:type="dxa"/>
          </w:tcPr>
          <w:p w14:paraId="596B76FC"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58</w:t>
            </w:r>
          </w:p>
        </w:tc>
        <w:tc>
          <w:tcPr>
            <w:tcW w:w="325" w:type="dxa"/>
          </w:tcPr>
          <w:p w14:paraId="0AC095EA"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w:t>
            </w:r>
          </w:p>
        </w:tc>
        <w:tc>
          <w:tcPr>
            <w:tcW w:w="222" w:type="dxa"/>
          </w:tcPr>
          <w:p w14:paraId="1943E8DC"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162</w:t>
            </w:r>
          </w:p>
        </w:tc>
        <w:tc>
          <w:tcPr>
            <w:tcW w:w="222" w:type="dxa"/>
          </w:tcPr>
          <w:p w14:paraId="5D48F1E6"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163</w:t>
            </w:r>
          </w:p>
        </w:tc>
      </w:tr>
    </w:tbl>
    <w:p w14:paraId="49DD6889" w14:textId="77777777" w:rsidR="009B72EB" w:rsidRPr="00C22B70" w:rsidRDefault="009B72EB" w:rsidP="009B72EB">
      <w:pPr>
        <w:spacing w:after="0"/>
        <w:ind w:firstLine="709"/>
        <w:jc w:val="both"/>
        <w:rPr>
          <w:rFonts w:ascii="Times New Roman" w:hAnsi="Times New Roman" w:cs="Times New Roman"/>
          <w:sz w:val="24"/>
          <w:szCs w:val="24"/>
          <w:lang w:val="en-US"/>
        </w:rPr>
      </w:pPr>
    </w:p>
    <w:p w14:paraId="4E003B97" w14:textId="77777777" w:rsidR="009B72EB" w:rsidRPr="00C22B70" w:rsidRDefault="009B72EB" w:rsidP="009B72EB">
      <w:pPr>
        <w:spacing w:after="0"/>
        <w:ind w:firstLine="709"/>
        <w:jc w:val="both"/>
        <w:rPr>
          <w:rFonts w:ascii="Times New Roman" w:hAnsi="Times New Roman" w:cs="Times New Roman"/>
          <w:sz w:val="24"/>
          <w:szCs w:val="24"/>
          <w:lang w:val="en-US"/>
        </w:rPr>
      </w:pPr>
      <w:r w:rsidRPr="00C22B70">
        <w:rPr>
          <w:rFonts w:ascii="Times New Roman" w:hAnsi="Times New Roman" w:cs="Times New Roman"/>
          <w:sz w:val="24"/>
          <w:szCs w:val="24"/>
          <w:lang w:val="en-US"/>
        </w:rPr>
        <w:t xml:space="preserve">Master </w:t>
      </w:r>
      <w:proofErr w:type="spellStart"/>
      <w:r w:rsidRPr="00C22B70">
        <w:rPr>
          <w:rFonts w:ascii="Times New Roman" w:hAnsi="Times New Roman" w:cs="Times New Roman"/>
          <w:sz w:val="24"/>
          <w:szCs w:val="24"/>
          <w:lang w:val="en-US"/>
        </w:rPr>
        <w:t>învățământ</w:t>
      </w:r>
      <w:proofErr w:type="spellEnd"/>
      <w:r w:rsidRPr="00C22B70">
        <w:rPr>
          <w:rFonts w:ascii="Times New Roman" w:hAnsi="Times New Roman" w:cs="Times New Roman"/>
          <w:sz w:val="24"/>
          <w:szCs w:val="24"/>
          <w:lang w:val="en-US"/>
        </w:rPr>
        <w:t xml:space="preserve"> cu </w:t>
      </w:r>
      <w:proofErr w:type="spellStart"/>
      <w:r w:rsidRPr="00C22B70">
        <w:rPr>
          <w:rFonts w:ascii="Times New Roman" w:hAnsi="Times New Roman" w:cs="Times New Roman"/>
          <w:sz w:val="24"/>
          <w:szCs w:val="24"/>
          <w:lang w:val="en-US"/>
        </w:rPr>
        <w:t>frecvenț</w:t>
      </w:r>
      <w:proofErr w:type="gramStart"/>
      <w:r w:rsidRPr="00C22B70">
        <w:rPr>
          <w:rFonts w:ascii="Times New Roman" w:hAnsi="Times New Roman" w:cs="Times New Roman"/>
          <w:sz w:val="24"/>
          <w:szCs w:val="24"/>
          <w:lang w:val="en-US"/>
        </w:rPr>
        <w:t>ă</w:t>
      </w:r>
      <w:proofErr w:type="spellEnd"/>
      <w:r w:rsidRPr="00C22B70">
        <w:rPr>
          <w:rFonts w:ascii="Times New Roman" w:hAnsi="Times New Roman" w:cs="Times New Roman"/>
          <w:sz w:val="24"/>
          <w:szCs w:val="24"/>
          <w:lang w:val="en-US"/>
        </w:rPr>
        <w:t xml:space="preserve">  </w:t>
      </w:r>
      <w:proofErr w:type="spellStart"/>
      <w:r w:rsidRPr="00C22B70">
        <w:rPr>
          <w:rFonts w:ascii="Times New Roman" w:hAnsi="Times New Roman" w:cs="Times New Roman"/>
          <w:sz w:val="24"/>
          <w:szCs w:val="24"/>
          <w:lang w:val="en-US"/>
        </w:rPr>
        <w:t>si</w:t>
      </w:r>
      <w:proofErr w:type="spellEnd"/>
      <w:proofErr w:type="gramEnd"/>
      <w:r w:rsidRPr="00C22B70">
        <w:rPr>
          <w:rFonts w:ascii="Times New Roman" w:hAnsi="Times New Roman" w:cs="Times New Roman"/>
          <w:sz w:val="24"/>
          <w:szCs w:val="24"/>
          <w:lang w:val="en-US"/>
        </w:rPr>
        <w:t xml:space="preserve"> </w:t>
      </w:r>
      <w:proofErr w:type="spellStart"/>
      <w:r w:rsidRPr="00C22B70">
        <w:rPr>
          <w:rFonts w:ascii="Times New Roman" w:hAnsi="Times New Roman" w:cs="Times New Roman"/>
          <w:sz w:val="24"/>
          <w:szCs w:val="24"/>
          <w:lang w:val="en-US"/>
        </w:rPr>
        <w:t>învățământ</w:t>
      </w:r>
      <w:proofErr w:type="spellEnd"/>
      <w:r w:rsidRPr="00C22B70">
        <w:rPr>
          <w:rFonts w:ascii="Times New Roman" w:hAnsi="Times New Roman" w:cs="Times New Roman"/>
          <w:sz w:val="24"/>
          <w:szCs w:val="24"/>
          <w:lang w:val="en-US"/>
        </w:rPr>
        <w:t xml:space="preserve"> la </w:t>
      </w:r>
      <w:proofErr w:type="spellStart"/>
      <w:r w:rsidRPr="00C22B70">
        <w:rPr>
          <w:rFonts w:ascii="Times New Roman" w:hAnsi="Times New Roman" w:cs="Times New Roman"/>
          <w:sz w:val="24"/>
          <w:szCs w:val="24"/>
          <w:lang w:val="en-US"/>
        </w:rPr>
        <w:t>distanșă</w:t>
      </w:r>
      <w:proofErr w:type="spellEnd"/>
      <w:r w:rsidRPr="00C22B70">
        <w:rPr>
          <w:rFonts w:ascii="Times New Roman" w:hAnsi="Times New Roman" w:cs="Times New Roman"/>
          <w:sz w:val="24"/>
          <w:szCs w:val="24"/>
          <w:lang w:val="en-US"/>
        </w:rPr>
        <w:t>.</w:t>
      </w:r>
    </w:p>
    <w:tbl>
      <w:tblPr>
        <w:tblStyle w:val="aff"/>
        <w:tblW w:w="0" w:type="auto"/>
        <w:tblLook w:val="04A0" w:firstRow="1" w:lastRow="0" w:firstColumn="1" w:lastColumn="0" w:noHBand="0" w:noVBand="1"/>
      </w:tblPr>
      <w:tblGrid>
        <w:gridCol w:w="639"/>
        <w:gridCol w:w="825"/>
        <w:gridCol w:w="577"/>
        <w:gridCol w:w="639"/>
        <w:gridCol w:w="824"/>
        <w:gridCol w:w="576"/>
        <w:gridCol w:w="638"/>
        <w:gridCol w:w="824"/>
        <w:gridCol w:w="576"/>
        <w:gridCol w:w="638"/>
        <w:gridCol w:w="824"/>
        <w:gridCol w:w="576"/>
        <w:gridCol w:w="638"/>
        <w:gridCol w:w="824"/>
        <w:gridCol w:w="576"/>
      </w:tblGrid>
      <w:tr w:rsidR="009B72EB" w:rsidRPr="00C22B70" w14:paraId="40724DC1" w14:textId="77777777" w:rsidTr="00B81475">
        <w:tc>
          <w:tcPr>
            <w:tcW w:w="2143" w:type="dxa"/>
            <w:gridSpan w:val="3"/>
          </w:tcPr>
          <w:p w14:paraId="79FAF84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2020-2021</w:t>
            </w:r>
          </w:p>
        </w:tc>
        <w:tc>
          <w:tcPr>
            <w:tcW w:w="2144" w:type="dxa"/>
            <w:gridSpan w:val="3"/>
          </w:tcPr>
          <w:p w14:paraId="2C14AA1E"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2021-2022</w:t>
            </w:r>
          </w:p>
        </w:tc>
        <w:tc>
          <w:tcPr>
            <w:tcW w:w="2144" w:type="dxa"/>
            <w:gridSpan w:val="3"/>
          </w:tcPr>
          <w:p w14:paraId="2FCF1C63"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2022-2023</w:t>
            </w:r>
          </w:p>
        </w:tc>
        <w:tc>
          <w:tcPr>
            <w:tcW w:w="2144" w:type="dxa"/>
            <w:gridSpan w:val="3"/>
          </w:tcPr>
          <w:p w14:paraId="3780D37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2023-2024</w:t>
            </w:r>
          </w:p>
        </w:tc>
        <w:tc>
          <w:tcPr>
            <w:tcW w:w="769" w:type="dxa"/>
            <w:gridSpan w:val="3"/>
          </w:tcPr>
          <w:p w14:paraId="643E2DDC"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Anul de studii 2024-2025</w:t>
            </w:r>
          </w:p>
        </w:tc>
      </w:tr>
      <w:tr w:rsidR="009B72EB" w:rsidRPr="00C22B70" w14:paraId="7617FB83" w14:textId="77777777" w:rsidTr="00B81475">
        <w:tc>
          <w:tcPr>
            <w:tcW w:w="665" w:type="dxa"/>
          </w:tcPr>
          <w:p w14:paraId="7C1DB01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19FA41EC"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30BFB81A"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46068E38"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048ACCD8"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5BE12D6B"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68984F7D"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362E64A6"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2CD7FFE9"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666" w:type="dxa"/>
          </w:tcPr>
          <w:p w14:paraId="75814BAF"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864" w:type="dxa"/>
          </w:tcPr>
          <w:p w14:paraId="7C4161B2"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614" w:type="dxa"/>
          </w:tcPr>
          <w:p w14:paraId="734DE3DF"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c>
          <w:tcPr>
            <w:tcW w:w="325" w:type="dxa"/>
          </w:tcPr>
          <w:p w14:paraId="0E2BC5BF"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Buget</w:t>
            </w:r>
          </w:p>
        </w:tc>
        <w:tc>
          <w:tcPr>
            <w:tcW w:w="222" w:type="dxa"/>
          </w:tcPr>
          <w:p w14:paraId="404DDADF"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Contract</w:t>
            </w:r>
          </w:p>
        </w:tc>
        <w:tc>
          <w:tcPr>
            <w:tcW w:w="222" w:type="dxa"/>
          </w:tcPr>
          <w:p w14:paraId="05D2767B" w14:textId="77777777" w:rsidR="009B72EB" w:rsidRPr="00C22B70" w:rsidRDefault="009B72EB" w:rsidP="00B81475">
            <w:pPr>
              <w:jc w:val="both"/>
              <w:rPr>
                <w:rFonts w:ascii="Times New Roman" w:hAnsi="Times New Roman" w:cs="Times New Roman"/>
                <w:sz w:val="24"/>
                <w:szCs w:val="24"/>
              </w:rPr>
            </w:pPr>
            <w:r w:rsidRPr="00C22B70">
              <w:rPr>
                <w:rFonts w:ascii="Times New Roman" w:hAnsi="Times New Roman" w:cs="Times New Roman"/>
                <w:sz w:val="24"/>
                <w:szCs w:val="24"/>
              </w:rPr>
              <w:t>Total</w:t>
            </w:r>
          </w:p>
        </w:tc>
      </w:tr>
      <w:tr w:rsidR="009B72EB" w:rsidRPr="00C22B70" w14:paraId="7B0B213D" w14:textId="77777777" w:rsidTr="00B81475">
        <w:tc>
          <w:tcPr>
            <w:tcW w:w="665" w:type="dxa"/>
          </w:tcPr>
          <w:p w14:paraId="1118BE96"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3</w:t>
            </w:r>
          </w:p>
        </w:tc>
        <w:tc>
          <w:tcPr>
            <w:tcW w:w="864" w:type="dxa"/>
          </w:tcPr>
          <w:p w14:paraId="7D544CD7"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247</w:t>
            </w:r>
          </w:p>
        </w:tc>
        <w:tc>
          <w:tcPr>
            <w:tcW w:w="614" w:type="dxa"/>
          </w:tcPr>
          <w:p w14:paraId="2614D7D5"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250</w:t>
            </w:r>
          </w:p>
        </w:tc>
        <w:tc>
          <w:tcPr>
            <w:tcW w:w="666" w:type="dxa"/>
          </w:tcPr>
          <w:p w14:paraId="08A8C672"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4</w:t>
            </w:r>
          </w:p>
        </w:tc>
        <w:tc>
          <w:tcPr>
            <w:tcW w:w="864" w:type="dxa"/>
          </w:tcPr>
          <w:p w14:paraId="4DD1C281"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276</w:t>
            </w:r>
          </w:p>
        </w:tc>
        <w:tc>
          <w:tcPr>
            <w:tcW w:w="614" w:type="dxa"/>
          </w:tcPr>
          <w:p w14:paraId="031FA675"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280</w:t>
            </w:r>
          </w:p>
        </w:tc>
        <w:tc>
          <w:tcPr>
            <w:tcW w:w="666" w:type="dxa"/>
          </w:tcPr>
          <w:p w14:paraId="704196F1"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6</w:t>
            </w:r>
          </w:p>
        </w:tc>
        <w:tc>
          <w:tcPr>
            <w:tcW w:w="864" w:type="dxa"/>
          </w:tcPr>
          <w:p w14:paraId="1F487D7D"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254</w:t>
            </w:r>
          </w:p>
        </w:tc>
        <w:tc>
          <w:tcPr>
            <w:tcW w:w="614" w:type="dxa"/>
          </w:tcPr>
          <w:p w14:paraId="3B02D809"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260</w:t>
            </w:r>
          </w:p>
        </w:tc>
        <w:tc>
          <w:tcPr>
            <w:tcW w:w="666" w:type="dxa"/>
          </w:tcPr>
          <w:p w14:paraId="7726B0E0"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5</w:t>
            </w:r>
          </w:p>
        </w:tc>
        <w:tc>
          <w:tcPr>
            <w:tcW w:w="864" w:type="dxa"/>
          </w:tcPr>
          <w:p w14:paraId="225C78E3"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270</w:t>
            </w:r>
          </w:p>
        </w:tc>
        <w:tc>
          <w:tcPr>
            <w:tcW w:w="614" w:type="dxa"/>
          </w:tcPr>
          <w:p w14:paraId="50966B83" w14:textId="77777777" w:rsidR="009B72EB" w:rsidRPr="00C22B70" w:rsidRDefault="009B72EB" w:rsidP="00B81475">
            <w:pPr>
              <w:jc w:val="both"/>
              <w:rPr>
                <w:rFonts w:ascii="Times New Roman" w:hAnsi="Times New Roman" w:cs="Times New Roman"/>
                <w:b/>
                <w:bCs/>
                <w:sz w:val="24"/>
                <w:szCs w:val="24"/>
              </w:rPr>
            </w:pPr>
            <w:r w:rsidRPr="00C22B70">
              <w:rPr>
                <w:rFonts w:ascii="Times New Roman" w:hAnsi="Times New Roman" w:cs="Times New Roman"/>
                <w:b/>
                <w:bCs/>
                <w:sz w:val="24"/>
                <w:szCs w:val="24"/>
              </w:rPr>
              <w:t>275</w:t>
            </w:r>
          </w:p>
        </w:tc>
        <w:tc>
          <w:tcPr>
            <w:tcW w:w="325" w:type="dxa"/>
          </w:tcPr>
          <w:p w14:paraId="35A772A2" w14:textId="77777777" w:rsidR="009B72EB" w:rsidRPr="00C22B70" w:rsidRDefault="009B72EB" w:rsidP="00B81475">
            <w:pPr>
              <w:jc w:val="both"/>
              <w:rPr>
                <w:rFonts w:ascii="Times New Roman" w:hAnsi="Times New Roman" w:cs="Times New Roman"/>
                <w:b/>
                <w:bCs/>
                <w:i/>
                <w:iCs/>
                <w:sz w:val="24"/>
                <w:szCs w:val="24"/>
              </w:rPr>
            </w:pPr>
            <w:r w:rsidRPr="00C22B70">
              <w:rPr>
                <w:rFonts w:ascii="Times New Roman" w:hAnsi="Times New Roman" w:cs="Times New Roman"/>
                <w:b/>
                <w:bCs/>
                <w:i/>
                <w:iCs/>
                <w:sz w:val="24"/>
                <w:szCs w:val="24"/>
              </w:rPr>
              <w:t>6</w:t>
            </w:r>
          </w:p>
        </w:tc>
        <w:tc>
          <w:tcPr>
            <w:tcW w:w="222" w:type="dxa"/>
          </w:tcPr>
          <w:p w14:paraId="73E575DC" w14:textId="77777777" w:rsidR="009B72EB" w:rsidRPr="00C22B70" w:rsidRDefault="009B72EB" w:rsidP="00B81475">
            <w:pPr>
              <w:jc w:val="both"/>
              <w:rPr>
                <w:rFonts w:ascii="Times New Roman" w:hAnsi="Times New Roman" w:cs="Times New Roman"/>
                <w:b/>
                <w:bCs/>
                <w:i/>
                <w:iCs/>
                <w:sz w:val="24"/>
                <w:szCs w:val="24"/>
              </w:rPr>
            </w:pPr>
            <w:r w:rsidRPr="00C22B70">
              <w:rPr>
                <w:rFonts w:ascii="Times New Roman" w:hAnsi="Times New Roman" w:cs="Times New Roman"/>
                <w:b/>
                <w:bCs/>
                <w:i/>
                <w:iCs/>
                <w:sz w:val="24"/>
                <w:szCs w:val="24"/>
              </w:rPr>
              <w:t>304</w:t>
            </w:r>
          </w:p>
        </w:tc>
        <w:tc>
          <w:tcPr>
            <w:tcW w:w="222" w:type="dxa"/>
          </w:tcPr>
          <w:p w14:paraId="44E75DED" w14:textId="77777777" w:rsidR="009B72EB" w:rsidRPr="00C22B70" w:rsidRDefault="009B72EB" w:rsidP="00B81475">
            <w:pPr>
              <w:jc w:val="both"/>
              <w:rPr>
                <w:rFonts w:ascii="Times New Roman" w:hAnsi="Times New Roman" w:cs="Times New Roman"/>
                <w:b/>
                <w:bCs/>
                <w:i/>
                <w:iCs/>
                <w:sz w:val="24"/>
                <w:szCs w:val="24"/>
              </w:rPr>
            </w:pPr>
            <w:r w:rsidRPr="00C22B70">
              <w:rPr>
                <w:rFonts w:ascii="Times New Roman" w:hAnsi="Times New Roman" w:cs="Times New Roman"/>
                <w:b/>
                <w:bCs/>
                <w:i/>
                <w:iCs/>
                <w:sz w:val="24"/>
                <w:szCs w:val="24"/>
              </w:rPr>
              <w:t>310</w:t>
            </w:r>
          </w:p>
        </w:tc>
      </w:tr>
    </w:tbl>
    <w:p w14:paraId="02786D1B" w14:textId="77777777" w:rsidR="00561AC4" w:rsidRPr="001F6026" w:rsidRDefault="00561AC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p>
    <w:p w14:paraId="76D8162A" w14:textId="1498AF8B" w:rsidR="00A5005D" w:rsidRPr="001F6026" w:rsidRDefault="0002606D"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3.5 ÎNVĂȚAREA PE TOT PARCURSUL VIEȚII ȘI EDUCAȚIA ADULȚILOR</w:t>
      </w:r>
    </w:p>
    <w:p w14:paraId="7F41EEE1" w14:textId="77777777" w:rsidR="005F6FAB" w:rsidRPr="001F6026" w:rsidRDefault="005F6FAB" w:rsidP="00D10FE6">
      <w:pPr>
        <w:spacing w:before="120" w:after="120" w:line="276" w:lineRule="auto"/>
        <w:jc w:val="both"/>
        <w:outlineLvl w:val="1"/>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3.5.1. Cadrul general al învățării pe tot parcursul vieții</w:t>
      </w:r>
    </w:p>
    <w:p w14:paraId="154B9706" w14:textId="64AE320E" w:rsidR="005F6FAB" w:rsidRPr="0020102C" w:rsidRDefault="005F6FAB"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Definiție și rol strategic</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 xml:space="preserve">Cadrul de politici privind educația pe tot parcursul vieții în Republica Moldova este consolidat prin strategii naționale și parteneriate internaționale, având ca scop dezvoltarea unui sistem educațional incluziv, adaptabil și de calitate. </w:t>
      </w:r>
      <w:r w:rsidRPr="0020102C">
        <w:rPr>
          <w:rFonts w:ascii="Times New Roman" w:eastAsia="Times New Roman" w:hAnsi="Times New Roman" w:cs="Times New Roman"/>
          <w:kern w:val="0"/>
          <w:sz w:val="24"/>
          <w:szCs w:val="24"/>
          <w:lang w:eastAsia="ro-MD"/>
          <w14:ligatures w14:val="none"/>
        </w:rPr>
        <w:t xml:space="preserve">Învățarea pe tot parcursul vieții (LLL) este definită în Codul educației al Republicii Moldova nr. 152/2014, art. 123–126 ca ansamblul activităților de învățare desfășurate de o persoană de-a lungul vieții, în scopul dezvoltării competențelor din perspectivă personală, </w:t>
      </w:r>
      <w:r w:rsidRPr="0020102C">
        <w:rPr>
          <w:rFonts w:ascii="Times New Roman" w:eastAsia="Times New Roman" w:hAnsi="Times New Roman" w:cs="Times New Roman"/>
          <w:kern w:val="0"/>
          <w:sz w:val="24"/>
          <w:szCs w:val="24"/>
          <w:lang w:eastAsia="ro-MD"/>
          <w14:ligatures w14:val="none"/>
        </w:rPr>
        <w:lastRenderedPageBreak/>
        <w:t>civică, socială și profesională. Acest concept acoperă educația generală, formarea profesională inițială și continuă, educația generală a adulților, precum și învățarea în contexte nonformale și informale.</w:t>
      </w:r>
    </w:p>
    <w:p w14:paraId="0FED8F8F" w14:textId="77777777"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LLL are o dublă funcție strategică:</w:t>
      </w:r>
    </w:p>
    <w:p w14:paraId="27A91447" w14:textId="77777777" w:rsidR="005F6FAB" w:rsidRPr="0020102C" w:rsidRDefault="005F6FAB" w:rsidP="00A41843">
      <w:pPr>
        <w:numPr>
          <w:ilvl w:val="0"/>
          <w:numId w:val="5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sprijină adaptarea forței de muncă la schimbările rapide din economie și tehnologie;</w:t>
      </w:r>
    </w:p>
    <w:p w14:paraId="1C7BAB88" w14:textId="77777777" w:rsidR="005F6FAB" w:rsidRPr="0020102C" w:rsidRDefault="005F6FAB" w:rsidP="00A41843">
      <w:pPr>
        <w:numPr>
          <w:ilvl w:val="0"/>
          <w:numId w:val="5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asigură incluziunea socială și participarea activă a cetățenilor la viața democratică și culturală a țării.</w:t>
      </w:r>
    </w:p>
    <w:p w14:paraId="4F703BAD" w14:textId="649429EC"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Acest rol este în concordanță cu angajamentele Republicii Moldova ca stat asociat UE, în special Recomandarea Consiliului UE din 22 mai 2018 privind competențele-c</w:t>
      </w:r>
      <w:r w:rsidR="000948F2" w:rsidRPr="0020102C">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ie pentru învățarea pe tot parcursul vieții și inițiativa Upskilling Pathways (2016).</w:t>
      </w:r>
    </w:p>
    <w:p w14:paraId="777427F2" w14:textId="7EEAE20D" w:rsidR="005F6FAB" w:rsidRPr="0020102C" w:rsidRDefault="005F6FAB"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Forme și contexte de realizare</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Conform art. 123 alin. (5)–(9) din Codul educației, învățarea pe tot parcursul vieții se desfășoară în trei contexte complementare:</w:t>
      </w:r>
    </w:p>
    <w:p w14:paraId="3E2D641A" w14:textId="77777777" w:rsidR="005F6FAB" w:rsidRPr="0020102C" w:rsidRDefault="005F6FAB" w:rsidP="00A41843">
      <w:pPr>
        <w:numPr>
          <w:ilvl w:val="0"/>
          <w:numId w:val="5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Educație formală</w:t>
      </w:r>
      <w:r w:rsidRPr="0020102C">
        <w:rPr>
          <w:rFonts w:ascii="Times New Roman" w:eastAsia="Times New Roman" w:hAnsi="Times New Roman" w:cs="Times New Roman"/>
          <w:kern w:val="0"/>
          <w:sz w:val="24"/>
          <w:szCs w:val="24"/>
          <w:lang w:eastAsia="ro-MD"/>
          <w14:ligatures w14:val="none"/>
        </w:rPr>
        <w:t xml:space="preserve"> – proces instituționalizat, bazat pe un curriculum explicit, realizat în cadrul instituțiilor acreditate și finalizat prin certificate sau diplome recunoscute de stat.</w:t>
      </w:r>
    </w:p>
    <w:p w14:paraId="6E661694" w14:textId="77777777" w:rsidR="005F6FAB" w:rsidRPr="0020102C" w:rsidRDefault="005F6FAB" w:rsidP="00A41843">
      <w:pPr>
        <w:numPr>
          <w:ilvl w:val="0"/>
          <w:numId w:val="5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Educație nonformală</w:t>
      </w:r>
      <w:r w:rsidRPr="0020102C">
        <w:rPr>
          <w:rFonts w:ascii="Times New Roman" w:eastAsia="Times New Roman" w:hAnsi="Times New Roman" w:cs="Times New Roman"/>
          <w:kern w:val="0"/>
          <w:sz w:val="24"/>
          <w:szCs w:val="24"/>
          <w:lang w:eastAsia="ro-MD"/>
          <w14:ligatures w14:val="none"/>
        </w:rPr>
        <w:t xml:space="preserve"> – activități planificate de învățare (cursuri, ateliere, traininguri), dar care nu urmează un curriculum strict. Furnizorii pot emite certificate de participare.</w:t>
      </w:r>
    </w:p>
    <w:p w14:paraId="5D7D2380" w14:textId="77777777" w:rsidR="005F6FAB" w:rsidRPr="0020102C" w:rsidRDefault="005F6FAB" w:rsidP="00A41843">
      <w:pPr>
        <w:numPr>
          <w:ilvl w:val="0"/>
          <w:numId w:val="5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Învățare informală</w:t>
      </w:r>
      <w:r w:rsidRPr="0020102C">
        <w:rPr>
          <w:rFonts w:ascii="Times New Roman" w:eastAsia="Times New Roman" w:hAnsi="Times New Roman" w:cs="Times New Roman"/>
          <w:kern w:val="0"/>
          <w:sz w:val="24"/>
          <w:szCs w:val="24"/>
          <w:lang w:eastAsia="ro-MD"/>
          <w14:ligatures w14:val="none"/>
        </w:rPr>
        <w:t xml:space="preserve"> – achiziții rezultate din activitățile zilnice de muncă, viață familială sau timp liber. Competențele dobândite pot fi validate prin mecanismele de recunoaștere a învățării anterioare (NFIL).</w:t>
      </w:r>
    </w:p>
    <w:p w14:paraId="5590ADF3" w14:textId="6E23479E" w:rsidR="00861854" w:rsidRPr="0020102C" w:rsidRDefault="005F6FAB"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Cadru legislativ și instituțional</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00861854" w:rsidRPr="0020102C">
        <w:rPr>
          <w:rFonts w:ascii="Times New Roman" w:eastAsia="Times New Roman" w:hAnsi="Times New Roman" w:cs="Times New Roman"/>
          <w:kern w:val="0"/>
          <w:sz w:val="24"/>
          <w:szCs w:val="24"/>
          <w:lang w:eastAsia="ro-MD"/>
          <w14:ligatures w14:val="none"/>
        </w:rPr>
        <w:t>În 2023, Guvernul Republicii Moldova a aprobat Strategia „Educația 2030”, care oferă direcția de dezvoltare a sistemului educațional până în 2030. Documentul prevede:</w:t>
      </w:r>
    </w:p>
    <w:p w14:paraId="2A6E17F3" w14:textId="77777777" w:rsidR="00861854" w:rsidRPr="0020102C" w:rsidRDefault="00861854" w:rsidP="00A41843">
      <w:pPr>
        <w:numPr>
          <w:ilvl w:val="0"/>
          <w:numId w:val="6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îmbunătățirea calității educației prin digitalizare și cadre didactice calificate;</w:t>
      </w:r>
    </w:p>
    <w:p w14:paraId="5C99827E" w14:textId="77777777" w:rsidR="00861854" w:rsidRPr="0020102C" w:rsidRDefault="00861854" w:rsidP="00A41843">
      <w:pPr>
        <w:numPr>
          <w:ilvl w:val="0"/>
          <w:numId w:val="6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conectarea educației cu piața muncii;</w:t>
      </w:r>
    </w:p>
    <w:p w14:paraId="083004FA" w14:textId="77777777" w:rsidR="00861854" w:rsidRPr="0020102C" w:rsidRDefault="00861854" w:rsidP="00A41843">
      <w:pPr>
        <w:numPr>
          <w:ilvl w:val="0"/>
          <w:numId w:val="6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diversificarea serviciilor de formare continuă pentru adulți, inclusiv prin centre de educație nonformală dezvoltate în parteneriat cu sectorul privat;</w:t>
      </w:r>
    </w:p>
    <w:p w14:paraId="353B9F32" w14:textId="77777777" w:rsidR="00861854" w:rsidRPr="0020102C" w:rsidRDefault="00861854" w:rsidP="00A41843">
      <w:pPr>
        <w:numPr>
          <w:ilvl w:val="0"/>
          <w:numId w:val="6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promovarea incluziunii educaționale pentru grupuri vulnerabile;</w:t>
      </w:r>
    </w:p>
    <w:p w14:paraId="4B5719BB" w14:textId="77777777" w:rsidR="00861854" w:rsidRPr="0020102C" w:rsidRDefault="00861854" w:rsidP="00A41843">
      <w:pPr>
        <w:numPr>
          <w:ilvl w:val="0"/>
          <w:numId w:val="6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sprijinirea carierei didactice.</w:t>
      </w:r>
    </w:p>
    <w:p w14:paraId="7A959F13" w14:textId="77777777" w:rsidR="00297A5F" w:rsidRPr="0020102C" w:rsidRDefault="0086185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Strategia confirmă învățarea pe tot parcursul vieții ca prioritate strategică, corelată cu obiectivele de integrare europeană.</w:t>
      </w:r>
    </w:p>
    <w:p w14:paraId="24A1AE1A" w14:textId="66EF04BC" w:rsidR="00861854" w:rsidRPr="0020102C" w:rsidRDefault="0086185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La nivel normativ, cadrul a fost consolidat prin:</w:t>
      </w:r>
    </w:p>
    <w:p w14:paraId="69A0F1D6" w14:textId="5FB4FFCF" w:rsidR="00861854" w:rsidRPr="0020102C" w:rsidRDefault="00861854" w:rsidP="0041118E">
      <w:pPr>
        <w:pStyle w:val="a7"/>
        <w:numPr>
          <w:ilvl w:val="0"/>
          <w:numId w:val="6"/>
        </w:numPr>
        <w:spacing w:before="120" w:after="120" w:line="276" w:lineRule="auto"/>
        <w:contextualSpacing w:val="0"/>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HG nr. 222/2024 care stabilește Regulamentul educației adulților, definind tipurile de programe, furnizorii acreditați și mecanismele de monitorizare, în concordanță cu CNC și standardele europene;</w:t>
      </w:r>
    </w:p>
    <w:p w14:paraId="70B35CEE" w14:textId="19DA145A" w:rsidR="00861854" w:rsidRPr="0020102C" w:rsidRDefault="00861854" w:rsidP="0041118E">
      <w:pPr>
        <w:pStyle w:val="a7"/>
        <w:numPr>
          <w:ilvl w:val="0"/>
          <w:numId w:val="6"/>
        </w:numPr>
        <w:spacing w:before="120" w:after="120" w:line="276" w:lineRule="auto"/>
        <w:contextualSpacing w:val="0"/>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Ordinul MEC nr. 785/2024 – introduce cadrul pentru microcalificări (micro-credentials) ca instrumente flexibile de formare, pentru răspuns rapid la penuria de competențe și la nevoile pieței muncii;</w:t>
      </w:r>
    </w:p>
    <w:p w14:paraId="6F5B9BEF" w14:textId="780C550A" w:rsidR="00637BEA" w:rsidRPr="00BB38B5" w:rsidRDefault="00637BEA" w:rsidP="00637BEA">
      <w:pPr>
        <w:pStyle w:val="a7"/>
        <w:numPr>
          <w:ilvl w:val="0"/>
          <w:numId w:val="6"/>
        </w:numPr>
        <w:spacing w:before="120" w:after="120" w:line="276" w:lineRule="auto"/>
        <w:contextualSpacing w:val="0"/>
        <w:jc w:val="both"/>
        <w:rPr>
          <w:rFonts w:ascii="Times New Roman" w:eastAsia="Times New Roman" w:hAnsi="Times New Roman" w:cs="Times New Roman"/>
          <w:kern w:val="0"/>
          <w:sz w:val="24"/>
          <w:szCs w:val="24"/>
          <w:lang w:val="it-IT"/>
        </w:rPr>
      </w:pPr>
      <w:r w:rsidRPr="00BB38B5">
        <w:rPr>
          <w:rFonts w:ascii="Times New Roman" w:eastAsia="Times New Roman" w:hAnsi="Times New Roman" w:cs="Times New Roman"/>
          <w:kern w:val="0"/>
          <w:sz w:val="24"/>
          <w:szCs w:val="24"/>
          <w:lang w:val="it-IT"/>
        </w:rPr>
        <w:t>Ordinul MEC nr. 1019/2023 – reglementează mecanismul privind organizarea și desfășurarea formării profesionale continue pentru personalul academic universitar</w:t>
      </w:r>
      <w:r w:rsidR="00BB38B5" w:rsidRPr="00BB38B5">
        <w:rPr>
          <w:rFonts w:ascii="Times New Roman" w:eastAsia="Times New Roman" w:hAnsi="Times New Roman" w:cs="Times New Roman"/>
          <w:kern w:val="0"/>
          <w:sz w:val="24"/>
          <w:szCs w:val="24"/>
          <w:lang w:val="it-IT"/>
        </w:rPr>
        <w:t xml:space="preserve"> (</w:t>
      </w:r>
      <w:hyperlink r:id="rId14" w:history="1">
        <w:r w:rsidR="00BB38B5" w:rsidRPr="00520E62">
          <w:rPr>
            <w:rStyle w:val="aff0"/>
            <w:rFonts w:ascii="Times New Roman" w:eastAsia="Times New Roman" w:hAnsi="Times New Roman" w:cs="Times New Roman"/>
            <w:kern w:val="0"/>
            <w:sz w:val="24"/>
            <w:szCs w:val="24"/>
            <w:lang w:val="it-IT"/>
          </w:rPr>
          <w:t>link</w:t>
        </w:r>
      </w:hyperlink>
      <w:r w:rsidR="00BB38B5" w:rsidRPr="00BB38B5">
        <w:rPr>
          <w:rFonts w:ascii="Times New Roman" w:eastAsia="Times New Roman" w:hAnsi="Times New Roman" w:cs="Times New Roman"/>
          <w:kern w:val="0"/>
          <w:sz w:val="24"/>
          <w:szCs w:val="24"/>
          <w:lang w:val="it-IT"/>
        </w:rPr>
        <w:t>)</w:t>
      </w:r>
      <w:r w:rsidRPr="00BB38B5">
        <w:rPr>
          <w:rFonts w:ascii="Times New Roman" w:eastAsia="Times New Roman" w:hAnsi="Times New Roman" w:cs="Times New Roman"/>
          <w:kern w:val="0"/>
          <w:sz w:val="24"/>
          <w:szCs w:val="24"/>
          <w:lang w:val="it-IT"/>
        </w:rPr>
        <w:t>;</w:t>
      </w:r>
    </w:p>
    <w:p w14:paraId="1544E2E4" w14:textId="2506BACA" w:rsidR="00771C06" w:rsidRPr="00146F14" w:rsidRDefault="00771C06" w:rsidP="00771C06">
      <w:pPr>
        <w:pStyle w:val="a7"/>
        <w:numPr>
          <w:ilvl w:val="0"/>
          <w:numId w:val="6"/>
        </w:numPr>
        <w:spacing w:before="120" w:after="120" w:line="276" w:lineRule="auto"/>
        <w:contextualSpacing w:val="0"/>
        <w:jc w:val="both"/>
        <w:rPr>
          <w:rFonts w:ascii="Times New Roman" w:eastAsia="Times New Roman" w:hAnsi="Times New Roman" w:cs="Times New Roman"/>
          <w:kern w:val="0"/>
          <w:sz w:val="24"/>
          <w:szCs w:val="24"/>
          <w:lang w:eastAsia="ro-MD"/>
          <w14:ligatures w14:val="none"/>
        </w:rPr>
      </w:pPr>
      <w:r w:rsidRPr="007D34B9">
        <w:rPr>
          <w:rFonts w:ascii="Times New Roman" w:eastAsia="Times New Roman" w:hAnsi="Times New Roman" w:cs="Times New Roman"/>
          <w:kern w:val="0"/>
          <w:sz w:val="24"/>
          <w:szCs w:val="24"/>
          <w:lang w:eastAsia="ro-MD"/>
          <w14:ligatures w14:val="none"/>
        </w:rPr>
        <w:lastRenderedPageBreak/>
        <w:t>Ordin nr. 1021</w:t>
      </w:r>
      <w:r>
        <w:rPr>
          <w:rFonts w:ascii="Times New Roman" w:eastAsia="Times New Roman" w:hAnsi="Times New Roman" w:cs="Times New Roman"/>
          <w:kern w:val="0"/>
          <w:sz w:val="24"/>
          <w:szCs w:val="24"/>
          <w:lang w:eastAsia="ro-MD"/>
          <w14:ligatures w14:val="none"/>
        </w:rPr>
        <w:t>/</w:t>
      </w:r>
      <w:r w:rsidRPr="007D34B9">
        <w:rPr>
          <w:rFonts w:ascii="Times New Roman" w:eastAsia="Times New Roman" w:hAnsi="Times New Roman" w:cs="Times New Roman"/>
          <w:kern w:val="0"/>
          <w:sz w:val="24"/>
          <w:szCs w:val="24"/>
          <w:lang w:eastAsia="ro-MD"/>
          <w14:ligatures w14:val="none"/>
        </w:rPr>
        <w:t>2023, Cu privire la aprobarea Regulamentului privind certificarea competențelor profesionale corespunzătoare calificărilor de nivel 6 din Cadrul Național al Calificărilor, dobândite în contexte de educație nonformală și informală</w:t>
      </w:r>
    </w:p>
    <w:p w14:paraId="4935EFE9" w14:textId="38D66DF3" w:rsidR="005F6FAB" w:rsidRPr="0020102C" w:rsidRDefault="00861854" w:rsidP="0041118E">
      <w:pPr>
        <w:pStyle w:val="a7"/>
        <w:numPr>
          <w:ilvl w:val="0"/>
          <w:numId w:val="6"/>
        </w:numPr>
        <w:spacing w:before="120" w:after="120" w:line="276" w:lineRule="auto"/>
        <w:contextualSpacing w:val="0"/>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Ordinul MEC nr. 885/2022 – reglementează mecanismele de validare a învățării nonformale și informale (NFIL).</w:t>
      </w:r>
    </w:p>
    <w:p w14:paraId="6AD0AC29" w14:textId="77777777" w:rsidR="00451EE0" w:rsidRPr="0020102C" w:rsidRDefault="00451EE0" w:rsidP="00D10FE6">
      <w:pPr>
        <w:pStyle w:val="af8"/>
        <w:spacing w:before="120" w:beforeAutospacing="0" w:after="120" w:afterAutospacing="0" w:line="276" w:lineRule="auto"/>
        <w:jc w:val="both"/>
      </w:pPr>
      <w:r w:rsidRPr="0020102C">
        <w:t>Rolurile instituționale sunt împărțite între:</w:t>
      </w:r>
    </w:p>
    <w:p w14:paraId="626990E9" w14:textId="3C01B2F8" w:rsidR="00451EE0" w:rsidRPr="0020102C" w:rsidRDefault="00451EE0" w:rsidP="00A41843">
      <w:pPr>
        <w:pStyle w:val="af8"/>
        <w:numPr>
          <w:ilvl w:val="0"/>
          <w:numId w:val="63"/>
        </w:numPr>
        <w:spacing w:before="120" w:beforeAutospacing="0" w:after="120" w:afterAutospacing="0" w:line="276" w:lineRule="auto"/>
        <w:jc w:val="both"/>
      </w:pPr>
      <w:r w:rsidRPr="0020102C">
        <w:rPr>
          <w:rStyle w:val="af9"/>
          <w:rFonts w:eastAsiaTheme="majorEastAsia"/>
        </w:rPr>
        <w:t>MEC</w:t>
      </w:r>
      <w:r w:rsidRPr="0020102C">
        <w:t xml:space="preserve"> – coordonare de politici, elaborarea planurilor-cadru și aprobarea programelor;</w:t>
      </w:r>
    </w:p>
    <w:p w14:paraId="06E929C4" w14:textId="7254D1D7" w:rsidR="00451EE0" w:rsidRPr="0020102C" w:rsidRDefault="00451EE0" w:rsidP="00A41843">
      <w:pPr>
        <w:pStyle w:val="af8"/>
        <w:numPr>
          <w:ilvl w:val="0"/>
          <w:numId w:val="63"/>
        </w:numPr>
        <w:spacing w:before="120" w:beforeAutospacing="0" w:after="120" w:afterAutospacing="0" w:line="276" w:lineRule="auto"/>
        <w:jc w:val="both"/>
      </w:pPr>
      <w:r w:rsidRPr="0020102C">
        <w:rPr>
          <w:rStyle w:val="af9"/>
          <w:rFonts w:eastAsiaTheme="majorEastAsia"/>
        </w:rPr>
        <w:t>ANACEC</w:t>
      </w:r>
      <w:r w:rsidRPr="0020102C">
        <w:t xml:space="preserve"> – evaluarea externă și acreditarea furnizorilor și programelor;</w:t>
      </w:r>
    </w:p>
    <w:p w14:paraId="39F405FE" w14:textId="77777777" w:rsidR="00451EE0" w:rsidRPr="0020102C" w:rsidRDefault="00451EE0" w:rsidP="00A41843">
      <w:pPr>
        <w:pStyle w:val="af8"/>
        <w:numPr>
          <w:ilvl w:val="0"/>
          <w:numId w:val="63"/>
        </w:numPr>
        <w:spacing w:before="120" w:beforeAutospacing="0" w:after="120" w:afterAutospacing="0" w:line="276" w:lineRule="auto"/>
        <w:jc w:val="both"/>
      </w:pPr>
      <w:r w:rsidRPr="0020102C">
        <w:rPr>
          <w:rStyle w:val="af9"/>
          <w:rFonts w:eastAsiaTheme="majorEastAsia"/>
        </w:rPr>
        <w:t>CTICE</w:t>
      </w:r>
      <w:r w:rsidRPr="0020102C">
        <w:t xml:space="preserve"> – eliberarea documentelor oficiale de certificare pentru absolvenții programelor formale de formare a adulților.</w:t>
      </w:r>
    </w:p>
    <w:p w14:paraId="2D05725F" w14:textId="421A7E3F" w:rsidR="00861854" w:rsidRPr="0020102C" w:rsidRDefault="00861854"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Proiecte și parteneriate internaționale</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Republica Moldova beneficiază de sprijin internațional pentru implementarea politicilor LLL:</w:t>
      </w:r>
    </w:p>
    <w:p w14:paraId="45018080" w14:textId="738376E8" w:rsidR="00861854" w:rsidRPr="0020102C" w:rsidRDefault="00861854" w:rsidP="00A41843">
      <w:pPr>
        <w:numPr>
          <w:ilvl w:val="0"/>
          <w:numId w:val="6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Proiectul PNUD și UNICEF „Promovarea educației de calitate și a oportunităților de învățare pe parcursul vieții pentru toți” (2024–2027), finanțat de Uniunea Europeană (12 milioane USD). Acesta vizează modernizarea infrastructurii școlare (10 școli model cu echipamente STEAM), dezvoltarea competențelor digitale ale profesorilor și crearea de oportunități de învățare adaptate pieței muncii.</w:t>
      </w:r>
    </w:p>
    <w:p w14:paraId="65AB8E1B" w14:textId="77777777" w:rsidR="00861854" w:rsidRPr="0020102C" w:rsidRDefault="00861854" w:rsidP="00A41843">
      <w:pPr>
        <w:numPr>
          <w:ilvl w:val="0"/>
          <w:numId w:val="6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Parteneriatul MEC cu DVV Internațional (din 2016) – promovează educația adulților prin crearea de centre de educație a adulților, organizarea de seminare și familiarizarea cu bune practici europene.</w:t>
      </w:r>
    </w:p>
    <w:p w14:paraId="01779953" w14:textId="40A83EA1" w:rsidR="00861854" w:rsidRPr="0020102C" w:rsidRDefault="00861854" w:rsidP="00A41843">
      <w:pPr>
        <w:numPr>
          <w:ilvl w:val="0"/>
          <w:numId w:val="6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Dialogul regional Moldova</w:t>
      </w:r>
      <w:r w:rsidR="008C1C3F">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Ucraina (2023) – atelier pentru preluarea bunelor practici și îmbunătățirea cadrului normativ național în contextul integrării europene.</w:t>
      </w:r>
    </w:p>
    <w:p w14:paraId="7D329615" w14:textId="0FC5B396" w:rsidR="005F6FAB" w:rsidRPr="0020102C" w:rsidRDefault="005F6FAB"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Dimensiunea participării</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În prezent, participarea adulților la educație și formare este sub 10%, conform datelor Biroului Național de Statistică (2023) și World Bank. Aceasta plasează Republica Moldova sub media Uniunii Europene (~11% în 2022, conform Eurostat – Adult Education Survey). Totodată, există disparități majore între zonele urbane și rurale, precum și între grupurile vulnerabile (șomeri, persoane cu dizabilități, adulți din gospodării </w:t>
      </w:r>
      <w:r w:rsidR="00A116D6" w:rsidRPr="00A116D6">
        <w:rPr>
          <w:rFonts w:ascii="Times New Roman" w:eastAsia="Times New Roman" w:hAnsi="Times New Roman" w:cs="Times New Roman"/>
          <w:kern w:val="0"/>
          <w:sz w:val="24"/>
          <w:szCs w:val="24"/>
          <w14:ligatures w14:val="none"/>
        </w:rPr>
        <w:t>cu venituri reduse</w:t>
      </w:r>
      <w:r w:rsidRPr="0020102C">
        <w:rPr>
          <w:rFonts w:ascii="Times New Roman" w:eastAsia="Times New Roman" w:hAnsi="Times New Roman" w:cs="Times New Roman"/>
          <w:kern w:val="0"/>
          <w:sz w:val="24"/>
          <w:szCs w:val="24"/>
          <w:lang w:eastAsia="ro-MD"/>
          <w14:ligatures w14:val="none"/>
        </w:rPr>
        <w:t>).</w:t>
      </w:r>
    </w:p>
    <w:p w14:paraId="18B496A6" w14:textId="65942A08"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Strategiile recente, inclusiv Programul Național de Dezvoltare a Resurselor Umane (2021–2025) și Strategia de educație digitală 2023–2030, acordă o atenție specială extinderii accesului la </w:t>
      </w:r>
      <w:r w:rsidR="001B0D2B">
        <w:rPr>
          <w:rFonts w:ascii="Times New Roman" w:eastAsia="Times New Roman" w:hAnsi="Times New Roman" w:cs="Times New Roman"/>
          <w:kern w:val="0"/>
          <w:sz w:val="24"/>
          <w:szCs w:val="24"/>
          <w:lang w:eastAsia="ro-MD"/>
          <w14:ligatures w14:val="none"/>
        </w:rPr>
        <w:t>învățarea pe tot parcursul vieții (LLL)</w:t>
      </w:r>
      <w:r w:rsidRPr="0020102C">
        <w:rPr>
          <w:rFonts w:ascii="Times New Roman" w:eastAsia="Times New Roman" w:hAnsi="Times New Roman" w:cs="Times New Roman"/>
          <w:kern w:val="0"/>
          <w:sz w:val="24"/>
          <w:szCs w:val="24"/>
          <w:lang w:eastAsia="ro-MD"/>
          <w14:ligatures w14:val="none"/>
        </w:rPr>
        <w:t>, inclusiv prin digitalizare și formare modulară.</w:t>
      </w:r>
    </w:p>
    <w:p w14:paraId="2D22833A" w14:textId="7E1A72F4" w:rsidR="005F6FAB" w:rsidRPr="0020102C" w:rsidRDefault="005F6FAB"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Orientare spre competențe și incluziune</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006C6865" w:rsidRPr="006C6865">
        <w:rPr>
          <w:rFonts w:ascii="Times New Roman" w:eastAsia="Times New Roman" w:hAnsi="Times New Roman" w:cs="Times New Roman"/>
          <w:kern w:val="0"/>
          <w:sz w:val="24"/>
          <w:szCs w:val="24"/>
          <w:lang w:eastAsia="ro-MD"/>
          <w14:ligatures w14:val="none"/>
        </w:rPr>
        <w:t>procesul de</w:t>
      </w:r>
      <w:r w:rsidR="006C6865" w:rsidRPr="006C6865">
        <w:rPr>
          <w:rFonts w:ascii="Times New Roman" w:eastAsia="Times New Roman" w:hAnsi="Times New Roman" w:cs="Times New Roman"/>
          <w:b/>
          <w:bCs/>
          <w:kern w:val="0"/>
          <w:sz w:val="24"/>
          <w:szCs w:val="24"/>
          <w:lang w:eastAsia="ro-MD"/>
          <w14:ligatures w14:val="none"/>
        </w:rPr>
        <w:t xml:space="preserve"> </w:t>
      </w:r>
      <w:r w:rsidR="006C6865">
        <w:rPr>
          <w:rFonts w:ascii="Times New Roman" w:eastAsia="Times New Roman" w:hAnsi="Times New Roman" w:cs="Times New Roman"/>
          <w:kern w:val="0"/>
          <w:sz w:val="24"/>
          <w:szCs w:val="24"/>
          <w:lang w:eastAsia="ro-MD"/>
          <w14:ligatures w14:val="none"/>
        </w:rPr>
        <w:t>învățare pe tot parcursul vieții</w:t>
      </w:r>
      <w:r w:rsidRPr="0020102C">
        <w:rPr>
          <w:rFonts w:ascii="Times New Roman" w:eastAsia="Times New Roman" w:hAnsi="Times New Roman" w:cs="Times New Roman"/>
          <w:kern w:val="0"/>
          <w:sz w:val="24"/>
          <w:szCs w:val="24"/>
          <w:lang w:eastAsia="ro-MD"/>
          <w14:ligatures w14:val="none"/>
        </w:rPr>
        <w:t xml:space="preserve"> este structurat pe baza standardelor ocupaționale și a standardelor de calificare, ceea ce asigură relevanța pentru piața muncii. Educația adulților include diverse tipuri de programe: perfecționare, recalificare, specializare, precum și calificări parțiale/microcalificări</w:t>
      </w:r>
      <w:r w:rsidR="00CE1418">
        <w:rPr>
          <w:rFonts w:ascii="Times New Roman" w:eastAsia="Times New Roman" w:hAnsi="Times New Roman" w:cs="Times New Roman"/>
          <w:kern w:val="0"/>
          <w:sz w:val="24"/>
          <w:szCs w:val="24"/>
          <w:lang w:eastAsia="ro-MD"/>
          <w14:ligatures w14:val="none"/>
        </w:rPr>
        <w:t>.</w:t>
      </w:r>
    </w:p>
    <w:p w14:paraId="20111CF7" w14:textId="77777777"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Un element de inovație este integrarea mecanismelor de validare a învățării nonformale și informale (NFIL), reglementată prin Ordinul MEC nr. 885/2022. Astfel, adulții pot obține recunoaștere formală pentru competențele acumulate în muncă sau în viața de zi cu zi, fără a parcurge un program complet de formare.</w:t>
      </w:r>
    </w:p>
    <w:p w14:paraId="1500E509" w14:textId="17D12021"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Conexiunea cu CNC și EQF</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Învățarea pe tot parcursul vieții este direct conectată la CNC prin programe structurate pe niveluri (de la 1 la </w:t>
      </w:r>
      <w:r w:rsidR="00FC5818">
        <w:rPr>
          <w:rFonts w:ascii="Times New Roman" w:eastAsia="Times New Roman" w:hAnsi="Times New Roman" w:cs="Times New Roman"/>
          <w:kern w:val="0"/>
          <w:sz w:val="24"/>
          <w:szCs w:val="24"/>
          <w:lang w:eastAsia="ro-MD"/>
          <w14:ligatures w14:val="none"/>
        </w:rPr>
        <w:t>7</w:t>
      </w:r>
      <w:r w:rsidRPr="0020102C">
        <w:rPr>
          <w:rFonts w:ascii="Times New Roman" w:eastAsia="Times New Roman" w:hAnsi="Times New Roman" w:cs="Times New Roman"/>
          <w:kern w:val="0"/>
          <w:sz w:val="24"/>
          <w:szCs w:val="24"/>
          <w:lang w:eastAsia="ro-MD"/>
          <w14:ligatures w14:val="none"/>
        </w:rPr>
        <w:t xml:space="preserve">), dar și prin instrumente de flexibilitate (NFIL, microcalificări). </w:t>
      </w:r>
      <w:r w:rsidRPr="0020102C">
        <w:rPr>
          <w:rFonts w:ascii="Times New Roman" w:eastAsia="Times New Roman" w:hAnsi="Times New Roman" w:cs="Times New Roman"/>
          <w:kern w:val="0"/>
          <w:sz w:val="24"/>
          <w:szCs w:val="24"/>
          <w:lang w:eastAsia="ro-MD"/>
          <w14:ligatures w14:val="none"/>
        </w:rPr>
        <w:lastRenderedPageBreak/>
        <w:t xml:space="preserve">Corelarea cu </w:t>
      </w:r>
      <w:r w:rsidRPr="00CE1418">
        <w:rPr>
          <w:rFonts w:ascii="Times New Roman" w:eastAsia="Times New Roman" w:hAnsi="Times New Roman" w:cs="Times New Roman"/>
          <w:kern w:val="0"/>
          <w:sz w:val="24"/>
          <w:szCs w:val="24"/>
          <w:lang w:eastAsia="ro-MD"/>
          <w14:ligatures w14:val="none"/>
        </w:rPr>
        <w:t xml:space="preserve">EQF </w:t>
      </w:r>
      <w:r w:rsidRPr="0020102C">
        <w:rPr>
          <w:rFonts w:ascii="Times New Roman" w:eastAsia="Times New Roman" w:hAnsi="Times New Roman" w:cs="Times New Roman"/>
          <w:kern w:val="0"/>
          <w:sz w:val="24"/>
          <w:szCs w:val="24"/>
          <w:lang w:eastAsia="ro-MD"/>
          <w14:ligatures w14:val="none"/>
        </w:rPr>
        <w:t>asigură recunoașterea europeană a rezultatelor învățării și sprijină mobilitatea profesională.</w:t>
      </w:r>
    </w:p>
    <w:p w14:paraId="071E3692" w14:textId="214AF980"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Provocări și perspective</w:t>
      </w:r>
      <w:r w:rsidR="00297A5F" w:rsidRPr="001F6026">
        <w:rPr>
          <w:rFonts w:ascii="Times New Roman" w:eastAsia="Times New Roman" w:hAnsi="Times New Roman" w:cs="Times New Roman"/>
          <w:b/>
          <w:bCs/>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Deși cadrul legislativ este acum bine conturat, principalele provocări rămân:</w:t>
      </w:r>
    </w:p>
    <w:p w14:paraId="2D2035E3" w14:textId="77777777" w:rsidR="005F6FAB" w:rsidRPr="0020102C" w:rsidRDefault="005F6FAB" w:rsidP="00A41843">
      <w:pPr>
        <w:numPr>
          <w:ilvl w:val="0"/>
          <w:numId w:val="5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nivelul scăzut de participare a adulților;</w:t>
      </w:r>
    </w:p>
    <w:p w14:paraId="47C01DCE" w14:textId="77777777" w:rsidR="005F6FAB" w:rsidRPr="0020102C" w:rsidRDefault="005F6FAB" w:rsidP="00A41843">
      <w:pPr>
        <w:numPr>
          <w:ilvl w:val="0"/>
          <w:numId w:val="5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lipsa de cultură a învățării continue la nivelul populației adulte;</w:t>
      </w:r>
    </w:p>
    <w:p w14:paraId="30444798" w14:textId="77777777" w:rsidR="005F6FAB" w:rsidRPr="0020102C" w:rsidRDefault="005F6FAB" w:rsidP="00A41843">
      <w:pPr>
        <w:numPr>
          <w:ilvl w:val="0"/>
          <w:numId w:val="5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capacitatea redusă a furnizorilor regionali de a dezvolta programe flexibile și atractive;</w:t>
      </w:r>
    </w:p>
    <w:p w14:paraId="467B714D" w14:textId="77777777" w:rsidR="005F6FAB" w:rsidRPr="0020102C" w:rsidRDefault="005F6FAB" w:rsidP="00A41843">
      <w:pPr>
        <w:numPr>
          <w:ilvl w:val="0"/>
          <w:numId w:val="5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integrarea insuficientă a competențelor digitale în ofertele educaționale.</w:t>
      </w:r>
    </w:p>
    <w:p w14:paraId="08B68412" w14:textId="7C6A08CA" w:rsidR="005F6FAB" w:rsidRPr="0020102C" w:rsidRDefault="005F6FAB"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Pe termen mediu, implementarea HG 222/2024 și operaționalizarea completă a microcalificărilor ar putea impulsiona </w:t>
      </w:r>
      <w:r w:rsidR="00CB7BE8" w:rsidRPr="00006D96">
        <w:rPr>
          <w:rFonts w:ascii="Times New Roman" w:eastAsia="Times New Roman" w:hAnsi="Times New Roman" w:cs="Times New Roman"/>
          <w:kern w:val="0"/>
          <w:sz w:val="24"/>
          <w:szCs w:val="24"/>
          <w14:ligatures w14:val="none"/>
        </w:rPr>
        <w:t>participarea</w:t>
      </w:r>
      <w:r w:rsidR="00CB7BE8">
        <w:rPr>
          <w:rFonts w:ascii="Times New Roman" w:eastAsia="Times New Roman" w:hAnsi="Times New Roman" w:cs="Times New Roman"/>
          <w:kern w:val="0"/>
          <w:sz w:val="24"/>
          <w:szCs w:val="24"/>
          <w14:ligatures w14:val="none"/>
        </w:rPr>
        <w:t xml:space="preserve"> </w:t>
      </w:r>
      <w:r w:rsidR="00CB7BE8" w:rsidRPr="005F2F32">
        <w:rPr>
          <w:rFonts w:ascii="Times New Roman" w:eastAsia="Times New Roman" w:hAnsi="Times New Roman" w:cs="Times New Roman"/>
          <w:kern w:val="0"/>
          <w:sz w:val="24"/>
          <w:szCs w:val="24"/>
          <w14:ligatures w14:val="none"/>
        </w:rPr>
        <w:t>adulților la programe de formare continu</w:t>
      </w:r>
      <w:r w:rsidR="00CB7BE8">
        <w:rPr>
          <w:rFonts w:ascii="Times New Roman" w:eastAsia="Times New Roman" w:hAnsi="Times New Roman" w:cs="Times New Roman"/>
          <w:kern w:val="0"/>
          <w:sz w:val="24"/>
          <w:szCs w:val="24"/>
          <w14:ligatures w14:val="none"/>
        </w:rPr>
        <w:t>ă</w:t>
      </w:r>
      <w:r w:rsidRPr="0020102C">
        <w:rPr>
          <w:rFonts w:ascii="Times New Roman" w:eastAsia="Times New Roman" w:hAnsi="Times New Roman" w:cs="Times New Roman"/>
          <w:kern w:val="0"/>
          <w:sz w:val="24"/>
          <w:szCs w:val="24"/>
          <w:lang w:eastAsia="ro-MD"/>
          <w14:ligatures w14:val="none"/>
        </w:rPr>
        <w:t xml:space="preserve">. Totodată, corelarea cu inițiativele europene (Europass, EQF portal, Upskilling Pathways) va facilita integrarea </w:t>
      </w:r>
      <w:r w:rsidR="00CB7BE8">
        <w:rPr>
          <w:rFonts w:ascii="Times New Roman" w:eastAsia="Times New Roman" w:hAnsi="Times New Roman" w:cs="Times New Roman"/>
          <w:kern w:val="0"/>
          <w:sz w:val="24"/>
          <w:szCs w:val="24"/>
          <w:lang w:eastAsia="ro-MD"/>
          <w14:ligatures w14:val="none"/>
        </w:rPr>
        <w:t xml:space="preserve">Republicii </w:t>
      </w:r>
      <w:r w:rsidRPr="0020102C">
        <w:rPr>
          <w:rFonts w:ascii="Times New Roman" w:eastAsia="Times New Roman" w:hAnsi="Times New Roman" w:cs="Times New Roman"/>
          <w:kern w:val="0"/>
          <w:sz w:val="24"/>
          <w:szCs w:val="24"/>
          <w:lang w:eastAsia="ro-MD"/>
          <w14:ligatures w14:val="none"/>
        </w:rPr>
        <w:t>Moldov</w:t>
      </w:r>
      <w:r w:rsidR="00CB7BE8">
        <w:rPr>
          <w:rFonts w:ascii="Times New Roman" w:eastAsia="Times New Roman" w:hAnsi="Times New Roman" w:cs="Times New Roman"/>
          <w:kern w:val="0"/>
          <w:sz w:val="24"/>
          <w:szCs w:val="24"/>
          <w:lang w:eastAsia="ro-MD"/>
          <w14:ligatures w14:val="none"/>
        </w:rPr>
        <w:t>a</w:t>
      </w:r>
      <w:r w:rsidRPr="0020102C">
        <w:rPr>
          <w:rFonts w:ascii="Times New Roman" w:eastAsia="Times New Roman" w:hAnsi="Times New Roman" w:cs="Times New Roman"/>
          <w:kern w:val="0"/>
          <w:sz w:val="24"/>
          <w:szCs w:val="24"/>
          <w:lang w:eastAsia="ro-MD"/>
          <w14:ligatures w14:val="none"/>
        </w:rPr>
        <w:t xml:space="preserve"> în spațiul european al educației și formării.</w:t>
      </w:r>
    </w:p>
    <w:p w14:paraId="64B288A9" w14:textId="27462143" w:rsidR="00297A5F" w:rsidRPr="0020102C" w:rsidRDefault="00297A5F" w:rsidP="00D10FE6">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Astfel, perspectivele de dezvoltare se bazează pe:</w:t>
      </w:r>
    </w:p>
    <w:p w14:paraId="30319A54" w14:textId="77777777" w:rsidR="00297A5F" w:rsidRPr="0020102C" w:rsidRDefault="00297A5F" w:rsidP="00A41843">
      <w:pPr>
        <w:numPr>
          <w:ilvl w:val="0"/>
          <w:numId w:val="6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implementarea Strategiei „Educația 2030”;</w:t>
      </w:r>
    </w:p>
    <w:p w14:paraId="79FA67AC" w14:textId="77777777" w:rsidR="00297A5F" w:rsidRPr="0020102C" w:rsidRDefault="00297A5F" w:rsidP="00A41843">
      <w:pPr>
        <w:numPr>
          <w:ilvl w:val="0"/>
          <w:numId w:val="6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extinderea programelor reglementate prin HG 222/2024 și </w:t>
      </w:r>
      <w:r w:rsidRPr="00D33CF2">
        <w:rPr>
          <w:rFonts w:ascii="Times New Roman" w:eastAsia="Times New Roman" w:hAnsi="Times New Roman" w:cs="Times New Roman"/>
          <w:kern w:val="0"/>
          <w:sz w:val="24"/>
          <w:szCs w:val="24"/>
          <w:lang w:eastAsia="ro-MD"/>
          <w14:ligatures w14:val="none"/>
        </w:rPr>
        <w:t>Ordinul MEC nr. 785/2024;</w:t>
      </w:r>
    </w:p>
    <w:p w14:paraId="2848E0FA" w14:textId="6D046F57" w:rsidR="00EA7268" w:rsidRPr="0020102C" w:rsidRDefault="00297A5F" w:rsidP="00A41843">
      <w:pPr>
        <w:numPr>
          <w:ilvl w:val="0"/>
          <w:numId w:val="6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intensificarea parteneriatelor internaționale (PNUD, UNICEF, DVV, UE).</w:t>
      </w:r>
    </w:p>
    <w:p w14:paraId="3B126639" w14:textId="77777777" w:rsidR="00654944" w:rsidRPr="001F6026" w:rsidRDefault="00654944"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3.5.2. Organizarea educației adulților</w:t>
      </w:r>
    </w:p>
    <w:p w14:paraId="4BE85F70" w14:textId="77777777" w:rsidR="00654944" w:rsidRPr="0020102C" w:rsidRDefault="0065494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Educația adulților în Republica Moldova este concepută ca parte integrantă a învățării pe tot parcursul vieții, având la bază Codul educației nr. 152/2014 și Hotărârea Guvernului nr. 222/2024 privind aprobarea Regulamentului educației adulților. Acest cadru normativ stabilește principiile generale de funcționare, tipurile de programe, furnizorii autorizați și procedurile de monitorizare și evaluare, în concordanță cu standardele europene.</w:t>
      </w:r>
    </w:p>
    <w:p w14:paraId="2CA23783" w14:textId="77777777" w:rsidR="00654944" w:rsidRPr="0020102C" w:rsidRDefault="0065494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Organizarea educației adulților este structurată pe trei dimensiuni complementare:</w:t>
      </w:r>
    </w:p>
    <w:p w14:paraId="66385EAD" w14:textId="283BA624" w:rsidR="00654944" w:rsidRPr="0020102C" w:rsidRDefault="00654944" w:rsidP="00A41843">
      <w:pPr>
        <w:numPr>
          <w:ilvl w:val="0"/>
          <w:numId w:val="6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Formarea formală – organizată în instituții acreditate (școli profesionale, colegii, centre de excelență, </w:t>
      </w:r>
      <w:r w:rsidRPr="00CE1AB4">
        <w:rPr>
          <w:rFonts w:ascii="Times New Roman" w:eastAsia="Times New Roman" w:hAnsi="Times New Roman" w:cs="Times New Roman"/>
          <w:color w:val="EE0000"/>
          <w:kern w:val="0"/>
          <w:sz w:val="24"/>
          <w:szCs w:val="24"/>
          <w:lang w:eastAsia="ro-MD"/>
          <w14:ligatures w14:val="none"/>
        </w:rPr>
        <w:t>universități</w:t>
      </w:r>
      <w:r w:rsidRPr="0020102C">
        <w:rPr>
          <w:rFonts w:ascii="Times New Roman" w:eastAsia="Times New Roman" w:hAnsi="Times New Roman" w:cs="Times New Roman"/>
          <w:kern w:val="0"/>
          <w:sz w:val="24"/>
          <w:szCs w:val="24"/>
          <w:lang w:eastAsia="ro-MD"/>
          <w14:ligatures w14:val="none"/>
        </w:rPr>
        <w:t xml:space="preserve">, furnizori privați autorizați). Programele sunt concepute pe niveluri CNC și pe ocupații, conform Clasificatorului ocupațiilor din Republica Moldova (CORM 006-2021) și </w:t>
      </w:r>
      <w:r w:rsidR="00C01774" w:rsidRPr="001F6026">
        <w:rPr>
          <w:rFonts w:ascii="Times New Roman" w:eastAsia="Times New Roman" w:hAnsi="Times New Roman" w:cs="Times New Roman"/>
          <w:kern w:val="0"/>
          <w:sz w:val="24"/>
          <w:szCs w:val="24"/>
          <w:lang w:eastAsia="ro-MD"/>
          <w14:ligatures w14:val="none"/>
        </w:rPr>
        <w:t xml:space="preserve">meserii/specialități, conform </w:t>
      </w:r>
      <w:r w:rsidRPr="0020102C">
        <w:rPr>
          <w:rFonts w:ascii="Times New Roman" w:eastAsia="Times New Roman" w:hAnsi="Times New Roman" w:cs="Times New Roman"/>
          <w:kern w:val="0"/>
          <w:sz w:val="24"/>
          <w:szCs w:val="24"/>
          <w:lang w:eastAsia="ro-MD"/>
          <w14:ligatures w14:val="none"/>
        </w:rPr>
        <w:t>nomenclatoarelor naționale. Ele pot include:</w:t>
      </w:r>
    </w:p>
    <w:p w14:paraId="1B94F4A2" w14:textId="77777777" w:rsidR="00654944" w:rsidRPr="0020102C" w:rsidRDefault="00654944" w:rsidP="00A41843">
      <w:pPr>
        <w:numPr>
          <w:ilvl w:val="1"/>
          <w:numId w:val="6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programe de recalificare și specializare (calificări complete),</w:t>
      </w:r>
    </w:p>
    <w:p w14:paraId="3C799FE7" w14:textId="77777777" w:rsidR="00654944" w:rsidRPr="0020102C" w:rsidRDefault="00654944" w:rsidP="00A41843">
      <w:pPr>
        <w:numPr>
          <w:ilvl w:val="1"/>
          <w:numId w:val="6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calificări parțiale și microcalificări, introduse </w:t>
      </w:r>
      <w:r w:rsidRPr="00ED7F6E">
        <w:rPr>
          <w:rFonts w:ascii="Times New Roman" w:eastAsia="Times New Roman" w:hAnsi="Times New Roman" w:cs="Times New Roman"/>
          <w:kern w:val="0"/>
          <w:sz w:val="24"/>
          <w:szCs w:val="24"/>
          <w:lang w:eastAsia="ro-MD"/>
          <w14:ligatures w14:val="none"/>
        </w:rPr>
        <w:t>prin Ordinul MEC nr. 785/2024,</w:t>
      </w:r>
    </w:p>
    <w:p w14:paraId="20F82B79" w14:textId="58D35A68" w:rsidR="00654944" w:rsidRPr="00FF068B" w:rsidRDefault="00654944" w:rsidP="00A41843">
      <w:pPr>
        <w:numPr>
          <w:ilvl w:val="1"/>
          <w:numId w:val="6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cursuri de perfecționare și dezvoltare continuă.</w:t>
      </w:r>
      <w:r w:rsidR="00ED7F6E">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Programele se finalizează cu acte de </w:t>
      </w:r>
      <w:r w:rsidRPr="00FF068B">
        <w:rPr>
          <w:rFonts w:ascii="Times New Roman" w:eastAsia="Times New Roman" w:hAnsi="Times New Roman" w:cs="Times New Roman"/>
          <w:kern w:val="0"/>
          <w:sz w:val="24"/>
          <w:szCs w:val="24"/>
          <w:lang w:eastAsia="ro-MD"/>
          <w14:ligatures w14:val="none"/>
        </w:rPr>
        <w:t>studii oficiale, personalizate de CTICE, ceea ce garantează trasabilitatea și comparabilitatea calificărilor.</w:t>
      </w:r>
      <w:r w:rsidR="00913A0F" w:rsidRPr="00FF068B">
        <w:rPr>
          <w:rFonts w:ascii="Times New Roman" w:eastAsia="Times New Roman" w:hAnsi="Times New Roman" w:cs="Times New Roman"/>
          <w:kern w:val="0"/>
          <w:sz w:val="24"/>
          <w:szCs w:val="24"/>
          <w:lang w:eastAsia="ro-MD"/>
          <w14:ligatures w14:val="none"/>
        </w:rPr>
        <w:t xml:space="preserve"> DE ex. </w:t>
      </w:r>
      <w:r w:rsidR="00913A0F" w:rsidRPr="00FF068B">
        <w:rPr>
          <w:rStyle w:val="cf01"/>
          <w:rFonts w:ascii="Times New Roman" w:hAnsi="Times New Roman" w:cs="Times New Roman"/>
          <w:sz w:val="24"/>
          <w:szCs w:val="24"/>
        </w:rPr>
        <w:t>În cadul Universității Pedagogice de Stat ”Ion Creangă” din Chișinău activează Centrul de Formare Continuă și Leadership CFCL) și Centrul Național de Inovații Digitale în Educație (CNIDE) care desfășoară cursuri de perfecționare și recalificare pentru toate cadrele didactice din țară, dar și de peste hotare. Anual, cca 2000 de cadre didactice participă la aceste cursuri.</w:t>
      </w:r>
    </w:p>
    <w:p w14:paraId="6BA89087" w14:textId="77777777" w:rsidR="00654944" w:rsidRPr="0020102C" w:rsidRDefault="00654944" w:rsidP="00A41843">
      <w:pPr>
        <w:numPr>
          <w:ilvl w:val="0"/>
          <w:numId w:val="6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Educația nonformală – furnizată de ONG-uri, întreprinderi, centre comunitare și prin parteneriate internaționale (ex. centrele de educație a adulților dezvoltate împreună cu DVV Internațional). Aceste activități sunt structurate, au obiective clare de învățare, dar nu urmează neapărat </w:t>
      </w:r>
      <w:r w:rsidRPr="0020102C">
        <w:rPr>
          <w:rFonts w:ascii="Times New Roman" w:eastAsia="Times New Roman" w:hAnsi="Times New Roman" w:cs="Times New Roman"/>
          <w:kern w:val="0"/>
          <w:sz w:val="24"/>
          <w:szCs w:val="24"/>
          <w:lang w:eastAsia="ro-MD"/>
          <w14:ligatures w14:val="none"/>
        </w:rPr>
        <w:lastRenderedPageBreak/>
        <w:t>curriculumul național. Rezultatele sunt atestate prin certificate de participare, care pot fi utilizate ulterior în procesele de validare a învățării anterioare.</w:t>
      </w:r>
    </w:p>
    <w:p w14:paraId="3CBD8780" w14:textId="77777777" w:rsidR="00654944" w:rsidRPr="0020102C" w:rsidRDefault="00654944" w:rsidP="00A41843">
      <w:pPr>
        <w:numPr>
          <w:ilvl w:val="0"/>
          <w:numId w:val="6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Învățarea informală – dobândită în contexte cotidiene, la locul de muncă, în familie sau în comunitate, fără structură instituțională. Competențele acumulate sunt recunoscute prin mecanisme de validare a învățării nonformale și informale, conform Ordinului MEC nr. 885/2022, prin intermediul centrelor de validare autorizate.</w:t>
      </w:r>
    </w:p>
    <w:p w14:paraId="4E040819" w14:textId="4C9C1574" w:rsidR="00654944" w:rsidRPr="0020102C" w:rsidRDefault="0003496F"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F</w:t>
      </w:r>
      <w:r w:rsidR="00654944" w:rsidRPr="0020102C">
        <w:rPr>
          <w:rFonts w:ascii="Times New Roman" w:eastAsia="Times New Roman" w:hAnsi="Times New Roman" w:cs="Times New Roman"/>
          <w:b/>
          <w:bCs/>
          <w:color w:val="3494BA" w:themeColor="accent1"/>
          <w:kern w:val="0"/>
          <w:sz w:val="24"/>
          <w:szCs w:val="24"/>
          <w:lang w:eastAsia="ro-MD"/>
          <w14:ligatures w14:val="none"/>
        </w:rPr>
        <w:t>urnizori</w:t>
      </w:r>
      <w:r w:rsidRPr="0020102C">
        <w:rPr>
          <w:rFonts w:ascii="Times New Roman" w:eastAsia="Times New Roman" w:hAnsi="Times New Roman" w:cs="Times New Roman"/>
          <w:b/>
          <w:bCs/>
          <w:color w:val="3494BA" w:themeColor="accent1"/>
          <w:kern w:val="0"/>
          <w:sz w:val="24"/>
          <w:szCs w:val="24"/>
          <w:lang w:eastAsia="ro-MD"/>
          <w14:ligatures w14:val="none"/>
        </w:rPr>
        <w:t>i</w:t>
      </w:r>
      <w:r w:rsidR="00654944" w:rsidRPr="0020102C">
        <w:rPr>
          <w:rFonts w:ascii="Times New Roman" w:eastAsia="Times New Roman" w:hAnsi="Times New Roman" w:cs="Times New Roman"/>
          <w:b/>
          <w:bCs/>
          <w:color w:val="3494BA" w:themeColor="accent1"/>
          <w:kern w:val="0"/>
          <w:sz w:val="24"/>
          <w:szCs w:val="24"/>
          <w:lang w:eastAsia="ro-MD"/>
          <w14:ligatures w14:val="none"/>
        </w:rPr>
        <w:t xml:space="preserve"> de educație a adulților</w:t>
      </w:r>
      <w:r w:rsidR="00654944" w:rsidRPr="0020102C">
        <w:rPr>
          <w:rFonts w:ascii="Times New Roman" w:eastAsia="Times New Roman" w:hAnsi="Times New Roman" w:cs="Times New Roman"/>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sunt diverși, ceea ce </w:t>
      </w:r>
      <w:r w:rsidR="00654944" w:rsidRPr="0020102C">
        <w:rPr>
          <w:rFonts w:ascii="Times New Roman" w:eastAsia="Times New Roman" w:hAnsi="Times New Roman" w:cs="Times New Roman"/>
          <w:kern w:val="0"/>
          <w:sz w:val="24"/>
          <w:szCs w:val="24"/>
          <w:lang w:eastAsia="ro-MD"/>
          <w14:ligatures w14:val="none"/>
        </w:rPr>
        <w:t>reprezintă o caracteristică importantă a sistemului:</w:t>
      </w:r>
    </w:p>
    <w:p w14:paraId="0BB795AE" w14:textId="18DDB4EB" w:rsidR="00654944" w:rsidRPr="0020102C" w:rsidRDefault="00654944" w:rsidP="00A41843">
      <w:pPr>
        <w:numPr>
          <w:ilvl w:val="0"/>
          <w:numId w:val="6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instituții publice și private din </w:t>
      </w:r>
      <w:r w:rsidR="00356848" w:rsidRPr="0020102C">
        <w:rPr>
          <w:rFonts w:ascii="Times New Roman" w:eastAsia="Times New Roman" w:hAnsi="Times New Roman" w:cs="Times New Roman"/>
          <w:kern w:val="0"/>
          <w:sz w:val="24"/>
          <w:szCs w:val="24"/>
          <w:lang w:eastAsia="ro-MD"/>
          <w14:ligatures w14:val="none"/>
        </w:rPr>
        <w:t>ÎPT</w:t>
      </w:r>
      <w:r w:rsidRPr="0020102C">
        <w:rPr>
          <w:rFonts w:ascii="Times New Roman" w:eastAsia="Times New Roman" w:hAnsi="Times New Roman" w:cs="Times New Roman"/>
          <w:kern w:val="0"/>
          <w:sz w:val="24"/>
          <w:szCs w:val="24"/>
          <w:lang w:eastAsia="ro-MD"/>
          <w14:ligatures w14:val="none"/>
        </w:rPr>
        <w:t xml:space="preserve"> și </w:t>
      </w:r>
      <w:r w:rsidR="00356848" w:rsidRPr="0020102C">
        <w:rPr>
          <w:rFonts w:ascii="Times New Roman" w:eastAsia="Times New Roman" w:hAnsi="Times New Roman" w:cs="Times New Roman"/>
          <w:kern w:val="0"/>
          <w:sz w:val="24"/>
          <w:szCs w:val="24"/>
          <w:lang w:eastAsia="ro-MD"/>
          <w14:ligatures w14:val="none"/>
        </w:rPr>
        <w:t>ÎS</w:t>
      </w:r>
      <w:r w:rsidRPr="0020102C">
        <w:rPr>
          <w:rFonts w:ascii="Times New Roman" w:eastAsia="Times New Roman" w:hAnsi="Times New Roman" w:cs="Times New Roman"/>
          <w:kern w:val="0"/>
          <w:sz w:val="24"/>
          <w:szCs w:val="24"/>
          <w:lang w:eastAsia="ro-MD"/>
          <w14:ligatures w14:val="none"/>
        </w:rPr>
        <w:t>,</w:t>
      </w:r>
    </w:p>
    <w:p w14:paraId="1CF5EB96" w14:textId="597F1807" w:rsidR="00654944" w:rsidRPr="0020102C" w:rsidRDefault="00654944" w:rsidP="00A41843">
      <w:pPr>
        <w:numPr>
          <w:ilvl w:val="0"/>
          <w:numId w:val="6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furnizori acreditați de formare profesională</w:t>
      </w:r>
      <w:r w:rsidR="003C2D99">
        <w:rPr>
          <w:rFonts w:ascii="Times New Roman" w:eastAsia="Times New Roman" w:hAnsi="Times New Roman" w:cs="Times New Roman"/>
          <w:kern w:val="0"/>
          <w:sz w:val="24"/>
          <w:szCs w:val="24"/>
          <w:lang w:eastAsia="ro-MD"/>
          <w14:ligatures w14:val="none"/>
        </w:rPr>
        <w:t xml:space="preserve"> a adulților</w:t>
      </w:r>
      <w:r w:rsidRPr="0020102C">
        <w:rPr>
          <w:rFonts w:ascii="Times New Roman" w:eastAsia="Times New Roman" w:hAnsi="Times New Roman" w:cs="Times New Roman"/>
          <w:kern w:val="0"/>
          <w:sz w:val="24"/>
          <w:szCs w:val="24"/>
          <w:lang w:eastAsia="ro-MD"/>
          <w14:ligatures w14:val="none"/>
        </w:rPr>
        <w:t>,</w:t>
      </w:r>
    </w:p>
    <w:p w14:paraId="215B95E3" w14:textId="77777777" w:rsidR="00654944" w:rsidRPr="0020102C" w:rsidRDefault="00654944" w:rsidP="00A41843">
      <w:pPr>
        <w:numPr>
          <w:ilvl w:val="0"/>
          <w:numId w:val="6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organizații neguvernamentale și parteneri internaționali (ex. PNUD, UNICEF, DVV Internațional),</w:t>
      </w:r>
    </w:p>
    <w:p w14:paraId="5191E860" w14:textId="58B7E9BB" w:rsidR="00654944" w:rsidRPr="0020102C" w:rsidRDefault="00654944" w:rsidP="00A41843">
      <w:pPr>
        <w:numPr>
          <w:ilvl w:val="0"/>
          <w:numId w:val="6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întreprinderi</w:t>
      </w:r>
      <w:r w:rsidR="003C2D99">
        <w:rPr>
          <w:rFonts w:ascii="Times New Roman" w:eastAsia="Times New Roman" w:hAnsi="Times New Roman" w:cs="Times New Roman"/>
          <w:kern w:val="0"/>
          <w:sz w:val="24"/>
          <w:szCs w:val="24"/>
          <w:lang w:eastAsia="ro-MD"/>
          <w14:ligatures w14:val="none"/>
        </w:rPr>
        <w:t>/organizații</w:t>
      </w:r>
      <w:r w:rsidRPr="0020102C">
        <w:rPr>
          <w:rFonts w:ascii="Times New Roman" w:eastAsia="Times New Roman" w:hAnsi="Times New Roman" w:cs="Times New Roman"/>
          <w:kern w:val="0"/>
          <w:sz w:val="24"/>
          <w:szCs w:val="24"/>
          <w:lang w:eastAsia="ro-MD"/>
          <w14:ligatures w14:val="none"/>
        </w:rPr>
        <w:t xml:space="preserve"> care organizează instruiri interne pentru angajați.</w:t>
      </w:r>
    </w:p>
    <w:p w14:paraId="658C8C94" w14:textId="77777777" w:rsidR="00654944" w:rsidRPr="0020102C" w:rsidRDefault="0065494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Programele de educație a adulților</w:t>
      </w:r>
      <w:r w:rsidRPr="0020102C">
        <w:rPr>
          <w:rFonts w:ascii="Times New Roman" w:eastAsia="Times New Roman" w:hAnsi="Times New Roman" w:cs="Times New Roman"/>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sunt caracterizate de:</w:t>
      </w:r>
    </w:p>
    <w:p w14:paraId="5BFA0492" w14:textId="77777777" w:rsidR="00654944" w:rsidRPr="0020102C" w:rsidRDefault="00654944" w:rsidP="00A41843">
      <w:pPr>
        <w:numPr>
          <w:ilvl w:val="0"/>
          <w:numId w:val="6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modularitate și flexibilitate, inclusiv prin formate digitale și blended,</w:t>
      </w:r>
    </w:p>
    <w:p w14:paraId="218E4A14" w14:textId="77777777" w:rsidR="00654944" w:rsidRPr="0020102C" w:rsidRDefault="00654944" w:rsidP="00A41843">
      <w:pPr>
        <w:numPr>
          <w:ilvl w:val="0"/>
          <w:numId w:val="6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adaptabilitate la cerințele individuale ale cursanților și la nevoile angajatorilor,</w:t>
      </w:r>
    </w:p>
    <w:p w14:paraId="6ABCB076" w14:textId="77777777" w:rsidR="00654944" w:rsidRPr="0020102C" w:rsidRDefault="00654944" w:rsidP="00A41843">
      <w:pPr>
        <w:numPr>
          <w:ilvl w:val="0"/>
          <w:numId w:val="6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orientare spre piața muncii și grupurile vulnerabile,</w:t>
      </w:r>
    </w:p>
    <w:p w14:paraId="63CA9ED8" w14:textId="77777777" w:rsidR="00654944" w:rsidRPr="0020102C" w:rsidRDefault="00654944" w:rsidP="00A41843">
      <w:pPr>
        <w:numPr>
          <w:ilvl w:val="0"/>
          <w:numId w:val="6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posibilitatea de acumulare graduală a competențelor, de la microcalificări la calificări complete.</w:t>
      </w:r>
    </w:p>
    <w:p w14:paraId="6F3CA799" w14:textId="77777777" w:rsidR="00654944" w:rsidRPr="0020102C" w:rsidRDefault="00654944"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 concluzie, Republica Moldova dispune de un cadru normativ robust și de mecanisme clare de organizare a educației adulților, care îmbină standardele europene de calitate cu flexibilitatea curriculară și diversitatea furnizorilor. Exemplele de proiecte și parteneriate internaționale prezentate la 3.5.1 demonstrează că sistemul nu funcționează izolat, ci este sprijinit de cooperare și bune practici europene. Astfel, organizarea educației adulților răspunde tot mai mult cerințelor pieței muncii și obiectivelor de incluziune socială, rămânând în același timp conectată la procesele de integrare europeană.</w:t>
      </w:r>
    </w:p>
    <w:p w14:paraId="35A9435E" w14:textId="6EE56974" w:rsidR="00EA7268" w:rsidRPr="0020102C" w:rsidRDefault="00EA7268"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ED7F6E">
        <w:rPr>
          <w:rFonts w:ascii="Times New Roman" w:eastAsia="Times New Roman" w:hAnsi="Times New Roman" w:cs="Times New Roman"/>
          <w:b/>
          <w:bCs/>
          <w:color w:val="3494BA" w:themeColor="accent1"/>
          <w:kern w:val="0"/>
          <w:sz w:val="24"/>
          <w:szCs w:val="24"/>
          <w:lang w:eastAsia="ro-MD"/>
          <w14:ligatures w14:val="none"/>
        </w:rPr>
        <w:t>5.3.</w:t>
      </w:r>
      <w:r w:rsidR="00980F81" w:rsidRPr="00ED7F6E">
        <w:rPr>
          <w:rFonts w:ascii="Times New Roman" w:eastAsia="Times New Roman" w:hAnsi="Times New Roman" w:cs="Times New Roman"/>
          <w:b/>
          <w:bCs/>
          <w:color w:val="3494BA" w:themeColor="accent1"/>
          <w:kern w:val="0"/>
          <w:sz w:val="24"/>
          <w:szCs w:val="24"/>
          <w:lang w:eastAsia="ro-MD"/>
          <w14:ligatures w14:val="none"/>
        </w:rPr>
        <w:t>3</w:t>
      </w:r>
      <w:r w:rsidRPr="0020102C">
        <w:rPr>
          <w:rFonts w:ascii="Times New Roman" w:eastAsia="Times New Roman" w:hAnsi="Times New Roman" w:cs="Times New Roman"/>
          <w:b/>
          <w:bCs/>
          <w:color w:val="3494BA" w:themeColor="accent1"/>
          <w:kern w:val="0"/>
          <w:sz w:val="24"/>
          <w:szCs w:val="24"/>
          <w:lang w:eastAsia="ro-MD"/>
          <w14:ligatures w14:val="none"/>
        </w:rPr>
        <w:t xml:space="preserve"> Microcalificări (calificări parțiale)</w:t>
      </w:r>
    </w:p>
    <w:p w14:paraId="398A306F" w14:textId="1FCF8BE6" w:rsidR="00EA7268" w:rsidRPr="0020102C" w:rsidRDefault="00EA7268"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Microcalificările, denumite și calificări parțiale, reprezintă o formă inovatoare de certificare a competențelor în Republica Moldova. Conform Codului educației, acestea constau într-un set de rezultate ale învățării obținute în cadrul unui modul sau program scurt, care sunt certificate oficial conform standardelor unice de calificare și asigurare a calității, pentru un anumit nivel al CNC.</w:t>
      </w:r>
    </w:p>
    <w:p w14:paraId="0570F083" w14:textId="77777777" w:rsidR="00EA7268" w:rsidRPr="0020102C" w:rsidRDefault="00EA7268" w:rsidP="00D10FE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Caracteristicile microcalificărilor:</w:t>
      </w:r>
    </w:p>
    <w:p w14:paraId="58C7916D" w14:textId="4FF66421" w:rsidR="00EA7268" w:rsidRPr="0020102C" w:rsidRDefault="00EA7268" w:rsidP="00A41843">
      <w:pPr>
        <w:numPr>
          <w:ilvl w:val="0"/>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sunt construite modular, cu volum redus (ore</w:t>
      </w:r>
      <w:r w:rsidR="00BF4B30">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credite ECTS/</w:t>
      </w:r>
      <w:r w:rsidR="008E3A2E" w:rsidRPr="0020102C">
        <w:rPr>
          <w:rFonts w:ascii="Times New Roman" w:eastAsia="Times New Roman" w:hAnsi="Times New Roman" w:cs="Times New Roman"/>
          <w:kern w:val="0"/>
          <w:sz w:val="24"/>
          <w:szCs w:val="24"/>
          <w:lang w:eastAsia="ro-MD"/>
          <w14:ligatures w14:val="none"/>
        </w:rPr>
        <w:t>ECVET</w:t>
      </w:r>
      <w:r w:rsidRPr="0020102C">
        <w:rPr>
          <w:rFonts w:ascii="Times New Roman" w:eastAsia="Times New Roman" w:hAnsi="Times New Roman" w:cs="Times New Roman"/>
          <w:kern w:val="0"/>
          <w:sz w:val="24"/>
          <w:szCs w:val="24"/>
          <w:lang w:eastAsia="ro-MD"/>
          <w14:ligatures w14:val="none"/>
        </w:rPr>
        <w:t>);</w:t>
      </w:r>
    </w:p>
    <w:p w14:paraId="7B22F981" w14:textId="0BAAF7FC" w:rsidR="00EA7268" w:rsidRPr="0020102C" w:rsidRDefault="00EA7268" w:rsidP="00A41843">
      <w:pPr>
        <w:numPr>
          <w:ilvl w:val="0"/>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se bazează pe standarde ocupaționale</w:t>
      </w:r>
      <w:r w:rsidR="001444C3">
        <w:rPr>
          <w:rFonts w:ascii="Times New Roman" w:eastAsia="Times New Roman" w:hAnsi="Times New Roman" w:cs="Times New Roman"/>
          <w:kern w:val="0"/>
          <w:sz w:val="24"/>
          <w:szCs w:val="24"/>
          <w:lang w:eastAsia="ro-MD"/>
          <w14:ligatures w14:val="none"/>
        </w:rPr>
        <w:t>/de competență</w:t>
      </w:r>
      <w:r w:rsidRPr="0020102C">
        <w:rPr>
          <w:rFonts w:ascii="Times New Roman" w:eastAsia="Times New Roman" w:hAnsi="Times New Roman" w:cs="Times New Roman"/>
          <w:kern w:val="0"/>
          <w:sz w:val="24"/>
          <w:szCs w:val="24"/>
          <w:lang w:eastAsia="ro-MD"/>
          <w14:ligatures w14:val="none"/>
        </w:rPr>
        <w:t xml:space="preserve"> și </w:t>
      </w:r>
      <w:r w:rsidR="001444C3">
        <w:rPr>
          <w:rFonts w:ascii="Times New Roman" w:eastAsia="Times New Roman" w:hAnsi="Times New Roman" w:cs="Times New Roman"/>
          <w:kern w:val="0"/>
          <w:sz w:val="24"/>
          <w:szCs w:val="24"/>
          <w:lang w:eastAsia="ro-MD"/>
          <w14:ligatures w14:val="none"/>
        </w:rPr>
        <w:t xml:space="preserve">pe standarde </w:t>
      </w:r>
      <w:r w:rsidRPr="0020102C">
        <w:rPr>
          <w:rFonts w:ascii="Times New Roman" w:eastAsia="Times New Roman" w:hAnsi="Times New Roman" w:cs="Times New Roman"/>
          <w:kern w:val="0"/>
          <w:sz w:val="24"/>
          <w:szCs w:val="24"/>
          <w:lang w:eastAsia="ro-MD"/>
          <w14:ligatures w14:val="none"/>
        </w:rPr>
        <w:t>de calificare și pe descriptorii CNC, corelați cu EQF și Dublin Descriptors;</w:t>
      </w:r>
    </w:p>
    <w:p w14:paraId="07CAD42F" w14:textId="77777777" w:rsidR="00EA7268" w:rsidRPr="0020102C" w:rsidRDefault="00EA7268" w:rsidP="00A41843">
      <w:pPr>
        <w:numPr>
          <w:ilvl w:val="0"/>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au un caracter autonom limitat: singure nu satisfac deplinele condiții pentru acces în câmpul muncii și/sau pentru continuarea studiilor, dar pot fi:</w:t>
      </w:r>
    </w:p>
    <w:p w14:paraId="0B3ACE8B" w14:textId="77777777" w:rsidR="00EA7268" w:rsidRPr="0020102C" w:rsidRDefault="00EA7268" w:rsidP="00A41843">
      <w:pPr>
        <w:numPr>
          <w:ilvl w:val="1"/>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combinate cu o calificare completă pentru exercitarea unei activități profesionale, sau</w:t>
      </w:r>
    </w:p>
    <w:p w14:paraId="6A125833" w14:textId="77777777" w:rsidR="00EA7268" w:rsidRPr="0020102C" w:rsidRDefault="00EA7268" w:rsidP="00A41843">
      <w:pPr>
        <w:numPr>
          <w:ilvl w:val="1"/>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îmbinate între ele (mai multe microcalificări) pentru obținerea unei calificări complete, conform unui standard de calificare;</w:t>
      </w:r>
    </w:p>
    <w:p w14:paraId="5CCE9516" w14:textId="6E82E80D" w:rsidR="00EA7268" w:rsidRPr="0020102C" w:rsidRDefault="00EA7268" w:rsidP="00A41843">
      <w:pPr>
        <w:numPr>
          <w:ilvl w:val="0"/>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 xml:space="preserve">sunt parte a educației formale a adulților și sunt supuse procedurilor de autorizare </w:t>
      </w:r>
      <w:r w:rsidR="00B03885">
        <w:rPr>
          <w:rFonts w:ascii="Times New Roman" w:eastAsia="Times New Roman" w:hAnsi="Times New Roman" w:cs="Times New Roman"/>
          <w:kern w:val="0"/>
          <w:sz w:val="24"/>
          <w:szCs w:val="24"/>
          <w:lang w:eastAsia="ro-MD"/>
          <w14:ligatures w14:val="none"/>
        </w:rPr>
        <w:t xml:space="preserve">de funcționare provizorie </w:t>
      </w:r>
      <w:r w:rsidRPr="0020102C">
        <w:rPr>
          <w:rFonts w:ascii="Times New Roman" w:eastAsia="Times New Roman" w:hAnsi="Times New Roman" w:cs="Times New Roman"/>
          <w:kern w:val="0"/>
          <w:sz w:val="24"/>
          <w:szCs w:val="24"/>
          <w:lang w:eastAsia="ro-MD"/>
          <w14:ligatures w14:val="none"/>
        </w:rPr>
        <w:t>și acreditare, realizate de ANACEC sau de agenții înscrise în EQAR;</w:t>
      </w:r>
    </w:p>
    <w:p w14:paraId="7C3A50CB" w14:textId="77777777" w:rsidR="00EA7268" w:rsidRPr="0020102C" w:rsidRDefault="00EA7268" w:rsidP="00A41843">
      <w:pPr>
        <w:numPr>
          <w:ilvl w:val="0"/>
          <w:numId w:val="6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pot fi dezvoltate rapid, adaptându-se cererilor pieței muncii și sectoarelor cu deficit de competențe.</w:t>
      </w:r>
    </w:p>
    <w:p w14:paraId="643A79D9" w14:textId="77777777" w:rsidR="00EA7268" w:rsidRPr="0020102C" w:rsidRDefault="00EA7268"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Certificarea microcalificărilor</w:t>
      </w:r>
      <w:r w:rsidRPr="0020102C">
        <w:rPr>
          <w:rFonts w:ascii="Times New Roman" w:eastAsia="Times New Roman" w:hAnsi="Times New Roman" w:cs="Times New Roman"/>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este realizată prin eliberarea unui certificat de competență profesională (microcertificat), emis pe un model aprobat de MEC și personalizat de CTICE. Microcertificatul atestă denumirea microcalificării, nivelul CNC, domeniul ocupațional, volumul de studiu și competențele dobândite. Aceste documente au valoare oficială, fiind distincte de certificatele de participare din educația nonformală, și pot fi ulterior integrate în Registrul Național al Calificărilor (RNC).</w:t>
      </w:r>
    </w:p>
    <w:p w14:paraId="32616EA5" w14:textId="16B2A19F" w:rsidR="00EA7268" w:rsidRPr="0020102C" w:rsidRDefault="00EA7268"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Republica Moldova a introdus microcalificările în conformitate cu </w:t>
      </w:r>
      <w:r w:rsidRPr="0020102C">
        <w:rPr>
          <w:rFonts w:ascii="Times New Roman" w:eastAsia="Times New Roman" w:hAnsi="Times New Roman" w:cs="Times New Roman"/>
          <w:i/>
          <w:iCs/>
          <w:kern w:val="0"/>
          <w:sz w:val="24"/>
          <w:szCs w:val="24"/>
          <w:lang w:eastAsia="ro-MD"/>
          <w14:ligatures w14:val="none"/>
        </w:rPr>
        <w:t>Recomandarea Consiliului Uniunii Europene din 2022 privind micro-credentials</w:t>
      </w:r>
      <w:r w:rsidRPr="0020102C">
        <w:rPr>
          <w:rFonts w:ascii="Times New Roman" w:eastAsia="Times New Roman" w:hAnsi="Times New Roman" w:cs="Times New Roman"/>
          <w:kern w:val="0"/>
          <w:sz w:val="24"/>
          <w:szCs w:val="24"/>
          <w:lang w:eastAsia="ro-MD"/>
          <w14:ligatures w14:val="none"/>
        </w:rPr>
        <w:t xml:space="preserve"> și cu proiectul MICROBOL, la care participă activ, ceea ce garantează alinierea la standardele europene de transparență, asigurare a calității și recunoaștere internațională</w:t>
      </w:r>
      <w:r w:rsidRPr="0020102C">
        <w:rPr>
          <w:rStyle w:val="afc"/>
          <w:rFonts w:ascii="Times New Roman" w:eastAsia="Times New Roman" w:hAnsi="Times New Roman" w:cs="Times New Roman"/>
          <w:kern w:val="0"/>
          <w:sz w:val="24"/>
          <w:szCs w:val="24"/>
          <w:lang w:eastAsia="ro-MD"/>
          <w14:ligatures w14:val="none"/>
        </w:rPr>
        <w:footnoteReference w:id="33"/>
      </w:r>
      <w:r w:rsidRPr="0020102C">
        <w:rPr>
          <w:rFonts w:ascii="Times New Roman" w:eastAsia="Times New Roman" w:hAnsi="Times New Roman" w:cs="Times New Roman"/>
          <w:kern w:val="0"/>
          <w:sz w:val="24"/>
          <w:szCs w:val="24"/>
          <w:lang w:eastAsia="ro-MD"/>
          <w14:ligatures w14:val="none"/>
        </w:rPr>
        <w:t>.</w:t>
      </w:r>
    </w:p>
    <w:p w14:paraId="5EDE9099" w14:textId="77777777" w:rsidR="00EA7268" w:rsidRPr="0020102C" w:rsidRDefault="00EA7268"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Impactul așteptat</w:t>
      </w:r>
      <w:r w:rsidRPr="0020102C">
        <w:rPr>
          <w:rFonts w:ascii="Times New Roman" w:eastAsia="Times New Roman" w:hAnsi="Times New Roman" w:cs="Times New Roman"/>
          <w:color w:val="3494BA" w:themeColor="accent1"/>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al microcalificărilor este multiplu:</w:t>
      </w:r>
    </w:p>
    <w:p w14:paraId="1B5E2390" w14:textId="77777777" w:rsidR="00EA7268" w:rsidRPr="0020102C" w:rsidRDefault="00EA7268" w:rsidP="00A41843">
      <w:pPr>
        <w:numPr>
          <w:ilvl w:val="0"/>
          <w:numId w:val="6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sprijină recalificarea și perfecționarea angajaților, dar și reintegrarea pe piața muncii a șomerilor sau a persoanelor vulnerabile;</w:t>
      </w:r>
    </w:p>
    <w:p w14:paraId="058706F6" w14:textId="77777777" w:rsidR="00EA7268" w:rsidRPr="0020102C" w:rsidRDefault="00EA7268" w:rsidP="00A41843">
      <w:pPr>
        <w:numPr>
          <w:ilvl w:val="0"/>
          <w:numId w:val="6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răspund penuriei de competențe în domenii prioritare precum TIC, energetică, construcții sau transport;</w:t>
      </w:r>
    </w:p>
    <w:p w14:paraId="2822AEF6" w14:textId="77777777" w:rsidR="00EA7268" w:rsidRPr="0020102C" w:rsidRDefault="00EA7268" w:rsidP="00A41843">
      <w:pPr>
        <w:numPr>
          <w:ilvl w:val="0"/>
          <w:numId w:val="6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promovează incluziunea și accesul la formare pentru grupuri diverse, inclusiv pentru persoane cu nevoi speciale sau migranți reveniți;</w:t>
      </w:r>
    </w:p>
    <w:p w14:paraId="559ED18F" w14:textId="77777777" w:rsidR="00EA7268" w:rsidRPr="0020102C" w:rsidRDefault="00EA7268" w:rsidP="00A41843">
      <w:pPr>
        <w:numPr>
          <w:ilvl w:val="0"/>
          <w:numId w:val="6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facilitează comparabilitatea și recunoașterea europeană, consolidând parcursurile de învățare pe tot parcursul vieții și integrarea Republicii Moldova în rețelele educaționale și ocupaționale europene.</w:t>
      </w:r>
    </w:p>
    <w:p w14:paraId="04176485" w14:textId="6E3E5112" w:rsidR="00EA7268" w:rsidRPr="0020102C" w:rsidRDefault="00EA7268"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hAnsi="Times New Roman" w:cs="Times New Roman"/>
          <w:sz w:val="24"/>
          <w:szCs w:val="24"/>
        </w:rPr>
        <w:t>Educația adulților și învățarea pe tot parcursul vieții reprezintă un pilon strategic al modernizării sistemului educațional din Republica Moldova. Cadrul normativ actualizat oferă o bază solidă pentru diversificarea și flexibilizarea ofertelor, integrând formele de educație formală, nonformală și informală prin mecanisme de validare și certificare. Acestea permit acumularea treptată de competențe, recunoașterea lor în CNC și transformarea lor, după caz, în calificări complete – consolidând astfel legătura dintre învățarea pe tot parcursul vieții, piața muncii și integrarea europeană.</w:t>
      </w:r>
    </w:p>
    <w:p w14:paraId="6FCF3AB8" w14:textId="77777777" w:rsidR="00EA7268" w:rsidRPr="001F6026" w:rsidRDefault="00EA7268" w:rsidP="00D10FE6">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În concluzie, Republica Moldova dezvoltă un cadru de politici coerent și integrat pentru educația pe tot parcursul vieții, susținut de strategii naționale și parteneriate internaționale, cu scopul de a crea un sistem educațional flexibil, incluziv și adaptabil cerințelor societății și economiei moderne.</w:t>
      </w:r>
    </w:p>
    <w:p w14:paraId="7E3CB850" w14:textId="7EDC4473" w:rsidR="00297A5F" w:rsidRPr="0020102C" w:rsidRDefault="006B2DD1" w:rsidP="00D10FE6">
      <w:pPr>
        <w:spacing w:before="120" w:after="120" w:line="276" w:lineRule="auto"/>
        <w:jc w:val="both"/>
        <w:outlineLvl w:val="2"/>
        <w:rPr>
          <w:rFonts w:ascii="Times New Roman" w:hAnsi="Times New Roman" w:cs="Times New Roman"/>
          <w:b/>
          <w:bCs/>
          <w:color w:val="3494BA" w:themeColor="accent1"/>
          <w:sz w:val="24"/>
          <w:szCs w:val="24"/>
        </w:rPr>
      </w:pPr>
      <w:r w:rsidRPr="0020102C">
        <w:rPr>
          <w:rFonts w:ascii="Times New Roman" w:hAnsi="Times New Roman" w:cs="Times New Roman"/>
          <w:b/>
          <w:bCs/>
          <w:color w:val="3494BA" w:themeColor="accent1"/>
          <w:sz w:val="24"/>
          <w:szCs w:val="24"/>
        </w:rPr>
        <w:t>CAPITOLUL 4 – CADRUL NAȚIONAL AL CALIFICĂRILOR (CNC)</w:t>
      </w:r>
    </w:p>
    <w:p w14:paraId="103F0F01" w14:textId="37EFC415" w:rsidR="0086679B" w:rsidRPr="0020102C" w:rsidRDefault="0086679B" w:rsidP="00082272">
      <w:pPr>
        <w:pStyle w:val="af8"/>
        <w:spacing w:before="120" w:beforeAutospacing="0" w:after="120" w:afterAutospacing="0" w:line="276" w:lineRule="auto"/>
        <w:jc w:val="both"/>
      </w:pPr>
      <w:r w:rsidRPr="0020102C">
        <w:t xml:space="preserve">CNC este un </w:t>
      </w:r>
      <w:r w:rsidRPr="0020102C">
        <w:rPr>
          <w:rStyle w:val="af9"/>
          <w:rFonts w:eastAsiaTheme="majorEastAsia"/>
          <w:b w:val="0"/>
          <w:bCs w:val="0"/>
        </w:rPr>
        <w:t>sistem compre</w:t>
      </w:r>
      <w:r w:rsidR="00D662BE" w:rsidRPr="0020102C">
        <w:rPr>
          <w:rStyle w:val="af9"/>
          <w:rFonts w:eastAsiaTheme="majorEastAsia"/>
          <w:b w:val="0"/>
          <w:bCs w:val="0"/>
        </w:rPr>
        <w:t>he</w:t>
      </w:r>
      <w:r w:rsidRPr="0020102C">
        <w:rPr>
          <w:rStyle w:val="af9"/>
          <w:rFonts w:eastAsiaTheme="majorEastAsia"/>
          <w:b w:val="0"/>
          <w:bCs w:val="0"/>
        </w:rPr>
        <w:t>nsiv al calificărilor naționale</w:t>
      </w:r>
      <w:r w:rsidRPr="0020102C">
        <w:rPr>
          <w:b/>
          <w:bCs/>
        </w:rPr>
        <w:t>,</w:t>
      </w:r>
      <w:r w:rsidRPr="0020102C">
        <w:t xml:space="preserve"> dezvoltat în baza principiilor </w:t>
      </w:r>
      <w:r w:rsidRPr="0020102C">
        <w:rPr>
          <w:rStyle w:val="af9"/>
          <w:rFonts w:eastAsiaTheme="majorEastAsia"/>
          <w:b w:val="0"/>
          <w:bCs w:val="0"/>
        </w:rPr>
        <w:t>EQF</w:t>
      </w:r>
      <w:r w:rsidRPr="0020102C">
        <w:rPr>
          <w:b/>
          <w:bCs/>
        </w:rPr>
        <w:t>.</w:t>
      </w:r>
      <w:r w:rsidRPr="0020102C">
        <w:t xml:space="preserve"> El funcționează ca un instrument unic pentru clasificarea calificărilor oferite în sistemul educațional național, utilizând un set de criterii care corespund nivelurilor de învățare atinse. Prin această abordare, CNC </w:t>
      </w:r>
      <w:r w:rsidRPr="0020102C">
        <w:lastRenderedPageBreak/>
        <w:t>integrează și coordonează toate subsistemele naționale de calificări, având ca scop îmbunătățirea transparenței, accesului, progresului și calității calificărilor, în raport direct cu cerințele pieței muncii și ale societății civile.</w:t>
      </w:r>
    </w:p>
    <w:p w14:paraId="5E2F4EDC" w14:textId="77777777" w:rsidR="0086679B" w:rsidRPr="0020102C" w:rsidRDefault="0086679B" w:rsidP="00082272">
      <w:pPr>
        <w:pStyle w:val="af8"/>
        <w:spacing w:before="120" w:beforeAutospacing="0" w:after="120" w:afterAutospacing="0" w:line="276" w:lineRule="auto"/>
        <w:jc w:val="both"/>
      </w:pPr>
      <w:r w:rsidRPr="0020102C">
        <w:t xml:space="preserve">Orientat spre </w:t>
      </w:r>
      <w:r w:rsidRPr="0020102C">
        <w:rPr>
          <w:rStyle w:val="af9"/>
          <w:rFonts w:eastAsiaTheme="majorEastAsia"/>
          <w:b w:val="0"/>
          <w:bCs w:val="0"/>
        </w:rPr>
        <w:t>învățarea pe tot parcursul vieții</w:t>
      </w:r>
      <w:r w:rsidRPr="0020102C">
        <w:t xml:space="preserve">, CNC facilitează compararea calificărilor la nivel național și internațional și ordonează toate calificările într-o structură logic organizată. El cuprinde </w:t>
      </w:r>
      <w:r w:rsidRPr="0020102C">
        <w:rPr>
          <w:rStyle w:val="af9"/>
          <w:rFonts w:eastAsiaTheme="majorEastAsia"/>
          <w:b w:val="0"/>
          <w:bCs w:val="0"/>
        </w:rPr>
        <w:t>toate nivelurile și formele de învățământ</w:t>
      </w:r>
      <w:r w:rsidRPr="0020102C">
        <w:t>, incluzând atât calificările complete, cât și cele parțiale, indiferent de dimensiunea și scopul acestora.</w:t>
      </w:r>
    </w:p>
    <w:p w14:paraId="57F14249" w14:textId="77777777" w:rsidR="0086679B" w:rsidRPr="0020102C" w:rsidRDefault="0086679B" w:rsidP="00082272">
      <w:pPr>
        <w:pStyle w:val="af8"/>
        <w:spacing w:before="120" w:beforeAutospacing="0" w:after="120" w:afterAutospacing="0" w:line="276" w:lineRule="auto"/>
        <w:jc w:val="both"/>
      </w:pPr>
      <w:r w:rsidRPr="0020102C">
        <w:t xml:space="preserve">Calificările sunt atribuite unui </w:t>
      </w:r>
      <w:r w:rsidRPr="0020102C">
        <w:rPr>
          <w:rStyle w:val="af9"/>
          <w:rFonts w:eastAsiaTheme="majorEastAsia"/>
          <w:b w:val="0"/>
          <w:bCs w:val="0"/>
        </w:rPr>
        <w:t>nivel CNC pe baza rezultatelor învățării</w:t>
      </w:r>
      <w:r w:rsidRPr="0020102C">
        <w:t xml:space="preserve">, fiecare nivel fiind definit printr-un set de descriptori care reflectă complexitatea, profunzimea și dimensiunea competențelor. În acest fel, CNC contribuie la </w:t>
      </w:r>
      <w:r w:rsidRPr="0020102C">
        <w:rPr>
          <w:rStyle w:val="af9"/>
          <w:rFonts w:eastAsiaTheme="majorEastAsia"/>
          <w:b w:val="0"/>
          <w:bCs w:val="0"/>
        </w:rPr>
        <w:t>evitarea duplicării și suprapunerii calificărilor</w:t>
      </w:r>
      <w:r w:rsidRPr="0020102C">
        <w:t>, sprijină planificarea carierei și evoluția profesională și oferă un cadru de referință pentru dezvoltarea continuă a competențelor.</w:t>
      </w:r>
    </w:p>
    <w:p w14:paraId="5D88C7BB" w14:textId="35FB357F" w:rsidR="0086679B" w:rsidRPr="0020102C" w:rsidRDefault="0086679B" w:rsidP="00082272">
      <w:pPr>
        <w:pStyle w:val="af8"/>
        <w:spacing w:before="120" w:beforeAutospacing="0" w:after="120" w:afterAutospacing="0" w:line="276" w:lineRule="auto"/>
        <w:jc w:val="both"/>
      </w:pPr>
      <w:r w:rsidRPr="0020102C">
        <w:t xml:space="preserve">Un aspect esențial al CNC este capacitatea sa de a </w:t>
      </w:r>
      <w:r w:rsidRPr="0020102C">
        <w:rPr>
          <w:rStyle w:val="af9"/>
          <w:rFonts w:eastAsiaTheme="majorEastAsia"/>
          <w:b w:val="0"/>
          <w:bCs w:val="0"/>
        </w:rPr>
        <w:t>relaționa calificările din trecut, prezent și viitor</w:t>
      </w:r>
      <w:r w:rsidRPr="0020102C">
        <w:t xml:space="preserve"> cu standardele naționale, europene și internaționale. Totodată, CNC sprijină implementarea politicilor și strategiilor educaționale, fiind în concordanță cu politicile europene din </w:t>
      </w:r>
      <w:r w:rsidRPr="0020102C">
        <w:rPr>
          <w:rStyle w:val="af9"/>
          <w:rFonts w:eastAsiaTheme="majorEastAsia"/>
          <w:b w:val="0"/>
          <w:bCs w:val="0"/>
        </w:rPr>
        <w:t>Spațiul European al Educației, Spațiul European al Învățământului Superior (</w:t>
      </w:r>
      <w:r w:rsidR="002513BE" w:rsidRPr="0020102C">
        <w:rPr>
          <w:rStyle w:val="af9"/>
          <w:rFonts w:eastAsiaTheme="majorEastAsia"/>
          <w:b w:val="0"/>
          <w:bCs w:val="0"/>
        </w:rPr>
        <w:t>EHEA</w:t>
      </w:r>
      <w:r w:rsidRPr="0020102C">
        <w:rPr>
          <w:rStyle w:val="af9"/>
          <w:rFonts w:eastAsiaTheme="majorEastAsia"/>
          <w:b w:val="0"/>
          <w:bCs w:val="0"/>
        </w:rPr>
        <w:t>), Spațiul European de Cercetare (ERA)</w:t>
      </w:r>
      <w:r w:rsidRPr="0020102C">
        <w:rPr>
          <w:b/>
          <w:bCs/>
        </w:rPr>
        <w:t>,</w:t>
      </w:r>
      <w:r w:rsidRPr="0020102C">
        <w:t xml:space="preserve"> precum și cu politicile de cooperare europeană în domeniul învățământului profesional tehnic.</w:t>
      </w:r>
    </w:p>
    <w:p w14:paraId="63632946" w14:textId="77777777" w:rsidR="0086679B" w:rsidRPr="0020102C" w:rsidRDefault="0086679B" w:rsidP="00082272">
      <w:pPr>
        <w:pStyle w:val="af8"/>
        <w:spacing w:before="120" w:beforeAutospacing="0" w:after="120" w:afterAutospacing="0" w:line="276" w:lineRule="auto"/>
        <w:jc w:val="both"/>
      </w:pPr>
      <w:r w:rsidRPr="0020102C">
        <w:t xml:space="preserve">Fiind dezvoltat în baza principiilor </w:t>
      </w:r>
      <w:r w:rsidRPr="0020102C">
        <w:rPr>
          <w:rStyle w:val="af9"/>
          <w:rFonts w:eastAsiaTheme="majorEastAsia"/>
          <w:b w:val="0"/>
          <w:bCs w:val="0"/>
        </w:rPr>
        <w:t>EQF</w:t>
      </w:r>
      <w:r w:rsidRPr="0020102C">
        <w:rPr>
          <w:b/>
          <w:bCs/>
        </w:rPr>
        <w:t>,</w:t>
      </w:r>
      <w:r w:rsidRPr="0020102C">
        <w:t xml:space="preserve"> CNC urmează să fie supus procesului de </w:t>
      </w:r>
      <w:r w:rsidRPr="0020102C">
        <w:rPr>
          <w:rStyle w:val="af9"/>
          <w:rFonts w:eastAsiaTheme="majorEastAsia"/>
          <w:b w:val="0"/>
          <w:bCs w:val="0"/>
        </w:rPr>
        <w:t>referențiere și stabilire a corespondenței</w:t>
      </w:r>
      <w:r w:rsidRPr="0020102C">
        <w:t xml:space="preserve"> cu acest cadru european, conform criteriilor și procedurilor recomandate de Consiliul Uniunii Europene.</w:t>
      </w:r>
    </w:p>
    <w:p w14:paraId="2E6D238F" w14:textId="77777777" w:rsidR="006B2DD1" w:rsidRPr="0020102C" w:rsidRDefault="006B2DD1" w:rsidP="00082272">
      <w:pPr>
        <w:pStyle w:val="af8"/>
        <w:spacing w:before="120" w:beforeAutospacing="0" w:after="120" w:afterAutospacing="0" w:line="276" w:lineRule="auto"/>
        <w:jc w:val="both"/>
        <w:rPr>
          <w:color w:val="3494BA" w:themeColor="accent1"/>
        </w:rPr>
      </w:pPr>
      <w:r w:rsidRPr="0020102C">
        <w:rPr>
          <w:rStyle w:val="af9"/>
          <w:rFonts w:eastAsiaTheme="majorEastAsia"/>
          <w:color w:val="3494BA" w:themeColor="accent1"/>
        </w:rPr>
        <w:t>4.1 – Istoria dezvoltării CNC</w:t>
      </w:r>
    </w:p>
    <w:p w14:paraId="2BF9E2D7" w14:textId="7BA629C9" w:rsidR="006B2DD1" w:rsidRPr="0020102C" w:rsidRDefault="006B2DD1" w:rsidP="00082272">
      <w:pPr>
        <w:pStyle w:val="af8"/>
        <w:spacing w:before="120" w:beforeAutospacing="0" w:after="120" w:afterAutospacing="0" w:line="276" w:lineRule="auto"/>
        <w:jc w:val="both"/>
      </w:pPr>
      <w:r w:rsidRPr="0020102C">
        <w:t>Toate dimensiunile educației și formării – inclusiv microcalificările – se integrează în CNC, care reprezintă arhitectura centrală a sistemului de calificări din Republica Moldova și principalul instrument de corelare cu EQF și QF-</w:t>
      </w:r>
      <w:r w:rsidR="002513BE" w:rsidRPr="0020102C">
        <w:t>EHEA</w:t>
      </w:r>
      <w:r w:rsidRPr="0020102C">
        <w:t>.</w:t>
      </w:r>
    </w:p>
    <w:p w14:paraId="18A3AEC1" w14:textId="3ABB5D85" w:rsidR="00D92752" w:rsidRPr="0020102C" w:rsidRDefault="00D92752" w:rsidP="00082272">
      <w:pPr>
        <w:pStyle w:val="af8"/>
        <w:spacing w:before="120" w:beforeAutospacing="0" w:after="120" w:afterAutospacing="0" w:line="276" w:lineRule="auto"/>
        <w:jc w:val="both"/>
      </w:pPr>
      <w:r w:rsidRPr="0020102C">
        <w:t>Dezvoltarea CNC</w:t>
      </w:r>
      <w:r w:rsidR="006C4E94" w:rsidRPr="001F6026">
        <w:t xml:space="preserve"> </w:t>
      </w:r>
      <w:r w:rsidRPr="0020102C">
        <w:t>în Republica Moldova a fost un proces gradual, cu rădăcini atât în angajamentele europene, cât și în reformele interne. Acest parcurs reflectă tranziția de la inițiative parțiale, orientate pe domenii, la un cadru integrat, cuprinzător și aliniat standardelor europene.</w:t>
      </w:r>
    </w:p>
    <w:p w14:paraId="5A73E087" w14:textId="3ACB6248" w:rsidR="00D92752" w:rsidRPr="0020102C" w:rsidRDefault="0076509C" w:rsidP="00082272">
      <w:pPr>
        <w:pStyle w:val="af8"/>
        <w:spacing w:before="120" w:beforeAutospacing="0" w:after="120" w:afterAutospacing="0" w:line="276" w:lineRule="auto"/>
        <w:jc w:val="both"/>
      </w:pPr>
      <w:r w:rsidRPr="0020102C">
        <w:rPr>
          <w:rStyle w:val="af9"/>
          <w:rFonts w:eastAsiaTheme="majorEastAsia"/>
          <w:color w:val="3494BA" w:themeColor="accent1"/>
        </w:rPr>
        <w:t>Etap</w:t>
      </w:r>
      <w:r w:rsidR="00CF7342" w:rsidRPr="0020102C">
        <w:rPr>
          <w:rStyle w:val="af9"/>
          <w:rFonts w:eastAsiaTheme="majorEastAsia"/>
          <w:color w:val="3494BA" w:themeColor="accent1"/>
        </w:rPr>
        <w:t>a</w:t>
      </w:r>
      <w:r w:rsidRPr="0020102C">
        <w:rPr>
          <w:rStyle w:val="af9"/>
          <w:rFonts w:eastAsiaTheme="majorEastAsia"/>
          <w:color w:val="3494BA" w:themeColor="accent1"/>
        </w:rPr>
        <w:t xml:space="preserve"> </w:t>
      </w:r>
      <w:r w:rsidR="00CF7342" w:rsidRPr="0020102C">
        <w:rPr>
          <w:rStyle w:val="af9"/>
          <w:rFonts w:eastAsiaTheme="majorEastAsia"/>
          <w:color w:val="3494BA" w:themeColor="accent1"/>
        </w:rPr>
        <w:t xml:space="preserve">explorativă </w:t>
      </w:r>
      <w:r w:rsidR="00D92752" w:rsidRPr="0020102C">
        <w:rPr>
          <w:rStyle w:val="af9"/>
          <w:rFonts w:eastAsiaTheme="majorEastAsia"/>
          <w:color w:val="3494BA" w:themeColor="accent1"/>
        </w:rPr>
        <w:t>(2005–201</w:t>
      </w:r>
      <w:r w:rsidRPr="0020102C">
        <w:rPr>
          <w:rStyle w:val="af9"/>
          <w:rFonts w:eastAsiaTheme="majorEastAsia"/>
          <w:color w:val="3494BA" w:themeColor="accent1"/>
        </w:rPr>
        <w:t>3</w:t>
      </w:r>
      <w:r w:rsidR="00D92752" w:rsidRPr="0020102C">
        <w:rPr>
          <w:rStyle w:val="af9"/>
          <w:rFonts w:eastAsiaTheme="majorEastAsia"/>
          <w:color w:val="3494BA" w:themeColor="accent1"/>
        </w:rPr>
        <w:t>):</w:t>
      </w:r>
      <w:r w:rsidRPr="0020102C">
        <w:rPr>
          <w:rStyle w:val="af9"/>
          <w:rFonts w:eastAsiaTheme="majorEastAsia"/>
          <w:color w:val="3494BA" w:themeColor="accent1"/>
        </w:rPr>
        <w:t xml:space="preserve"> </w:t>
      </w:r>
      <w:r w:rsidR="00D92752" w:rsidRPr="0020102C">
        <w:t xml:space="preserve">Republica Moldova și-a asumat elaborarea unui cadru al calificărilor prin </w:t>
      </w:r>
      <w:r w:rsidR="00D92752" w:rsidRPr="0020102C">
        <w:rPr>
          <w:rStyle w:val="af9"/>
          <w:rFonts w:eastAsiaTheme="majorEastAsia"/>
          <w:b w:val="0"/>
          <w:bCs w:val="0"/>
        </w:rPr>
        <w:t>Acordul de Asociere RM–UE</w:t>
      </w:r>
      <w:r w:rsidR="00D92752" w:rsidRPr="0020102C">
        <w:t xml:space="preserve"> (pct. 123 lit. e) și prin aderarea la </w:t>
      </w:r>
      <w:r w:rsidR="00D92752" w:rsidRPr="0020102C">
        <w:rPr>
          <w:rStyle w:val="af9"/>
          <w:rFonts w:eastAsiaTheme="majorEastAsia"/>
          <w:b w:val="0"/>
          <w:bCs w:val="0"/>
        </w:rPr>
        <w:t>Spațiul European al Învățământului Superior (</w:t>
      </w:r>
      <w:r w:rsidR="002513BE" w:rsidRPr="0020102C">
        <w:rPr>
          <w:rStyle w:val="af9"/>
          <w:rFonts w:eastAsiaTheme="majorEastAsia"/>
          <w:b w:val="0"/>
          <w:bCs w:val="0"/>
        </w:rPr>
        <w:t>EHEA</w:t>
      </w:r>
      <w:r w:rsidR="00D92752" w:rsidRPr="0020102C">
        <w:rPr>
          <w:rStyle w:val="af9"/>
          <w:rFonts w:eastAsiaTheme="majorEastAsia"/>
          <w:b w:val="0"/>
          <w:bCs w:val="0"/>
        </w:rPr>
        <w:t>)</w:t>
      </w:r>
      <w:r w:rsidR="00D92752" w:rsidRPr="0020102C">
        <w:t xml:space="preserve"> în 2005. Această orientare a consacrat obiectivul strategic de integrare în Spațiul European al Educației și Formării Profesionale.</w:t>
      </w:r>
    </w:p>
    <w:p w14:paraId="2A7980A6" w14:textId="79895DF9" w:rsidR="00D92752" w:rsidRPr="0020102C" w:rsidRDefault="00D92752" w:rsidP="00082272">
      <w:pPr>
        <w:pStyle w:val="af8"/>
        <w:spacing w:before="120" w:beforeAutospacing="0" w:after="120" w:afterAutospacing="0" w:line="276" w:lineRule="auto"/>
        <w:jc w:val="both"/>
      </w:pPr>
      <w:r w:rsidRPr="0020102C">
        <w:t xml:space="preserve">Prima generație a CNC a fost implementată la nivelul învățământului superior, imediat după aderarea la Procesul Bologna. Acest cadru parțial a fost inspirat de recomandările pentru Cadrul Calificărilor din </w:t>
      </w:r>
      <w:r w:rsidR="002513BE" w:rsidRPr="0020102C">
        <w:t>EHEA</w:t>
      </w:r>
      <w:r w:rsidRPr="0020102C">
        <w:t xml:space="preserve"> (QF-</w:t>
      </w:r>
      <w:r w:rsidR="002513BE" w:rsidRPr="0020102C">
        <w:t>EHEA</w:t>
      </w:r>
      <w:r w:rsidRPr="0020102C">
        <w:t xml:space="preserve">, edițiile 2006, 2010, 2013). Totuși, </w:t>
      </w:r>
      <w:r w:rsidR="00C96814">
        <w:t xml:space="preserve">Republica </w:t>
      </w:r>
      <w:r w:rsidRPr="0020102C">
        <w:t>Moldova a utilizat descriptori diferiți de cei recomandați la nivel european, ceea ce a îngreunat procesul de comparare a calificărilor și a creat bariere în mobilitatea academică și profesională, limitând recunoașterea internațională a diplomelor.</w:t>
      </w:r>
    </w:p>
    <w:p w14:paraId="12491F79" w14:textId="4CB6920C" w:rsidR="00D92752" w:rsidRPr="0020102C" w:rsidRDefault="0076509C" w:rsidP="00082272">
      <w:pPr>
        <w:pStyle w:val="af8"/>
        <w:spacing w:before="120" w:beforeAutospacing="0" w:after="120" w:afterAutospacing="0" w:line="276" w:lineRule="auto"/>
        <w:jc w:val="both"/>
      </w:pPr>
      <w:r w:rsidRPr="0020102C">
        <w:rPr>
          <w:rStyle w:val="af9"/>
          <w:rFonts w:eastAsiaTheme="majorEastAsia"/>
          <w:color w:val="3494BA" w:themeColor="accent1"/>
        </w:rPr>
        <w:t>Etapa de</w:t>
      </w:r>
      <w:r w:rsidR="00332E7E" w:rsidRPr="0020102C">
        <w:rPr>
          <w:rStyle w:val="af9"/>
          <w:rFonts w:eastAsiaTheme="majorEastAsia"/>
          <w:color w:val="3494BA" w:themeColor="accent1"/>
        </w:rPr>
        <w:t xml:space="preserve"> concepere </w:t>
      </w:r>
      <w:r w:rsidR="00D92752" w:rsidRPr="0020102C">
        <w:rPr>
          <w:rStyle w:val="af9"/>
          <w:rFonts w:eastAsiaTheme="majorEastAsia"/>
          <w:color w:val="3494BA" w:themeColor="accent1"/>
        </w:rPr>
        <w:t xml:space="preserve">(2014–2018). </w:t>
      </w:r>
      <w:r w:rsidR="00D92752" w:rsidRPr="0020102C">
        <w:t xml:space="preserve">Codul educației nr. 152/2014 a oferit cadrul juridic pentru crearea unui CNC național, dar reglementările erau fragmentate pe subsisteme: articole distincte pentru </w:t>
      </w:r>
      <w:r w:rsidR="00356848" w:rsidRPr="0020102C">
        <w:t>ÎPT</w:t>
      </w:r>
      <w:r w:rsidR="00D92752" w:rsidRPr="0020102C">
        <w:t xml:space="preserve"> (art. 59, 62, 63, 64, 66) și pentru învățământul superior (art. 89, 97, 98, 110). Lipsa unei arhitecturi unitare și a unei referințe explicite în actele de studii la nivelul CNC/EQF a redus impactul său operațional.</w:t>
      </w:r>
    </w:p>
    <w:p w14:paraId="1A491D28" w14:textId="77777777" w:rsidR="00D92752" w:rsidRPr="0020102C" w:rsidRDefault="00D92752" w:rsidP="00082272">
      <w:pPr>
        <w:pStyle w:val="af8"/>
        <w:spacing w:before="120" w:beforeAutospacing="0" w:after="120" w:afterAutospacing="0" w:line="276" w:lineRule="auto"/>
        <w:jc w:val="both"/>
      </w:pPr>
      <w:r w:rsidRPr="0020102C">
        <w:t xml:space="preserve">În anul 2017, prin </w:t>
      </w:r>
      <w:r w:rsidRPr="0020102C">
        <w:rPr>
          <w:rStyle w:val="af9"/>
          <w:rFonts w:eastAsiaTheme="majorEastAsia"/>
          <w:b w:val="0"/>
          <w:bCs w:val="0"/>
        </w:rPr>
        <w:t>Hotărârea Guvernului nr. 1016/2017</w:t>
      </w:r>
      <w:r w:rsidRPr="0020102C">
        <w:rPr>
          <w:b/>
          <w:bCs/>
        </w:rPr>
        <w:t xml:space="preserve">, </w:t>
      </w:r>
      <w:r w:rsidRPr="0020102C">
        <w:t>a fost aprobat</w:t>
      </w:r>
      <w:r w:rsidRPr="0020102C">
        <w:rPr>
          <w:b/>
          <w:bCs/>
        </w:rPr>
        <w:t xml:space="preserve"> </w:t>
      </w:r>
      <w:r w:rsidRPr="0020102C">
        <w:rPr>
          <w:rStyle w:val="af9"/>
          <w:rFonts w:eastAsiaTheme="majorEastAsia"/>
          <w:b w:val="0"/>
          <w:bCs w:val="0"/>
        </w:rPr>
        <w:t>Cadrul Național al Calificărilor din Republica Moldova (CNCRM)</w:t>
      </w:r>
      <w:r w:rsidRPr="0020102C">
        <w:rPr>
          <w:b/>
          <w:bCs/>
        </w:rPr>
        <w:t xml:space="preserve">, </w:t>
      </w:r>
      <w:r w:rsidRPr="0020102C">
        <w:t>elaborat în baza</w:t>
      </w:r>
      <w:r w:rsidRPr="0020102C">
        <w:rPr>
          <w:b/>
          <w:bCs/>
        </w:rPr>
        <w:t xml:space="preserve"> </w:t>
      </w:r>
      <w:r w:rsidRPr="0020102C">
        <w:rPr>
          <w:rStyle w:val="af9"/>
          <w:rFonts w:eastAsiaTheme="majorEastAsia"/>
          <w:b w:val="0"/>
          <w:bCs w:val="0"/>
        </w:rPr>
        <w:t xml:space="preserve">Recomandării Parlamentului European și a Consiliului </w:t>
      </w:r>
      <w:r w:rsidRPr="0020102C">
        <w:rPr>
          <w:rStyle w:val="af9"/>
          <w:rFonts w:eastAsiaTheme="majorEastAsia"/>
          <w:b w:val="0"/>
          <w:bCs w:val="0"/>
        </w:rPr>
        <w:lastRenderedPageBreak/>
        <w:t>(2008) privind EQF pentru învățarea pe tot parcursul vieții</w:t>
      </w:r>
      <w:r w:rsidRPr="0020102C">
        <w:t>. Acest pas a oferit un instrument de corelare, dar fără o aplicabilitate practică deplină.</w:t>
      </w:r>
    </w:p>
    <w:p w14:paraId="01A0D1C8" w14:textId="3C7181AE" w:rsidR="005028B0" w:rsidRPr="0020102C" w:rsidRDefault="005028B0" w:rsidP="00082272">
      <w:pPr>
        <w:pStyle w:val="af8"/>
        <w:spacing w:before="120" w:beforeAutospacing="0" w:after="120" w:afterAutospacing="0" w:line="276" w:lineRule="auto"/>
        <w:jc w:val="both"/>
      </w:pPr>
      <w:r w:rsidRPr="0020102C">
        <w:t>În anii următori, eforturile s-au concentrat pe consolidarea mecanismelor instituționale și pe crearea Registrului Național al Calificărilor (RNC), aprobat prin Hotărârea Guvernului nr. 1199/2018. Acesta a devenit baza oficială de date pentru toate calificările recunoscute de stat și a reprezentat un pas decisiv în direcția transparentizării și modernizării sistemului.</w:t>
      </w:r>
    </w:p>
    <w:p w14:paraId="01F043DA" w14:textId="35EE14C9" w:rsidR="00D92752" w:rsidRPr="0020102C" w:rsidRDefault="005028B0" w:rsidP="00082272">
      <w:pPr>
        <w:pStyle w:val="af8"/>
        <w:spacing w:before="120" w:beforeAutospacing="0" w:after="120" w:afterAutospacing="0" w:line="276" w:lineRule="auto"/>
        <w:jc w:val="both"/>
      </w:pPr>
      <w:r w:rsidRPr="0020102C">
        <w:rPr>
          <w:rStyle w:val="af9"/>
          <w:rFonts w:eastAsiaTheme="majorEastAsia"/>
          <w:color w:val="3494BA" w:themeColor="accent1"/>
        </w:rPr>
        <w:t xml:space="preserve">Etapa de </w:t>
      </w:r>
      <w:r w:rsidR="00332E7E" w:rsidRPr="0020102C">
        <w:rPr>
          <w:rStyle w:val="af9"/>
          <w:rFonts w:eastAsiaTheme="majorEastAsia"/>
          <w:color w:val="3494BA" w:themeColor="accent1"/>
        </w:rPr>
        <w:t xml:space="preserve">activare </w:t>
      </w:r>
      <w:r w:rsidR="00D92752" w:rsidRPr="0020102C">
        <w:rPr>
          <w:rStyle w:val="af9"/>
          <w:rFonts w:eastAsiaTheme="majorEastAsia"/>
          <w:color w:val="3494BA" w:themeColor="accent1"/>
        </w:rPr>
        <w:t xml:space="preserve">(2019–2022). </w:t>
      </w:r>
      <w:r w:rsidRPr="0020102C">
        <w:t>Această perioadă a fost marcată de revizuirea metodologiilor de elaborare a standardelor de calificare (ex. Ordinul MEC nr. 573/2022) și de avansarea în procesul de corelare a descriptorilor CNC cu cei ai EQF și Dublin Descriptors. Totodată, au fost create centre pentru validarea învățării nonformale și informale (în baza Ordinului MEC nr. 885/2022), consolidând mecanismele de recunoaștere a învățării anterioare. Cu toate acestea, e</w:t>
      </w:r>
      <w:r w:rsidR="00D92752" w:rsidRPr="0020102C">
        <w:t>xperții internaționali, inclusiv prin proiectul Twinning „Sporirea calității și eficienței învățământului profesional tehnic” (2019–2021), au semnalat deficiențe majore</w:t>
      </w:r>
      <w:r w:rsidR="00FC0763" w:rsidRPr="0020102C">
        <w:t>, precum</w:t>
      </w:r>
      <w:r w:rsidR="00D92752" w:rsidRPr="0020102C">
        <w:t>:</w:t>
      </w:r>
    </w:p>
    <w:p w14:paraId="722F4D29" w14:textId="2539F3D3"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Cooperare și guvernanță insuficiente</w:t>
      </w:r>
      <w:r w:rsidRPr="0020102C">
        <w:t>: lipsa alianțelor între părțile interesate, delimitarea neclară a rolurilor și responsabilităților, precum și activitatea redusă sau inexistentă a unor comitete sectoriale.</w:t>
      </w:r>
    </w:p>
    <w:p w14:paraId="1BB00F90" w14:textId="574D2137"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Standardizare și relevanță limitată</w:t>
      </w:r>
      <w:r w:rsidRPr="0020102C">
        <w:t>: absența sau insuficiența standardelor ocupaționale, de competență și de calificare care să reflecte cerințele pieței muncii și să asigure calitatea calificărilor.</w:t>
      </w:r>
    </w:p>
    <w:p w14:paraId="4C51CFEB" w14:textId="0EDD30D6"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Lipsa de cartografiere și transparență</w:t>
      </w:r>
      <w:r w:rsidRPr="0020102C">
        <w:t>: neefectuarea relaționării verticale și orizontale a tipurilor și nivelurilor de calificări și a nomenclatoarelor domeniilor de formare profesională.</w:t>
      </w:r>
    </w:p>
    <w:p w14:paraId="79A24495" w14:textId="74AA7E1C"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Cunoaștere redusă</w:t>
      </w:r>
      <w:r w:rsidRPr="0020102C">
        <w:t>: părțile interesate (angajatori, elevi, studenți, instituții) au o înțelegere limitată a diversității și valorii calificărilor existente.</w:t>
      </w:r>
    </w:p>
    <w:p w14:paraId="612DFCA4" w14:textId="70DD7C64"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Integrare limitată cu instrumentele europene</w:t>
      </w:r>
      <w:r w:rsidRPr="0020102C">
        <w:t>: relaționarea slabă a CNC cu sisteme precum recunoașterea studiilor anterioare, recunoașterea părților de calificări sau transferul de credite.</w:t>
      </w:r>
    </w:p>
    <w:p w14:paraId="3C420ACD" w14:textId="498217F7"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Deficit de baze de date și digitalizare</w:t>
      </w:r>
      <w:r w:rsidRPr="0020102C">
        <w:t>: lipsa unor sisteme complete și interoperabile care să sprijine informarea beneficiarilor și comparabilitatea internațională (ex. Europass).</w:t>
      </w:r>
    </w:p>
    <w:p w14:paraId="4CA5318A" w14:textId="6A39862D"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Absența unui cadru de politică strategic</w:t>
      </w:r>
      <w:r w:rsidRPr="0020102C">
        <w:t>: lipsa unui document național dedicat dezvoltării CNC conform principiilor EQF.</w:t>
      </w:r>
    </w:p>
    <w:p w14:paraId="786A5784" w14:textId="677F9AE0" w:rsidR="00FC0763" w:rsidRPr="0020102C" w:rsidRDefault="00FC0763" w:rsidP="00A41843">
      <w:pPr>
        <w:pStyle w:val="af8"/>
        <w:numPr>
          <w:ilvl w:val="0"/>
          <w:numId w:val="94"/>
        </w:numPr>
        <w:spacing w:before="120" w:beforeAutospacing="0" w:after="120" w:afterAutospacing="0" w:line="276" w:lineRule="auto"/>
        <w:ind w:left="284" w:hanging="284"/>
        <w:jc w:val="both"/>
      </w:pPr>
      <w:r w:rsidRPr="0020102C">
        <w:rPr>
          <w:rStyle w:val="af9"/>
          <w:rFonts w:eastAsiaTheme="majorEastAsia"/>
        </w:rPr>
        <w:t>Resurse insuficiente</w:t>
      </w:r>
      <w:r w:rsidRPr="0020102C">
        <w:t>: resurse umane și financiare limitate pentru dezvoltarea și implementarea eficientă a CNC.</w:t>
      </w:r>
    </w:p>
    <w:p w14:paraId="4F07E140" w14:textId="109B7B49" w:rsidR="00D92752" w:rsidRPr="0020102C" w:rsidRDefault="00933463" w:rsidP="00082272">
      <w:pPr>
        <w:pStyle w:val="af8"/>
        <w:spacing w:before="120" w:beforeAutospacing="0" w:after="120" w:afterAutospacing="0" w:line="276" w:lineRule="auto"/>
        <w:jc w:val="both"/>
      </w:pPr>
      <w:r w:rsidRPr="0020102C">
        <w:t xml:space="preserve">Aceste limitări au </w:t>
      </w:r>
      <w:r w:rsidR="00612760" w:rsidRPr="0020102C">
        <w:t>încetinit</w:t>
      </w:r>
      <w:r w:rsidRPr="0020102C">
        <w:t xml:space="preserve"> procesul de consolidare și operaționalizare a CNC, afectând relevanța, transparența și recunoașterea calificărilor, precum și integrarea deplină a cadrului național în spațiul european al calificărilor</w:t>
      </w:r>
      <w:r w:rsidR="00D92752" w:rsidRPr="0020102C">
        <w:t>.</w:t>
      </w:r>
    </w:p>
    <w:p w14:paraId="62A8AF28" w14:textId="389C02AE" w:rsidR="0033599E" w:rsidRPr="0020102C" w:rsidRDefault="005028B0" w:rsidP="00082272">
      <w:pPr>
        <w:pStyle w:val="af8"/>
        <w:spacing w:before="120" w:beforeAutospacing="0" w:after="120" w:afterAutospacing="0" w:line="276" w:lineRule="auto"/>
        <w:jc w:val="both"/>
      </w:pPr>
      <w:r w:rsidRPr="0020102C">
        <w:rPr>
          <w:rStyle w:val="af9"/>
          <w:rFonts w:eastAsiaTheme="majorEastAsia"/>
          <w:color w:val="3494BA" w:themeColor="accent1"/>
        </w:rPr>
        <w:t xml:space="preserve">Etapa de </w:t>
      </w:r>
      <w:r w:rsidR="00332E7E" w:rsidRPr="0020102C">
        <w:rPr>
          <w:rStyle w:val="af9"/>
          <w:rFonts w:eastAsiaTheme="majorEastAsia"/>
          <w:color w:val="3494BA" w:themeColor="accent1"/>
        </w:rPr>
        <w:t>operaționalizare</w:t>
      </w:r>
      <w:r w:rsidR="00D92752" w:rsidRPr="0020102C">
        <w:rPr>
          <w:rStyle w:val="af9"/>
          <w:rFonts w:eastAsiaTheme="majorEastAsia"/>
          <w:color w:val="3494BA" w:themeColor="accent1"/>
        </w:rPr>
        <w:t xml:space="preserve"> (2023–prezent).</w:t>
      </w:r>
      <w:r w:rsidR="0076509C" w:rsidRPr="0020102C">
        <w:rPr>
          <w:rStyle w:val="af9"/>
          <w:rFonts w:eastAsiaTheme="majorEastAsia"/>
          <w:color w:val="3494BA" w:themeColor="accent1"/>
        </w:rPr>
        <w:t xml:space="preserve"> </w:t>
      </w:r>
      <w:r w:rsidR="00332E7E" w:rsidRPr="0020102C">
        <w:rPr>
          <w:rStyle w:val="af9"/>
          <w:rFonts w:eastAsiaTheme="majorEastAsia"/>
          <w:b w:val="0"/>
          <w:bCs w:val="0"/>
        </w:rPr>
        <w:t>A</w:t>
      </w:r>
      <w:r w:rsidR="00FC0763" w:rsidRPr="0020102C">
        <w:rPr>
          <w:rStyle w:val="af9"/>
          <w:rFonts w:eastAsiaTheme="majorEastAsia"/>
          <w:b w:val="0"/>
          <w:bCs w:val="0"/>
        </w:rPr>
        <w:t>doptare</w:t>
      </w:r>
      <w:r w:rsidR="00332E7E" w:rsidRPr="0020102C">
        <w:rPr>
          <w:rStyle w:val="af9"/>
          <w:rFonts w:eastAsiaTheme="majorEastAsia"/>
          <w:b w:val="0"/>
          <w:bCs w:val="0"/>
        </w:rPr>
        <w:t>a</w:t>
      </w:r>
      <w:r w:rsidR="00FC0763" w:rsidRPr="0020102C">
        <w:rPr>
          <w:rStyle w:val="af9"/>
          <w:rFonts w:eastAsiaTheme="majorEastAsia"/>
          <w:b w:val="0"/>
          <w:bCs w:val="0"/>
        </w:rPr>
        <w:t xml:space="preserve"> formală a CNC</w:t>
      </w:r>
      <w:r w:rsidR="00FC0763" w:rsidRPr="0020102C">
        <w:t xml:space="preserve"> marc</w:t>
      </w:r>
      <w:r w:rsidR="00401484" w:rsidRPr="0020102C">
        <w:t>he</w:t>
      </w:r>
      <w:r w:rsidR="00FC0763" w:rsidRPr="0020102C">
        <w:t xml:space="preserve">ază momentul </w:t>
      </w:r>
      <w:r w:rsidR="00332E7E" w:rsidRPr="0020102C">
        <w:t xml:space="preserve">de cotitură </w:t>
      </w:r>
      <w:r w:rsidR="00FC0763" w:rsidRPr="0020102C">
        <w:t xml:space="preserve">în care cadrul este recunoscut oficial prin acte normative și devine parte integrantă a politicilor educaționale și de ocupare. În Republica Moldova, această etapă a fost realizată prin </w:t>
      </w:r>
      <w:r w:rsidR="00FC0763" w:rsidRPr="0020102C">
        <w:rPr>
          <w:rStyle w:val="af9"/>
          <w:rFonts w:eastAsiaTheme="majorEastAsia"/>
        </w:rPr>
        <w:t>Codul educației nr. 152/2014</w:t>
      </w:r>
      <w:r w:rsidR="00FC0763" w:rsidRPr="0020102C">
        <w:t xml:space="preserve"> și ulterior consolidată prin </w:t>
      </w:r>
      <w:r w:rsidR="00FC0763" w:rsidRPr="0020102C">
        <w:rPr>
          <w:rStyle w:val="af9"/>
          <w:rFonts w:eastAsiaTheme="majorEastAsia"/>
        </w:rPr>
        <w:t>HG nr. 330/2023</w:t>
      </w:r>
      <w:r w:rsidR="00FC0763" w:rsidRPr="0020102C">
        <w:t>, care a reglementat arhitectura CNC, rolurile și responsabilitățile instituțiilor implicate, precum și mecanismele de implementare</w:t>
      </w:r>
      <w:r w:rsidR="0033599E" w:rsidRPr="0020102C">
        <w:t xml:space="preserve">, stipulate în cele 3 anexe: </w:t>
      </w:r>
      <w:r w:rsidR="00FC0763" w:rsidRPr="0020102C">
        <w:t xml:space="preserve"> </w:t>
      </w:r>
    </w:p>
    <w:p w14:paraId="03F6AB6B" w14:textId="77777777" w:rsidR="00D92752" w:rsidRPr="0020102C" w:rsidRDefault="00D92752" w:rsidP="00A41843">
      <w:pPr>
        <w:pStyle w:val="af8"/>
        <w:numPr>
          <w:ilvl w:val="0"/>
          <w:numId w:val="69"/>
        </w:numPr>
        <w:spacing w:before="120" w:beforeAutospacing="0" w:after="120" w:afterAutospacing="0" w:line="276" w:lineRule="auto"/>
        <w:jc w:val="both"/>
      </w:pPr>
      <w:r w:rsidRPr="0020102C">
        <w:rPr>
          <w:rStyle w:val="af9"/>
          <w:rFonts w:eastAsiaTheme="majorEastAsia"/>
          <w:b w:val="0"/>
          <w:bCs w:val="0"/>
        </w:rPr>
        <w:t>Anexa 1:</w:t>
      </w:r>
      <w:r w:rsidRPr="0020102C">
        <w:t xml:space="preserve"> descrierea structurii CNC și a nivelurilor 1–8;</w:t>
      </w:r>
    </w:p>
    <w:p w14:paraId="291AE1A4" w14:textId="77777777" w:rsidR="00D92752" w:rsidRPr="0020102C" w:rsidRDefault="00D92752" w:rsidP="00A41843">
      <w:pPr>
        <w:pStyle w:val="af8"/>
        <w:numPr>
          <w:ilvl w:val="0"/>
          <w:numId w:val="69"/>
        </w:numPr>
        <w:spacing w:before="120" w:beforeAutospacing="0" w:after="120" w:afterAutospacing="0" w:line="276" w:lineRule="auto"/>
        <w:jc w:val="both"/>
      </w:pPr>
      <w:r w:rsidRPr="0020102C">
        <w:rPr>
          <w:rStyle w:val="af9"/>
          <w:rFonts w:eastAsiaTheme="majorEastAsia"/>
          <w:b w:val="0"/>
          <w:bCs w:val="0"/>
        </w:rPr>
        <w:t>Anexa 2:</w:t>
      </w:r>
      <w:r w:rsidRPr="0020102C">
        <w:t xml:space="preserve"> corelarea CNC cu sistemele naționale de educație și formare;</w:t>
      </w:r>
    </w:p>
    <w:p w14:paraId="074F2C25" w14:textId="77777777" w:rsidR="00D92752" w:rsidRPr="0020102C" w:rsidRDefault="00D92752" w:rsidP="00A41843">
      <w:pPr>
        <w:pStyle w:val="af8"/>
        <w:numPr>
          <w:ilvl w:val="0"/>
          <w:numId w:val="69"/>
        </w:numPr>
        <w:spacing w:before="120" w:beforeAutospacing="0" w:after="120" w:afterAutospacing="0" w:line="276" w:lineRule="auto"/>
        <w:jc w:val="both"/>
      </w:pPr>
      <w:r w:rsidRPr="0020102C">
        <w:rPr>
          <w:rStyle w:val="af9"/>
          <w:rFonts w:eastAsiaTheme="majorEastAsia"/>
          <w:b w:val="0"/>
          <w:bCs w:val="0"/>
        </w:rPr>
        <w:lastRenderedPageBreak/>
        <w:t>Anexa 3:</w:t>
      </w:r>
      <w:r w:rsidRPr="0020102C">
        <w:t xml:space="preserve"> tabele de echivalență între diplomele și certificatele naționale, ISCED, CNC și EQF.</w:t>
      </w:r>
    </w:p>
    <w:p w14:paraId="3B85089C" w14:textId="7EA584AD" w:rsidR="0033599E" w:rsidRPr="0020102C" w:rsidRDefault="0033599E" w:rsidP="00082272">
      <w:pPr>
        <w:pStyle w:val="af8"/>
        <w:spacing w:before="120" w:beforeAutospacing="0" w:after="120" w:afterAutospacing="0" w:line="276" w:lineRule="auto"/>
        <w:jc w:val="both"/>
      </w:pPr>
      <w:r w:rsidRPr="0020102C">
        <w:t xml:space="preserve">Această adoptare formală a creat premisa pentru operaționalizarea CNC și alinierea sa la principiile </w:t>
      </w:r>
      <w:r w:rsidRPr="0020102C">
        <w:rPr>
          <w:rStyle w:val="af9"/>
          <w:rFonts w:eastAsiaTheme="majorEastAsia"/>
        </w:rPr>
        <w:t>EQF</w:t>
      </w:r>
      <w:r w:rsidRPr="0020102C">
        <w:t xml:space="preserve"> și </w:t>
      </w:r>
      <w:r w:rsidRPr="0020102C">
        <w:rPr>
          <w:rStyle w:val="af9"/>
          <w:rFonts w:eastAsiaTheme="majorEastAsia"/>
        </w:rPr>
        <w:t>QF-</w:t>
      </w:r>
      <w:r w:rsidR="002513BE" w:rsidRPr="0020102C">
        <w:rPr>
          <w:rStyle w:val="af9"/>
          <w:rFonts w:eastAsiaTheme="majorEastAsia"/>
        </w:rPr>
        <w:t>EHEA</w:t>
      </w:r>
      <w:r w:rsidRPr="0020102C">
        <w:t xml:space="preserve">. </w:t>
      </w:r>
    </w:p>
    <w:p w14:paraId="035D3993" w14:textId="40FF804C" w:rsidR="00D92752" w:rsidRPr="0020102C" w:rsidRDefault="005028B0" w:rsidP="00082272">
      <w:pPr>
        <w:pStyle w:val="af8"/>
        <w:spacing w:before="120" w:beforeAutospacing="0" w:after="120" w:afterAutospacing="0" w:line="276" w:lineRule="auto"/>
        <w:jc w:val="both"/>
      </w:pPr>
      <w:r w:rsidRPr="0020102C">
        <w:t xml:space="preserve">Prin același act normativ, </w:t>
      </w:r>
      <w:r w:rsidR="006C4E94" w:rsidRPr="001F6026">
        <w:t>MEC</w:t>
      </w:r>
      <w:r w:rsidRPr="0020102C">
        <w:t xml:space="preserve"> a fost desemnat </w:t>
      </w:r>
      <w:r w:rsidRPr="0020102C">
        <w:rPr>
          <w:rStyle w:val="af9"/>
          <w:rFonts w:eastAsiaTheme="majorEastAsia"/>
          <w:i/>
          <w:iCs/>
        </w:rPr>
        <w:t>Punct Național de Coordonare pentru EQF</w:t>
      </w:r>
      <w:r w:rsidRPr="0020102C">
        <w:t>, având responsabilitatea de a asigura referențierea și raportarea progreselor. Totodată, CNC a fost consolidat ca instrument central al politicilor de educație și formare profesională, prin</w:t>
      </w:r>
      <w:r w:rsidR="00D92752" w:rsidRPr="0020102C">
        <w:t xml:space="preserve"> acte normative conexe: Ordinul MEC nr. 573/2022 privind metodologia </w:t>
      </w:r>
      <w:r w:rsidRPr="0020102C">
        <w:t xml:space="preserve">de elaborare a </w:t>
      </w:r>
      <w:r w:rsidR="00D92752" w:rsidRPr="0020102C">
        <w:t xml:space="preserve">standardelor de calificare, Ordinul MEC nr. 885/2022 privind validarea învățării nonformale și informale, </w:t>
      </w:r>
      <w:r w:rsidR="00D92752" w:rsidRPr="00DE624F">
        <w:t>Ordinul MEC nr. 785/2024 privind microcalificările</w:t>
      </w:r>
      <w:r w:rsidR="00D92752" w:rsidRPr="0020102C">
        <w:t>, Ordinul MEC nr. 770/2024 privind înscrierea calificărilor în Registrul Național, precum și HG nr. 222/2024 privind educația adulților.</w:t>
      </w:r>
    </w:p>
    <w:p w14:paraId="648518EF" w14:textId="24E9BA4E" w:rsidR="001123F7" w:rsidRPr="0020102C" w:rsidRDefault="001123F7" w:rsidP="00082272">
      <w:pPr>
        <w:pStyle w:val="af8"/>
        <w:spacing w:before="120" w:beforeAutospacing="0" w:after="120" w:afterAutospacing="0" w:line="276" w:lineRule="auto"/>
        <w:jc w:val="both"/>
      </w:pPr>
      <w:r w:rsidRPr="0020102C">
        <w:rPr>
          <w:rStyle w:val="af9"/>
          <w:rFonts w:eastAsiaTheme="majorEastAsia"/>
          <w:color w:val="3494BA" w:themeColor="accent1"/>
        </w:rPr>
        <w:t>Etapa de operaționalizare</w:t>
      </w:r>
      <w:r w:rsidRPr="0020102C">
        <w:t xml:space="preserve"> a </w:t>
      </w:r>
      <w:r w:rsidR="006C4E94" w:rsidRPr="001F6026">
        <w:t>CNC</w:t>
      </w:r>
      <w:r w:rsidRPr="0020102C">
        <w:t xml:space="preserve"> din Republica Moldova se justifică prin faptul că acesta întrunește majoritatea indicatorilor prevăzuți pentru această fază, confirmând funcționalitatea și aplicabilitatea sa în sistemul național de educație și formare. CNC este deja un instrument permanent și vizibil, reglementat clar prin Codul educației și HG nr. 330/2023. Nivelurile CNC sunt indicate pe diplome și certificate, iar Registrul Național al Calificărilor oferă transparență și acces public la informații esențiale despre calificări. Totodată, funcționarea CNC este sprijinită de mecanisme de asigurare a calității implementate de ANACEC și de platforme de cooperare precum Consiliul Național pentru Calificări, comitetele sectoriale pentru formare profesională și structurile de dialog social dintre educație și piața muncii. Prin corelarea cu EQF și utilizarea instrumentelor europene de transparență (Europass, Supliment la Diplomă), CNC din Moldova contribuie la mobilitatea academică și profesională, consolidându-și statutul de cadru operaționalizat.</w:t>
      </w:r>
    </w:p>
    <w:p w14:paraId="786E3669" w14:textId="7F11AF75" w:rsidR="00D92752" w:rsidRPr="0020102C" w:rsidRDefault="00D92752" w:rsidP="00082272">
      <w:pPr>
        <w:pStyle w:val="af8"/>
        <w:spacing w:before="120" w:beforeAutospacing="0" w:after="120" w:afterAutospacing="0" w:line="276" w:lineRule="auto"/>
        <w:jc w:val="both"/>
      </w:pPr>
      <w:r w:rsidRPr="0020102C">
        <w:t xml:space="preserve">În concluzie, </w:t>
      </w:r>
      <w:r w:rsidR="00CC7F30" w:rsidRPr="0020102C">
        <w:t>evoluția</w:t>
      </w:r>
      <w:r w:rsidRPr="0020102C">
        <w:t xml:space="preserve"> CNC reflectă trecerea de la încercări fragmentate și cadre parțiale către un instrument unitar, operațional și orientat european, menit să asigure transparența, comparabilitatea și recunoașterea calificărilor naționale pe plan internațional</w:t>
      </w:r>
      <w:r w:rsidR="00CC7F30" w:rsidRPr="0020102C">
        <w:t>, având un rol decisiv în integrarea Republicii Moldova în spațiul educațional și al muncii european.</w:t>
      </w:r>
    </w:p>
    <w:p w14:paraId="1E54E847" w14:textId="77777777" w:rsidR="00516258" w:rsidRPr="0020102C" w:rsidRDefault="00516258" w:rsidP="00082272">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4.2. Baza legală și instituțională a CNC</w:t>
      </w:r>
    </w:p>
    <w:p w14:paraId="251466EF" w14:textId="6277D3C2" w:rsidR="00C64D21" w:rsidRPr="0020102C" w:rsidRDefault="003C5D90" w:rsidP="00082272">
      <w:pPr>
        <w:pStyle w:val="af8"/>
        <w:spacing w:before="120" w:beforeAutospacing="0" w:after="120" w:afterAutospacing="0" w:line="276" w:lineRule="auto"/>
        <w:jc w:val="both"/>
      </w:pPr>
      <w:r w:rsidRPr="0020102C">
        <w:rPr>
          <w:b/>
          <w:bCs/>
          <w:color w:val="3494BA" w:themeColor="accent1"/>
        </w:rPr>
        <w:t xml:space="preserve">Cadrul juridic general: </w:t>
      </w:r>
      <w:r w:rsidR="00C64D21" w:rsidRPr="0020102C">
        <w:t xml:space="preserve">Dezvoltarea și implementarea CNC în Republica Moldova se fundamentează pe un cadru legal și instituțional complex, aliniat la bunele practici europene și internaționale. Fundamentul juridic al CNC este prevăzut în </w:t>
      </w:r>
      <w:r w:rsidR="00C64D21" w:rsidRPr="0020102C">
        <w:rPr>
          <w:rStyle w:val="af9"/>
          <w:rFonts w:eastAsiaTheme="majorEastAsia"/>
        </w:rPr>
        <w:t xml:space="preserve">Codul educației nr. 152/2014 </w:t>
      </w:r>
      <w:r w:rsidR="00C64D21" w:rsidRPr="0020102C">
        <w:rPr>
          <w:rStyle w:val="af9"/>
          <w:rFonts w:eastAsiaTheme="majorEastAsia"/>
          <w:b w:val="0"/>
          <w:bCs w:val="0"/>
        </w:rPr>
        <w:t>(art. 11</w:t>
      </w:r>
      <w:r w:rsidR="00C64D21" w:rsidRPr="0020102C">
        <w:rPr>
          <w:rStyle w:val="af9"/>
          <w:rFonts w:eastAsiaTheme="majorEastAsia"/>
          <w:b w:val="0"/>
          <w:bCs w:val="0"/>
          <w:vertAlign w:val="superscript"/>
        </w:rPr>
        <w:t>1</w:t>
      </w:r>
      <w:r w:rsidR="00C64D21" w:rsidRPr="0020102C">
        <w:t>), care reglementează principiile generale privind elaborarea și implementarea CNC, precum și dezvoltarea și utilizarea calificărilor în toate segmentele sistemului educațional: învățământul profesional tehnic, învățământul superior, educația adulților și învățarea pe tot parcursul vieții, dar și pentru asigurarea calității.</w:t>
      </w:r>
    </w:p>
    <w:p w14:paraId="1ABDA748" w14:textId="480A6EE2" w:rsidR="00C64D21" w:rsidRPr="0020102C" w:rsidRDefault="00C64D21" w:rsidP="00082272">
      <w:pPr>
        <w:pStyle w:val="af8"/>
        <w:spacing w:before="120" w:beforeAutospacing="0" w:after="120" w:afterAutospacing="0" w:line="276" w:lineRule="auto"/>
        <w:jc w:val="both"/>
      </w:pPr>
      <w:r w:rsidRPr="0020102C">
        <w:rPr>
          <w:rStyle w:val="af9"/>
          <w:rFonts w:eastAsiaTheme="majorEastAsia"/>
        </w:rPr>
        <w:t>Strategia Educației 2030.</w:t>
      </w:r>
      <w:r w:rsidRPr="0020102C">
        <w:t xml:space="preserve"> Un document strategic de referință este </w:t>
      </w:r>
      <w:r w:rsidRPr="0020102C">
        <w:rPr>
          <w:rStyle w:val="af9"/>
          <w:rFonts w:eastAsiaTheme="majorEastAsia"/>
        </w:rPr>
        <w:t>Strategia Educației 2030</w:t>
      </w:r>
      <w:r w:rsidRPr="0020102C">
        <w:t>, aprobată prin Hotărârea Guvernului nr. 75</w:t>
      </w:r>
      <w:r w:rsidR="00933463" w:rsidRPr="0020102C">
        <w:t>/</w:t>
      </w:r>
      <w:r w:rsidRPr="0020102C">
        <w:rPr>
          <w:rStyle w:val="af9"/>
          <w:rFonts w:eastAsiaTheme="majorEastAsia"/>
          <w:b w:val="0"/>
          <w:bCs w:val="0"/>
        </w:rPr>
        <w:t>2023</w:t>
      </w:r>
      <w:r w:rsidRPr="0020102C">
        <w:t>. Strategia plasează dezvoltarea Cadrului Național al Calificărilor în centrul politicilor educaționale și economice, subliniind rolul acestuia pentru:</w:t>
      </w:r>
    </w:p>
    <w:p w14:paraId="78C7416E" w14:textId="77777777" w:rsidR="00C64D21" w:rsidRPr="0020102C" w:rsidRDefault="00C64D21" w:rsidP="00A41843">
      <w:pPr>
        <w:pStyle w:val="af8"/>
        <w:numPr>
          <w:ilvl w:val="0"/>
          <w:numId w:val="95"/>
        </w:numPr>
        <w:spacing w:before="120" w:beforeAutospacing="0" w:after="120" w:afterAutospacing="0" w:line="276" w:lineRule="auto"/>
        <w:jc w:val="both"/>
      </w:pPr>
      <w:r w:rsidRPr="0020102C">
        <w:rPr>
          <w:rStyle w:val="af9"/>
          <w:rFonts w:eastAsiaTheme="majorEastAsia"/>
          <w:b w:val="0"/>
          <w:bCs w:val="0"/>
        </w:rPr>
        <w:t>modernizarea educației și racordarea la piața muncii</w:t>
      </w:r>
      <w:r w:rsidRPr="0020102C">
        <w:t>, prin corelarea calificărilor cu cerințele sectoarelor socio-economice;</w:t>
      </w:r>
    </w:p>
    <w:p w14:paraId="0F2615B8" w14:textId="77777777" w:rsidR="00C64D21" w:rsidRPr="0020102C" w:rsidRDefault="00C64D21" w:rsidP="00A41843">
      <w:pPr>
        <w:pStyle w:val="af8"/>
        <w:numPr>
          <w:ilvl w:val="0"/>
          <w:numId w:val="95"/>
        </w:numPr>
        <w:spacing w:before="120" w:beforeAutospacing="0" w:after="120" w:afterAutospacing="0" w:line="276" w:lineRule="auto"/>
        <w:jc w:val="both"/>
      </w:pPr>
      <w:r w:rsidRPr="0020102C">
        <w:rPr>
          <w:rStyle w:val="af9"/>
          <w:rFonts w:eastAsiaTheme="majorEastAsia"/>
          <w:b w:val="0"/>
          <w:bCs w:val="0"/>
        </w:rPr>
        <w:t>asigurarea transparenței și comparabilității</w:t>
      </w:r>
      <w:r w:rsidRPr="0020102C">
        <w:t xml:space="preserve"> calificărilor la nivel european, facilitând recunoașterea și mobilitatea;</w:t>
      </w:r>
    </w:p>
    <w:p w14:paraId="431BF7F4" w14:textId="77777777" w:rsidR="00C64D21" w:rsidRPr="0020102C" w:rsidRDefault="00C64D21" w:rsidP="00A41843">
      <w:pPr>
        <w:pStyle w:val="af8"/>
        <w:numPr>
          <w:ilvl w:val="0"/>
          <w:numId w:val="95"/>
        </w:numPr>
        <w:spacing w:before="120" w:beforeAutospacing="0" w:after="120" w:afterAutospacing="0" w:line="276" w:lineRule="auto"/>
        <w:jc w:val="both"/>
      </w:pPr>
      <w:r w:rsidRPr="0020102C">
        <w:rPr>
          <w:rStyle w:val="af9"/>
          <w:rFonts w:eastAsiaTheme="majorEastAsia"/>
          <w:b w:val="0"/>
          <w:bCs w:val="0"/>
        </w:rPr>
        <w:t>integrarea microcalificărilor și a învățării non-formale și informale</w:t>
      </w:r>
      <w:r w:rsidRPr="0020102C">
        <w:t xml:space="preserve"> în CNC, ca mijloc de sprijin pentru învățarea pe tot parcursul vieții;</w:t>
      </w:r>
    </w:p>
    <w:p w14:paraId="42A57F20" w14:textId="77777777" w:rsidR="00082272" w:rsidRPr="0020102C" w:rsidRDefault="00C64D21" w:rsidP="00A41843">
      <w:pPr>
        <w:pStyle w:val="af8"/>
        <w:numPr>
          <w:ilvl w:val="0"/>
          <w:numId w:val="95"/>
        </w:numPr>
        <w:spacing w:before="120" w:beforeAutospacing="0" w:after="120" w:afterAutospacing="0" w:line="276" w:lineRule="auto"/>
        <w:jc w:val="both"/>
      </w:pPr>
      <w:r w:rsidRPr="0020102C">
        <w:rPr>
          <w:rStyle w:val="af9"/>
          <w:rFonts w:eastAsiaTheme="majorEastAsia"/>
          <w:b w:val="0"/>
          <w:bCs w:val="0"/>
        </w:rPr>
        <w:lastRenderedPageBreak/>
        <w:t>digitalizarea și internaționalizarea educației</w:t>
      </w:r>
      <w:r w:rsidRPr="0020102C">
        <w:t>, prin interconectarea CNC cu platforme europene precum EQF Portal și Europass.</w:t>
      </w:r>
    </w:p>
    <w:p w14:paraId="230429C1" w14:textId="06F6BC61" w:rsidR="00C64D21" w:rsidRPr="0020102C" w:rsidRDefault="00C64D21" w:rsidP="00082272">
      <w:pPr>
        <w:pStyle w:val="af8"/>
        <w:spacing w:before="120" w:beforeAutospacing="0" w:after="120" w:afterAutospacing="0" w:line="276" w:lineRule="auto"/>
        <w:jc w:val="both"/>
      </w:pPr>
      <w:r w:rsidRPr="0020102C">
        <w:t>Astfel, Strategia Educației 2030 confirmă CNC drept un instrument strategic de dezvoltare a capitalului uman și de integrare a Republicii Moldova în Spațiul European al Învățământului Superior și pe piața europeană a muncii.</w:t>
      </w:r>
    </w:p>
    <w:p w14:paraId="71C289FB" w14:textId="67DDE916" w:rsidR="00C64D21" w:rsidRPr="00DE624F" w:rsidRDefault="0054585E" w:rsidP="00DE624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Hotărârea Guvernului nr. 330/2023 privind Cadrul Național al Calificărilor</w:t>
      </w:r>
      <w:r w:rsidRPr="0020102C">
        <w:rPr>
          <w:rFonts w:ascii="Times New Roman" w:eastAsia="Times New Roman" w:hAnsi="Times New Roman" w:cs="Times New Roman"/>
          <w:kern w:val="0"/>
          <w:sz w:val="24"/>
          <w:szCs w:val="24"/>
          <w:lang w:eastAsia="ro-MD"/>
          <w14:ligatures w14:val="none"/>
        </w:rPr>
        <w:t xml:space="preserve"> , </w:t>
      </w:r>
      <w:r w:rsidRPr="001F6026">
        <w:rPr>
          <w:rFonts w:ascii="Times New Roman" w:eastAsia="Times New Roman" w:hAnsi="Times New Roman" w:cs="Times New Roman"/>
          <w:kern w:val="0"/>
          <w:sz w:val="24"/>
          <w:szCs w:val="24"/>
          <w:lang w:eastAsia="ro-MD"/>
          <w14:ligatures w14:val="none"/>
        </w:rPr>
        <w:t xml:space="preserve">inclusiv modificările aduse prin Decizia delegată (UE) 2021/2183, precum și recomandările Consiliului UE privind: Cadrul european al calificărilor (2017), competențele-cheie pentru învățarea pe tot parcursul vieții (2018) și recunoașterea automată a calificărilor din învățământul superior și secundar superior (2018). Totodată, HG 330/2023 aprobă Cadrul Național al Calificărilor, împreună cu Foaia de parcurs pentru operaționalizarea acestuia pe perioada 2023–2027. De asemenea, hotărârea stabilește corelarea actelor de studii și de formare profesională eliberate în sistemul național de învățământ, inclusiv cele obținute înainte de 1991, cu nivelurile Clasificării internaționale standard a educației (ISCED 2011/ISCED-F 2013), cu nivelurile CNC și </w:t>
      </w:r>
      <w:r w:rsidRPr="00DE624F">
        <w:rPr>
          <w:rFonts w:ascii="Times New Roman" w:eastAsia="Times New Roman" w:hAnsi="Times New Roman" w:cs="Times New Roman"/>
          <w:kern w:val="0"/>
          <w:sz w:val="24"/>
          <w:szCs w:val="24"/>
          <w:lang w:eastAsia="ro-MD"/>
          <w14:ligatures w14:val="none"/>
        </w:rPr>
        <w:t>cu nivelurile de referință ale EQF, conform anexei 3.</w:t>
      </w:r>
      <w:r w:rsidR="001E6AE6" w:rsidRPr="00DE624F">
        <w:rPr>
          <w:rFonts w:ascii="Times New Roman" w:eastAsia="Times New Roman" w:hAnsi="Times New Roman" w:cs="Times New Roman"/>
          <w:kern w:val="0"/>
          <w:sz w:val="24"/>
          <w:szCs w:val="24"/>
          <w:lang w:eastAsia="ro-MD"/>
          <w14:ligatures w14:val="none"/>
        </w:rPr>
        <w:t xml:space="preserve"> </w:t>
      </w:r>
    </w:p>
    <w:p w14:paraId="13AF2B0A" w14:textId="77777777" w:rsidR="00F62127" w:rsidRPr="00DE624F" w:rsidRDefault="00F62127" w:rsidP="00DE624F">
      <w:pPr>
        <w:spacing w:before="120" w:after="120" w:line="276" w:lineRule="auto"/>
        <w:jc w:val="both"/>
        <w:outlineLvl w:val="1"/>
        <w:rPr>
          <w:rFonts w:ascii="Times New Roman" w:eastAsia="Times New Roman" w:hAnsi="Times New Roman" w:cs="Times New Roman"/>
          <w:b/>
          <w:bCs/>
          <w:kern w:val="0"/>
          <w:sz w:val="24"/>
          <w:szCs w:val="24"/>
          <w:lang w:val="ro-MD" w:eastAsia="ro-MD"/>
          <w14:ligatures w14:val="none"/>
        </w:rPr>
      </w:pPr>
      <w:r w:rsidRPr="00DE624F">
        <w:rPr>
          <w:rFonts w:ascii="Times New Roman" w:eastAsia="Times New Roman" w:hAnsi="Times New Roman" w:cs="Times New Roman"/>
          <w:b/>
          <w:bCs/>
          <w:kern w:val="0"/>
          <w:sz w:val="24"/>
          <w:szCs w:val="24"/>
          <w:lang w:val="ro-MD" w:eastAsia="ro-MD"/>
          <w14:ligatures w14:val="none"/>
        </w:rPr>
        <w:t>Foaia de parcurs pentru operaționalizarea CNC 2023–2027 – direcții și priorități de acțiune</w:t>
      </w:r>
    </w:p>
    <w:p w14:paraId="4212EA9C" w14:textId="77777777" w:rsidR="00F62127" w:rsidRPr="00DE624F" w:rsidRDefault="00F62127" w:rsidP="00DE624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Foaia de parcurs pentru operaționalizarea Cadrului Național al Calificărilor (CNC) pentru anii 2023–2027, aprobată prin Hotărârea Guvernului nr. 330/2023, constituie documentul strategic de implementare care transpune în acțiuni concrete obiectivele de dezvoltare a sistemului național al calificărilor. Ea oferă o viziune coerentă și integrată asupra procesului de aliniere a CNC la principiile Cadrului European al Calificărilor (EQF) și Cadrului de Calificări al Spațiului European al Învățământului Superior (QF-EHEA), asigurând continuitatea și convergența cu reformele stabilite prin Strategia de dezvoltare „Educația 2030”.</w:t>
      </w:r>
    </w:p>
    <w:p w14:paraId="6ABF438D" w14:textId="77777777" w:rsidR="00F62127" w:rsidRPr="00DE624F" w:rsidRDefault="00F62127" w:rsidP="00DE624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Documentul definește viziunea națională privind dezvoltarea și operaționalizarea CNC în conformitate cu EQF, stabilește obiectivele generale și specifice ale procesului și precizează etapele, mecanismele instituționale, actorii implicați și indicatorii de progres. În același timp, Foaia de parcurs cuprinde dispoziții clare privind:</w:t>
      </w:r>
    </w:p>
    <w:p w14:paraId="468F731B" w14:textId="77777777" w:rsidR="00F62127" w:rsidRPr="00DE624F" w:rsidRDefault="00F62127" w:rsidP="00DE624F">
      <w:pPr>
        <w:numPr>
          <w:ilvl w:val="0"/>
          <w:numId w:val="22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monitorizarea și evaluarea implementării Planului de acțiuni pentru realizarea Foii de parcurs, prin indicatori de rezultat și de progres;</w:t>
      </w:r>
    </w:p>
    <w:p w14:paraId="083FA875" w14:textId="77777777" w:rsidR="00F62127" w:rsidRPr="00DE624F" w:rsidRDefault="00F62127" w:rsidP="00DE624F">
      <w:pPr>
        <w:numPr>
          <w:ilvl w:val="0"/>
          <w:numId w:val="22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finanțarea implementării Planului de acțiuni, asigurată prin resurse bugetare și contribuții complementare ale partenerilor de dezvoltare.</w:t>
      </w:r>
    </w:p>
    <w:p w14:paraId="0D2E3539" w14:textId="77777777" w:rsidR="00F62127" w:rsidRPr="00DE624F" w:rsidRDefault="00F62127" w:rsidP="00DE624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În mod operațional, Planul de acțiuni pentru realizarea Foii de parcurs privind operaționalizarea CNC 2023–2027 reprezintă instrumentul de implementare efectivă, structurând procesele de realizare pe următoarele componente:</w:t>
      </w:r>
    </w:p>
    <w:p w14:paraId="40BC7F55"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Obiectiv specific – direcționează acțiunile în conformitate cu viziunea și prioritățile naționale;</w:t>
      </w:r>
    </w:p>
    <w:p w14:paraId="1A6DBF7D"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Acțiuni – activitățile concrete ce urmează a fi întreprinse pentru atingerea obiectivelor;</w:t>
      </w:r>
    </w:p>
    <w:p w14:paraId="7F57EF8E"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Termen de realizare – perioada de implementare pentru fiecare acțiune;</w:t>
      </w:r>
    </w:p>
    <w:p w14:paraId="6B8E0FEC"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Autoritate responsabilă / parteneri – instituțiile de implementare și entitățile cooptate;</w:t>
      </w:r>
    </w:p>
    <w:p w14:paraId="4405BBF5"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Indicatori de monitorizare și de rezultat – criterii măsurabile de progres și de impact;</w:t>
      </w:r>
    </w:p>
    <w:p w14:paraId="2B087D26"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Rezultate scontate – efectele anticipate asupra sistemului de educație și formare;</w:t>
      </w:r>
    </w:p>
    <w:p w14:paraId="7FB5D7CB" w14:textId="77777777" w:rsidR="00F62127" w:rsidRPr="00DE624F" w:rsidRDefault="00F62127" w:rsidP="00DE624F">
      <w:pPr>
        <w:numPr>
          <w:ilvl w:val="0"/>
          <w:numId w:val="22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Costuri de implementare – estimările financiare pentru fiecare acțiune, cu sursele de finanțare identificate.</w:t>
      </w:r>
    </w:p>
    <w:p w14:paraId="7E248166" w14:textId="77777777" w:rsidR="00F62127" w:rsidRPr="00DE624F" w:rsidRDefault="00F62127" w:rsidP="00DE624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lastRenderedPageBreak/>
        <w:t>Importanța strategică a Foii de parcurs constă în caracterul său instrumental și intersectorial: ea nu doar ghidează reformele în domeniul calificărilor, ci și asigură mecanisme de coordonare, transparență și responsabilitate instituțională în procesul de dezvoltare și referențiere a CNC. În acest sens, Foaia de parcurs reprezintă un cadru de guvernanță operațională, care transformă obiectivele strategice în acțiuni măsurabile și evaluabile, integrând sistemul de educație, formare profesională și ocupare într-un spațiu comun de învățare pe tot parcursul vieții.</w:t>
      </w:r>
    </w:p>
    <w:p w14:paraId="59853398" w14:textId="77777777" w:rsidR="00F62127" w:rsidRPr="00DE624F" w:rsidRDefault="00F62127" w:rsidP="00DE624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Pentru atingerea obiectivelor sale, documentul stabilește șapte priorități majore:</w:t>
      </w:r>
    </w:p>
    <w:p w14:paraId="66192CB4"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Dezvoltarea și actualizarea cadrului normativ;</w:t>
      </w:r>
    </w:p>
    <w:p w14:paraId="6ED4D11A"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Crearea și instituționalizarea platformei de dialog cu părțile interesate;</w:t>
      </w:r>
    </w:p>
    <w:p w14:paraId="7566B8DF"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Coordonarea, administrarea și dezvoltarea strategică a CNC;</w:t>
      </w:r>
    </w:p>
    <w:p w14:paraId="00CF288B"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Dezvoltarea și actualizarea mecanismelor, procedurilor, metodelor și standardelor necesare implementării operaționale a CNC conform principiilor EQF;</w:t>
      </w:r>
    </w:p>
    <w:p w14:paraId="265314C5"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Dezvoltarea și actualizarea sistemului de asigurare a calității calificărilor conform principiilor EQF;</w:t>
      </w:r>
    </w:p>
    <w:p w14:paraId="5C508CDA"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Comunicarea, sporirea vizibilității și dimensiunii europene a CNC;</w:t>
      </w:r>
    </w:p>
    <w:p w14:paraId="193870E2" w14:textId="77777777" w:rsidR="00F62127" w:rsidRPr="00DE624F" w:rsidRDefault="00F62127" w:rsidP="00DE624F">
      <w:pPr>
        <w:numPr>
          <w:ilvl w:val="0"/>
          <w:numId w:val="228"/>
        </w:numPr>
        <w:spacing w:before="120" w:after="120" w:line="276" w:lineRule="auto"/>
        <w:jc w:val="both"/>
        <w:rPr>
          <w:rFonts w:ascii="Times New Roman" w:eastAsia="Times New Roman" w:hAnsi="Times New Roman" w:cs="Times New Roman"/>
          <w:kern w:val="0"/>
          <w:sz w:val="24"/>
          <w:szCs w:val="24"/>
          <w:lang w:val="ro-MD" w:eastAsia="ro-MD"/>
          <w14:ligatures w14:val="none"/>
        </w:rPr>
      </w:pPr>
      <w:proofErr w:type="spellStart"/>
      <w:r w:rsidRPr="00DE624F">
        <w:rPr>
          <w:rFonts w:ascii="Times New Roman" w:eastAsia="Times New Roman" w:hAnsi="Times New Roman" w:cs="Times New Roman"/>
          <w:kern w:val="0"/>
          <w:sz w:val="24"/>
          <w:szCs w:val="24"/>
          <w:lang w:val="ro-MD" w:eastAsia="ro-MD"/>
          <w14:ligatures w14:val="none"/>
        </w:rPr>
        <w:t>Referențierea</w:t>
      </w:r>
      <w:proofErr w:type="spellEnd"/>
      <w:r w:rsidRPr="00DE624F">
        <w:rPr>
          <w:rFonts w:ascii="Times New Roman" w:eastAsia="Times New Roman" w:hAnsi="Times New Roman" w:cs="Times New Roman"/>
          <w:kern w:val="0"/>
          <w:sz w:val="24"/>
          <w:szCs w:val="24"/>
          <w:lang w:val="ro-MD" w:eastAsia="ro-MD"/>
          <w14:ligatures w14:val="none"/>
        </w:rPr>
        <w:t xml:space="preserve"> CNC la EQF și QF-EHEA.</w:t>
      </w:r>
    </w:p>
    <w:p w14:paraId="254F5CA1" w14:textId="77777777" w:rsidR="00F62127" w:rsidRPr="00DE624F" w:rsidRDefault="00F62127" w:rsidP="00DE624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624F">
        <w:rPr>
          <w:rFonts w:ascii="Times New Roman" w:eastAsia="Times New Roman" w:hAnsi="Times New Roman" w:cs="Times New Roman"/>
          <w:kern w:val="0"/>
          <w:sz w:val="24"/>
          <w:szCs w:val="24"/>
          <w:lang w:val="ro-MD" w:eastAsia="ro-MD"/>
          <w14:ligatures w14:val="none"/>
        </w:rPr>
        <w:t>Prin structura sa logică și orientarea pe rezultate, Foaia de parcurs asigură tranziția de la faza conceptuală la implementarea efectivă a CNC, oferind o bază solidă pentru monitorizarea progresului, evaluarea impactului și raportarea către autoritățile naționale și partenerii europeni.</w:t>
      </w:r>
    </w:p>
    <w:p w14:paraId="4F345D37" w14:textId="77777777" w:rsidR="00C64D21" w:rsidRPr="001F6026" w:rsidRDefault="00C64D21" w:rsidP="005C4FE9">
      <w:pPr>
        <w:pStyle w:val="af8"/>
        <w:spacing w:before="120" w:beforeAutospacing="0" w:after="120" w:afterAutospacing="0" w:line="276" w:lineRule="auto"/>
        <w:jc w:val="both"/>
      </w:pPr>
      <w:r w:rsidRPr="001F6026">
        <w:rPr>
          <w:rStyle w:val="af9"/>
          <w:rFonts w:eastAsiaTheme="majorEastAsia"/>
        </w:rPr>
        <w:t>Acte normative complementare.</w:t>
      </w:r>
      <w:r w:rsidRPr="001F6026">
        <w:t xml:space="preserve"> Cadrul legal al CNC este consolidat printr-un ansamblu de reglementări complementare, care detaliază aspectele metodologice, procedurale și instituționale. Acestea asigură operaționalizarea și implementarea coerentă a CNC, sprijinind recunoașterea calificărilor, validarea învățării anterioare și integrarea microcalificărilor:</w:t>
      </w:r>
    </w:p>
    <w:p w14:paraId="26E8EAB6" w14:textId="77777777" w:rsidR="00C64D21" w:rsidRPr="0020102C" w:rsidRDefault="00C64D21" w:rsidP="00A41843">
      <w:pPr>
        <w:pStyle w:val="af8"/>
        <w:numPr>
          <w:ilvl w:val="0"/>
          <w:numId w:val="96"/>
        </w:numPr>
        <w:spacing w:before="120" w:beforeAutospacing="0" w:after="120" w:afterAutospacing="0" w:line="276" w:lineRule="auto"/>
        <w:ind w:left="714" w:hanging="357"/>
        <w:jc w:val="both"/>
      </w:pPr>
      <w:r w:rsidRPr="0020102C">
        <w:rPr>
          <w:rStyle w:val="af9"/>
          <w:rFonts w:eastAsiaTheme="majorEastAsia"/>
          <w:b w:val="0"/>
          <w:bCs w:val="0"/>
        </w:rPr>
        <w:t>HG nr. 1199/2018</w:t>
      </w:r>
      <w:r w:rsidRPr="0020102C">
        <w:t xml:space="preserve"> – privind crearea Registrului Național al Calificărilor (RNC), consolidat prin </w:t>
      </w:r>
      <w:r w:rsidRPr="0020102C">
        <w:rPr>
          <w:rStyle w:val="af9"/>
          <w:rFonts w:eastAsiaTheme="majorEastAsia"/>
          <w:b w:val="0"/>
          <w:bCs w:val="0"/>
        </w:rPr>
        <w:t>HG nr. 330/2023</w:t>
      </w:r>
      <w:r w:rsidRPr="0020102C">
        <w:t xml:space="preserve"> și modernizat prin </w:t>
      </w:r>
      <w:r w:rsidRPr="0020102C">
        <w:rPr>
          <w:rStyle w:val="af9"/>
          <w:rFonts w:eastAsiaTheme="majorEastAsia"/>
          <w:b w:val="0"/>
          <w:bCs w:val="0"/>
        </w:rPr>
        <w:t>HG nr. 3/2024</w:t>
      </w:r>
      <w:r w:rsidRPr="0020102C">
        <w:t>;</w:t>
      </w:r>
    </w:p>
    <w:p w14:paraId="508118E4" w14:textId="77777777" w:rsidR="00C64D21" w:rsidRPr="0020102C" w:rsidRDefault="00C64D21" w:rsidP="00A41843">
      <w:pPr>
        <w:pStyle w:val="af8"/>
        <w:numPr>
          <w:ilvl w:val="0"/>
          <w:numId w:val="96"/>
        </w:numPr>
        <w:spacing w:before="120" w:beforeAutospacing="0" w:after="120" w:afterAutospacing="0" w:line="276" w:lineRule="auto"/>
        <w:ind w:left="714" w:hanging="357"/>
        <w:jc w:val="both"/>
      </w:pPr>
      <w:r w:rsidRPr="0020102C">
        <w:rPr>
          <w:rStyle w:val="af9"/>
          <w:rFonts w:eastAsiaTheme="majorEastAsia"/>
          <w:b w:val="0"/>
          <w:bCs w:val="0"/>
        </w:rPr>
        <w:t>HG nr. 222/2024</w:t>
      </w:r>
      <w:r w:rsidRPr="0020102C">
        <w:t xml:space="preserve"> – privind Regulamentul educației adulților, care integrează formarea continuă, validarea NFIL și microcalificările în CNC;</w:t>
      </w:r>
    </w:p>
    <w:p w14:paraId="03A4B554" w14:textId="77777777" w:rsidR="00C64D21" w:rsidRPr="0020102C" w:rsidRDefault="00C64D21" w:rsidP="00A41843">
      <w:pPr>
        <w:pStyle w:val="af8"/>
        <w:numPr>
          <w:ilvl w:val="0"/>
          <w:numId w:val="96"/>
        </w:numPr>
        <w:spacing w:before="120" w:beforeAutospacing="0" w:after="120" w:afterAutospacing="0" w:line="276" w:lineRule="auto"/>
        <w:ind w:left="714" w:hanging="357"/>
        <w:jc w:val="both"/>
      </w:pPr>
      <w:r w:rsidRPr="0020102C">
        <w:rPr>
          <w:rStyle w:val="af9"/>
          <w:rFonts w:eastAsiaTheme="majorEastAsia"/>
          <w:b w:val="0"/>
          <w:bCs w:val="0"/>
        </w:rPr>
        <w:t>HG nr. 7/2024</w:t>
      </w:r>
      <w:r w:rsidRPr="0020102C">
        <w:t xml:space="preserve"> – privind Regulamentul de recunoaștere și echivalare a titlurilor științifice și științifico-didactice obținute în străinătate.</w:t>
      </w:r>
    </w:p>
    <w:p w14:paraId="2F701963" w14:textId="1912137B" w:rsidR="003C5D90" w:rsidRPr="0020102C" w:rsidRDefault="003C5D90" w:rsidP="00A41843">
      <w:pPr>
        <w:numPr>
          <w:ilvl w:val="0"/>
          <w:numId w:val="70"/>
        </w:numPr>
        <w:spacing w:before="120" w:after="120" w:line="276" w:lineRule="auto"/>
        <w:ind w:left="714" w:hanging="357"/>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Ordin </w:t>
      </w:r>
      <w:r w:rsidRPr="00B1410A">
        <w:rPr>
          <w:rFonts w:ascii="Times New Roman" w:eastAsia="Times New Roman" w:hAnsi="Times New Roman" w:cs="Times New Roman"/>
          <w:kern w:val="0"/>
          <w:sz w:val="24"/>
          <w:szCs w:val="24"/>
          <w:lang w:eastAsia="ro-MD"/>
          <w14:ligatures w14:val="none"/>
        </w:rPr>
        <w:t>MEC</w:t>
      </w:r>
      <w:r w:rsidR="006C4E94" w:rsidRPr="00B1410A">
        <w:rPr>
          <w:rFonts w:ascii="Times New Roman" w:eastAsia="Times New Roman" w:hAnsi="Times New Roman" w:cs="Times New Roman"/>
          <w:kern w:val="0"/>
          <w:sz w:val="24"/>
          <w:szCs w:val="24"/>
          <w:lang w:eastAsia="ro-MD"/>
          <w14:ligatures w14:val="none"/>
        </w:rPr>
        <w:t xml:space="preserve"> nr</w:t>
      </w:r>
      <w:r w:rsidR="00B1410A">
        <w:rPr>
          <w:rFonts w:ascii="Times New Roman" w:eastAsia="Times New Roman" w:hAnsi="Times New Roman" w:cs="Times New Roman"/>
          <w:kern w:val="0"/>
          <w:sz w:val="24"/>
          <w:szCs w:val="24"/>
          <w:lang w:eastAsia="ro-MD"/>
          <w14:ligatures w14:val="none"/>
        </w:rPr>
        <w:t xml:space="preserve"> 1717</w:t>
      </w:r>
      <w:r w:rsidR="0032456C">
        <w:rPr>
          <w:rFonts w:ascii="Times New Roman" w:eastAsia="Times New Roman" w:hAnsi="Times New Roman" w:cs="Times New Roman"/>
          <w:kern w:val="0"/>
          <w:sz w:val="24"/>
          <w:szCs w:val="24"/>
          <w:lang w:eastAsia="ro-MD"/>
          <w14:ligatures w14:val="none"/>
        </w:rPr>
        <w:t>/</w:t>
      </w:r>
      <w:r w:rsidR="00B1410A">
        <w:rPr>
          <w:rFonts w:ascii="Times New Roman" w:eastAsia="Times New Roman" w:hAnsi="Times New Roman" w:cs="Times New Roman"/>
          <w:kern w:val="0"/>
          <w:sz w:val="24"/>
          <w:szCs w:val="24"/>
          <w:lang w:eastAsia="ro-MD"/>
          <w14:ligatures w14:val="none"/>
        </w:rPr>
        <w:t>2024</w:t>
      </w:r>
      <w:r w:rsidRPr="0020102C">
        <w:rPr>
          <w:rFonts w:ascii="Times New Roman" w:eastAsia="Times New Roman" w:hAnsi="Times New Roman" w:cs="Times New Roman"/>
          <w:kern w:val="0"/>
          <w:sz w:val="24"/>
          <w:szCs w:val="24"/>
          <w:lang w:eastAsia="ro-MD"/>
          <w14:ligatures w14:val="none"/>
        </w:rPr>
        <w:t xml:space="preserve"> – Regulamentul de organizare și funcționare a Punctului Național de Coordonare pentru </w:t>
      </w:r>
      <w:r w:rsidRPr="00E51F9E">
        <w:rPr>
          <w:rFonts w:ascii="Times New Roman" w:eastAsia="Times New Roman" w:hAnsi="Times New Roman" w:cs="Times New Roman"/>
          <w:kern w:val="0"/>
          <w:sz w:val="24"/>
          <w:szCs w:val="24"/>
          <w:lang w:eastAsia="ro-MD"/>
          <w14:ligatures w14:val="none"/>
        </w:rPr>
        <w:t>EQF</w:t>
      </w:r>
      <w:r w:rsidR="00E51F9E" w:rsidRPr="00E51F9E">
        <w:rPr>
          <w:rFonts w:ascii="Times New Roman" w:hAnsi="Times New Roman" w:cs="Times New Roman"/>
          <w:sz w:val="24"/>
          <w:szCs w:val="24"/>
        </w:rPr>
        <w:t xml:space="preserve"> pentru </w:t>
      </w:r>
      <w:r w:rsidR="00E51F9E">
        <w:rPr>
          <w:rFonts w:ascii="Times New Roman" w:hAnsi="Times New Roman" w:cs="Times New Roman"/>
          <w:sz w:val="24"/>
          <w:szCs w:val="24"/>
        </w:rPr>
        <w:t xml:space="preserve">învățarea </w:t>
      </w:r>
      <w:r w:rsidR="00E51F9E" w:rsidRPr="00E51F9E">
        <w:rPr>
          <w:rFonts w:ascii="Times New Roman" w:hAnsi="Times New Roman" w:cs="Times New Roman"/>
          <w:sz w:val="24"/>
          <w:szCs w:val="24"/>
        </w:rPr>
        <w:t>pe tot parcursul vie</w:t>
      </w:r>
      <w:r w:rsidR="00E51F9E">
        <w:rPr>
          <w:rFonts w:ascii="Times New Roman" w:hAnsi="Times New Roman" w:cs="Times New Roman"/>
          <w:sz w:val="24"/>
          <w:szCs w:val="24"/>
        </w:rPr>
        <w:t>ț</w:t>
      </w:r>
      <w:r w:rsidR="00E51F9E" w:rsidRPr="00E51F9E">
        <w:rPr>
          <w:rFonts w:ascii="Times New Roman" w:hAnsi="Times New Roman" w:cs="Times New Roman"/>
          <w:sz w:val="24"/>
          <w:szCs w:val="24"/>
        </w:rPr>
        <w:t>ii</w:t>
      </w:r>
      <w:r w:rsidR="00161BB6">
        <w:rPr>
          <w:rFonts w:ascii="Times New Roman" w:eastAsia="Times New Roman" w:hAnsi="Times New Roman" w:cs="Times New Roman"/>
          <w:kern w:val="0"/>
          <w:sz w:val="24"/>
          <w:szCs w:val="24"/>
          <w:lang w:eastAsia="ro-MD"/>
          <w14:ligatures w14:val="none"/>
        </w:rPr>
        <w:t xml:space="preserve"> (</w:t>
      </w:r>
      <w:hyperlink r:id="rId15" w:history="1">
        <w:r w:rsidR="00161BB6" w:rsidRPr="00161BB6">
          <w:rPr>
            <w:rStyle w:val="aff0"/>
            <w:rFonts w:ascii="Times New Roman" w:eastAsia="Times New Roman" w:hAnsi="Times New Roman" w:cs="Times New Roman"/>
            <w:kern w:val="0"/>
            <w:sz w:val="24"/>
            <w:szCs w:val="24"/>
            <w:lang w:eastAsia="ro-MD"/>
            <w14:ligatures w14:val="none"/>
          </w:rPr>
          <w:t>link</w:t>
        </w:r>
      </w:hyperlink>
      <w:r w:rsidR="00161BB6">
        <w:rPr>
          <w:rFonts w:ascii="Times New Roman" w:eastAsia="Times New Roman" w:hAnsi="Times New Roman" w:cs="Times New Roman"/>
          <w:kern w:val="0"/>
          <w:sz w:val="24"/>
          <w:szCs w:val="24"/>
          <w:lang w:eastAsia="ro-MD"/>
          <w14:ligatures w14:val="none"/>
        </w:rPr>
        <w:t>)</w:t>
      </w:r>
      <w:r w:rsidRPr="0020102C">
        <w:rPr>
          <w:rFonts w:ascii="Times New Roman" w:eastAsia="Times New Roman" w:hAnsi="Times New Roman" w:cs="Times New Roman"/>
          <w:kern w:val="0"/>
          <w:sz w:val="24"/>
          <w:szCs w:val="24"/>
          <w:lang w:eastAsia="ro-MD"/>
          <w14:ligatures w14:val="none"/>
        </w:rPr>
        <w:t>.</w:t>
      </w:r>
    </w:p>
    <w:p w14:paraId="7A10B61D" w14:textId="0F6407A0" w:rsidR="00695805" w:rsidRDefault="00571F38" w:rsidP="00A41843">
      <w:pPr>
        <w:numPr>
          <w:ilvl w:val="0"/>
          <w:numId w:val="70"/>
        </w:num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eastAsia="ro-MD"/>
          <w14:ligatures w14:val="none"/>
        </w:rPr>
        <w:t>Ordin MEC nr. 63</w:t>
      </w:r>
      <w:r w:rsidR="00A068A2">
        <w:rPr>
          <w:rFonts w:ascii="Times New Roman" w:eastAsia="Times New Roman" w:hAnsi="Times New Roman" w:cs="Times New Roman"/>
          <w:kern w:val="0"/>
          <w:sz w:val="24"/>
          <w:szCs w:val="24"/>
          <w:lang w:eastAsia="ro-MD"/>
          <w14:ligatures w14:val="none"/>
        </w:rPr>
        <w:t>8</w:t>
      </w:r>
      <w:r>
        <w:rPr>
          <w:rFonts w:ascii="Times New Roman" w:eastAsia="Times New Roman" w:hAnsi="Times New Roman" w:cs="Times New Roman"/>
          <w:kern w:val="0"/>
          <w:sz w:val="24"/>
          <w:szCs w:val="24"/>
          <w:lang w:eastAsia="ro-MD"/>
          <w14:ligatures w14:val="none"/>
        </w:rPr>
        <w:t xml:space="preserve">/2018 - </w:t>
      </w:r>
      <w:r w:rsidR="00695805">
        <w:rPr>
          <w:rFonts w:ascii="Times New Roman" w:eastAsia="Times New Roman" w:hAnsi="Times New Roman" w:cs="Times New Roman"/>
          <w:kern w:val="0"/>
          <w:sz w:val="24"/>
          <w:szCs w:val="24"/>
          <w:lang w:eastAsia="ro-MD"/>
          <w14:ligatures w14:val="none"/>
        </w:rPr>
        <w:t>M</w:t>
      </w:r>
      <w:r>
        <w:rPr>
          <w:rFonts w:ascii="Times New Roman" w:eastAsia="Times New Roman" w:hAnsi="Times New Roman" w:cs="Times New Roman"/>
          <w:kern w:val="0"/>
          <w:sz w:val="24"/>
          <w:szCs w:val="24"/>
          <w:lang w:eastAsia="ro-MD"/>
          <w14:ligatures w14:val="none"/>
        </w:rPr>
        <w:t xml:space="preserve">etodologia </w:t>
      </w:r>
      <w:r w:rsidR="00695805">
        <w:rPr>
          <w:rFonts w:ascii="Times New Roman" w:eastAsia="Times New Roman" w:hAnsi="Times New Roman" w:cs="Times New Roman"/>
          <w:kern w:val="0"/>
          <w:sz w:val="24"/>
          <w:szCs w:val="24"/>
          <w:lang w:eastAsia="ro-MD"/>
          <w14:ligatures w14:val="none"/>
        </w:rPr>
        <w:t>cu privire la recunoașterea și echivalarea perioadelor de studii efectuate în străinătate pentru continuarea studiilor în instituțiile de învățământ profesional tehnic din Republica Moldova</w:t>
      </w:r>
      <w:r w:rsidR="00374F5B">
        <w:rPr>
          <w:rFonts w:ascii="Times New Roman" w:eastAsia="Times New Roman" w:hAnsi="Times New Roman" w:cs="Times New Roman"/>
          <w:kern w:val="0"/>
          <w:sz w:val="24"/>
          <w:szCs w:val="24"/>
          <w:lang w:eastAsia="ro-MD"/>
          <w14:ligatures w14:val="none"/>
        </w:rPr>
        <w:t xml:space="preserve"> </w:t>
      </w:r>
      <w:r w:rsidR="00F22FB3">
        <w:rPr>
          <w:rFonts w:ascii="Times New Roman" w:eastAsia="Times New Roman" w:hAnsi="Times New Roman" w:cs="Times New Roman"/>
          <w:kern w:val="0"/>
          <w:sz w:val="24"/>
          <w:szCs w:val="24"/>
          <w:lang w:eastAsia="ro-MD"/>
          <w14:ligatures w14:val="none"/>
        </w:rPr>
        <w:t>(</w:t>
      </w:r>
      <w:hyperlink r:id="rId16" w:history="1">
        <w:r w:rsidR="00F22FB3" w:rsidRPr="00F22FB3">
          <w:rPr>
            <w:rStyle w:val="aff0"/>
            <w:rFonts w:ascii="Times New Roman" w:eastAsia="Times New Roman" w:hAnsi="Times New Roman" w:cs="Times New Roman"/>
            <w:kern w:val="0"/>
            <w:sz w:val="24"/>
            <w:szCs w:val="24"/>
            <w:lang w:eastAsia="ro-MD"/>
            <w14:ligatures w14:val="none"/>
          </w:rPr>
          <w:t>link</w:t>
        </w:r>
      </w:hyperlink>
      <w:r w:rsidR="00F22FB3">
        <w:rPr>
          <w:rFonts w:ascii="Times New Roman" w:eastAsia="Times New Roman" w:hAnsi="Times New Roman" w:cs="Times New Roman"/>
          <w:kern w:val="0"/>
          <w:sz w:val="24"/>
          <w:szCs w:val="24"/>
          <w:lang w:eastAsia="ro-MD"/>
          <w14:ligatures w14:val="none"/>
        </w:rPr>
        <w:t>)</w:t>
      </w:r>
      <w:r w:rsidR="00695805">
        <w:rPr>
          <w:rFonts w:ascii="Times New Roman" w:eastAsia="Times New Roman" w:hAnsi="Times New Roman" w:cs="Times New Roman"/>
          <w:kern w:val="0"/>
          <w:sz w:val="24"/>
          <w:szCs w:val="24"/>
          <w:lang w:eastAsia="ro-MD"/>
          <w14:ligatures w14:val="none"/>
        </w:rPr>
        <w:t xml:space="preserve"> </w:t>
      </w:r>
    </w:p>
    <w:p w14:paraId="05F9B0CD" w14:textId="35F4DE70" w:rsidR="00695805" w:rsidRPr="00C933FD" w:rsidRDefault="00A068A2"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 xml:space="preserve">Ordin MECC nr. 1702/2019 - </w:t>
      </w:r>
      <w:r w:rsidR="00695805">
        <w:rPr>
          <w:rFonts w:ascii="Times New Roman" w:eastAsia="Times New Roman" w:hAnsi="Times New Roman" w:cs="Times New Roman"/>
          <w:kern w:val="0"/>
          <w:sz w:val="24"/>
          <w:szCs w:val="24"/>
          <w:lang w:eastAsia="ro-MD"/>
          <w14:ligatures w14:val="none"/>
        </w:rPr>
        <w:t>Regulament privind recunoaşterea şi echivalarea actelor de studii şi a calificărilor obţinute în străinătate</w:t>
      </w:r>
      <w:r w:rsidR="00447320">
        <w:rPr>
          <w:rFonts w:ascii="Times New Roman" w:eastAsia="Times New Roman" w:hAnsi="Times New Roman" w:cs="Times New Roman"/>
          <w:kern w:val="0"/>
          <w:sz w:val="24"/>
          <w:szCs w:val="24"/>
          <w:lang w:eastAsia="ro-MD"/>
          <w14:ligatures w14:val="none"/>
        </w:rPr>
        <w:t xml:space="preserve"> (</w:t>
      </w:r>
      <w:hyperlink r:id="rId17" w:history="1">
        <w:r w:rsidR="00447320" w:rsidRPr="00374F5B">
          <w:rPr>
            <w:rStyle w:val="aff0"/>
            <w:rFonts w:ascii="Times New Roman" w:eastAsia="Times New Roman" w:hAnsi="Times New Roman" w:cs="Times New Roman"/>
            <w:kern w:val="0"/>
            <w:sz w:val="24"/>
            <w:szCs w:val="24"/>
            <w:lang w:eastAsia="ro-MD"/>
            <w14:ligatures w14:val="none"/>
          </w:rPr>
          <w:t>link</w:t>
        </w:r>
      </w:hyperlink>
      <w:r w:rsidR="00374F5B">
        <w:rPr>
          <w:rFonts w:ascii="Times New Roman" w:eastAsia="Times New Roman" w:hAnsi="Times New Roman" w:cs="Times New Roman"/>
          <w:kern w:val="0"/>
          <w:sz w:val="24"/>
          <w:szCs w:val="24"/>
          <w:lang w:eastAsia="ro-MD"/>
          <w14:ligatures w14:val="none"/>
        </w:rPr>
        <w:t>)</w:t>
      </w:r>
      <w:r w:rsidR="00695805">
        <w:rPr>
          <w:rFonts w:ascii="Times New Roman" w:eastAsia="Times New Roman" w:hAnsi="Times New Roman" w:cs="Times New Roman"/>
          <w:kern w:val="0"/>
          <w:sz w:val="24"/>
          <w:szCs w:val="24"/>
          <w:lang w:eastAsia="ro-MD"/>
          <w14:ligatures w14:val="none"/>
        </w:rPr>
        <w:t xml:space="preserve"> </w:t>
      </w:r>
    </w:p>
    <w:p w14:paraId="7A8ABB5C" w14:textId="0052DD1F"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 MEC nr. 202/2024 – Metodologia privind recunoașterea și echivalarea titlurilor științifico-didactice din învățământul superior obținute în străinătate.</w:t>
      </w:r>
    </w:p>
    <w:p w14:paraId="3742B4CE" w14:textId="77777777"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 MEC nr. 573/2022 – Metodologia pentru elaborarea standardelor de calificare.</w:t>
      </w:r>
    </w:p>
    <w:p w14:paraId="151F0A65" w14:textId="77777777"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Ordin MEC nr. 770/2024 – Metodologia de înscriere a calificărilor în RNC (inclusiv actualizarea din 2024).</w:t>
      </w:r>
    </w:p>
    <w:p w14:paraId="62DE8A13" w14:textId="77777777"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 MEC nr. 885/2022 – Validarea învățării non-formale și informale.</w:t>
      </w:r>
    </w:p>
    <w:p w14:paraId="0E63DC63" w14:textId="77777777" w:rsidR="003C5D90" w:rsidRPr="00D812D6"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D812D6">
        <w:rPr>
          <w:rFonts w:ascii="Times New Roman" w:eastAsia="Times New Roman" w:hAnsi="Times New Roman" w:cs="Times New Roman"/>
          <w:kern w:val="0"/>
          <w:sz w:val="24"/>
          <w:szCs w:val="24"/>
          <w:lang w:eastAsia="ro-MD"/>
          <w14:ligatures w14:val="none"/>
        </w:rPr>
        <w:t>Ordin MEC nr. 785/2024 – introducerea microcalificărilor și a microcertificatelor.</w:t>
      </w:r>
    </w:p>
    <w:p w14:paraId="280A8181" w14:textId="77777777"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 MEC nr. 1626/2024 – Regulamentul de organizare și funcționare a Centrului Național Europass.</w:t>
      </w:r>
    </w:p>
    <w:p w14:paraId="36170CE7" w14:textId="77777777"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Ordin MEC nr. 1509/2024 – Regulamentul de organizare și funcționare a Punctului Național de Contact ENIC Moldova.</w:t>
      </w:r>
    </w:p>
    <w:p w14:paraId="2D56C7FF" w14:textId="202D0DA1" w:rsidR="003C5D90"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Ordin MEC nr. 1020/2023 și Ordin MEC nr. 234/2016 (modificat 2023) – aplicarea sistemului ECTS în </w:t>
      </w:r>
      <w:r w:rsidR="00356848" w:rsidRPr="0020102C">
        <w:rPr>
          <w:rFonts w:ascii="Times New Roman" w:eastAsia="Times New Roman" w:hAnsi="Times New Roman" w:cs="Times New Roman"/>
          <w:kern w:val="0"/>
          <w:sz w:val="24"/>
          <w:szCs w:val="24"/>
          <w:lang w:eastAsia="ro-MD"/>
          <w14:ligatures w14:val="none"/>
        </w:rPr>
        <w:t>ÎS</w:t>
      </w:r>
      <w:r w:rsidRPr="0020102C">
        <w:rPr>
          <w:rFonts w:ascii="Times New Roman" w:eastAsia="Times New Roman" w:hAnsi="Times New Roman" w:cs="Times New Roman"/>
          <w:kern w:val="0"/>
          <w:sz w:val="24"/>
          <w:szCs w:val="24"/>
          <w:lang w:eastAsia="ro-MD"/>
          <w14:ligatures w14:val="none"/>
        </w:rPr>
        <w:t xml:space="preserve"> și </w:t>
      </w:r>
      <w:r w:rsidR="00356848" w:rsidRPr="0020102C">
        <w:rPr>
          <w:rFonts w:ascii="Times New Roman" w:eastAsia="Times New Roman" w:hAnsi="Times New Roman" w:cs="Times New Roman"/>
          <w:kern w:val="0"/>
          <w:sz w:val="24"/>
          <w:szCs w:val="24"/>
          <w:lang w:eastAsia="ro-MD"/>
          <w14:ligatures w14:val="none"/>
        </w:rPr>
        <w:t>ÎPT</w:t>
      </w:r>
      <w:r w:rsidRPr="0020102C">
        <w:rPr>
          <w:rFonts w:ascii="Times New Roman" w:eastAsia="Times New Roman" w:hAnsi="Times New Roman" w:cs="Times New Roman"/>
          <w:kern w:val="0"/>
          <w:sz w:val="24"/>
          <w:szCs w:val="24"/>
          <w:lang w:eastAsia="ro-MD"/>
          <w14:ligatures w14:val="none"/>
        </w:rPr>
        <w:t>.</w:t>
      </w:r>
    </w:p>
    <w:p w14:paraId="66A7E9FA" w14:textId="44F1CA7F" w:rsidR="003D32B2" w:rsidRPr="00D812D6" w:rsidRDefault="003D32B2" w:rsidP="00D812D6">
      <w:pPr>
        <w:rPr>
          <w:rFonts w:ascii="Times New Roman" w:hAnsi="Times New Roman" w:cs="Times New Roman"/>
          <w:sz w:val="24"/>
          <w:szCs w:val="24"/>
        </w:rPr>
      </w:pPr>
      <w:r w:rsidRPr="003D32B2">
        <w:rPr>
          <w:rFonts w:ascii="Times New Roman" w:eastAsia="Times New Roman" w:hAnsi="Times New Roman" w:cs="Times New Roman"/>
          <w:kern w:val="0"/>
          <w:sz w:val="24"/>
          <w:szCs w:val="24"/>
          <w:lang w:eastAsia="ro-MD"/>
          <w14:ligatures w14:val="none"/>
        </w:rPr>
        <w:t>Ordinul MEC nr. 1019/2023</w:t>
      </w:r>
      <w:r w:rsidR="00C35F87">
        <w:rPr>
          <w:rFonts w:ascii="Times New Roman" w:eastAsia="Times New Roman" w:hAnsi="Times New Roman" w:cs="Times New Roman"/>
          <w:kern w:val="0"/>
          <w:sz w:val="24"/>
          <w:szCs w:val="24"/>
          <w:lang w:eastAsia="ro-MD"/>
          <w14:ligatures w14:val="none"/>
        </w:rPr>
        <w:t xml:space="preserve"> </w:t>
      </w:r>
      <w:r w:rsidR="00C35F87" w:rsidRPr="003C633F">
        <w:rPr>
          <w:rFonts w:ascii="Times New Roman" w:eastAsia="Times New Roman" w:hAnsi="Times New Roman" w:cs="Times New Roman"/>
          <w:kern w:val="0"/>
          <w:sz w:val="24"/>
          <w:szCs w:val="24"/>
          <w:lang w:val="ro-MD"/>
        </w:rPr>
        <w:t xml:space="preserve">Cu privire la </w:t>
      </w:r>
      <w:r w:rsidR="00C35F87" w:rsidRPr="00C35F87">
        <w:rPr>
          <w:rFonts w:ascii="Times New Roman" w:eastAsia="Times New Roman" w:hAnsi="Times New Roman" w:cs="Times New Roman"/>
          <w:kern w:val="0"/>
          <w:sz w:val="24"/>
          <w:szCs w:val="24"/>
        </w:rPr>
        <w:t>aprobarea Regulamentului -cadru privind formarea profesională</w:t>
      </w:r>
      <w:r w:rsidR="00C35F87" w:rsidRPr="003C633F">
        <w:rPr>
          <w:rFonts w:ascii="Times New Roman" w:eastAsia="Times New Roman" w:hAnsi="Times New Roman" w:cs="Times New Roman"/>
          <w:kern w:val="0"/>
          <w:sz w:val="24"/>
          <w:szCs w:val="24"/>
          <w:lang w:val="ro-MD"/>
        </w:rPr>
        <w:t xml:space="preserve"> continu</w:t>
      </w:r>
      <w:r w:rsidR="00C35F87">
        <w:rPr>
          <w:rFonts w:ascii="Times New Roman" w:eastAsia="Times New Roman" w:hAnsi="Times New Roman" w:cs="Times New Roman"/>
          <w:kern w:val="0"/>
          <w:sz w:val="24"/>
          <w:szCs w:val="24"/>
        </w:rPr>
        <w:t>ă</w:t>
      </w:r>
      <w:r w:rsidR="00C35F87" w:rsidRPr="003C633F">
        <w:rPr>
          <w:rFonts w:ascii="Times New Roman" w:eastAsia="Times New Roman" w:hAnsi="Times New Roman" w:cs="Times New Roman"/>
          <w:kern w:val="0"/>
          <w:sz w:val="24"/>
          <w:szCs w:val="24"/>
          <w:lang w:val="ro-MD"/>
        </w:rPr>
        <w:t xml:space="preserve"> a </w:t>
      </w:r>
      <w:r w:rsidR="00C35F87" w:rsidRPr="003C633F">
        <w:rPr>
          <w:rFonts w:ascii="Times New Roman" w:eastAsia="Times New Roman" w:hAnsi="Times New Roman" w:cs="Times New Roman"/>
          <w:kern w:val="0"/>
          <w:sz w:val="24"/>
          <w:szCs w:val="24"/>
        </w:rPr>
        <w:t>personalului</w:t>
      </w:r>
      <w:r w:rsidR="00C35F87" w:rsidRPr="003C633F">
        <w:rPr>
          <w:rFonts w:ascii="Times New Roman" w:eastAsia="Times New Roman" w:hAnsi="Times New Roman" w:cs="Times New Roman"/>
          <w:kern w:val="0"/>
          <w:sz w:val="24"/>
          <w:szCs w:val="24"/>
          <w:lang w:val="ro-MD"/>
        </w:rPr>
        <w:t xml:space="preserve"> academic universitar</w:t>
      </w:r>
      <w:r w:rsidR="00C35F87">
        <w:rPr>
          <w:rFonts w:ascii="Times New Roman" w:eastAsia="Times New Roman" w:hAnsi="Times New Roman" w:cs="Times New Roman"/>
          <w:kern w:val="0"/>
          <w:sz w:val="24"/>
          <w:szCs w:val="24"/>
        </w:rPr>
        <w:t xml:space="preserve"> </w:t>
      </w:r>
      <w:hyperlink r:id="rId18" w:history="1">
        <w:r w:rsidR="00C35F87" w:rsidRPr="003C633F">
          <w:rPr>
            <w:rStyle w:val="aff0"/>
            <w:rFonts w:ascii="Times New Roman" w:eastAsia="Times New Roman" w:hAnsi="Times New Roman" w:cs="Times New Roman"/>
            <w:kern w:val="0"/>
            <w:sz w:val="24"/>
            <w:szCs w:val="24"/>
          </w:rPr>
          <w:t>(link</w:t>
        </w:r>
      </w:hyperlink>
      <w:r w:rsidR="00C35F87">
        <w:rPr>
          <w:rFonts w:ascii="Times New Roman" w:eastAsia="Times New Roman" w:hAnsi="Times New Roman" w:cs="Times New Roman"/>
          <w:kern w:val="0"/>
          <w:sz w:val="24"/>
          <w:szCs w:val="24"/>
        </w:rPr>
        <w:t>)</w:t>
      </w:r>
    </w:p>
    <w:p w14:paraId="75433F73" w14:textId="16F935DE"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Legea nr. 244/2017 privind comitetele sectoriale pentru formare profesională, </w:t>
      </w:r>
      <w:r w:rsidR="006C4E94" w:rsidRPr="001F6026">
        <w:rPr>
          <w:rFonts w:ascii="Times New Roman" w:eastAsia="Times New Roman" w:hAnsi="Times New Roman" w:cs="Times New Roman"/>
          <w:kern w:val="0"/>
          <w:sz w:val="24"/>
          <w:szCs w:val="24"/>
          <w:lang w:eastAsia="ro-MD"/>
          <w14:ligatures w14:val="none"/>
        </w:rPr>
        <w:t>cu modificări ulterioare.</w:t>
      </w:r>
    </w:p>
    <w:p w14:paraId="2FE6195D" w14:textId="77777777" w:rsidR="003C5D90" w:rsidRPr="0020102C" w:rsidRDefault="003C5D90" w:rsidP="00A41843">
      <w:pPr>
        <w:numPr>
          <w:ilvl w:val="0"/>
          <w:numId w:val="7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Legea nr. 133/2011 privind protecția datelor cu caracter personal.</w:t>
      </w:r>
    </w:p>
    <w:p w14:paraId="63656F4B" w14:textId="2598BD52" w:rsidR="003C5D90" w:rsidRPr="0020102C" w:rsidRDefault="003C5D90" w:rsidP="00082272">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Instituții și structuri responsabile: </w:t>
      </w:r>
      <w:r w:rsidRPr="0020102C">
        <w:rPr>
          <w:rFonts w:ascii="Times New Roman" w:eastAsia="Times New Roman" w:hAnsi="Times New Roman" w:cs="Times New Roman"/>
          <w:kern w:val="0"/>
          <w:sz w:val="24"/>
          <w:szCs w:val="24"/>
          <w:lang w:eastAsia="ro-MD"/>
          <w14:ligatures w14:val="none"/>
        </w:rPr>
        <w:t>Guvernanța CNC este asigurată de un ansamblu de instituții și structuri naționale, fiecare cu roluri bine definite în coordonare, asigurarea calității, digitalizare și conectare la piața muncii. MEC exercită rolul central, fiind sprijinit de Consiliul Național pentru CNC, agenții și organisme specializate, precum și de partenerii sociali.</w:t>
      </w:r>
    </w:p>
    <w:p w14:paraId="456B7DF1" w14:textId="5D3DFF5B"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MEC – coordonare, politici, standarde de calificare, reglementări metodologice; rol de EQF NCP.</w:t>
      </w:r>
    </w:p>
    <w:p w14:paraId="3BFE5604" w14:textId="093121E3" w:rsidR="00F61393"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Consiliul Național pentru CNC (HG 330/2023) – organ colegial de supraveg</w:t>
      </w:r>
      <w:r w:rsidR="00907EBD">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re și coordonare.</w:t>
      </w:r>
    </w:p>
    <w:p w14:paraId="0C78FFA8" w14:textId="56049AAD" w:rsidR="00F61393" w:rsidRPr="0020102C" w:rsidRDefault="00F61393"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Consiliul Național pentru Curriculum - </w:t>
      </w:r>
      <w:r w:rsidR="0030037C" w:rsidRPr="0020102C">
        <w:rPr>
          <w:rFonts w:ascii="Times New Roman" w:eastAsia="Times New Roman" w:hAnsi="Times New Roman" w:cs="Times New Roman"/>
          <w:kern w:val="0"/>
          <w:sz w:val="24"/>
          <w:szCs w:val="24"/>
          <w:lang w:eastAsia="ro-MD"/>
          <w14:ligatures w14:val="none"/>
        </w:rPr>
        <w:t>d</w:t>
      </w:r>
      <w:r w:rsidRPr="0020102C">
        <w:rPr>
          <w:rFonts w:ascii="Times New Roman" w:eastAsia="Times New Roman" w:hAnsi="Times New Roman" w:cs="Times New Roman"/>
          <w:kern w:val="0"/>
          <w:sz w:val="24"/>
          <w:szCs w:val="24"/>
          <w:lang w:eastAsia="ro-MD"/>
          <w14:ligatures w14:val="none"/>
        </w:rPr>
        <w:t>ezvoltarea și actualizarea calificărilor din învățământul general (nivelurile 1–3 CNC).</w:t>
      </w:r>
    </w:p>
    <w:p w14:paraId="5FCAB32C" w14:textId="22FA949E"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MMPS – corelarea CNC cu politicile de ocupare.</w:t>
      </w:r>
    </w:p>
    <w:p w14:paraId="10AAB5B2" w14:textId="220F8B31" w:rsidR="0030037C" w:rsidRPr="0020102C" w:rsidRDefault="0030037C" w:rsidP="00A41843">
      <w:pPr>
        <w:pStyle w:val="af8"/>
        <w:numPr>
          <w:ilvl w:val="0"/>
          <w:numId w:val="71"/>
        </w:numPr>
        <w:spacing w:before="120" w:beforeAutospacing="0" w:after="120" w:afterAutospacing="0" w:line="276" w:lineRule="auto"/>
        <w:jc w:val="both"/>
      </w:pPr>
      <w:r w:rsidRPr="0020102C">
        <w:t>Ministerele de resort - participarea la dezvoltarea și actualizarea standardelor de calificare pentru domeniile lor de competență; validarea și coordonarea programelor de studii pentru calificările specifice domeniului, recunoașterea calificărilor internaționale în profesii reglementate.</w:t>
      </w:r>
    </w:p>
    <w:p w14:paraId="7E4883C2" w14:textId="443C4248"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ANOFM – utilizarea CNC în politicile active de ocupare și mobilitate.</w:t>
      </w:r>
    </w:p>
    <w:p w14:paraId="3EF3B571" w14:textId="25568739"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ANACEC – </w:t>
      </w:r>
      <w:r w:rsidR="00D7335F" w:rsidRPr="001E6FF6">
        <w:rPr>
          <w:rFonts w:ascii="Times New Roman" w:eastAsia="Times New Roman" w:hAnsi="Times New Roman" w:cs="Times New Roman"/>
          <w:kern w:val="0"/>
          <w:sz w:val="24"/>
          <w:szCs w:val="24"/>
          <w14:ligatures w14:val="none"/>
        </w:rPr>
        <w:t>asigurarea calității în domeniul educației și cercetării</w:t>
      </w:r>
      <w:r w:rsidRPr="0020102C">
        <w:rPr>
          <w:rFonts w:ascii="Times New Roman" w:eastAsia="Times New Roman" w:hAnsi="Times New Roman" w:cs="Times New Roman"/>
          <w:kern w:val="0"/>
          <w:sz w:val="24"/>
          <w:szCs w:val="24"/>
          <w:lang w:eastAsia="ro-MD"/>
          <w14:ligatures w14:val="none"/>
        </w:rPr>
        <w:t xml:space="preserve">; aplică ESG 2015 și </w:t>
      </w:r>
      <w:r w:rsidR="00BB2A74" w:rsidRPr="0020102C">
        <w:rPr>
          <w:rFonts w:ascii="Times New Roman" w:eastAsia="Times New Roman" w:hAnsi="Times New Roman" w:cs="Times New Roman"/>
          <w:kern w:val="0"/>
          <w:sz w:val="24"/>
          <w:szCs w:val="24"/>
          <w:lang w:eastAsia="ro-MD"/>
          <w14:ligatures w14:val="none"/>
        </w:rPr>
        <w:t>EQAVET</w:t>
      </w:r>
      <w:r w:rsidRPr="0020102C">
        <w:rPr>
          <w:rFonts w:ascii="Times New Roman" w:eastAsia="Times New Roman" w:hAnsi="Times New Roman" w:cs="Times New Roman"/>
          <w:kern w:val="0"/>
          <w:sz w:val="24"/>
          <w:szCs w:val="24"/>
          <w:lang w:eastAsia="ro-MD"/>
          <w14:ligatures w14:val="none"/>
        </w:rPr>
        <w:t>.</w:t>
      </w:r>
    </w:p>
    <w:p w14:paraId="26849595" w14:textId="77777777"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Comitetele sectoriale – elaborarea standardelor ocupaționale și de calificare.</w:t>
      </w:r>
    </w:p>
    <w:p w14:paraId="476B2D53" w14:textId="77777777"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Camera de Comerț și Industrie (CCI) și agenții economici – conectarea CNC la cerințele pieței.</w:t>
      </w:r>
    </w:p>
    <w:p w14:paraId="75B6ABD4" w14:textId="77777777"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CTICE – emiterea actelor de studii și gestionarea bazelor de date digitale.</w:t>
      </w:r>
    </w:p>
    <w:p w14:paraId="7BEAECAE" w14:textId="77777777"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Centrul Național Europass – transparența și mobilitatea documentelor de calificare.</w:t>
      </w:r>
    </w:p>
    <w:p w14:paraId="7E86DB66" w14:textId="77777777" w:rsidR="003C5D90"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Punctul Național de Contact ENIC Moldova – recunoașterea calificărilor obținute peste hotare.</w:t>
      </w:r>
    </w:p>
    <w:p w14:paraId="5D93F184" w14:textId="4158702F" w:rsidR="0030037C" w:rsidRPr="0020102C" w:rsidRDefault="003C5D90"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Instituțiile furnizoare (</w:t>
      </w:r>
      <w:r w:rsidR="00356848" w:rsidRPr="0020102C">
        <w:rPr>
          <w:rFonts w:ascii="Times New Roman" w:eastAsia="Times New Roman" w:hAnsi="Times New Roman" w:cs="Times New Roman"/>
          <w:kern w:val="0"/>
          <w:sz w:val="24"/>
          <w:szCs w:val="24"/>
          <w:lang w:eastAsia="ro-MD"/>
          <w14:ligatures w14:val="none"/>
        </w:rPr>
        <w:t>ÎPT</w:t>
      </w:r>
      <w:r w:rsidRPr="0020102C">
        <w:rPr>
          <w:rFonts w:ascii="Times New Roman" w:eastAsia="Times New Roman" w:hAnsi="Times New Roman" w:cs="Times New Roman"/>
          <w:kern w:val="0"/>
          <w:sz w:val="24"/>
          <w:szCs w:val="24"/>
          <w:lang w:eastAsia="ro-MD"/>
          <w14:ligatures w14:val="none"/>
        </w:rPr>
        <w:t xml:space="preserve"> și </w:t>
      </w:r>
      <w:r w:rsidR="00356848" w:rsidRPr="0020102C">
        <w:rPr>
          <w:rFonts w:ascii="Times New Roman" w:eastAsia="Times New Roman" w:hAnsi="Times New Roman" w:cs="Times New Roman"/>
          <w:kern w:val="0"/>
          <w:sz w:val="24"/>
          <w:szCs w:val="24"/>
          <w:lang w:eastAsia="ro-MD"/>
          <w14:ligatures w14:val="none"/>
        </w:rPr>
        <w:t>ÎS</w:t>
      </w:r>
      <w:r w:rsidRPr="0020102C">
        <w:rPr>
          <w:rFonts w:ascii="Times New Roman" w:eastAsia="Times New Roman" w:hAnsi="Times New Roman" w:cs="Times New Roman"/>
          <w:kern w:val="0"/>
          <w:sz w:val="24"/>
          <w:szCs w:val="24"/>
          <w:lang w:eastAsia="ro-MD"/>
          <w14:ligatures w14:val="none"/>
        </w:rPr>
        <w:t>) – dezvoltarea și implementarea programelor de studii conform CNC</w:t>
      </w:r>
      <w:r w:rsidR="0030037C" w:rsidRPr="0020102C">
        <w:rPr>
          <w:rFonts w:ascii="Times New Roman" w:eastAsia="Times New Roman" w:hAnsi="Times New Roman" w:cs="Times New Roman"/>
          <w:kern w:val="0"/>
          <w:sz w:val="24"/>
          <w:szCs w:val="24"/>
          <w:lang w:eastAsia="ro-MD"/>
          <w14:ligatures w14:val="none"/>
        </w:rPr>
        <w:t>, evaluarea rezultatelor învățării și certificarea calificărilor.</w:t>
      </w:r>
    </w:p>
    <w:p w14:paraId="5B249150" w14:textId="0E526FE5" w:rsidR="0030037C" w:rsidRPr="0020102C" w:rsidRDefault="0030037C" w:rsidP="00A41843">
      <w:pPr>
        <w:numPr>
          <w:ilvl w:val="0"/>
          <w:numId w:val="7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Instituțiile/structurile desemnate de ME</w:t>
      </w:r>
      <w:r w:rsidR="00373708">
        <w:rPr>
          <w:rFonts w:ascii="Times New Roman" w:eastAsia="Times New Roman" w:hAnsi="Times New Roman" w:cs="Times New Roman"/>
          <w:kern w:val="0"/>
          <w:sz w:val="24"/>
          <w:szCs w:val="24"/>
          <w:lang w:eastAsia="ro-MD"/>
          <w14:ligatures w14:val="none"/>
        </w:rPr>
        <w:t>C</w:t>
      </w:r>
      <w:r w:rsidRPr="0020102C">
        <w:rPr>
          <w:rFonts w:ascii="Times New Roman" w:eastAsia="Times New Roman" w:hAnsi="Times New Roman" w:cs="Times New Roman"/>
          <w:kern w:val="0"/>
          <w:sz w:val="24"/>
          <w:szCs w:val="24"/>
          <w:lang w:eastAsia="ro-MD"/>
          <w14:ligatures w14:val="none"/>
        </w:rPr>
        <w:t xml:space="preserve"> - servicii de recunoaștere a rezultatelor învățării, pe niveluri ale CNC și domenii de formare.</w:t>
      </w:r>
    </w:p>
    <w:p w14:paraId="52309F85" w14:textId="6B8AA0AF" w:rsidR="003C5D90" w:rsidRPr="0020102C" w:rsidRDefault="003C5D90" w:rsidP="00082272">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Rețele și structuri europene și internaționale: </w:t>
      </w:r>
      <w:r w:rsidRPr="0020102C">
        <w:rPr>
          <w:rFonts w:ascii="Times New Roman" w:eastAsia="Times New Roman" w:hAnsi="Times New Roman" w:cs="Times New Roman"/>
          <w:kern w:val="0"/>
          <w:sz w:val="24"/>
          <w:szCs w:val="24"/>
          <w:lang w:eastAsia="ro-MD"/>
          <w14:ligatures w14:val="none"/>
        </w:rPr>
        <w:t>Republica Moldova participă activ la rețele și organisme internaționale, asigurând integrarea CNC în spațiul european și recunoașterea acestuia la nivel global. Aceste structuri facilitează schimbul de bune practici, sprijină procesele de referențiere și contribuie la mobilitatea academică și profesională.</w:t>
      </w:r>
    </w:p>
    <w:p w14:paraId="2E648A7C" w14:textId="77777777" w:rsidR="003C5D90" w:rsidRPr="0020102C" w:rsidRDefault="003C5D90" w:rsidP="00A41843">
      <w:pPr>
        <w:numPr>
          <w:ilvl w:val="0"/>
          <w:numId w:val="7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ENIC/NARIC</w:t>
      </w:r>
      <w:r w:rsidRPr="0020102C">
        <w:rPr>
          <w:rFonts w:ascii="Times New Roman" w:eastAsia="Times New Roman" w:hAnsi="Times New Roman" w:cs="Times New Roman"/>
          <w:kern w:val="0"/>
          <w:sz w:val="24"/>
          <w:szCs w:val="24"/>
          <w:lang w:eastAsia="ro-MD"/>
          <w14:ligatures w14:val="none"/>
        </w:rPr>
        <w:t xml:space="preserve"> – sprijină recunoașterea academică și profesională a calificărilor, prin evaluarea diplomelor și facilitarea mobilității.</w:t>
      </w:r>
    </w:p>
    <w:p w14:paraId="6221705E" w14:textId="77777777" w:rsidR="003C5D90" w:rsidRPr="0020102C" w:rsidRDefault="003C5D90" w:rsidP="00A41843">
      <w:pPr>
        <w:numPr>
          <w:ilvl w:val="0"/>
          <w:numId w:val="7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EQF Advisory Group</w:t>
      </w:r>
      <w:r w:rsidRPr="0020102C">
        <w:rPr>
          <w:rFonts w:ascii="Times New Roman" w:eastAsia="Times New Roman" w:hAnsi="Times New Roman" w:cs="Times New Roman"/>
          <w:kern w:val="0"/>
          <w:sz w:val="24"/>
          <w:szCs w:val="24"/>
          <w:lang w:eastAsia="ro-MD"/>
          <w14:ligatures w14:val="none"/>
        </w:rPr>
        <w:t xml:space="preserve"> – coordonează și monitorizează procesul de referențiere a CNC la EQF, oferind recomandări și ghidaj metodologic.</w:t>
      </w:r>
    </w:p>
    <w:p w14:paraId="37E09E44" w14:textId="3EF91C09" w:rsidR="003C5D90" w:rsidRPr="0020102C" w:rsidRDefault="003C5D90" w:rsidP="00A41843">
      <w:pPr>
        <w:numPr>
          <w:ilvl w:val="0"/>
          <w:numId w:val="7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Bologna Follow-Up Group (BFUG)</w:t>
      </w:r>
      <w:r w:rsidRPr="0020102C">
        <w:rPr>
          <w:rFonts w:ascii="Times New Roman" w:eastAsia="Times New Roman" w:hAnsi="Times New Roman" w:cs="Times New Roman"/>
          <w:kern w:val="0"/>
          <w:sz w:val="24"/>
          <w:szCs w:val="24"/>
          <w:lang w:eastAsia="ro-MD"/>
          <w14:ligatures w14:val="none"/>
        </w:rPr>
        <w:t xml:space="preserve"> – monitorizează procesul de autocertificare a CNC în raport cu QF-</w:t>
      </w:r>
      <w:r w:rsidR="002513BE" w:rsidRPr="0020102C">
        <w:rPr>
          <w:rFonts w:ascii="Times New Roman" w:eastAsia="Times New Roman" w:hAnsi="Times New Roman" w:cs="Times New Roman"/>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 xml:space="preserve"> și implementează angajamentele Bologna.</w:t>
      </w:r>
    </w:p>
    <w:p w14:paraId="3F24618F" w14:textId="200E9F5B" w:rsidR="003C5D90" w:rsidRPr="0020102C" w:rsidRDefault="003C5D90" w:rsidP="00A41843">
      <w:pPr>
        <w:numPr>
          <w:ilvl w:val="0"/>
          <w:numId w:val="7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 xml:space="preserve">MICROBOL </w:t>
      </w:r>
      <w:r w:rsidRPr="0020102C">
        <w:rPr>
          <w:rFonts w:ascii="Times New Roman" w:eastAsia="Times New Roman" w:hAnsi="Times New Roman" w:cs="Times New Roman"/>
          <w:kern w:val="0"/>
          <w:sz w:val="24"/>
          <w:szCs w:val="24"/>
          <w:lang w:eastAsia="ro-MD"/>
          <w14:ligatures w14:val="none"/>
        </w:rPr>
        <w:t xml:space="preserve">și alte inițiative europene – contribuie la integrarea microcalificărilor în </w:t>
      </w:r>
      <w:r w:rsidR="00356848" w:rsidRPr="0020102C">
        <w:rPr>
          <w:rFonts w:ascii="Times New Roman" w:eastAsia="Times New Roman" w:hAnsi="Times New Roman" w:cs="Times New Roman"/>
          <w:kern w:val="0"/>
          <w:sz w:val="24"/>
          <w:szCs w:val="24"/>
          <w:lang w:eastAsia="ro-MD"/>
          <w14:ligatures w14:val="none"/>
        </w:rPr>
        <w:t>ÎPT</w:t>
      </w:r>
      <w:r w:rsidRPr="0020102C">
        <w:rPr>
          <w:rFonts w:ascii="Times New Roman" w:eastAsia="Times New Roman" w:hAnsi="Times New Roman" w:cs="Times New Roman"/>
          <w:kern w:val="0"/>
          <w:sz w:val="24"/>
          <w:szCs w:val="24"/>
          <w:lang w:eastAsia="ro-MD"/>
          <w14:ligatures w14:val="none"/>
        </w:rPr>
        <w:t xml:space="preserve"> și învățământul superior, în conformitate cu recomandările UE.</w:t>
      </w:r>
    </w:p>
    <w:p w14:paraId="5839CEE0" w14:textId="7A8674ED" w:rsidR="003C5D90" w:rsidRPr="0020102C" w:rsidRDefault="003C5D90" w:rsidP="00082272">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Dimensiunea europeană </w:t>
      </w:r>
    </w:p>
    <w:p w14:paraId="70C93818" w14:textId="0A76406C" w:rsidR="00D515EA" w:rsidRPr="0020102C" w:rsidRDefault="00D515EA" w:rsidP="00082272">
      <w:pPr>
        <w:pStyle w:val="af8"/>
        <w:spacing w:before="120" w:beforeAutospacing="0" w:after="120" w:afterAutospacing="0" w:line="276" w:lineRule="auto"/>
        <w:jc w:val="both"/>
      </w:pPr>
      <w:r w:rsidRPr="0020102C">
        <w:t>Dimensiunea europeană și internațională a CNC</w:t>
      </w:r>
      <w:r w:rsidR="009513A4" w:rsidRPr="001F6026">
        <w:t xml:space="preserve"> </w:t>
      </w:r>
      <w:r w:rsidRPr="0020102C">
        <w:t xml:space="preserve">reprezintă un pilon esențial al dezvoltării sale, asigurând comparabilitatea, transparența și recunoașterea calificărilor obținute în Republica Moldova. Conform </w:t>
      </w:r>
      <w:r w:rsidRPr="0020102C">
        <w:rPr>
          <w:rStyle w:val="af9"/>
          <w:rFonts w:eastAsiaTheme="majorEastAsia"/>
        </w:rPr>
        <w:t>HG nr. 330/2023</w:t>
      </w:r>
      <w:r w:rsidRPr="0020102C">
        <w:t xml:space="preserve">, CNC este corelat cu clasificatoarele naționale și internaționale ale educației și ocupațiilor pentru a susține mobilitatea academică și profesională, internaționalizarea educației și integrarea pe piața muncii. În acest sens, </w:t>
      </w:r>
      <w:r w:rsidR="009E7E92" w:rsidRPr="001F6026">
        <w:t>MEC</w:t>
      </w:r>
      <w:r w:rsidRPr="0020102C">
        <w:t>, în consultare cu părțile interesate, stabilește corespondența dintre CNC și principalele instrumente de referință: clasificatoarele pieței muncii (CORM, CAEM, ISCO, ESCO), clasificatoarele educaționale și de cercetare (ISCED, FRASCATI, nomenclatoarele domeniilor de formare profesională și științifică), precum și cadrele de calificări naționale și internaționale, în special EQF și QF-</w:t>
      </w:r>
      <w:r w:rsidR="002513BE" w:rsidRPr="0020102C">
        <w:t>EHEA</w:t>
      </w:r>
      <w:r w:rsidRPr="0020102C">
        <w:t>.</w:t>
      </w:r>
    </w:p>
    <w:p w14:paraId="7279DFE9" w14:textId="759236A3" w:rsidR="00D515EA" w:rsidRPr="0020102C" w:rsidRDefault="00D515EA" w:rsidP="00082272">
      <w:pPr>
        <w:pStyle w:val="af8"/>
        <w:spacing w:before="120" w:beforeAutospacing="0" w:after="120" w:afterAutospacing="0" w:line="276" w:lineRule="auto"/>
        <w:jc w:val="both"/>
      </w:pPr>
      <w:r w:rsidRPr="0020102C">
        <w:t xml:space="preserve">Corelarea stabilită între CNC și clasificatoarele naționale și internaționale este publicată în limba română și engleză pe pagina oficială a </w:t>
      </w:r>
      <w:r w:rsidR="009E7E92" w:rsidRPr="001F6026">
        <w:t>MEC</w:t>
      </w:r>
      <w:r w:rsidRPr="0020102C">
        <w:t xml:space="preserve">, ceea ce contribuie la transparență și accesibilitate. CNC se actualizează periodic pentru a asigura concordanța cu recomandările europene privind calificările, dar și pentru a răspunde condițiilor stabilite în acordurile bilaterale și multilaterale, asigurând astfel recunoașterea reciprocă a calificărilor moldovenești în alte state. Compatibilitatea CNC este consolidată prin raportarea la instrumente și standarde europene precum </w:t>
      </w:r>
      <w:r w:rsidRPr="0020102C">
        <w:rPr>
          <w:rStyle w:val="af9"/>
          <w:rFonts w:eastAsiaTheme="majorEastAsia"/>
          <w:b w:val="0"/>
          <w:bCs w:val="0"/>
        </w:rPr>
        <w:t>EQF pentru învățarea pe tot parcursul vieții</w:t>
      </w:r>
      <w:r w:rsidRPr="0020102C">
        <w:rPr>
          <w:b/>
          <w:bCs/>
        </w:rPr>
        <w:t xml:space="preserve">, </w:t>
      </w:r>
      <w:r w:rsidRPr="0020102C">
        <w:rPr>
          <w:rStyle w:val="af9"/>
          <w:rFonts w:eastAsiaTheme="majorEastAsia"/>
          <w:b w:val="0"/>
          <w:bCs w:val="0"/>
        </w:rPr>
        <w:t>QF-</w:t>
      </w:r>
      <w:r w:rsidR="002513BE" w:rsidRPr="0020102C">
        <w:rPr>
          <w:rStyle w:val="af9"/>
          <w:rFonts w:eastAsiaTheme="majorEastAsia"/>
          <w:b w:val="0"/>
          <w:bCs w:val="0"/>
        </w:rPr>
        <w:t>EHEA</w:t>
      </w:r>
      <w:r w:rsidRPr="0020102C">
        <w:rPr>
          <w:rStyle w:val="af9"/>
          <w:rFonts w:eastAsiaTheme="majorEastAsia"/>
          <w:b w:val="0"/>
          <w:bCs w:val="0"/>
        </w:rPr>
        <w:t xml:space="preserve"> și descriptorii Dublin</w:t>
      </w:r>
      <w:r w:rsidRPr="0020102C">
        <w:rPr>
          <w:b/>
          <w:bCs/>
        </w:rPr>
        <w:t xml:space="preserve">, </w:t>
      </w:r>
      <w:r w:rsidRPr="0020102C">
        <w:rPr>
          <w:rStyle w:val="af9"/>
          <w:rFonts w:eastAsiaTheme="majorEastAsia"/>
          <w:b w:val="0"/>
          <w:bCs w:val="0"/>
        </w:rPr>
        <w:t>ESG pentru asigurarea calității în învățământul superior</w:t>
      </w:r>
      <w:r w:rsidRPr="0020102C">
        <w:rPr>
          <w:b/>
          <w:bCs/>
        </w:rPr>
        <w:t xml:space="preserve">, </w:t>
      </w:r>
      <w:r w:rsidR="00BB2A74" w:rsidRPr="0020102C">
        <w:rPr>
          <w:rStyle w:val="af9"/>
          <w:rFonts w:eastAsiaTheme="majorEastAsia"/>
          <w:b w:val="0"/>
          <w:bCs w:val="0"/>
        </w:rPr>
        <w:t>EQAVET</w:t>
      </w:r>
      <w:r w:rsidRPr="0020102C">
        <w:rPr>
          <w:rStyle w:val="af9"/>
          <w:rFonts w:eastAsiaTheme="majorEastAsia"/>
          <w:b w:val="0"/>
          <w:bCs w:val="0"/>
        </w:rPr>
        <w:t xml:space="preserve"> pentru </w:t>
      </w:r>
      <w:r w:rsidR="00356848" w:rsidRPr="0020102C">
        <w:rPr>
          <w:rStyle w:val="af9"/>
          <w:rFonts w:eastAsiaTheme="majorEastAsia"/>
          <w:b w:val="0"/>
          <w:bCs w:val="0"/>
        </w:rPr>
        <w:t>ÎPT</w:t>
      </w:r>
      <w:r w:rsidRPr="0020102C">
        <w:rPr>
          <w:b/>
          <w:bCs/>
        </w:rPr>
        <w:t xml:space="preserve">, </w:t>
      </w:r>
      <w:r w:rsidR="008E3A2E" w:rsidRPr="0020102C">
        <w:rPr>
          <w:rStyle w:val="af9"/>
          <w:rFonts w:eastAsiaTheme="majorEastAsia"/>
          <w:b w:val="0"/>
          <w:bCs w:val="0"/>
        </w:rPr>
        <w:t>ECVET</w:t>
      </w:r>
      <w:r w:rsidRPr="0020102C">
        <w:rPr>
          <w:rStyle w:val="af9"/>
          <w:rFonts w:eastAsiaTheme="majorEastAsia"/>
          <w:b w:val="0"/>
          <w:bCs w:val="0"/>
        </w:rPr>
        <w:t xml:space="preserve"> și ECTS pentru transferul și acumularea creditelor</w:t>
      </w:r>
      <w:r w:rsidRPr="0020102C">
        <w:t xml:space="preserve">, precum și prin utilizarea instrumentelor </w:t>
      </w:r>
      <w:r w:rsidRPr="0020102C">
        <w:rPr>
          <w:rStyle w:val="af9"/>
          <w:rFonts w:eastAsiaTheme="majorEastAsia"/>
          <w:b w:val="0"/>
          <w:bCs w:val="0"/>
        </w:rPr>
        <w:t>Europass</w:t>
      </w:r>
      <w:r w:rsidRPr="0020102C">
        <w:rPr>
          <w:b/>
          <w:bCs/>
        </w:rPr>
        <w:t xml:space="preserve"> </w:t>
      </w:r>
      <w:r w:rsidRPr="0020102C">
        <w:t>pentru transparența actelor de studii.</w:t>
      </w:r>
    </w:p>
    <w:p w14:paraId="488FDCC3" w14:textId="05470F64" w:rsidR="00D515EA" w:rsidRPr="0020102C" w:rsidRDefault="00D515EA" w:rsidP="005C4FE9">
      <w:pPr>
        <w:pStyle w:val="af8"/>
        <w:spacing w:before="120" w:beforeAutospacing="0" w:after="120" w:afterAutospacing="0" w:line="276" w:lineRule="auto"/>
        <w:jc w:val="both"/>
      </w:pPr>
      <w:r w:rsidRPr="0020102C">
        <w:t xml:space="preserve">În paralel, CNC este ancorat în documentele strategice fundamentale ale Uniunii Europene și Spațiului European al Învățământului Superior, care stabilesc cadrul de referință pentru recunoaștere, transparență și calitate: </w:t>
      </w:r>
      <w:r w:rsidRPr="0020102C">
        <w:rPr>
          <w:rStyle w:val="af9"/>
          <w:rFonts w:eastAsiaTheme="majorEastAsia"/>
          <w:b w:val="0"/>
          <w:bCs w:val="0"/>
        </w:rPr>
        <w:t>Recomandarea Consiliului UE privind EQF (2017)</w:t>
      </w:r>
      <w:r w:rsidRPr="0020102C">
        <w:rPr>
          <w:b/>
          <w:bCs/>
        </w:rPr>
        <w:t xml:space="preserve">, </w:t>
      </w:r>
      <w:r w:rsidRPr="0020102C">
        <w:rPr>
          <w:rStyle w:val="af9"/>
          <w:rFonts w:eastAsiaTheme="majorEastAsia"/>
          <w:b w:val="0"/>
          <w:bCs w:val="0"/>
        </w:rPr>
        <w:t>QF-</w:t>
      </w:r>
      <w:r w:rsidR="002513BE" w:rsidRPr="0020102C">
        <w:rPr>
          <w:rStyle w:val="af9"/>
          <w:rFonts w:eastAsiaTheme="majorEastAsia"/>
          <w:b w:val="0"/>
          <w:bCs w:val="0"/>
        </w:rPr>
        <w:t>EHEA</w:t>
      </w:r>
      <w:r w:rsidRPr="0020102C">
        <w:rPr>
          <w:b/>
          <w:bCs/>
        </w:rPr>
        <w:t xml:space="preserve">, </w:t>
      </w:r>
      <w:r w:rsidRPr="0020102C">
        <w:rPr>
          <w:rStyle w:val="af9"/>
          <w:rFonts w:eastAsiaTheme="majorEastAsia"/>
          <w:b w:val="0"/>
          <w:bCs w:val="0"/>
        </w:rPr>
        <w:t>ESG (2015)</w:t>
      </w:r>
      <w:r w:rsidRPr="0020102C">
        <w:rPr>
          <w:b/>
          <w:bCs/>
        </w:rPr>
        <w:t xml:space="preserve">, </w:t>
      </w:r>
      <w:r w:rsidR="00BB2A74" w:rsidRPr="0020102C">
        <w:rPr>
          <w:rStyle w:val="af9"/>
          <w:rFonts w:eastAsiaTheme="majorEastAsia"/>
          <w:b w:val="0"/>
          <w:bCs w:val="0"/>
        </w:rPr>
        <w:t>EQAVET</w:t>
      </w:r>
      <w:r w:rsidRPr="0020102C">
        <w:t>,</w:t>
      </w:r>
      <w:r w:rsidRPr="0020102C">
        <w:rPr>
          <w:b/>
          <w:bCs/>
        </w:rPr>
        <w:t xml:space="preserve"> </w:t>
      </w:r>
      <w:r w:rsidRPr="0020102C">
        <w:t>dar și</w:t>
      </w:r>
      <w:r w:rsidRPr="0020102C">
        <w:rPr>
          <w:b/>
          <w:bCs/>
        </w:rPr>
        <w:t xml:space="preserve"> </w:t>
      </w:r>
      <w:r w:rsidRPr="0020102C">
        <w:rPr>
          <w:rStyle w:val="af9"/>
          <w:rFonts w:eastAsiaTheme="majorEastAsia"/>
          <w:b w:val="0"/>
          <w:bCs w:val="0"/>
        </w:rPr>
        <w:t>Recomandarea Consiliului UE privind microcalificările (2022)</w:t>
      </w:r>
      <w:r w:rsidRPr="0020102C">
        <w:rPr>
          <w:b/>
          <w:bCs/>
        </w:rPr>
        <w:t>.</w:t>
      </w:r>
      <w:r w:rsidRPr="0020102C">
        <w:t xml:space="preserve"> Astfel, CNC reflectă orientarea strategică a Republicii Moldova către convergența europeană, iar prin intermediul Registrului Național al Calificărilor și al Punctului Național de Contact pentru EQF, </w:t>
      </w:r>
      <w:r w:rsidR="009E7E92" w:rsidRPr="001F6026">
        <w:t>MEC</w:t>
      </w:r>
      <w:r w:rsidRPr="0020102C">
        <w:t xml:space="preserve"> asigură schimbul de informații și compararea calificărilor naționale cu cele europene și internaționale.</w:t>
      </w:r>
    </w:p>
    <w:p w14:paraId="52150D10" w14:textId="77777777" w:rsidR="00D515EA" w:rsidRPr="0020102C" w:rsidRDefault="00D515EA" w:rsidP="005C4FE9">
      <w:pPr>
        <w:pStyle w:val="af8"/>
        <w:spacing w:before="120" w:beforeAutospacing="0" w:after="120" w:afterAutospacing="0" w:line="276" w:lineRule="auto"/>
        <w:jc w:val="both"/>
      </w:pPr>
      <w:r w:rsidRPr="0020102C">
        <w:lastRenderedPageBreak/>
        <w:t>În ansamblul său, cadrul normativ și instituțional privind dimensiunea europeană a CNC constituie un sistem robust și coerent, care facilitează mobilitatea, recunoașterea și integrarea calificărilor moldovenești în Spațiul European al Învățământului Superior și pe piața europeană a muncii.</w:t>
      </w:r>
    </w:p>
    <w:p w14:paraId="06B65AF1" w14:textId="1A5F7B4A" w:rsidR="000C238E" w:rsidRPr="0020102C" w:rsidRDefault="000C238E" w:rsidP="005C4FE9">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w:t>
      </w:r>
      <w:r w:rsidR="003C5D90" w:rsidRPr="0020102C">
        <w:rPr>
          <w:rFonts w:ascii="Times New Roman" w:eastAsia="Times New Roman" w:hAnsi="Times New Roman" w:cs="Times New Roman"/>
          <w:b/>
          <w:bCs/>
          <w:color w:val="3494BA" w:themeColor="accent1"/>
          <w:kern w:val="0"/>
          <w:sz w:val="24"/>
          <w:szCs w:val="24"/>
          <w:lang w:eastAsia="ro-MD"/>
          <w14:ligatures w14:val="none"/>
        </w:rPr>
        <w:t>3</w:t>
      </w:r>
      <w:r w:rsidRPr="0020102C">
        <w:rPr>
          <w:rFonts w:ascii="Times New Roman" w:eastAsia="Times New Roman" w:hAnsi="Times New Roman" w:cs="Times New Roman"/>
          <w:b/>
          <w:bCs/>
          <w:color w:val="3494BA" w:themeColor="accent1"/>
          <w:kern w:val="0"/>
          <w:sz w:val="24"/>
          <w:szCs w:val="24"/>
          <w:lang w:eastAsia="ro-MD"/>
          <w14:ligatures w14:val="none"/>
        </w:rPr>
        <w:t xml:space="preserve"> – </w:t>
      </w:r>
      <w:r w:rsidR="003C5D90" w:rsidRPr="0020102C">
        <w:rPr>
          <w:rFonts w:ascii="Times New Roman" w:eastAsia="Times New Roman" w:hAnsi="Times New Roman" w:cs="Times New Roman"/>
          <w:b/>
          <w:bCs/>
          <w:color w:val="3494BA" w:themeColor="accent1"/>
          <w:kern w:val="0"/>
          <w:sz w:val="24"/>
          <w:szCs w:val="24"/>
          <w:lang w:eastAsia="ro-MD"/>
          <w14:ligatures w14:val="none"/>
        </w:rPr>
        <w:t>Obiectivele și funcțiile CNC</w:t>
      </w:r>
      <w:r w:rsidRPr="0020102C">
        <w:rPr>
          <w:rFonts w:ascii="Times New Roman" w:eastAsia="Times New Roman" w:hAnsi="Times New Roman" w:cs="Times New Roman"/>
          <w:b/>
          <w:bCs/>
          <w:color w:val="3494BA" w:themeColor="accent1"/>
          <w:kern w:val="0"/>
          <w:sz w:val="24"/>
          <w:szCs w:val="24"/>
          <w:lang w:eastAsia="ro-MD"/>
          <w14:ligatures w14:val="none"/>
        </w:rPr>
        <w:t xml:space="preserve"> </w:t>
      </w:r>
    </w:p>
    <w:p w14:paraId="276B9B1B" w14:textId="5E736F17" w:rsidR="0086679B" w:rsidRPr="0020102C" w:rsidRDefault="0086679B"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CNC este conceput ca un instrument strategic de politică publică în domeniul educației și formării profesionale, având rolul de a integra sistemul național de calificări într-o arhitectură coerentă, compatibilă cu standardele europene și internaționale. CNC asigură nu doar transparența și comparabilitatea calificărilor, ci și corelarea lor cu cerințele pieței muncii, sprijinind astfel angajabilitatea, mobilitatea și dezvoltarea personală și profesională a cetățenilor. În același timp, acesta oferă o bază comună pentru dialogul dintre educație, formare profesională, partenerii sociali și autorități, orientând modernizarea sistemului educațional în funcție de necesitățile economiei și societății.</w:t>
      </w:r>
    </w:p>
    <w:p w14:paraId="53BA450B" w14:textId="1EB5EF14" w:rsidR="0086679B" w:rsidRPr="0020102C" w:rsidRDefault="0086679B" w:rsidP="005C4FE9">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Obiectivele CNC: </w:t>
      </w:r>
      <w:r w:rsidRPr="0020102C">
        <w:rPr>
          <w:rFonts w:ascii="Times New Roman" w:eastAsia="Times New Roman" w:hAnsi="Times New Roman" w:cs="Times New Roman"/>
          <w:kern w:val="0"/>
          <w:sz w:val="24"/>
          <w:szCs w:val="24"/>
          <w:lang w:eastAsia="ro-MD"/>
          <w14:ligatures w14:val="none"/>
        </w:rPr>
        <w:t>Obiectivele CNC definesc scopul său strategic și direcțiile de acțiune pe termen lung. Ele vizează crearea unui cadru unitar pentru calificări, care să faciliteze transparența și recunoașterea acestora la nivel național și internațional, să susțină mobilitatea educațională și profesională și să conecteze în mod direct educația cu cerințele pieței muncii. În acest cadru general, obiectivele stabilite prin HG nr. 330/2023 sunt următoarele:</w:t>
      </w:r>
    </w:p>
    <w:p w14:paraId="2BF7A6B7" w14:textId="77777777" w:rsidR="0086679B" w:rsidRPr="0020102C" w:rsidRDefault="0086679B" w:rsidP="00A41843">
      <w:pPr>
        <w:numPr>
          <w:ilvl w:val="0"/>
          <w:numId w:val="7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Îmbunătățirea transparenței, comparabilității și transferabilității calificărilor.</w:t>
      </w:r>
    </w:p>
    <w:p w14:paraId="56C38DA6" w14:textId="77777777" w:rsidR="0086679B" w:rsidRPr="0020102C" w:rsidRDefault="0086679B" w:rsidP="00A41843">
      <w:pPr>
        <w:numPr>
          <w:ilvl w:val="0"/>
          <w:numId w:val="7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Sporirea angajabilității, mobilității și integrării sociale a cetățenilor.</w:t>
      </w:r>
    </w:p>
    <w:p w14:paraId="271E0AF9" w14:textId="77777777" w:rsidR="0086679B" w:rsidRPr="0020102C" w:rsidRDefault="0086679B" w:rsidP="00A41843">
      <w:pPr>
        <w:numPr>
          <w:ilvl w:val="0"/>
          <w:numId w:val="7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Contribuirea la modernizarea sistemului de educație și de formare.</w:t>
      </w:r>
    </w:p>
    <w:p w14:paraId="4697BAFD" w14:textId="77777777" w:rsidR="0086679B" w:rsidRPr="0020102C" w:rsidRDefault="0086679B" w:rsidP="00A41843">
      <w:pPr>
        <w:numPr>
          <w:ilvl w:val="0"/>
          <w:numId w:val="7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Asigurarea unei mai bune corelări între învățarea formală, non-formală și informală.</w:t>
      </w:r>
    </w:p>
    <w:p w14:paraId="45ED4F28" w14:textId="77777777" w:rsidR="0086679B" w:rsidRPr="0020102C" w:rsidRDefault="0086679B" w:rsidP="00A41843">
      <w:pPr>
        <w:numPr>
          <w:ilvl w:val="0"/>
          <w:numId w:val="7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Sprijinirea validării rezultatelor învățării dobândite în diferite contexte de învățare.</w:t>
      </w:r>
    </w:p>
    <w:p w14:paraId="29D25682" w14:textId="6CB0F1B7" w:rsidR="0086679B" w:rsidRPr="0020102C" w:rsidRDefault="0086679B" w:rsidP="005C4FE9">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Principiile CNC: </w:t>
      </w:r>
      <w:r w:rsidRPr="0020102C">
        <w:rPr>
          <w:rFonts w:ascii="Times New Roman" w:eastAsia="Times New Roman" w:hAnsi="Times New Roman" w:cs="Times New Roman"/>
          <w:kern w:val="0"/>
          <w:sz w:val="24"/>
          <w:szCs w:val="24"/>
          <w:lang w:eastAsia="ro-MD"/>
          <w14:ligatures w14:val="none"/>
        </w:rPr>
        <w:t>Funcționarea CNC se bazează pe un set de principii fundamentale care îi conferă legitimitate și compatibilitate cu standardele europene. Aceste principii garantează continuitatea formării, accesul echitabil la calificări, transparența informațiilor oferite tuturor utilizatorilor și adaptarea permanentă la cerințele pieței muncii. Pornind de la aceste considerente, CNC este guvernat de următoarele principii:</w:t>
      </w:r>
    </w:p>
    <w:p w14:paraId="054D87FB" w14:textId="77777777" w:rsidR="0086679B" w:rsidRPr="0020102C" w:rsidRDefault="0086679B" w:rsidP="00A41843">
      <w:pPr>
        <w:numPr>
          <w:ilvl w:val="0"/>
          <w:numId w:val="7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Succesiune și dezvoltare continuă a nivelurilor de calificare.</w:t>
      </w:r>
    </w:p>
    <w:p w14:paraId="0A6657FE" w14:textId="77777777" w:rsidR="0086679B" w:rsidRPr="0020102C" w:rsidRDefault="0086679B" w:rsidP="00A41843">
      <w:pPr>
        <w:numPr>
          <w:ilvl w:val="0"/>
          <w:numId w:val="7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Nondiscriminare și echitate.</w:t>
      </w:r>
    </w:p>
    <w:p w14:paraId="134A5A68" w14:textId="77777777" w:rsidR="0086679B" w:rsidRPr="0020102C" w:rsidRDefault="0086679B" w:rsidP="00A41843">
      <w:pPr>
        <w:numPr>
          <w:ilvl w:val="0"/>
          <w:numId w:val="7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Transparență în descrierea nivelurilor de calificare pentru toți utilizatorii.</w:t>
      </w:r>
    </w:p>
    <w:p w14:paraId="267B04ED" w14:textId="77777777" w:rsidR="0086679B" w:rsidRPr="0020102C" w:rsidRDefault="0086679B" w:rsidP="00A41843">
      <w:pPr>
        <w:numPr>
          <w:ilvl w:val="0"/>
          <w:numId w:val="7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Receptivitate la cerințele educaționale, sociale și ale pieței muncii în permanentă schimbare.</w:t>
      </w:r>
    </w:p>
    <w:p w14:paraId="5878B3F7" w14:textId="5D2D899B" w:rsidR="0086679B" w:rsidRPr="0020102C" w:rsidRDefault="0086679B" w:rsidP="00A41843">
      <w:pPr>
        <w:numPr>
          <w:ilvl w:val="0"/>
          <w:numId w:val="7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Comparabilitate structurală și compatibilitate cu EQF și QF-</w:t>
      </w:r>
      <w:r w:rsidR="002513BE" w:rsidRPr="0020102C">
        <w:rPr>
          <w:rFonts w:ascii="Times New Roman" w:eastAsia="Times New Roman" w:hAnsi="Times New Roman" w:cs="Times New Roman"/>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w:t>
      </w:r>
    </w:p>
    <w:p w14:paraId="299CE997" w14:textId="77777777" w:rsidR="0086679B" w:rsidRPr="0020102C" w:rsidRDefault="0086679B" w:rsidP="00A41843">
      <w:pPr>
        <w:numPr>
          <w:ilvl w:val="0"/>
          <w:numId w:val="7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Concordanță cu instrumentele naționale și internaționale de clasificare a educației, ocupațiilor și domeniilor științifice: nomenclatoarele domeniilor de formare, ISCED 2011, ISCED-F 2013, Manualul Frascati (OECD), CORM, ESCO, ISCO și CAEM-2.</w:t>
      </w:r>
    </w:p>
    <w:p w14:paraId="521EC009" w14:textId="2FA22248" w:rsidR="0086679B" w:rsidRPr="0020102C" w:rsidRDefault="0086679B" w:rsidP="005C4FE9">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Funcțiile CNC: </w:t>
      </w:r>
      <w:r w:rsidRPr="0020102C">
        <w:rPr>
          <w:rFonts w:ascii="Times New Roman" w:eastAsia="Times New Roman" w:hAnsi="Times New Roman" w:cs="Times New Roman"/>
          <w:kern w:val="0"/>
          <w:sz w:val="24"/>
          <w:szCs w:val="24"/>
          <w:lang w:eastAsia="ro-MD"/>
          <w14:ligatures w14:val="none"/>
        </w:rPr>
        <w:t>Pentru a-și atinge obiectivele și a respecta principiile enunțate, CNC îndeplinește un set complex de funcții. Acestea descriu modul concret în care cadrul operează, oferă sprijin beneficiarilor și furnizorilor de educație și formare și asigură corelarea permanentă a calificărilor cu piața muncii. Astfel, funcțiile prevăzute de HG nr. 330/2023 includ:</w:t>
      </w:r>
    </w:p>
    <w:p w14:paraId="00BA059F"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Descrierea nivelurilor de calificare, a condițiilor de acces la educație și formare, structurarea și relaționarea calificărilor naționale.</w:t>
      </w:r>
    </w:p>
    <w:p w14:paraId="7B764AE6"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Informarea cu privire la calificările naționale academice și profesionale, inclusiv cele reglementate prin norme speciale.</w:t>
      </w:r>
    </w:p>
    <w:p w14:paraId="042444DB"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Satisfacerea necesităților educaționale individuale prin formarea competențelor și atitudinilor necesare pentru socializare și integrare profesională.</w:t>
      </w:r>
    </w:p>
    <w:p w14:paraId="7E7248C4"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Sprijinirea beneficiarilor și furnizorilor de servicii educaționale în luarea deciziilor privind obținerea calificărilor la diferite niveluri.</w:t>
      </w:r>
    </w:p>
    <w:p w14:paraId="015E84C9"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Facilitarea selectării traseului optim de formare profesională și a utilizării eficiente a calificărilor pe piața muncii.</w:t>
      </w:r>
    </w:p>
    <w:p w14:paraId="2218D6FB"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Acordarea de asistență autorităților și furnizorilor de educație și formare pentru identificarea ofertelor pe baza unei referințe comune.</w:t>
      </w:r>
    </w:p>
    <w:p w14:paraId="2DFC2B5C"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Facilitarea mobilității academice și profesionale pe piața educațională și pe piața muncii, atât la nivel național, cât și internațional.</w:t>
      </w:r>
    </w:p>
    <w:p w14:paraId="3E183509"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Implementarea cerințelor pieței muncii față de calificări și competențe profesionale.</w:t>
      </w:r>
    </w:p>
    <w:p w14:paraId="41B77CD7"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Implementarea unor mecanisme credibile de asigurare a calității și consolidarea încrederii în calificările naționale.</w:t>
      </w:r>
    </w:p>
    <w:p w14:paraId="373D08BE"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Implementarea mecanismelor de validare a competențelor obținute în contexte formale, non-formale și informale.</w:t>
      </w:r>
    </w:p>
    <w:p w14:paraId="3B852330"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Acordarea calificărilor pe baza rezultatelor învățării și certificarea acestora prin acte de studii.</w:t>
      </w:r>
    </w:p>
    <w:p w14:paraId="7DA3AAD2"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Susținerea învățării pe tot parcursul vieții și creșterea flexibilității traseelor de formare profesională.</w:t>
      </w:r>
    </w:p>
    <w:p w14:paraId="0ADD37F3" w14:textId="77777777" w:rsidR="0086679B" w:rsidRPr="0020102C" w:rsidRDefault="0086679B" w:rsidP="00A41843">
      <w:pPr>
        <w:numPr>
          <w:ilvl w:val="0"/>
          <w:numId w:val="7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Facilitarea și consolidarea colaborării internaționale în domeniul educației și formării profesionale.</w:t>
      </w:r>
    </w:p>
    <w:p w14:paraId="7E2F930E" w14:textId="77777777" w:rsidR="0086679B" w:rsidRPr="0020102C" w:rsidRDefault="0086679B"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Obiectivele, principiile și funcțiile CNC definesc cadrul conceptual și operațional al acestuia, oferind direcție strategică și instrumente practice pentru implementare. Ele conectează educația și formarea profesională cu piața muncii și cu standardele europene, consolidând rolul CNC ca mecanism esențial pentru modernizarea sistemului educațional și dezvoltarea capitalului uman.</w:t>
      </w:r>
    </w:p>
    <w:p w14:paraId="73BA76D3" w14:textId="628CCF4E" w:rsidR="00643F7C" w:rsidRPr="0020102C" w:rsidRDefault="00643F7C" w:rsidP="005C4FE9">
      <w:pPr>
        <w:spacing w:before="120" w:after="120" w:line="276" w:lineRule="auto"/>
        <w:jc w:val="both"/>
        <w:outlineLvl w:val="1"/>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4.4. Structura, </w:t>
      </w:r>
      <w:r w:rsidR="00E02FEC" w:rsidRPr="0020102C">
        <w:rPr>
          <w:rFonts w:ascii="Times New Roman" w:eastAsia="Times New Roman" w:hAnsi="Times New Roman" w:cs="Times New Roman"/>
          <w:b/>
          <w:bCs/>
          <w:color w:val="3494BA" w:themeColor="accent1"/>
          <w:kern w:val="0"/>
          <w:sz w:val="24"/>
          <w:szCs w:val="24"/>
          <w:lang w:eastAsia="ro-MD"/>
          <w14:ligatures w14:val="none"/>
        </w:rPr>
        <w:t xml:space="preserve">descriptori, </w:t>
      </w:r>
      <w:r w:rsidRPr="0020102C">
        <w:rPr>
          <w:rFonts w:ascii="Times New Roman" w:eastAsia="Times New Roman" w:hAnsi="Times New Roman" w:cs="Times New Roman"/>
          <w:b/>
          <w:bCs/>
          <w:color w:val="3494BA" w:themeColor="accent1"/>
          <w:kern w:val="0"/>
          <w:sz w:val="24"/>
          <w:szCs w:val="24"/>
          <w:lang w:eastAsia="ro-MD"/>
          <w14:ligatures w14:val="none"/>
        </w:rPr>
        <w:t xml:space="preserve">niveluri, rezultate ale învățării </w:t>
      </w:r>
    </w:p>
    <w:p w14:paraId="536D7FDA" w14:textId="0F19449D" w:rsidR="00643F7C" w:rsidRPr="0020102C" w:rsidRDefault="00643F7C"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CNC este parte integrantă a </w:t>
      </w:r>
      <w:r w:rsidRPr="0020102C">
        <w:rPr>
          <w:rFonts w:ascii="Times New Roman" w:eastAsia="Times New Roman" w:hAnsi="Times New Roman" w:cs="Times New Roman"/>
          <w:b/>
          <w:bCs/>
          <w:kern w:val="0"/>
          <w:sz w:val="24"/>
          <w:szCs w:val="24"/>
          <w:lang w:eastAsia="ro-MD"/>
          <w14:ligatures w14:val="none"/>
        </w:rPr>
        <w:t>Sistemului Național de Calificări (SNC)</w:t>
      </w:r>
      <w:r w:rsidRPr="0020102C">
        <w:rPr>
          <w:rFonts w:ascii="Times New Roman" w:eastAsia="Times New Roman" w:hAnsi="Times New Roman" w:cs="Times New Roman"/>
          <w:kern w:val="0"/>
          <w:sz w:val="24"/>
          <w:szCs w:val="24"/>
          <w:lang w:eastAsia="ro-MD"/>
          <w14:ligatures w14:val="none"/>
        </w:rPr>
        <w:t xml:space="preserve"> și reprezintă mecanismul central de clasificare, ordonare și corelare a calificărilor din Republica Moldova. CNC funcționează ca o arhitectură unitară, menită să asigure coerența sistemului educațional și formativ, precum și conectarea acestuia la cerințele pieței muncii și la standardele internaționale.</w:t>
      </w:r>
    </w:p>
    <w:p w14:paraId="2ACEAA22" w14:textId="77777777" w:rsidR="00643F7C" w:rsidRPr="0020102C" w:rsidRDefault="00643F7C"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Implementarea operațională a CNC</w:t>
      </w:r>
      <w:r w:rsidRPr="0020102C">
        <w:rPr>
          <w:rFonts w:ascii="Times New Roman" w:eastAsia="Times New Roman" w:hAnsi="Times New Roman" w:cs="Times New Roman"/>
          <w:b/>
          <w:bCs/>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se realizează pe baza unui set de elemente structurale, care îi definesc funcționalitatea:</w:t>
      </w:r>
    </w:p>
    <w:p w14:paraId="5561AF52" w14:textId="77777777" w:rsidR="00643F7C" w:rsidRPr="0020102C" w:rsidRDefault="00643F7C" w:rsidP="00A41843">
      <w:pPr>
        <w:numPr>
          <w:ilvl w:val="0"/>
          <w:numId w:val="7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CNC propriu-zis, organizat pe niveluri, cu rezultate ale învățării de referință și sectoriale;</w:t>
      </w:r>
    </w:p>
    <w:p w14:paraId="1F8FB5E2" w14:textId="77777777" w:rsidR="00643F7C" w:rsidRPr="0020102C" w:rsidRDefault="00643F7C" w:rsidP="00A41843">
      <w:pPr>
        <w:numPr>
          <w:ilvl w:val="0"/>
          <w:numId w:val="7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un cadru tehnic și instrumente pentru persoane, ce includ creditele de studii și mecanismele de acumulare și transfer, Registrul Național al Calificărilor (RNC), Registrul actelor de studii, punctele naționale de informare și coordonare, precum și mecanisme de alertă privind calificările false sau interdicțiile profesionale;</w:t>
      </w:r>
    </w:p>
    <w:p w14:paraId="67415174" w14:textId="0A827F34" w:rsidR="00643F7C" w:rsidRPr="0020102C" w:rsidRDefault="00643F7C" w:rsidP="00A41843">
      <w:pPr>
        <w:numPr>
          <w:ilvl w:val="0"/>
          <w:numId w:val="7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proceduri și principii comune pentru asigurarea calității, validarea, recunoașterea și certificarea calificărilor, transpunerea competențelor în rezultate ale învățării, servicii de ghidare și consiliere, precum și certificarea competențelor-c</w:t>
      </w:r>
      <w:r w:rsidR="003A71F1" w:rsidRPr="0020102C">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ie (transversale).</w:t>
      </w:r>
    </w:p>
    <w:p w14:paraId="23B0ADD1" w14:textId="77777777" w:rsidR="00C46C4C" w:rsidRPr="0020102C" w:rsidRDefault="00C46C4C"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Prin această arhitectură operațională, CNC contribuie la transparența și coerența calificărilor, facilitează progresul educațional și profesional și consolidează legătura dintre educație, piața muncii și societatea civilă.</w:t>
      </w:r>
    </w:p>
    <w:p w14:paraId="6DAE273F" w14:textId="65A87A49" w:rsidR="00643F7C" w:rsidRPr="0020102C" w:rsidRDefault="00643F7C" w:rsidP="005C4FE9">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Structura CNC</w:t>
      </w:r>
    </w:p>
    <w:p w14:paraId="4D248203" w14:textId="61358325" w:rsidR="00643F7C" w:rsidRPr="0020102C" w:rsidRDefault="00643F7C"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Structura CNC reflectă atât ierarhia nivelurilor de calificare, cât și diversitatea tipurilor de calificări, oferind un cadru coerent și comparabil pentru toate formele de educație și formare. </w:t>
      </w:r>
      <w:r w:rsidR="000D528E" w:rsidRPr="0020102C">
        <w:rPr>
          <w:rFonts w:ascii="Times New Roman" w:eastAsia="Times New Roman" w:hAnsi="Times New Roman" w:cs="Times New Roman"/>
          <w:kern w:val="0"/>
          <w:sz w:val="24"/>
          <w:szCs w:val="24"/>
          <w:lang w:eastAsia="ro-MD"/>
          <w14:ligatures w14:val="none"/>
        </w:rPr>
        <w:t>Ea integrează calificările obținute prin educație formală, precum și pe cele dobândite prin recunoașterea rezultatelor învățării nonformale și informale, din perspectiva învățării pe tot parcursul vieții.</w:t>
      </w:r>
      <w:r w:rsidRPr="0020102C">
        <w:rPr>
          <w:rFonts w:ascii="Times New Roman" w:eastAsia="Times New Roman" w:hAnsi="Times New Roman" w:cs="Times New Roman"/>
          <w:kern w:val="0"/>
          <w:sz w:val="24"/>
          <w:szCs w:val="24"/>
          <w:lang w:eastAsia="ro-MD"/>
          <w14:ligatures w14:val="none"/>
        </w:rPr>
        <w:t xml:space="preserve"> Principalele dimensiuni ale acestei structuri sunt:</w:t>
      </w:r>
    </w:p>
    <w:p w14:paraId="0C9C9D1C" w14:textId="77777777" w:rsidR="00643F7C" w:rsidRPr="0020102C" w:rsidRDefault="00643F7C" w:rsidP="00A41843">
      <w:pPr>
        <w:numPr>
          <w:ilvl w:val="0"/>
          <w:numId w:val="7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Axa verticală</w:t>
      </w:r>
      <w:r w:rsidRPr="0020102C">
        <w:rPr>
          <w:rFonts w:ascii="Times New Roman" w:eastAsia="Times New Roman" w:hAnsi="Times New Roman" w:cs="Times New Roman"/>
          <w:kern w:val="0"/>
          <w:sz w:val="24"/>
          <w:szCs w:val="24"/>
          <w:lang w:eastAsia="ro-MD"/>
          <w14:ligatures w14:val="none"/>
        </w:rPr>
        <w:t xml:space="preserve"> – ierarhizează calificările pe </w:t>
      </w:r>
      <w:r w:rsidRPr="0020102C">
        <w:rPr>
          <w:rFonts w:ascii="Times New Roman" w:eastAsia="Times New Roman" w:hAnsi="Times New Roman" w:cs="Times New Roman"/>
          <w:b/>
          <w:bCs/>
          <w:kern w:val="0"/>
          <w:sz w:val="24"/>
          <w:szCs w:val="24"/>
          <w:lang w:eastAsia="ro-MD"/>
          <w14:ligatures w14:val="none"/>
        </w:rPr>
        <w:t>opt niveluri de calificare</w:t>
      </w:r>
      <w:r w:rsidRPr="0020102C">
        <w:rPr>
          <w:rFonts w:ascii="Times New Roman" w:eastAsia="Times New Roman" w:hAnsi="Times New Roman" w:cs="Times New Roman"/>
          <w:kern w:val="0"/>
          <w:sz w:val="24"/>
          <w:szCs w:val="24"/>
          <w:lang w:eastAsia="ro-MD"/>
          <w14:ligatures w14:val="none"/>
        </w:rPr>
        <w:t>, corespunzătoare gradului de complexitate și profunzime a rezultatelor învățării. Această axă permite progresia educațională și profesională, asigurând recunoașterea competențelor la nivel național și european.</w:t>
      </w:r>
    </w:p>
    <w:p w14:paraId="6F4403DA" w14:textId="77777777" w:rsidR="00643F7C" w:rsidRPr="0020102C" w:rsidRDefault="00643F7C" w:rsidP="00A41843">
      <w:pPr>
        <w:numPr>
          <w:ilvl w:val="0"/>
          <w:numId w:val="7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Axa orizontală</w:t>
      </w:r>
      <w:r w:rsidRPr="0020102C">
        <w:rPr>
          <w:rFonts w:ascii="Times New Roman" w:eastAsia="Times New Roman" w:hAnsi="Times New Roman" w:cs="Times New Roman"/>
          <w:kern w:val="0"/>
          <w:sz w:val="24"/>
          <w:szCs w:val="24"/>
          <w:lang w:eastAsia="ro-MD"/>
          <w14:ligatures w14:val="none"/>
        </w:rPr>
        <w:t xml:space="preserve"> – clasifică calificările pe </w:t>
      </w:r>
      <w:r w:rsidRPr="0020102C">
        <w:rPr>
          <w:rFonts w:ascii="Times New Roman" w:eastAsia="Times New Roman" w:hAnsi="Times New Roman" w:cs="Times New Roman"/>
          <w:b/>
          <w:bCs/>
          <w:kern w:val="0"/>
          <w:sz w:val="24"/>
          <w:szCs w:val="24"/>
          <w:lang w:eastAsia="ro-MD"/>
          <w14:ligatures w14:val="none"/>
        </w:rPr>
        <w:t>tipuri</w:t>
      </w:r>
      <w:r w:rsidRPr="0020102C">
        <w:rPr>
          <w:rFonts w:ascii="Times New Roman" w:eastAsia="Times New Roman" w:hAnsi="Times New Roman" w:cs="Times New Roman"/>
          <w:kern w:val="0"/>
          <w:sz w:val="24"/>
          <w:szCs w:val="24"/>
          <w:lang w:eastAsia="ro-MD"/>
          <w14:ligatures w14:val="none"/>
        </w:rPr>
        <w:t>, în funcție de nivelul educațional, specificul rezultatelor învățării, scopul și conținutul calificării. Aceasta garantează diversitatea și flexibilitatea traseelor de formare, fără suprapuneri sau duplicări.</w:t>
      </w:r>
    </w:p>
    <w:p w14:paraId="7AA92331" w14:textId="75F3C137" w:rsidR="00643F7C" w:rsidRPr="0020102C" w:rsidRDefault="00643F7C"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Această structură ierarhică și tipologică </w:t>
      </w:r>
      <w:r w:rsidR="000D528E" w:rsidRPr="0020102C">
        <w:rPr>
          <w:rFonts w:ascii="Times New Roman" w:eastAsia="Times New Roman" w:hAnsi="Times New Roman" w:cs="Times New Roman"/>
          <w:kern w:val="0"/>
          <w:sz w:val="24"/>
          <w:szCs w:val="24"/>
          <w:lang w:eastAsia="ro-MD"/>
          <w14:ligatures w14:val="none"/>
        </w:rPr>
        <w:t xml:space="preserve">asigură transparența </w:t>
      </w:r>
      <w:r w:rsidRPr="0020102C">
        <w:rPr>
          <w:rFonts w:ascii="Times New Roman" w:eastAsia="Times New Roman" w:hAnsi="Times New Roman" w:cs="Times New Roman"/>
          <w:kern w:val="0"/>
          <w:sz w:val="24"/>
          <w:szCs w:val="24"/>
          <w:lang w:eastAsia="ro-MD"/>
          <w14:ligatures w14:val="none"/>
        </w:rPr>
        <w:t>și comparabilitatea calificărilor, sprijinind planificarea carierei, progresia educațională și profesională, precum și recunoașterea internațională.</w:t>
      </w:r>
    </w:p>
    <w:p w14:paraId="1E3B2061" w14:textId="70EEBD6D" w:rsidR="00E02FEC" w:rsidRPr="0020102C" w:rsidRDefault="00C46C4C" w:rsidP="008C376E">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Niveluri și d</w:t>
      </w:r>
      <w:r w:rsidR="00E02FEC" w:rsidRPr="0020102C">
        <w:rPr>
          <w:rFonts w:ascii="Times New Roman" w:eastAsia="Times New Roman" w:hAnsi="Times New Roman" w:cs="Times New Roman"/>
          <w:b/>
          <w:bCs/>
          <w:color w:val="3494BA" w:themeColor="accent1"/>
          <w:kern w:val="0"/>
          <w:sz w:val="24"/>
          <w:szCs w:val="24"/>
          <w:lang w:eastAsia="ro-MD"/>
          <w14:ligatures w14:val="none"/>
        </w:rPr>
        <w:t>escriptori</w:t>
      </w:r>
    </w:p>
    <w:p w14:paraId="21CF1368" w14:textId="46AE0D25" w:rsidR="002A3A35" w:rsidRPr="0020102C" w:rsidRDefault="002A3A35"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În cadrul CNC, nivelul unei calificări este stabilit pe baza unui set de </w:t>
      </w:r>
      <w:r w:rsidRPr="0020102C">
        <w:rPr>
          <w:rFonts w:ascii="Times New Roman" w:eastAsia="Times New Roman" w:hAnsi="Times New Roman" w:cs="Times New Roman"/>
          <w:b/>
          <w:bCs/>
          <w:color w:val="3494BA" w:themeColor="accent1"/>
          <w:kern w:val="0"/>
          <w:sz w:val="24"/>
          <w:szCs w:val="24"/>
          <w:lang w:eastAsia="ro-MD"/>
          <w14:ligatures w14:val="none"/>
        </w:rPr>
        <w:t>descriptori de referință</w:t>
      </w:r>
      <w:r w:rsidRPr="0020102C">
        <w:rPr>
          <w:rFonts w:ascii="Times New Roman" w:eastAsia="Times New Roman" w:hAnsi="Times New Roman" w:cs="Times New Roman"/>
          <w:kern w:val="0"/>
          <w:sz w:val="24"/>
          <w:szCs w:val="24"/>
          <w:lang w:eastAsia="ro-MD"/>
          <w14:ligatures w14:val="none"/>
        </w:rPr>
        <w:t>, care reflectă complexitatea, profunzimea și dimensiunea rezultatelor învățării. Acești descriptori constituie instrumentul fundamental prin care se asigură comparabilitatea calificărilor atât la nivel național, cât și european, fiind aliniați la EQF. Ei permit clasificarea și recunoașterea uniformă a calificărilor, indiferent de contextul în care rezultatele învățării au fost dobândite – formal, non-formal sau informal.</w:t>
      </w:r>
    </w:p>
    <w:p w14:paraId="20284A2F" w14:textId="7A666E9A" w:rsidR="002A3A35" w:rsidRPr="0020102C" w:rsidRDefault="00E02FEC"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Descriptorii fiecărui nivel al CNC sunt structurați pe două dimensiuni complementare:</w:t>
      </w:r>
      <w:r w:rsidR="002A3A35" w:rsidRPr="0020102C">
        <w:rPr>
          <w:rFonts w:ascii="Times New Roman" w:eastAsia="Times New Roman" w:hAnsi="Times New Roman" w:cs="Times New Roman"/>
          <w:kern w:val="0"/>
          <w:sz w:val="24"/>
          <w:szCs w:val="24"/>
          <w:lang w:eastAsia="ro-MD"/>
          <w14:ligatures w14:val="none"/>
        </w:rPr>
        <w:t>:</w:t>
      </w:r>
    </w:p>
    <w:p w14:paraId="44B2B8E7" w14:textId="77777777" w:rsidR="002A3A35" w:rsidRPr="0020102C" w:rsidRDefault="002A3A35" w:rsidP="00A41843">
      <w:pPr>
        <w:numPr>
          <w:ilvl w:val="0"/>
          <w:numId w:val="7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w:t>
      </w:r>
      <w:r w:rsidRPr="0020102C">
        <w:rPr>
          <w:rFonts w:ascii="Times New Roman" w:eastAsia="Times New Roman" w:hAnsi="Times New Roman" w:cs="Times New Roman"/>
          <w:kern w:val="0"/>
          <w:sz w:val="24"/>
          <w:szCs w:val="24"/>
          <w:lang w:eastAsia="ro-MD"/>
          <w14:ligatures w14:val="none"/>
        </w:rPr>
        <w:t xml:space="preserve"> – care exprimă gradul de complexitate al rezultatelor învățării corespunzător nivelului respectiv de calificare;</w:t>
      </w:r>
    </w:p>
    <w:p w14:paraId="176C48DE" w14:textId="77777777" w:rsidR="002A3A35" w:rsidRPr="0020102C" w:rsidRDefault="002A3A35" w:rsidP="00A41843">
      <w:pPr>
        <w:numPr>
          <w:ilvl w:val="0"/>
          <w:numId w:val="7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Domeniul de educație și formare</w:t>
      </w:r>
      <w:r w:rsidRPr="0020102C">
        <w:rPr>
          <w:rFonts w:ascii="Times New Roman" w:eastAsia="Times New Roman" w:hAnsi="Times New Roman" w:cs="Times New Roman"/>
          <w:kern w:val="0"/>
          <w:sz w:val="24"/>
          <w:szCs w:val="24"/>
          <w:lang w:eastAsia="ro-MD"/>
          <w14:ligatures w14:val="none"/>
        </w:rPr>
        <w:t xml:space="preserve"> – care face distincția între </w:t>
      </w:r>
      <w:r w:rsidRPr="0020102C">
        <w:rPr>
          <w:rFonts w:ascii="Times New Roman" w:eastAsia="Times New Roman" w:hAnsi="Times New Roman" w:cs="Times New Roman"/>
          <w:b/>
          <w:bCs/>
          <w:kern w:val="0"/>
          <w:sz w:val="24"/>
          <w:szCs w:val="24"/>
          <w:lang w:eastAsia="ro-MD"/>
          <w14:ligatures w14:val="none"/>
        </w:rPr>
        <w:t>cunoștințe</w:t>
      </w:r>
      <w:r w:rsidRPr="0020102C">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b/>
          <w:bCs/>
          <w:kern w:val="0"/>
          <w:sz w:val="24"/>
          <w:szCs w:val="24"/>
          <w:lang w:eastAsia="ro-MD"/>
          <w14:ligatures w14:val="none"/>
        </w:rPr>
        <w:t>aptitudini</w:t>
      </w:r>
      <w:r w:rsidRPr="0020102C">
        <w:rPr>
          <w:rFonts w:ascii="Times New Roman" w:eastAsia="Times New Roman" w:hAnsi="Times New Roman" w:cs="Times New Roman"/>
          <w:kern w:val="0"/>
          <w:sz w:val="24"/>
          <w:szCs w:val="24"/>
          <w:lang w:eastAsia="ro-MD"/>
          <w14:ligatures w14:val="none"/>
        </w:rPr>
        <w:t xml:space="preserve"> și </w:t>
      </w:r>
      <w:r w:rsidRPr="0020102C">
        <w:rPr>
          <w:rFonts w:ascii="Times New Roman" w:eastAsia="Times New Roman" w:hAnsi="Times New Roman" w:cs="Times New Roman"/>
          <w:b/>
          <w:bCs/>
          <w:kern w:val="0"/>
          <w:sz w:val="24"/>
          <w:szCs w:val="24"/>
          <w:lang w:eastAsia="ro-MD"/>
          <w14:ligatures w14:val="none"/>
        </w:rPr>
        <w:t>responsabilitate/autonomie</w:t>
      </w:r>
      <w:r w:rsidRPr="0020102C">
        <w:rPr>
          <w:rFonts w:ascii="Times New Roman" w:eastAsia="Times New Roman" w:hAnsi="Times New Roman" w:cs="Times New Roman"/>
          <w:kern w:val="0"/>
          <w:sz w:val="24"/>
          <w:szCs w:val="24"/>
          <w:lang w:eastAsia="ro-MD"/>
          <w14:ligatures w14:val="none"/>
        </w:rPr>
        <w:t>, permițând astfel clasificarea la același nivel a unor calificări de tipuri diferite.</w:t>
      </w:r>
    </w:p>
    <w:p w14:paraId="3034230C" w14:textId="6881DA34" w:rsidR="002A3A35" w:rsidRPr="0020102C" w:rsidRDefault="002A3A35"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Descriptorii de nivel au roluri </w:t>
      </w:r>
      <w:r w:rsidR="009D5622" w:rsidRPr="0020102C">
        <w:rPr>
          <w:rFonts w:ascii="Times New Roman" w:eastAsia="Times New Roman" w:hAnsi="Times New Roman" w:cs="Times New Roman"/>
          <w:kern w:val="0"/>
          <w:sz w:val="24"/>
          <w:szCs w:val="24"/>
          <w:lang w:eastAsia="ro-MD"/>
          <w14:ligatures w14:val="none"/>
        </w:rPr>
        <w:t>multiple</w:t>
      </w:r>
      <w:r w:rsidRPr="0020102C">
        <w:rPr>
          <w:rFonts w:ascii="Times New Roman" w:eastAsia="Times New Roman" w:hAnsi="Times New Roman" w:cs="Times New Roman"/>
          <w:kern w:val="0"/>
          <w:sz w:val="24"/>
          <w:szCs w:val="24"/>
          <w:lang w:eastAsia="ro-MD"/>
          <w14:ligatures w14:val="none"/>
        </w:rPr>
        <w:t>:</w:t>
      </w:r>
    </w:p>
    <w:p w14:paraId="5B315840" w14:textId="77777777" w:rsidR="002A3A35" w:rsidRPr="0020102C" w:rsidRDefault="002A3A35" w:rsidP="00A41843">
      <w:pPr>
        <w:numPr>
          <w:ilvl w:val="0"/>
          <w:numId w:val="8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Asigură armonizarea între cerințele formulate în standardele ocupaționale, standardele de calificare și standardele educaționale.</w:t>
      </w:r>
    </w:p>
    <w:p w14:paraId="0F1387BD" w14:textId="77777777" w:rsidR="002A3A35" w:rsidRPr="0020102C" w:rsidRDefault="002A3A35" w:rsidP="00A41843">
      <w:pPr>
        <w:numPr>
          <w:ilvl w:val="0"/>
          <w:numId w:val="8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Sprijină planificarea unor trasee flexibile de învățare și compararea calificărilor obținute în contexte diferite.</w:t>
      </w:r>
    </w:p>
    <w:p w14:paraId="7B4B1421" w14:textId="77777777" w:rsidR="002A3A35" w:rsidRPr="0020102C" w:rsidRDefault="002A3A35" w:rsidP="00A41843">
      <w:pPr>
        <w:numPr>
          <w:ilvl w:val="0"/>
          <w:numId w:val="8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Fundamentează dezvoltarea mecanismelor de evaluare, validare, recunoaștere și certificare a calificărilor.</w:t>
      </w:r>
    </w:p>
    <w:p w14:paraId="0A503838" w14:textId="77777777" w:rsidR="002A3A35" w:rsidRPr="0020102C" w:rsidRDefault="002A3A35" w:rsidP="00A41843">
      <w:pPr>
        <w:numPr>
          <w:ilvl w:val="0"/>
          <w:numId w:val="8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Permit aplicarea unor criterii unificate de evaluare a calificărilor obținute în sistemul formal sau prin recunoașterea învățării anterioare.</w:t>
      </w:r>
    </w:p>
    <w:p w14:paraId="42896421" w14:textId="77777777" w:rsidR="002A3A35" w:rsidRPr="0020102C" w:rsidRDefault="002A3A35" w:rsidP="00A41843">
      <w:pPr>
        <w:numPr>
          <w:ilvl w:val="0"/>
          <w:numId w:val="8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Ghidează elaborarea cerințelor pentru ocupații și profesii.</w:t>
      </w:r>
    </w:p>
    <w:p w14:paraId="2BD33123" w14:textId="02FEA7DA" w:rsidR="002A3A35" w:rsidRPr="0020102C" w:rsidRDefault="002A3A35"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În plus, descriptorii de nivel integrează </w:t>
      </w:r>
      <w:r w:rsidR="0098227A" w:rsidRPr="0020102C">
        <w:rPr>
          <w:rFonts w:ascii="Times New Roman" w:eastAsia="Times New Roman" w:hAnsi="Times New Roman" w:cs="Times New Roman"/>
          <w:kern w:val="0"/>
          <w:sz w:val="24"/>
          <w:szCs w:val="24"/>
          <w:lang w:eastAsia="ro-MD"/>
          <w14:ligatures w14:val="none"/>
        </w:rPr>
        <w:t xml:space="preserve">și </w:t>
      </w:r>
      <w:r w:rsidRPr="0020102C">
        <w:rPr>
          <w:rFonts w:ascii="Times New Roman" w:eastAsia="Times New Roman" w:hAnsi="Times New Roman" w:cs="Times New Roman"/>
          <w:kern w:val="0"/>
          <w:sz w:val="24"/>
          <w:szCs w:val="24"/>
          <w:lang w:eastAsia="ro-MD"/>
          <w14:ligatures w14:val="none"/>
        </w:rPr>
        <w:t>competențele-c</w:t>
      </w:r>
      <w:r w:rsidR="003B3461" w:rsidRPr="0020102C">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ie stabilite la nivel european și în Codul educației, esențiale pentru dezvoltarea personală, integrarea profesională și incluziunea socială. Acestea se aplică transversal tuturor domeniilor ocupaționale, contribuind la formarea atât a competențelor sectoriale și profesionale, cât și a celor transversale și trans-sectoriale.</w:t>
      </w:r>
    </w:p>
    <w:p w14:paraId="74F93CB4" w14:textId="195E3C29" w:rsidR="00854E59" w:rsidRPr="0020102C" w:rsidRDefault="00854E59" w:rsidP="008C376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Nivelurile CNC</w:t>
      </w:r>
      <w:r w:rsidR="00C46C4C" w:rsidRPr="0020102C">
        <w:rPr>
          <w:rFonts w:ascii="Times New Roman" w:eastAsia="Times New Roman" w:hAnsi="Times New Roman" w:cs="Times New Roman"/>
          <w:b/>
          <w:bCs/>
          <w:color w:val="3494BA" w:themeColor="accent1"/>
          <w:kern w:val="0"/>
          <w:sz w:val="24"/>
          <w:szCs w:val="24"/>
          <w:lang w:eastAsia="ro-MD"/>
          <w14:ligatures w14:val="none"/>
        </w:rPr>
        <w:t xml:space="preserve"> (1-8)</w:t>
      </w:r>
    </w:p>
    <w:p w14:paraId="599291B8"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Pe baza acestor descriptori, CNC este structurat pe </w:t>
      </w:r>
      <w:r w:rsidRPr="0020102C">
        <w:rPr>
          <w:rFonts w:ascii="Times New Roman" w:eastAsia="Times New Roman" w:hAnsi="Times New Roman" w:cs="Times New Roman"/>
          <w:b/>
          <w:bCs/>
          <w:kern w:val="0"/>
          <w:sz w:val="24"/>
          <w:szCs w:val="24"/>
          <w:lang w:eastAsia="ro-MD"/>
          <w14:ligatures w14:val="none"/>
        </w:rPr>
        <w:t>opt niveluri distincte de calificare</w:t>
      </w:r>
      <w:r w:rsidRPr="0020102C">
        <w:rPr>
          <w:rFonts w:ascii="Times New Roman" w:eastAsia="Times New Roman" w:hAnsi="Times New Roman" w:cs="Times New Roman"/>
          <w:kern w:val="0"/>
          <w:sz w:val="24"/>
          <w:szCs w:val="24"/>
          <w:lang w:eastAsia="ro-MD"/>
          <w14:ligatures w14:val="none"/>
        </w:rPr>
        <w:t>, care reflectă progresiv complexitatea rezultatelor învățării și responsabilitatea asociată acestora. Nivelurile se caracterizează astfel:</w:t>
      </w:r>
    </w:p>
    <w:p w14:paraId="66ED333B" w14:textId="6624807E"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1</w:t>
      </w:r>
      <w:r w:rsidRPr="0020102C">
        <w:rPr>
          <w:rFonts w:ascii="Times New Roman" w:eastAsia="Times New Roman" w:hAnsi="Times New Roman" w:cs="Times New Roman"/>
          <w:kern w:val="0"/>
          <w:sz w:val="24"/>
          <w:szCs w:val="24"/>
          <w:lang w:eastAsia="ro-MD"/>
          <w14:ligatures w14:val="none"/>
        </w:rPr>
        <w:t xml:space="preserve"> presupune cunoștințe generale de bază și aptitudini elementare necesare pentru executarea unor sarcini simple. Activitatea se desfășoară sub supraveg</w:t>
      </w:r>
      <w:r w:rsidR="003B3461" w:rsidRPr="0020102C">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re directă, într-un context structurat, cu autonomie minimă.</w:t>
      </w:r>
    </w:p>
    <w:p w14:paraId="34D35426" w14:textId="2D8104C4"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2</w:t>
      </w:r>
      <w:r w:rsidRPr="0020102C">
        <w:rPr>
          <w:rFonts w:ascii="Times New Roman" w:eastAsia="Times New Roman" w:hAnsi="Times New Roman" w:cs="Times New Roman"/>
          <w:kern w:val="0"/>
          <w:sz w:val="24"/>
          <w:szCs w:val="24"/>
          <w:lang w:eastAsia="ro-MD"/>
          <w14:ligatures w14:val="none"/>
        </w:rPr>
        <w:t xml:space="preserve"> corespunde cunoștințelor faptice de bază într-un domeniu de muncă sau de studiu și aptitudinilor cognitive și practice simple, utilizate pentru sarcini de rutină. Activitatea este realizată sub supraveg</w:t>
      </w:r>
      <w:r w:rsidR="003B3461" w:rsidRPr="0020102C">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re, dar cu un grad incipient de autonomie.</w:t>
      </w:r>
    </w:p>
    <w:p w14:paraId="2A4FF6FE"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3</w:t>
      </w:r>
      <w:r w:rsidRPr="0020102C">
        <w:rPr>
          <w:rFonts w:ascii="Times New Roman" w:eastAsia="Times New Roman" w:hAnsi="Times New Roman" w:cs="Times New Roman"/>
          <w:kern w:val="0"/>
          <w:sz w:val="24"/>
          <w:szCs w:val="24"/>
          <w:lang w:eastAsia="ro-MD"/>
          <w14:ligatures w14:val="none"/>
        </w:rPr>
        <w:t xml:space="preserve"> implică cunoștințe faptice și înțelegerea unor principii și concepte generale. Aptitudinile permit rezolvarea sarcinilor prin selectarea și aplicarea metodelor și instrumentelor de bază, iar absolventul își asumă responsabilitatea pentru realizarea activităților și adaptarea comportamentului la circumstanțe.</w:t>
      </w:r>
    </w:p>
    <w:p w14:paraId="58C34929"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4</w:t>
      </w:r>
      <w:r w:rsidRPr="0020102C">
        <w:rPr>
          <w:rFonts w:ascii="Times New Roman" w:eastAsia="Times New Roman" w:hAnsi="Times New Roman" w:cs="Times New Roman"/>
          <w:kern w:val="0"/>
          <w:sz w:val="24"/>
          <w:szCs w:val="24"/>
          <w:lang w:eastAsia="ro-MD"/>
          <w14:ligatures w14:val="none"/>
        </w:rPr>
        <w:t xml:space="preserve"> reflectă cunoștințe faptice și teoretice aplicabile în contexte variate. Absolventul deține aptitudini necesare pentru soluționarea problemelor specifice și își poate autogestiona activitatea, supraveghind și responsabilizând alte persoane în procesul de muncă sau de studiu.</w:t>
      </w:r>
    </w:p>
    <w:p w14:paraId="56DA9065" w14:textId="1E092899"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5</w:t>
      </w:r>
      <w:r w:rsidRPr="0020102C">
        <w:rPr>
          <w:rFonts w:ascii="Times New Roman" w:eastAsia="Times New Roman" w:hAnsi="Times New Roman" w:cs="Times New Roman"/>
          <w:kern w:val="0"/>
          <w:sz w:val="24"/>
          <w:szCs w:val="24"/>
          <w:lang w:eastAsia="ro-MD"/>
          <w14:ligatures w14:val="none"/>
        </w:rPr>
        <w:t xml:space="preserve"> se caracterizează prin cunoștințe cuprinzătoare, faptice și teoretice, specializate într-un domeniu, dublate de conștientizarea limitelor acestora. Aptitudinile includ conceperea de soluții creative la probleme abstracte, iar activitatea presupune gestionare și supraveg</w:t>
      </w:r>
      <w:r w:rsidR="003B3461" w:rsidRPr="0020102C">
        <w:rPr>
          <w:rFonts w:ascii="Times New Roman" w:eastAsia="Times New Roman" w:hAnsi="Times New Roman" w:cs="Times New Roman"/>
          <w:kern w:val="0"/>
          <w:sz w:val="24"/>
          <w:szCs w:val="24"/>
          <w:lang w:eastAsia="ro-MD"/>
          <w14:ligatures w14:val="none"/>
        </w:rPr>
        <w:t>he</w:t>
      </w:r>
      <w:r w:rsidRPr="0020102C">
        <w:rPr>
          <w:rFonts w:ascii="Times New Roman" w:eastAsia="Times New Roman" w:hAnsi="Times New Roman" w:cs="Times New Roman"/>
          <w:kern w:val="0"/>
          <w:sz w:val="24"/>
          <w:szCs w:val="24"/>
          <w:lang w:eastAsia="ro-MD"/>
          <w14:ligatures w14:val="none"/>
        </w:rPr>
        <w:t>re în situații imprevizibile, cu responsabilitate pentru dezvoltarea performanțelor proprii și ale altora.</w:t>
      </w:r>
    </w:p>
    <w:p w14:paraId="19E25F1E"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6</w:t>
      </w:r>
      <w:r w:rsidRPr="0020102C">
        <w:rPr>
          <w:rFonts w:ascii="Times New Roman" w:eastAsia="Times New Roman" w:hAnsi="Times New Roman" w:cs="Times New Roman"/>
          <w:kern w:val="0"/>
          <w:sz w:val="24"/>
          <w:szCs w:val="24"/>
          <w:lang w:eastAsia="ro-MD"/>
          <w14:ligatures w14:val="none"/>
        </w:rPr>
        <w:t xml:space="preserve"> corespunde cunoștințelor avansate într-un domeniu de studiu sau de muncă, implicând înțelegerea critică a teoriilor și principiilor. Aptitudinile avansate permit rezolvarea problemelor complexe și imprevizibile, iar absolventul gestionează proiecte profesionale și își asumă responsabilitatea pentru dezvoltarea altor persoane.</w:t>
      </w:r>
    </w:p>
    <w:p w14:paraId="1C67AF02"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7</w:t>
      </w:r>
      <w:r w:rsidRPr="0020102C">
        <w:rPr>
          <w:rFonts w:ascii="Times New Roman" w:eastAsia="Times New Roman" w:hAnsi="Times New Roman" w:cs="Times New Roman"/>
          <w:kern w:val="0"/>
          <w:sz w:val="24"/>
          <w:szCs w:val="24"/>
          <w:lang w:eastAsia="ro-MD"/>
          <w14:ligatures w14:val="none"/>
        </w:rPr>
        <w:t xml:space="preserve"> reflectă cunoștințe înalt specializate, situate în avangarda domeniului și în intersecția cu alte discipline, cu o conștientizare critică a limitelor acestora. Aptitudinile sunt orientate spre cercetare, inovare și dezvoltarea de noi proceduri, iar autonomia se manifestă prin gestionarea situațiilor complexe și prin contribuții semnificative la avansarea cunoașterii și a practicilor profesionale.</w:t>
      </w:r>
    </w:p>
    <w:p w14:paraId="50B1A08A"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8</w:t>
      </w:r>
      <w:r w:rsidRPr="0020102C">
        <w:rPr>
          <w:rFonts w:ascii="Times New Roman" w:eastAsia="Times New Roman" w:hAnsi="Times New Roman" w:cs="Times New Roman"/>
          <w:kern w:val="0"/>
          <w:sz w:val="24"/>
          <w:szCs w:val="24"/>
          <w:lang w:eastAsia="ro-MD"/>
          <w14:ligatures w14:val="none"/>
        </w:rPr>
        <w:t xml:space="preserve"> reprezintă cel mai înalt nivel, definit prin cunoștințe de vârf, inclusiv la frontiera dintre domenii. Aptitudinile sunt dintre cele mai avansate, implicând sinteză, evaluare și inovație, iar absolventul demonstrează autoritate și integritate științifică și profesională, având rol de lider și inovator în contexte de cercetare și profesie.</w:t>
      </w:r>
    </w:p>
    <w:p w14:paraId="142C5915" w14:textId="77777777"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 xml:space="preserve">Prin această arhitectură pe opt niveluri, CNC asigură coerența și comparabilitatea calificărilor la nivel național și internațional, facilitând recunoașterea acestora în Spațiul European al Educației și în Spațiul European al Învățământului Superior. </w:t>
      </w:r>
    </w:p>
    <w:p w14:paraId="4968AC8B" w14:textId="53EDEBBB" w:rsidR="007A7FCD" w:rsidRPr="0020102C" w:rsidRDefault="007A7FC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Definirea nivelurilor și a descriptorilor aferenți este realizată în conformitate cu Anexa nr. 1 la Hotărârea Guvernului nr. 330/2023, care constituie documentul de referință pentru corelarea CNC cu EQF și QF-</w:t>
      </w:r>
      <w:r w:rsidR="002513BE" w:rsidRPr="0020102C">
        <w:rPr>
          <w:rFonts w:ascii="Times New Roman" w:eastAsia="Times New Roman" w:hAnsi="Times New Roman" w:cs="Times New Roman"/>
          <w:b/>
          <w:bCs/>
          <w:kern w:val="0"/>
          <w:sz w:val="24"/>
          <w:szCs w:val="24"/>
          <w:lang w:eastAsia="ro-MD"/>
          <w14:ligatures w14:val="none"/>
        </w:rPr>
        <w:t>EHEA</w:t>
      </w:r>
      <w:r w:rsidRPr="0020102C">
        <w:rPr>
          <w:rFonts w:ascii="Times New Roman" w:eastAsia="Times New Roman" w:hAnsi="Times New Roman" w:cs="Times New Roman"/>
          <w:b/>
          <w:bCs/>
          <w:kern w:val="0"/>
          <w:sz w:val="24"/>
          <w:szCs w:val="24"/>
          <w:lang w:eastAsia="ro-MD"/>
          <w14:ligatures w14:val="none"/>
        </w:rPr>
        <w:t>.</w:t>
      </w:r>
    </w:p>
    <w:p w14:paraId="1B77BEDE" w14:textId="58F7D283" w:rsidR="002521D0" w:rsidRPr="0020102C" w:rsidRDefault="00C46C4C" w:rsidP="008C376E">
      <w:p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Rezultatele învățării</w:t>
      </w:r>
    </w:p>
    <w:p w14:paraId="15C50947" w14:textId="5769F51A" w:rsidR="008D141F" w:rsidRPr="0020102C" w:rsidRDefault="008D141F" w:rsidP="008C376E">
      <w:pPr>
        <w:pStyle w:val="af8"/>
        <w:spacing w:before="120" w:beforeAutospacing="0" w:after="120" w:afterAutospacing="0" w:line="276" w:lineRule="auto"/>
        <w:jc w:val="both"/>
      </w:pPr>
      <w:r w:rsidRPr="0020102C">
        <w:t xml:space="preserve">Rezultatele învățării reprezintă fundamentul funcțional al </w:t>
      </w:r>
      <w:r w:rsidR="00171F00" w:rsidRPr="001F6026">
        <w:t>CNC</w:t>
      </w:r>
      <w:r w:rsidRPr="0020102C">
        <w:t xml:space="preserve">. Ele exprimă ceea ce o persoană </w:t>
      </w:r>
      <w:r w:rsidRPr="0020102C">
        <w:rPr>
          <w:rStyle w:val="af9"/>
          <w:rFonts w:eastAsiaTheme="majorEastAsia"/>
        </w:rPr>
        <w:t>știe</w:t>
      </w:r>
      <w:r w:rsidRPr="0020102C">
        <w:t xml:space="preserve">, </w:t>
      </w:r>
      <w:r w:rsidRPr="0020102C">
        <w:rPr>
          <w:rStyle w:val="af9"/>
          <w:rFonts w:eastAsiaTheme="majorEastAsia"/>
        </w:rPr>
        <w:t>înțelege</w:t>
      </w:r>
      <w:r w:rsidRPr="0020102C">
        <w:t xml:space="preserve"> și </w:t>
      </w:r>
      <w:r w:rsidRPr="0020102C">
        <w:rPr>
          <w:rStyle w:val="af9"/>
          <w:rFonts w:eastAsiaTheme="majorEastAsia"/>
        </w:rPr>
        <w:t>este capabilă să facă</w:t>
      </w:r>
      <w:r w:rsidRPr="0020102C">
        <w:t xml:space="preserve"> la finalizarea unui proces de învățare, indiferent de contextul în care acesta s-a desfășurat – formal, nonformal sau informal.</w:t>
      </w:r>
    </w:p>
    <w:p w14:paraId="4301B18C" w14:textId="16ECDDE2" w:rsidR="008D141F" w:rsidRPr="0020102C" w:rsidRDefault="008D141F" w:rsidP="008C376E">
      <w:pPr>
        <w:pStyle w:val="af8"/>
        <w:spacing w:before="120" w:beforeAutospacing="0" w:after="120" w:afterAutospacing="0" w:line="276" w:lineRule="auto"/>
        <w:jc w:val="both"/>
      </w:pPr>
      <w:r w:rsidRPr="0020102C">
        <w:t xml:space="preserve">Definirea rezultatelor învățării relevante pentru diferite niveluri de calificare și sectoare economice se realizează conform </w:t>
      </w:r>
      <w:r w:rsidRPr="0020102C">
        <w:rPr>
          <w:rStyle w:val="af9"/>
          <w:rFonts w:eastAsiaTheme="majorEastAsia"/>
        </w:rPr>
        <w:t>Ghidului metodologic pentru transpunerea competențelor profesionale în rezultate ale învățării</w:t>
      </w:r>
      <w:r w:rsidRPr="0020102C">
        <w:t>, aprobat prin Ordinul MEC nr. 236</w:t>
      </w:r>
      <w:r w:rsidR="00171F00" w:rsidRPr="001F6026">
        <w:t>/</w:t>
      </w:r>
      <w:r w:rsidRPr="0020102C">
        <w:t>2022. Acest cadru metodologic asigură coerență și comparabilitate între niveluri și garantează corelarea cu cererea de competențe formulată prin standarde ocupaționale (pentru nivelurile 3–5 CNC) și standarde de competență (pentru nivelurile 6–8 CNC).</w:t>
      </w:r>
    </w:p>
    <w:p w14:paraId="33053003" w14:textId="77777777" w:rsidR="008D141F" w:rsidRPr="0020102C" w:rsidRDefault="008D141F" w:rsidP="008C376E">
      <w:pPr>
        <w:pStyle w:val="af8"/>
        <w:spacing w:before="120" w:beforeAutospacing="0" w:after="120" w:afterAutospacing="0" w:line="276" w:lineRule="auto"/>
        <w:jc w:val="both"/>
      </w:pPr>
      <w:r w:rsidRPr="0020102C">
        <w:t xml:space="preserve">La nivelul programelor de studii, rezultatele învățării se definesc pornind de la repere multiple: domeniile de activitate din </w:t>
      </w:r>
      <w:r w:rsidRPr="0020102C">
        <w:rPr>
          <w:rStyle w:val="af9"/>
          <w:rFonts w:eastAsiaTheme="majorEastAsia"/>
        </w:rPr>
        <w:t>CAEM</w:t>
      </w:r>
      <w:r w:rsidRPr="0020102C">
        <w:t xml:space="preserve">, domeniile ocupaționale din </w:t>
      </w:r>
      <w:r w:rsidRPr="0020102C">
        <w:rPr>
          <w:rStyle w:val="af9"/>
          <w:rFonts w:eastAsiaTheme="majorEastAsia"/>
        </w:rPr>
        <w:t>ISCO</w:t>
      </w:r>
      <w:r w:rsidRPr="0020102C">
        <w:t xml:space="preserve"> și </w:t>
      </w:r>
      <w:r w:rsidRPr="0020102C">
        <w:rPr>
          <w:rStyle w:val="af9"/>
          <w:rFonts w:eastAsiaTheme="majorEastAsia"/>
        </w:rPr>
        <w:t>ESCO</w:t>
      </w:r>
      <w:r w:rsidRPr="0020102C">
        <w:t xml:space="preserve">, domeniile educaționale conform </w:t>
      </w:r>
      <w:r w:rsidRPr="0020102C">
        <w:rPr>
          <w:rStyle w:val="af9"/>
          <w:rFonts w:eastAsiaTheme="majorEastAsia"/>
        </w:rPr>
        <w:t>ISCED</w:t>
      </w:r>
      <w:r w:rsidRPr="0020102C">
        <w:t>, precum și nomenclatoarele naționale de formare profesională. Ele se raportează la nivelul educațional, la nivelul de calificare CNC/EQF/CCS și la rezultatele din standardele de calificare – atât cele cadru, cât și cele specifice/ocupaționale.</w:t>
      </w:r>
    </w:p>
    <w:p w14:paraId="690FA8FF" w14:textId="77777777" w:rsidR="008D141F" w:rsidRPr="0020102C" w:rsidRDefault="008D141F" w:rsidP="008C376E">
      <w:pPr>
        <w:pStyle w:val="af8"/>
        <w:spacing w:before="120" w:beforeAutospacing="0" w:after="120" w:afterAutospacing="0" w:line="276" w:lineRule="auto"/>
        <w:jc w:val="both"/>
      </w:pPr>
      <w:r w:rsidRPr="0020102C">
        <w:t>Gradul de detaliere este diferențiat: la nivel de program, rezultatele învățării sunt formulate într-un mod mai larg și generic, cu caracter de referință, în timp ce la nivel de disciplină, modul sau unitate de program, ele sunt exprimate concret și specific. Această ierarhizare permite coerența internă a programelor și facilitează trecerea de la obiective generale la competențe specifice.</w:t>
      </w:r>
    </w:p>
    <w:p w14:paraId="18D32A89" w14:textId="77777777" w:rsidR="008D141F" w:rsidRPr="0020102C" w:rsidRDefault="008D141F" w:rsidP="008C376E">
      <w:pPr>
        <w:pStyle w:val="af8"/>
        <w:spacing w:before="120" w:beforeAutospacing="0" w:after="120" w:afterAutospacing="0" w:line="276" w:lineRule="auto"/>
        <w:jc w:val="both"/>
      </w:pPr>
      <w:r w:rsidRPr="0020102C">
        <w:t>Rezultatele învățării au mai multe funcții esențiale în CNC:</w:t>
      </w:r>
    </w:p>
    <w:p w14:paraId="781392D2" w14:textId="77777777" w:rsidR="008D141F" w:rsidRPr="0020102C" w:rsidRDefault="008D141F" w:rsidP="00A41843">
      <w:pPr>
        <w:pStyle w:val="af8"/>
        <w:numPr>
          <w:ilvl w:val="0"/>
          <w:numId w:val="81"/>
        </w:numPr>
        <w:spacing w:before="120" w:beforeAutospacing="0" w:after="120" w:afterAutospacing="0" w:line="276" w:lineRule="auto"/>
        <w:jc w:val="both"/>
      </w:pPr>
      <w:r w:rsidRPr="0020102C">
        <w:t xml:space="preserve">stabilesc </w:t>
      </w:r>
      <w:r w:rsidRPr="0020102C">
        <w:rPr>
          <w:rStyle w:val="af9"/>
          <w:rFonts w:eastAsiaTheme="majorEastAsia"/>
        </w:rPr>
        <w:t>condițiile minime</w:t>
      </w:r>
      <w:r w:rsidRPr="0020102C">
        <w:t xml:space="preserve"> pentru plasarea calificărilor la niveluri distincte ale CNC;</w:t>
      </w:r>
    </w:p>
    <w:p w14:paraId="21F48651" w14:textId="77777777" w:rsidR="008D141F" w:rsidRPr="0020102C" w:rsidRDefault="008D141F" w:rsidP="00A41843">
      <w:pPr>
        <w:pStyle w:val="af8"/>
        <w:numPr>
          <w:ilvl w:val="0"/>
          <w:numId w:val="81"/>
        </w:numPr>
        <w:spacing w:before="120" w:beforeAutospacing="0" w:after="120" w:afterAutospacing="0" w:line="276" w:lineRule="auto"/>
        <w:jc w:val="both"/>
      </w:pPr>
      <w:r w:rsidRPr="0020102C">
        <w:t xml:space="preserve">asigură </w:t>
      </w:r>
      <w:r w:rsidRPr="0020102C">
        <w:rPr>
          <w:rStyle w:val="af9"/>
          <w:rFonts w:eastAsiaTheme="majorEastAsia"/>
        </w:rPr>
        <w:t>coerența</w:t>
      </w:r>
      <w:r w:rsidRPr="0020102C">
        <w:t xml:space="preserve"> între standardele ocupaționale, standardele de calificare și cele educaționale;</w:t>
      </w:r>
    </w:p>
    <w:p w14:paraId="3CD18700" w14:textId="77777777" w:rsidR="008D141F" w:rsidRPr="0020102C" w:rsidRDefault="008D141F" w:rsidP="00A41843">
      <w:pPr>
        <w:pStyle w:val="af8"/>
        <w:numPr>
          <w:ilvl w:val="0"/>
          <w:numId w:val="81"/>
        </w:numPr>
        <w:spacing w:before="120" w:beforeAutospacing="0" w:after="120" w:afterAutospacing="0" w:line="276" w:lineRule="auto"/>
        <w:jc w:val="both"/>
      </w:pPr>
      <w:r w:rsidRPr="0020102C">
        <w:t xml:space="preserve">permit </w:t>
      </w:r>
      <w:r w:rsidRPr="0020102C">
        <w:rPr>
          <w:rStyle w:val="af9"/>
          <w:rFonts w:eastAsiaTheme="majorEastAsia"/>
        </w:rPr>
        <w:t>compararea și recunoașterea</w:t>
      </w:r>
      <w:r w:rsidRPr="0020102C">
        <w:t xml:space="preserve"> calificărilor obținute în contexte diverse;</w:t>
      </w:r>
    </w:p>
    <w:p w14:paraId="4D34DFF8" w14:textId="77777777" w:rsidR="008D141F" w:rsidRPr="0020102C" w:rsidRDefault="008D141F" w:rsidP="00A41843">
      <w:pPr>
        <w:pStyle w:val="af8"/>
        <w:numPr>
          <w:ilvl w:val="0"/>
          <w:numId w:val="81"/>
        </w:numPr>
        <w:spacing w:before="120" w:beforeAutospacing="0" w:after="120" w:afterAutospacing="0" w:line="276" w:lineRule="auto"/>
        <w:jc w:val="both"/>
      </w:pPr>
      <w:r w:rsidRPr="0020102C">
        <w:t xml:space="preserve">fundamentează mecanismele de </w:t>
      </w:r>
      <w:r w:rsidRPr="0020102C">
        <w:rPr>
          <w:rStyle w:val="af9"/>
          <w:rFonts w:eastAsiaTheme="majorEastAsia"/>
        </w:rPr>
        <w:t>evaluare, validare și certificare</w:t>
      </w:r>
      <w:r w:rsidRPr="0020102C">
        <w:t xml:space="preserve"> a competențelor;</w:t>
      </w:r>
    </w:p>
    <w:p w14:paraId="00810630" w14:textId="77777777" w:rsidR="008D141F" w:rsidRPr="0020102C" w:rsidRDefault="008D141F" w:rsidP="00A41843">
      <w:pPr>
        <w:pStyle w:val="af8"/>
        <w:numPr>
          <w:ilvl w:val="0"/>
          <w:numId w:val="81"/>
        </w:numPr>
        <w:spacing w:before="120" w:beforeAutospacing="0" w:after="120" w:afterAutospacing="0" w:line="276" w:lineRule="auto"/>
        <w:jc w:val="both"/>
      </w:pPr>
      <w:r w:rsidRPr="0020102C">
        <w:t xml:space="preserve">ghidează </w:t>
      </w:r>
      <w:r w:rsidRPr="0020102C">
        <w:rPr>
          <w:rStyle w:val="af9"/>
          <w:rFonts w:eastAsiaTheme="majorEastAsia"/>
        </w:rPr>
        <w:t>planificarea traseelor de învățare</w:t>
      </w:r>
      <w:r w:rsidRPr="0020102C">
        <w:t xml:space="preserve"> și elaborarea curriculelor;</w:t>
      </w:r>
    </w:p>
    <w:p w14:paraId="70D711C9" w14:textId="77777777" w:rsidR="008D141F" w:rsidRPr="0020102C" w:rsidRDefault="008D141F" w:rsidP="00A41843">
      <w:pPr>
        <w:pStyle w:val="af8"/>
        <w:numPr>
          <w:ilvl w:val="0"/>
          <w:numId w:val="81"/>
        </w:numPr>
        <w:spacing w:before="120" w:beforeAutospacing="0" w:after="120" w:afterAutospacing="0" w:line="276" w:lineRule="auto"/>
        <w:jc w:val="both"/>
      </w:pPr>
      <w:r w:rsidRPr="0020102C">
        <w:t xml:space="preserve">contribuie la </w:t>
      </w:r>
      <w:r w:rsidRPr="0020102C">
        <w:rPr>
          <w:rStyle w:val="af9"/>
          <w:rFonts w:eastAsiaTheme="majorEastAsia"/>
        </w:rPr>
        <w:t>formularea cerințelor ocupaționale și profesionale</w:t>
      </w:r>
      <w:r w:rsidRPr="0020102C">
        <w:t xml:space="preserve"> pe piața muncii.</w:t>
      </w:r>
    </w:p>
    <w:p w14:paraId="05D24EA0" w14:textId="1808EF1C" w:rsidR="008D141F" w:rsidRPr="0020102C" w:rsidRDefault="008D141F" w:rsidP="008C376E">
      <w:pPr>
        <w:pStyle w:val="af8"/>
        <w:spacing w:before="120" w:beforeAutospacing="0" w:after="120" w:afterAutospacing="0" w:line="276" w:lineRule="auto"/>
        <w:jc w:val="both"/>
      </w:pPr>
      <w:r w:rsidRPr="0020102C">
        <w:t xml:space="preserve">Rezultatele învățării reprezintă parte integrantă a </w:t>
      </w:r>
      <w:r w:rsidRPr="0020102C">
        <w:rPr>
          <w:rStyle w:val="af9"/>
          <w:rFonts w:eastAsiaTheme="majorEastAsia"/>
        </w:rPr>
        <w:t>standardelor de asigurare a calității</w:t>
      </w:r>
      <w:r w:rsidRPr="0020102C">
        <w:t xml:space="preserve"> și constituie punctul de plecare pentru elaborarea standardelor de calificare, a curriculumurilor și a conținuturilor de formare. Ele sunt, de asemenea, evaluate prin proceduri bazate pe criterii clare și transparente, reglementate prin regulamente-cadru aprobate de </w:t>
      </w:r>
      <w:r w:rsidR="00171F00" w:rsidRPr="001F6026">
        <w:t>MEC</w:t>
      </w:r>
      <w:r w:rsidRPr="0020102C">
        <w:t>, ceea ce conferă încredere și recunoaștere calificărilor obținute.</w:t>
      </w:r>
    </w:p>
    <w:p w14:paraId="25785AFF" w14:textId="77777777" w:rsidR="005A1128" w:rsidRPr="0020102C" w:rsidRDefault="005A1128" w:rsidP="008C376E">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4.4.7. Volumul rezultatelor învățării și creditele de studii</w:t>
      </w:r>
    </w:p>
    <w:p w14:paraId="1547B13F" w14:textId="77777777"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Volumul rezultatelor învățării</w:t>
      </w:r>
      <w:r w:rsidRPr="0020102C">
        <w:rPr>
          <w:rFonts w:ascii="Times New Roman" w:eastAsia="Times New Roman" w:hAnsi="Times New Roman" w:cs="Times New Roman"/>
          <w:kern w:val="0"/>
          <w:sz w:val="24"/>
          <w:szCs w:val="24"/>
          <w:lang w:eastAsia="ro-MD"/>
          <w14:ligatures w14:val="none"/>
        </w:rPr>
        <w:t xml:space="preserve"> exprimă dimensiunea unei calificări și este măsurat în </w:t>
      </w:r>
      <w:r w:rsidRPr="0020102C">
        <w:rPr>
          <w:rFonts w:ascii="Times New Roman" w:eastAsia="Times New Roman" w:hAnsi="Times New Roman" w:cs="Times New Roman"/>
          <w:b/>
          <w:bCs/>
          <w:kern w:val="0"/>
          <w:sz w:val="24"/>
          <w:szCs w:val="24"/>
          <w:lang w:eastAsia="ro-MD"/>
          <w14:ligatures w14:val="none"/>
        </w:rPr>
        <w:t>credite de studii/ore</w:t>
      </w:r>
      <w:r w:rsidRPr="0020102C">
        <w:rPr>
          <w:rFonts w:ascii="Times New Roman" w:eastAsia="Times New Roman" w:hAnsi="Times New Roman" w:cs="Times New Roman"/>
          <w:kern w:val="0"/>
          <w:sz w:val="24"/>
          <w:szCs w:val="24"/>
          <w:lang w:eastAsia="ro-MD"/>
          <w14:ligatures w14:val="none"/>
        </w:rPr>
        <w:t>, corespunzător timpului necesar pentru atingerea integrală a rezultatelor stabilite pentru nivelul și profilul respectiv.</w:t>
      </w:r>
    </w:p>
    <w:p w14:paraId="7A6771BC" w14:textId="77777777"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Creditele de studii constituie o caracteristică centrală a calificărilor din CNC și permit cuantificarea, transferul și acumularea rezultatelor învățării obținute în contexte formale, nonformale sau informale. Pentru fiecare calificare completă, calificare parțială sau unitate de rezultate ale învățării se alocă un număr corespunzător de credite, ceea ce facilitează recunoașterea și certificarea competențelor dobândite.</w:t>
      </w:r>
    </w:p>
    <w:p w14:paraId="6D832DCF" w14:textId="77777777"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 CNC se aplică sistemele europene de credite de studii, adaptate fiecărui subsistem educațional:</w:t>
      </w:r>
    </w:p>
    <w:p w14:paraId="5C81496C" w14:textId="5038B132" w:rsidR="005A1128" w:rsidRPr="0020102C" w:rsidRDefault="008E3A2E" w:rsidP="00A41843">
      <w:pPr>
        <w:numPr>
          <w:ilvl w:val="0"/>
          <w:numId w:val="8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ECVET</w:t>
      </w:r>
      <w:r w:rsidR="005A1128" w:rsidRPr="0020102C">
        <w:rPr>
          <w:rFonts w:ascii="Times New Roman" w:eastAsia="Times New Roman" w:hAnsi="Times New Roman" w:cs="Times New Roman"/>
          <w:b/>
          <w:bCs/>
          <w:kern w:val="0"/>
          <w:sz w:val="24"/>
          <w:szCs w:val="24"/>
          <w:lang w:eastAsia="ro-MD"/>
          <w14:ligatures w14:val="none"/>
        </w:rPr>
        <w:t xml:space="preserve"> (European Credit System for Vocational Education and Training)</w:t>
      </w:r>
      <w:r w:rsidR="005A1128" w:rsidRPr="0020102C">
        <w:rPr>
          <w:rFonts w:ascii="Times New Roman" w:eastAsia="Times New Roman" w:hAnsi="Times New Roman" w:cs="Times New Roman"/>
          <w:kern w:val="0"/>
          <w:sz w:val="24"/>
          <w:szCs w:val="24"/>
          <w:lang w:eastAsia="ro-MD"/>
          <w14:ligatures w14:val="none"/>
        </w:rPr>
        <w:t xml:space="preserve"> în învățământul profesional tehnic;</w:t>
      </w:r>
    </w:p>
    <w:p w14:paraId="66EA8B60" w14:textId="77777777" w:rsidR="005A1128" w:rsidRPr="0020102C" w:rsidRDefault="005A1128" w:rsidP="00A41843">
      <w:pPr>
        <w:numPr>
          <w:ilvl w:val="0"/>
          <w:numId w:val="8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ECTS (European Credit Transfer and Accumulation System)</w:t>
      </w:r>
      <w:r w:rsidRPr="0020102C">
        <w:rPr>
          <w:rFonts w:ascii="Times New Roman" w:eastAsia="Times New Roman" w:hAnsi="Times New Roman" w:cs="Times New Roman"/>
          <w:kern w:val="0"/>
          <w:sz w:val="24"/>
          <w:szCs w:val="24"/>
          <w:lang w:eastAsia="ro-MD"/>
          <w14:ligatures w14:val="none"/>
        </w:rPr>
        <w:t xml:space="preserve"> în învățământul superior.</w:t>
      </w:r>
    </w:p>
    <w:p w14:paraId="4EF1C53B" w14:textId="29C9CE01"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Aceste sisteme sprijină traseele de învățare flexibile, cuantifică rezultatele învățării pentru transfer și progres, facilitează mobilitatea academică și profesională și asigură documentarea transparentă a competențelor obținute. Implementarea lor este reglementată prin ordine și metodologii aprobate de </w:t>
      </w:r>
      <w:r w:rsidR="00171F00"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în concordanță cu documentele oficiale europene.</w:t>
      </w:r>
    </w:p>
    <w:p w14:paraId="2C283CBB" w14:textId="60515F43"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Acumularea și transferul de credite</w:t>
      </w:r>
      <w:r w:rsidRPr="0020102C">
        <w:rPr>
          <w:rFonts w:ascii="Times New Roman" w:eastAsia="Times New Roman" w:hAnsi="Times New Roman" w:cs="Times New Roman"/>
          <w:kern w:val="0"/>
          <w:sz w:val="24"/>
          <w:szCs w:val="24"/>
          <w:lang w:eastAsia="ro-MD"/>
          <w14:ligatures w14:val="none"/>
        </w:rPr>
        <w:t xml:space="preserve"> permit valorizarea rezultatelor învățării dobândite anterior și sprijină obținerea treptată a unei calificări complete. Procesul este realizat în baza unor proceduri clare de evaluare, validare, acordare și recunoaștere, prevăzute în actele normative naționale și ghidurile metodologice pentru aplicarea sistemelor </w:t>
      </w:r>
      <w:r w:rsidR="008E3A2E" w:rsidRPr="0020102C">
        <w:rPr>
          <w:rFonts w:ascii="Times New Roman" w:eastAsia="Times New Roman" w:hAnsi="Times New Roman" w:cs="Times New Roman"/>
          <w:kern w:val="0"/>
          <w:sz w:val="24"/>
          <w:szCs w:val="24"/>
          <w:lang w:eastAsia="ro-MD"/>
          <w14:ligatures w14:val="none"/>
        </w:rPr>
        <w:t>ECVET</w:t>
      </w:r>
      <w:r w:rsidRPr="0020102C">
        <w:rPr>
          <w:rFonts w:ascii="Times New Roman" w:eastAsia="Times New Roman" w:hAnsi="Times New Roman" w:cs="Times New Roman"/>
          <w:kern w:val="0"/>
          <w:sz w:val="24"/>
          <w:szCs w:val="24"/>
          <w:lang w:eastAsia="ro-MD"/>
          <w14:ligatures w14:val="none"/>
        </w:rPr>
        <w:t xml:space="preserve"> și ECTS.</w:t>
      </w:r>
    </w:p>
    <w:p w14:paraId="1EAE92AD" w14:textId="3DF0C51E"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Ghidurile naționale de implementare a creditelor de studii</w:t>
      </w:r>
      <w:r w:rsidRPr="0020102C">
        <w:rPr>
          <w:rFonts w:ascii="Times New Roman" w:eastAsia="Times New Roman" w:hAnsi="Times New Roman" w:cs="Times New Roman"/>
          <w:kern w:val="0"/>
          <w:sz w:val="24"/>
          <w:szCs w:val="24"/>
          <w:lang w:eastAsia="ro-MD"/>
          <w14:ligatures w14:val="none"/>
        </w:rPr>
        <w:t xml:space="preserve"> sunt elaborate și actualizate de </w:t>
      </w:r>
      <w:r w:rsidR="00171F00"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în conformitate cu instrumentele europene, pentru a asigura coerența și compatibilitatea cu Spațiul European al Educației.</w:t>
      </w:r>
    </w:p>
    <w:p w14:paraId="080989CB" w14:textId="6A618F7F" w:rsidR="005A1128" w:rsidRPr="0020102C" w:rsidRDefault="005A1128"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Astfel, utilizarea creditelor de studii consolidează transparența și comparabilitatea calificărilor, facilitează integrarea CNC în </w:t>
      </w:r>
      <w:r w:rsidRPr="0020102C">
        <w:rPr>
          <w:rFonts w:ascii="Times New Roman" w:eastAsia="Times New Roman" w:hAnsi="Times New Roman" w:cs="Times New Roman"/>
          <w:b/>
          <w:bCs/>
          <w:kern w:val="0"/>
          <w:sz w:val="24"/>
          <w:szCs w:val="24"/>
          <w:lang w:eastAsia="ro-MD"/>
          <w14:ligatures w14:val="none"/>
        </w:rPr>
        <w:t>EQF</w:t>
      </w:r>
      <w:r w:rsidRPr="0020102C">
        <w:rPr>
          <w:rFonts w:ascii="Times New Roman" w:eastAsia="Times New Roman" w:hAnsi="Times New Roman" w:cs="Times New Roman"/>
          <w:kern w:val="0"/>
          <w:sz w:val="24"/>
          <w:szCs w:val="24"/>
          <w:lang w:eastAsia="ro-MD"/>
          <w14:ligatures w14:val="none"/>
        </w:rPr>
        <w:t xml:space="preserve"> și </w:t>
      </w:r>
      <w:r w:rsidRPr="0020102C">
        <w:rPr>
          <w:rFonts w:ascii="Times New Roman" w:eastAsia="Times New Roman" w:hAnsi="Times New Roman" w:cs="Times New Roman"/>
          <w:b/>
          <w:bCs/>
          <w:kern w:val="0"/>
          <w:sz w:val="24"/>
          <w:szCs w:val="24"/>
          <w:lang w:eastAsia="ro-MD"/>
          <w14:ligatures w14:val="none"/>
        </w:rPr>
        <w:t>QF-</w:t>
      </w:r>
      <w:r w:rsidR="002513BE" w:rsidRPr="0020102C">
        <w:rPr>
          <w:rFonts w:ascii="Times New Roman" w:eastAsia="Times New Roman" w:hAnsi="Times New Roman" w:cs="Times New Roman"/>
          <w:b/>
          <w:bCs/>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 xml:space="preserve"> și promovează învățarea pe tot parcursul vieții.</w:t>
      </w:r>
    </w:p>
    <w:p w14:paraId="6A0A80EA" w14:textId="214C41C3" w:rsidR="002521D0" w:rsidRPr="0020102C" w:rsidRDefault="002521D0" w:rsidP="008C376E">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Competențele-</w:t>
      </w:r>
      <w:r w:rsidR="00071CAF" w:rsidRPr="0020102C">
        <w:rPr>
          <w:rFonts w:ascii="Times New Roman" w:eastAsia="Times New Roman" w:hAnsi="Times New Roman" w:cs="Times New Roman"/>
          <w:b/>
          <w:bCs/>
          <w:color w:val="3494BA" w:themeColor="accent1"/>
          <w:kern w:val="0"/>
          <w:sz w:val="24"/>
          <w:szCs w:val="24"/>
          <w:lang w:eastAsia="ro-MD"/>
          <w14:ligatures w14:val="none"/>
        </w:rPr>
        <w:t>cheie</w:t>
      </w:r>
    </w:p>
    <w:p w14:paraId="300088AB" w14:textId="360FF46C" w:rsidR="002521D0" w:rsidRPr="0020102C" w:rsidRDefault="002521D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Rezultatele învățării definite în CNC includ în mod explicit </w:t>
      </w:r>
      <w:r w:rsidRPr="0020102C">
        <w:rPr>
          <w:rFonts w:ascii="Times New Roman" w:eastAsia="Times New Roman" w:hAnsi="Times New Roman" w:cs="Times New Roman"/>
          <w:b/>
          <w:bCs/>
          <w:kern w:val="0"/>
          <w:sz w:val="24"/>
          <w:szCs w:val="24"/>
          <w:lang w:eastAsia="ro-MD"/>
          <w14:ligatures w14:val="none"/>
        </w:rPr>
        <w:t>competențele-c</w:t>
      </w:r>
      <w:r w:rsidR="00AE46B3" w:rsidRPr="0020102C">
        <w:rPr>
          <w:rFonts w:ascii="Times New Roman" w:eastAsia="Times New Roman" w:hAnsi="Times New Roman" w:cs="Times New Roman"/>
          <w:b/>
          <w:bCs/>
          <w:kern w:val="0"/>
          <w:sz w:val="24"/>
          <w:szCs w:val="24"/>
          <w:lang w:eastAsia="ro-MD"/>
          <w14:ligatures w14:val="none"/>
        </w:rPr>
        <w:t>he</w:t>
      </w:r>
      <w:r w:rsidRPr="0020102C">
        <w:rPr>
          <w:rFonts w:ascii="Times New Roman" w:eastAsia="Times New Roman" w:hAnsi="Times New Roman" w:cs="Times New Roman"/>
          <w:b/>
          <w:bCs/>
          <w:kern w:val="0"/>
          <w:sz w:val="24"/>
          <w:szCs w:val="24"/>
          <w:lang w:eastAsia="ro-MD"/>
          <w14:ligatures w14:val="none"/>
        </w:rPr>
        <w:t>ie</w:t>
      </w:r>
      <w:r w:rsidRPr="0020102C">
        <w:rPr>
          <w:rFonts w:ascii="Times New Roman" w:eastAsia="Times New Roman" w:hAnsi="Times New Roman" w:cs="Times New Roman"/>
          <w:kern w:val="0"/>
          <w:sz w:val="24"/>
          <w:szCs w:val="24"/>
          <w:lang w:eastAsia="ro-MD"/>
          <w14:ligatures w14:val="none"/>
        </w:rPr>
        <w:t>, recunoscute la nivel european și prevăzute de Codul educației al Republicii Moldova. Acestea asigură capacitatea persoanei de a se adapta la schimbările sociale și economice, de a participa activ la viața profesională și comunitară și de a învăța pe tot parcursul vieții.</w:t>
      </w:r>
    </w:p>
    <w:p w14:paraId="1F87E509" w14:textId="22B91448" w:rsidR="002521D0" w:rsidRPr="0020102C" w:rsidRDefault="002521D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Competențele-</w:t>
      </w:r>
      <w:r w:rsidR="00071CAF" w:rsidRPr="0020102C">
        <w:rPr>
          <w:rFonts w:ascii="Times New Roman" w:eastAsia="Times New Roman" w:hAnsi="Times New Roman" w:cs="Times New Roman"/>
          <w:kern w:val="0"/>
          <w:sz w:val="24"/>
          <w:szCs w:val="24"/>
          <w:lang w:eastAsia="ro-MD"/>
          <w14:ligatures w14:val="none"/>
        </w:rPr>
        <w:t>cheie</w:t>
      </w:r>
      <w:r w:rsidRPr="0020102C">
        <w:rPr>
          <w:rFonts w:ascii="Times New Roman" w:eastAsia="Times New Roman" w:hAnsi="Times New Roman" w:cs="Times New Roman"/>
          <w:kern w:val="0"/>
          <w:sz w:val="24"/>
          <w:szCs w:val="24"/>
          <w:lang w:eastAsia="ro-MD"/>
          <w14:ligatures w14:val="none"/>
        </w:rPr>
        <w:t xml:space="preserve"> sunt transversale, aplicabile în toate domeniile ocupaționale, și contribuie la formarea atât a competențelor profesionale și sectoriale, cât și a celor transversale și trans-sectoriale. Ele susțin dezvoltarea personală, incluziunea socială și ocuparea unui loc de muncă, constituind un element integrator în toate programele de formare.</w:t>
      </w:r>
    </w:p>
    <w:p w14:paraId="3B6A46BD" w14:textId="7B47561C" w:rsidR="002521D0" w:rsidRPr="0020102C" w:rsidRDefault="002521D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Astfel, rezultatele învățării din CNC nu se limitează la dobândirea de cunoștințe și aptitudini tehnice, ci promovează o viziune holistică asupra educației și formării, în care </w:t>
      </w:r>
      <w:r w:rsidRPr="0020102C">
        <w:rPr>
          <w:rFonts w:ascii="Times New Roman" w:eastAsia="Times New Roman" w:hAnsi="Times New Roman" w:cs="Times New Roman"/>
          <w:b/>
          <w:bCs/>
          <w:kern w:val="0"/>
          <w:sz w:val="24"/>
          <w:szCs w:val="24"/>
          <w:lang w:eastAsia="ro-MD"/>
          <w14:ligatures w14:val="none"/>
        </w:rPr>
        <w:t>competențele-c</w:t>
      </w:r>
      <w:r w:rsidR="00AE46B3" w:rsidRPr="0020102C">
        <w:rPr>
          <w:rFonts w:ascii="Times New Roman" w:eastAsia="Times New Roman" w:hAnsi="Times New Roman" w:cs="Times New Roman"/>
          <w:b/>
          <w:bCs/>
          <w:kern w:val="0"/>
          <w:sz w:val="24"/>
          <w:szCs w:val="24"/>
          <w:lang w:eastAsia="ro-MD"/>
          <w14:ligatures w14:val="none"/>
        </w:rPr>
        <w:t>he</w:t>
      </w:r>
      <w:r w:rsidRPr="0020102C">
        <w:rPr>
          <w:rFonts w:ascii="Times New Roman" w:eastAsia="Times New Roman" w:hAnsi="Times New Roman" w:cs="Times New Roman"/>
          <w:b/>
          <w:bCs/>
          <w:kern w:val="0"/>
          <w:sz w:val="24"/>
          <w:szCs w:val="24"/>
          <w:lang w:eastAsia="ro-MD"/>
          <w14:ligatures w14:val="none"/>
        </w:rPr>
        <w:t>ie</w:t>
      </w:r>
      <w:r w:rsidRPr="0020102C">
        <w:rPr>
          <w:rFonts w:ascii="Times New Roman" w:eastAsia="Times New Roman" w:hAnsi="Times New Roman" w:cs="Times New Roman"/>
          <w:kern w:val="0"/>
          <w:sz w:val="24"/>
          <w:szCs w:val="24"/>
          <w:lang w:eastAsia="ro-MD"/>
          <w14:ligatures w14:val="none"/>
        </w:rPr>
        <w:t xml:space="preserve"> reprezintă fundamentul pentru evoluția profesională și socială a fiecărui individ.</w:t>
      </w:r>
    </w:p>
    <w:p w14:paraId="1278CF36" w14:textId="77777777" w:rsidR="002521D0" w:rsidRPr="0020102C" w:rsidRDefault="002521D0" w:rsidP="008C376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Cadrele Calificărilor Sectoriale (CCS)</w:t>
      </w:r>
    </w:p>
    <w:p w14:paraId="1FE1E0B3" w14:textId="6426D0A1" w:rsidR="00C024B4" w:rsidRPr="0020102C" w:rsidRDefault="00C024B4" w:rsidP="008C376E">
      <w:pPr>
        <w:pStyle w:val="af8"/>
        <w:spacing w:before="120" w:beforeAutospacing="0" w:after="120" w:afterAutospacing="0" w:line="276" w:lineRule="auto"/>
        <w:jc w:val="both"/>
      </w:pPr>
      <w:r w:rsidRPr="0020102C">
        <w:rPr>
          <w:rStyle w:val="af9"/>
          <w:rFonts w:eastAsiaTheme="majorEastAsia"/>
          <w:b w:val="0"/>
          <w:bCs w:val="0"/>
        </w:rPr>
        <w:t>În timp ce competențele-c</w:t>
      </w:r>
      <w:r w:rsidR="00AE46B3" w:rsidRPr="0020102C">
        <w:rPr>
          <w:rStyle w:val="af9"/>
          <w:rFonts w:eastAsiaTheme="majorEastAsia"/>
          <w:b w:val="0"/>
          <w:bCs w:val="0"/>
        </w:rPr>
        <w:t>he</w:t>
      </w:r>
      <w:r w:rsidRPr="0020102C">
        <w:rPr>
          <w:rStyle w:val="af9"/>
          <w:rFonts w:eastAsiaTheme="majorEastAsia"/>
          <w:b w:val="0"/>
          <w:bCs w:val="0"/>
        </w:rPr>
        <w:t>ie constituie un element transversal integrat în toate calificările, Cadrele Calificărilor Sectoriale (CCS) sunt instrumente complementare ale CNC. Scopul lor este de a adapta și detalia descriptorii CNC la nivelul ramurilor economice, pentru a asigura relevanța sectorială a rezultatelor învățării.</w:t>
      </w:r>
    </w:p>
    <w:p w14:paraId="3775E588" w14:textId="77777777" w:rsidR="00C024B4" w:rsidRPr="0020102C" w:rsidRDefault="00C024B4" w:rsidP="008C376E">
      <w:pPr>
        <w:pStyle w:val="af8"/>
        <w:spacing w:before="120" w:beforeAutospacing="0" w:after="120" w:afterAutospacing="0" w:line="276" w:lineRule="auto"/>
        <w:jc w:val="both"/>
      </w:pPr>
      <w:r w:rsidRPr="0020102C">
        <w:rPr>
          <w:rStyle w:val="af9"/>
          <w:rFonts w:eastAsiaTheme="majorEastAsia"/>
          <w:b w:val="0"/>
          <w:bCs w:val="0"/>
        </w:rPr>
        <w:lastRenderedPageBreak/>
        <w:t>Elaborate pentru principalele ramuri ale economiei naționale, CCS au un rol esențial în operaționalizarea CNC: ele traduc descriptorii generali în repere sectoriale și ghidează proiectarea calificărilor în acord cu specificul și cerințele fiecărui domeniu profesional.</w:t>
      </w:r>
    </w:p>
    <w:p w14:paraId="40F35637" w14:textId="77777777" w:rsidR="00C024B4" w:rsidRPr="0020102C" w:rsidRDefault="00C024B4" w:rsidP="008C376E">
      <w:pPr>
        <w:pStyle w:val="af8"/>
        <w:spacing w:before="120" w:beforeAutospacing="0" w:after="120" w:afterAutospacing="0" w:line="276" w:lineRule="auto"/>
        <w:jc w:val="both"/>
      </w:pPr>
      <w:r w:rsidRPr="0020102C">
        <w:rPr>
          <w:rStyle w:val="af9"/>
          <w:rFonts w:eastAsiaTheme="majorEastAsia"/>
          <w:b w:val="0"/>
          <w:bCs w:val="0"/>
        </w:rPr>
        <w:t>Construite pe baza descriptorilor de nivel ai CNC, CCS păstrează coerența cadrului național, dar sporesc relevanța pe piața muncii; ele facilitează corelarea sistemului educațional cu nevoile economice și susțin actualizarea continuă a standardelor ocupaționale și de calificare.</w:t>
      </w:r>
    </w:p>
    <w:p w14:paraId="523F6494" w14:textId="401E9C63" w:rsidR="00C024B4" w:rsidRPr="0020102C" w:rsidRDefault="00C024B4" w:rsidP="008C376E">
      <w:pPr>
        <w:pStyle w:val="af8"/>
        <w:spacing w:before="120" w:beforeAutospacing="0" w:after="120" w:afterAutospacing="0" w:line="276" w:lineRule="auto"/>
        <w:jc w:val="both"/>
      </w:pPr>
      <w:r w:rsidRPr="0020102C">
        <w:t xml:space="preserve">Până în prezent, au fost elaborate și supuse consultărilor publice, precum și prezentate în cadrul Consiliului Național pentru Calificări, </w:t>
      </w:r>
      <w:r w:rsidR="00171F00" w:rsidRPr="001F6026">
        <w:t>CCS</w:t>
      </w:r>
      <w:r w:rsidRPr="0020102C">
        <w:rPr>
          <w:rStyle w:val="af9"/>
          <w:rFonts w:eastAsiaTheme="majorEastAsia"/>
          <w:b w:val="0"/>
          <w:bCs w:val="0"/>
        </w:rPr>
        <w:t xml:space="preserve"> pentru Educație și Tehnologia Informației (IT)</w:t>
      </w:r>
      <w:r w:rsidRPr="0020102C">
        <w:t>. Pentru alte sectoare economice – precum construcții, transport și mecanică auto, energetică, industria alimentară sau industria ușoară – procesul de elaborare a CCS este în desfășurare, conform planurilor naționale de dezvoltare a CNC și RNC.</w:t>
      </w:r>
    </w:p>
    <w:p w14:paraId="3D6D4844" w14:textId="5B9930F2" w:rsidR="00297A5F" w:rsidRPr="0020102C" w:rsidRDefault="002521D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Extinderea CCS la nivel sectorial constituie una dintre prioritățile strategice pentru perioada următoare</w:t>
      </w:r>
      <w:r w:rsidRPr="0020102C">
        <w:rPr>
          <w:rFonts w:ascii="Times New Roman" w:eastAsia="Times New Roman" w:hAnsi="Times New Roman" w:cs="Times New Roman"/>
          <w:kern w:val="0"/>
          <w:sz w:val="24"/>
          <w:szCs w:val="24"/>
          <w:lang w:eastAsia="ro-MD"/>
          <w14:ligatures w14:val="none"/>
        </w:rPr>
        <w:t>, vizând acoperirea treptată a tuturor domeniilor economice majore și consolidarea relevanței calificărilor în raport cu cerințele pieței muncii.</w:t>
      </w:r>
    </w:p>
    <w:p w14:paraId="7A7244F7" w14:textId="0165FD9B" w:rsidR="0086679B" w:rsidRPr="0020102C" w:rsidRDefault="000D528E" w:rsidP="008C376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4.5 Tipuri de calificări</w:t>
      </w:r>
      <w:r w:rsidR="009E7240" w:rsidRPr="0020102C">
        <w:rPr>
          <w:rFonts w:ascii="Times New Roman" w:eastAsia="Times New Roman" w:hAnsi="Times New Roman" w:cs="Times New Roman"/>
          <w:b/>
          <w:bCs/>
          <w:color w:val="3494BA" w:themeColor="accent1"/>
          <w:kern w:val="0"/>
          <w:sz w:val="24"/>
          <w:szCs w:val="24"/>
          <w:lang w:eastAsia="ro-MD"/>
          <w14:ligatures w14:val="none"/>
        </w:rPr>
        <w:t xml:space="preserve"> în CNC</w:t>
      </w:r>
    </w:p>
    <w:p w14:paraId="389D4C38" w14:textId="54DB88F2"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Tipurile de calificări incluse în CNC din Republica Moldova sunt determinate de nivelul educațional, scopul și conținutul programului de formare, specificul rezultatelor învățării, precum și de standardele profesionale și educaționale aferente. Aceste calificări sunt distribuite pe cele opt niveluri ale CNC, corespunzătoare celor opt niveluri ale EQF, și reflectă diversitatea traseelor educaționale și profesionale disponibile în Republica Moldova.</w:t>
      </w:r>
    </w:p>
    <w:p w14:paraId="3E444E1F" w14:textId="125A7E9C"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Conform Codului educației al Republicii Moldova, o </w:t>
      </w:r>
      <w:r w:rsidRPr="0020102C">
        <w:rPr>
          <w:rFonts w:ascii="Times New Roman" w:eastAsia="Times New Roman" w:hAnsi="Times New Roman" w:cs="Times New Roman"/>
          <w:b/>
          <w:bCs/>
          <w:kern w:val="0"/>
          <w:sz w:val="24"/>
          <w:szCs w:val="24"/>
          <w:lang w:eastAsia="ro-MD"/>
          <w14:ligatures w14:val="none"/>
        </w:rPr>
        <w:t>calificare</w:t>
      </w:r>
      <w:r w:rsidRPr="0020102C">
        <w:rPr>
          <w:rFonts w:ascii="Times New Roman" w:eastAsia="Times New Roman" w:hAnsi="Times New Roman" w:cs="Times New Roman"/>
          <w:kern w:val="0"/>
          <w:sz w:val="24"/>
          <w:szCs w:val="24"/>
          <w:lang w:eastAsia="ro-MD"/>
          <w14:ligatures w14:val="none"/>
        </w:rPr>
        <w:t xml:space="preserve"> reprezintă </w:t>
      </w:r>
      <w:r w:rsidRPr="0020102C">
        <w:rPr>
          <w:rFonts w:ascii="Times New Roman" w:eastAsia="Times New Roman" w:hAnsi="Times New Roman" w:cs="Times New Roman"/>
          <w:i/>
          <w:iCs/>
          <w:kern w:val="0"/>
          <w:sz w:val="24"/>
          <w:szCs w:val="24"/>
          <w:lang w:eastAsia="ro-MD"/>
          <w14:ligatures w14:val="none"/>
        </w:rPr>
        <w:t>„rezultatul formal al unui proces de formare, evaluare și validare, obținut în momentul în care o autoritate competentă stabilește că o persoană a dobândit rezultate ale învățării corespunzătoare unor standarde date”</w:t>
      </w:r>
      <w:r w:rsidRPr="0020102C">
        <w:rPr>
          <w:rFonts w:ascii="Times New Roman" w:eastAsia="Times New Roman" w:hAnsi="Times New Roman" w:cs="Times New Roman"/>
          <w:kern w:val="0"/>
          <w:sz w:val="24"/>
          <w:szCs w:val="24"/>
          <w:lang w:eastAsia="ro-MD"/>
          <w14:ligatures w14:val="none"/>
        </w:rPr>
        <w:t>.</w:t>
      </w:r>
    </w:p>
    <w:p w14:paraId="6255765E" w14:textId="0AC18CD4"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Potrivit Hotărârii Guvernului nr. 330/2023, fiecare nivel al CNC include mai multe </w:t>
      </w:r>
      <w:r w:rsidRPr="0020102C">
        <w:rPr>
          <w:rFonts w:ascii="Times New Roman" w:eastAsia="Times New Roman" w:hAnsi="Times New Roman" w:cs="Times New Roman"/>
          <w:b/>
          <w:bCs/>
          <w:kern w:val="0"/>
          <w:sz w:val="24"/>
          <w:szCs w:val="24"/>
          <w:lang w:eastAsia="ro-MD"/>
          <w14:ligatures w14:val="none"/>
        </w:rPr>
        <w:t>tipuri de calificări</w:t>
      </w:r>
      <w:r w:rsidRPr="0020102C">
        <w:rPr>
          <w:rFonts w:ascii="Times New Roman" w:eastAsia="Times New Roman" w:hAnsi="Times New Roman" w:cs="Times New Roman"/>
          <w:kern w:val="0"/>
          <w:sz w:val="24"/>
          <w:szCs w:val="24"/>
          <w:lang w:eastAsia="ro-MD"/>
          <w14:ligatures w14:val="none"/>
        </w:rPr>
        <w:t>, diferențiate prin:</w:t>
      </w:r>
    </w:p>
    <w:p w14:paraId="03AACCCB" w14:textId="77777777" w:rsidR="002C69F0" w:rsidRPr="0020102C" w:rsidRDefault="002C69F0" w:rsidP="00A41843">
      <w:pPr>
        <w:numPr>
          <w:ilvl w:val="0"/>
          <w:numId w:val="8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forma de organizare a programului (inițial/continuă, general/profesional);</w:t>
      </w:r>
    </w:p>
    <w:p w14:paraId="4A7F36A7" w14:textId="77777777" w:rsidR="002C69F0" w:rsidRPr="0020102C" w:rsidRDefault="002C69F0" w:rsidP="00A41843">
      <w:pPr>
        <w:numPr>
          <w:ilvl w:val="0"/>
          <w:numId w:val="8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durata studiilor și volumul de credite;</w:t>
      </w:r>
    </w:p>
    <w:p w14:paraId="0D607345" w14:textId="77777777" w:rsidR="002C69F0" w:rsidRPr="0020102C" w:rsidRDefault="002C69F0" w:rsidP="00A41843">
      <w:pPr>
        <w:numPr>
          <w:ilvl w:val="0"/>
          <w:numId w:val="8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nivelul de complexitate al rezultatelor învățării;</w:t>
      </w:r>
    </w:p>
    <w:p w14:paraId="4832E64C" w14:textId="77777777" w:rsidR="002C69F0" w:rsidRPr="0020102C" w:rsidRDefault="002C69F0" w:rsidP="00A41843">
      <w:pPr>
        <w:numPr>
          <w:ilvl w:val="0"/>
          <w:numId w:val="8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publicul țintă (elevi, adulți, persoane cu CES);</w:t>
      </w:r>
    </w:p>
    <w:p w14:paraId="63B9CF58" w14:textId="77777777" w:rsidR="002C69F0" w:rsidRPr="0020102C" w:rsidRDefault="002C69F0" w:rsidP="00A41843">
      <w:pPr>
        <w:numPr>
          <w:ilvl w:val="0"/>
          <w:numId w:val="8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contextul de învățare (formal, nonformal, informal).</w:t>
      </w:r>
    </w:p>
    <w:p w14:paraId="6A5445B9"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1 CNC / EQF</w:t>
      </w:r>
    </w:p>
    <w:p w14:paraId="3E03B37B"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de bază, orientate spre incluziunea socială și dezvoltarea competențelor generale, dedicate în special persoanelor cu dificultăți severe de învățare sau adulților în procese de alfabetizare.</w:t>
      </w:r>
    </w:p>
    <w:p w14:paraId="2F095764" w14:textId="77777777" w:rsidR="002C69F0" w:rsidRPr="0020102C" w:rsidRDefault="002C69F0" w:rsidP="00A41843">
      <w:pPr>
        <w:numPr>
          <w:ilvl w:val="0"/>
          <w:numId w:val="8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1.1: Educație specială (9 ani);</w:t>
      </w:r>
    </w:p>
    <w:p w14:paraId="146A6BC6" w14:textId="77777777" w:rsidR="002C69F0" w:rsidRPr="0020102C" w:rsidRDefault="002C69F0" w:rsidP="00A41843">
      <w:pPr>
        <w:numPr>
          <w:ilvl w:val="0"/>
          <w:numId w:val="8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1.2: Educație și formare pentru adulți (3–30 credite).</w:t>
      </w:r>
    </w:p>
    <w:p w14:paraId="51B5599B"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2 CNC / EQF</w:t>
      </w:r>
    </w:p>
    <w:p w14:paraId="353B5E82"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corespunzătoare învățământului gimnazial și formării inițiale pentru profesii simple sau vocații de bază.</w:t>
      </w:r>
    </w:p>
    <w:p w14:paraId="41A57AD7" w14:textId="77777777" w:rsidR="002C69F0" w:rsidRPr="0020102C" w:rsidRDefault="002C69F0" w:rsidP="00A41843">
      <w:pPr>
        <w:numPr>
          <w:ilvl w:val="0"/>
          <w:numId w:val="8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Tipul 2.1: Învățământ gimnazial general;</w:t>
      </w:r>
    </w:p>
    <w:p w14:paraId="04666D3D" w14:textId="77777777" w:rsidR="002C69F0" w:rsidRPr="0020102C" w:rsidRDefault="002C69F0" w:rsidP="00A41843">
      <w:pPr>
        <w:numPr>
          <w:ilvl w:val="0"/>
          <w:numId w:val="8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2.2: Învățământ gimnazial vocațional (arte, sport);</w:t>
      </w:r>
    </w:p>
    <w:p w14:paraId="68797C8C" w14:textId="77777777" w:rsidR="002C69F0" w:rsidRPr="0020102C" w:rsidRDefault="002C69F0" w:rsidP="00A41843">
      <w:pPr>
        <w:numPr>
          <w:ilvl w:val="0"/>
          <w:numId w:val="85"/>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2.3: Educație și formare pentru adulți.</w:t>
      </w:r>
    </w:p>
    <w:p w14:paraId="17ABFA54"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3 CNC / EQF</w:t>
      </w:r>
    </w:p>
    <w:p w14:paraId="3BAF1878"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care reflectă finalizarea învățământului liceal fără bacalaureat sau formarea profesională tehnică inițială pentru meserii de nivel mediu.</w:t>
      </w:r>
    </w:p>
    <w:p w14:paraId="474A9706"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Include 8 tipuri de calificări, printre care:</w:t>
      </w:r>
    </w:p>
    <w:p w14:paraId="13909C72" w14:textId="77777777" w:rsidR="002C69F0" w:rsidRPr="0020102C" w:rsidRDefault="002C69F0" w:rsidP="00A41843">
      <w:pPr>
        <w:numPr>
          <w:ilvl w:val="0"/>
          <w:numId w:val="8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3.1–3.2: Liceu fără bacalaureat (teoretic și vocațional);</w:t>
      </w:r>
    </w:p>
    <w:p w14:paraId="2DCE7E08" w14:textId="77777777" w:rsidR="002C69F0" w:rsidRPr="0020102C" w:rsidRDefault="002C69F0" w:rsidP="00A41843">
      <w:pPr>
        <w:numPr>
          <w:ilvl w:val="0"/>
          <w:numId w:val="8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3.3–3.5: Programe de formare profesională în meserii;</w:t>
      </w:r>
    </w:p>
    <w:p w14:paraId="65C5D0B8" w14:textId="77777777" w:rsidR="002C69F0" w:rsidRPr="0020102C" w:rsidRDefault="002C69F0" w:rsidP="00A41843">
      <w:pPr>
        <w:numPr>
          <w:ilvl w:val="0"/>
          <w:numId w:val="8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3.6–3.8: Perfecționare, recalificare și microcalificări.</w:t>
      </w:r>
    </w:p>
    <w:p w14:paraId="70E51E8C"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4 CNC / EQF</w:t>
      </w:r>
    </w:p>
    <w:p w14:paraId="20D1DCCB"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avansate în învățământul liceal (cu bacalaureat) și profesional tehnic postsecundar, cu integrarea calificărilor profesionale și a celor generale.</w:t>
      </w:r>
    </w:p>
    <w:p w14:paraId="2E101C02"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Cuprinde 12 tipuri de calificări, inclusiv:</w:t>
      </w:r>
    </w:p>
    <w:p w14:paraId="3B0F3E69" w14:textId="77777777" w:rsidR="002C69F0" w:rsidRPr="0020102C" w:rsidRDefault="002C69F0" w:rsidP="00A41843">
      <w:pPr>
        <w:numPr>
          <w:ilvl w:val="0"/>
          <w:numId w:val="8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4.1–4.2: Liceu cu bacalaureat (teoretic și vocațional);</w:t>
      </w:r>
    </w:p>
    <w:p w14:paraId="52DA1923" w14:textId="77777777" w:rsidR="002C69F0" w:rsidRPr="0020102C" w:rsidRDefault="002C69F0" w:rsidP="00A41843">
      <w:pPr>
        <w:numPr>
          <w:ilvl w:val="0"/>
          <w:numId w:val="8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4.3–4.5: Programe integrate cu formare profesională (ex. sănătate);</w:t>
      </w:r>
    </w:p>
    <w:p w14:paraId="14032923" w14:textId="77777777" w:rsidR="002C69F0" w:rsidRPr="0020102C" w:rsidRDefault="002C69F0" w:rsidP="00A41843">
      <w:pPr>
        <w:numPr>
          <w:ilvl w:val="0"/>
          <w:numId w:val="8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4.6–4.12: Formare profesională continuă, specializare, microcalificări.</w:t>
      </w:r>
    </w:p>
    <w:p w14:paraId="584DD9E3"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5 CNC / EQF (parțial)</w:t>
      </w:r>
    </w:p>
    <w:p w14:paraId="3DACBFD1"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postsecundare nonterțiare, în domenii specializate, inclusiv sănătate și pedagogie.</w:t>
      </w:r>
    </w:p>
    <w:p w14:paraId="2747936A" w14:textId="77777777" w:rsidR="002C69F0" w:rsidRPr="0020102C" w:rsidRDefault="002C69F0" w:rsidP="00A41843">
      <w:pPr>
        <w:numPr>
          <w:ilvl w:val="0"/>
          <w:numId w:val="8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5.1–5.3: Programe integrate sau dedicate pentru liceeni sau absolvenți de bacalaureat;</w:t>
      </w:r>
    </w:p>
    <w:p w14:paraId="7FEEFEDA" w14:textId="77777777" w:rsidR="002C69F0" w:rsidRPr="0020102C" w:rsidRDefault="002C69F0" w:rsidP="00A41843">
      <w:pPr>
        <w:numPr>
          <w:ilvl w:val="0"/>
          <w:numId w:val="8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5.4–5.7: Perfecționare, recalificare, specializare, microcalificări.</w:t>
      </w:r>
    </w:p>
    <w:p w14:paraId="0EB3FDFD"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6 CNC / EQF</w:t>
      </w:r>
    </w:p>
    <w:p w14:paraId="2A239214"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universitare – ciclul I (licență), în regim de specializare simplă sau dublă, cu opțiuni de dezvoltare profesională continuă.</w:t>
      </w:r>
    </w:p>
    <w:p w14:paraId="31A7C177" w14:textId="77777777" w:rsidR="002C69F0" w:rsidRPr="0020102C" w:rsidRDefault="002C69F0" w:rsidP="00A41843">
      <w:pPr>
        <w:numPr>
          <w:ilvl w:val="0"/>
          <w:numId w:val="8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6.1–6.2: Studii superioare de licență;</w:t>
      </w:r>
    </w:p>
    <w:p w14:paraId="0BB5AE8D" w14:textId="77777777" w:rsidR="002C69F0" w:rsidRPr="0020102C" w:rsidRDefault="002C69F0" w:rsidP="00A41843">
      <w:pPr>
        <w:numPr>
          <w:ilvl w:val="0"/>
          <w:numId w:val="8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6.3–6.6: Perfecționare, recalificare, specializare, microcalificări.</w:t>
      </w:r>
    </w:p>
    <w:p w14:paraId="53F6132A"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7 CNC / EQF</w:t>
      </w:r>
    </w:p>
    <w:p w14:paraId="224A1816" w14:textId="3ECA0C4F"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academice corespunzătoare ciclului II – master, inclusiv master profesional, științific și programe integrate.</w:t>
      </w:r>
    </w:p>
    <w:p w14:paraId="0F8AD811" w14:textId="77777777" w:rsidR="002C69F0" w:rsidRPr="0020102C" w:rsidRDefault="002C69F0" w:rsidP="00A41843">
      <w:pPr>
        <w:numPr>
          <w:ilvl w:val="0"/>
          <w:numId w:val="9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7.1–7.3: Master profesional, științific, program integrat (ex. medicină);</w:t>
      </w:r>
    </w:p>
    <w:p w14:paraId="5C8FB002" w14:textId="77777777" w:rsidR="002C69F0" w:rsidRPr="0020102C" w:rsidRDefault="002C69F0" w:rsidP="00A41843">
      <w:pPr>
        <w:numPr>
          <w:ilvl w:val="0"/>
          <w:numId w:val="9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7.4: Microcalificări la nivel de master.</w:t>
      </w:r>
    </w:p>
    <w:p w14:paraId="0F602089" w14:textId="77777777" w:rsidR="002C69F0" w:rsidRPr="0020102C" w:rsidRDefault="002C69F0" w:rsidP="008C376E">
      <w:pPr>
        <w:spacing w:before="120" w:after="120" w:line="276" w:lineRule="auto"/>
        <w:jc w:val="both"/>
        <w:outlineLvl w:val="3"/>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Nivelul 8 CNC / EQF</w:t>
      </w:r>
    </w:p>
    <w:p w14:paraId="75CCD925"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Calificări avansate de cercetare – ciclul III – doctorat științific, profesional sau industrial, precum și postdoctorat.</w:t>
      </w:r>
    </w:p>
    <w:p w14:paraId="4EB3552E" w14:textId="77777777" w:rsidR="002C69F0" w:rsidRPr="0020102C" w:rsidRDefault="002C69F0" w:rsidP="00A41843">
      <w:pPr>
        <w:numPr>
          <w:ilvl w:val="0"/>
          <w:numId w:val="9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Tipul 8.1–8.3: Doctorat științific, profesional, industrial;</w:t>
      </w:r>
    </w:p>
    <w:p w14:paraId="50D79F8D" w14:textId="77777777" w:rsidR="002C69F0" w:rsidRPr="0020102C" w:rsidRDefault="002C69F0" w:rsidP="00A41843">
      <w:pPr>
        <w:numPr>
          <w:ilvl w:val="0"/>
          <w:numId w:val="9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Tipul 8.4: Program de postdoctorat.</w:t>
      </w:r>
    </w:p>
    <w:p w14:paraId="4B1EEB95" w14:textId="77777777"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Tipologia extinsă a calificărilor reflectă flexibilitatea sistemului și alinierea acestuia la principiile educației pe tot parcursul vieții și la nevoile pieței muncii. Introducerea </w:t>
      </w:r>
      <w:r w:rsidRPr="0020102C">
        <w:rPr>
          <w:rFonts w:ascii="Times New Roman" w:eastAsia="Times New Roman" w:hAnsi="Times New Roman" w:cs="Times New Roman"/>
          <w:b/>
          <w:bCs/>
          <w:kern w:val="0"/>
          <w:sz w:val="24"/>
          <w:szCs w:val="24"/>
          <w:lang w:eastAsia="ro-MD"/>
          <w14:ligatures w14:val="none"/>
        </w:rPr>
        <w:t>calificărilor parțiale</w:t>
      </w:r>
      <w:r w:rsidRPr="0020102C">
        <w:rPr>
          <w:rFonts w:ascii="Times New Roman" w:eastAsia="Times New Roman" w:hAnsi="Times New Roman" w:cs="Times New Roman"/>
          <w:kern w:val="0"/>
          <w:sz w:val="24"/>
          <w:szCs w:val="24"/>
          <w:lang w:eastAsia="ro-MD"/>
          <w14:ligatures w14:val="none"/>
        </w:rPr>
        <w:t xml:space="preserve"> (microcalificări) la toate nivelurile (începând cu nivelul 3) este o inovație importantă, aliniată cu tendințele europene privind modularizarea învățării, recunoașterea învățării non-formale și digitalizarea procesului educațional.</w:t>
      </w:r>
    </w:p>
    <w:p w14:paraId="054BB146" w14:textId="745B52CF" w:rsidR="002C69F0" w:rsidRPr="0020102C" w:rsidRDefault="002C69F0"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Descrierea detaliată a tipurilor de calificări, structurată pe niveluri CNC, este prezentată în Anexa X – Tabela de corelare a tipurilor de calificări din CNC cu nivelurile EQF și QF-</w:t>
      </w:r>
      <w:r w:rsidR="002513BE" w:rsidRPr="0020102C">
        <w:rPr>
          <w:rFonts w:ascii="Times New Roman" w:eastAsia="Times New Roman" w:hAnsi="Times New Roman" w:cs="Times New Roman"/>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w:t>
      </w:r>
    </w:p>
    <w:p w14:paraId="197BD17E" w14:textId="02D5DE9A" w:rsidR="009E7240" w:rsidRPr="0020102C" w:rsidRDefault="009E7240" w:rsidP="008C376E">
      <w:p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Titlul calificării</w:t>
      </w:r>
    </w:p>
    <w:p w14:paraId="71805A18" w14:textId="6663B0A0" w:rsidR="000D528E" w:rsidRPr="0020102C" w:rsidRDefault="000D528E"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În CNC, fiecare calificare este definită printr-un </w:t>
      </w:r>
      <w:r w:rsidRPr="0020102C">
        <w:rPr>
          <w:rFonts w:ascii="Times New Roman" w:eastAsia="Times New Roman" w:hAnsi="Times New Roman" w:cs="Times New Roman"/>
          <w:b/>
          <w:bCs/>
          <w:kern w:val="0"/>
          <w:sz w:val="24"/>
          <w:szCs w:val="24"/>
          <w:lang w:eastAsia="ro-MD"/>
          <w14:ligatures w14:val="none"/>
        </w:rPr>
        <w:t xml:space="preserve">titlu </w:t>
      </w:r>
      <w:r w:rsidRPr="0020102C">
        <w:rPr>
          <w:rFonts w:ascii="Times New Roman" w:eastAsia="Times New Roman" w:hAnsi="Times New Roman" w:cs="Times New Roman"/>
          <w:kern w:val="0"/>
          <w:sz w:val="24"/>
          <w:szCs w:val="24"/>
          <w:lang w:eastAsia="ro-MD"/>
          <w14:ligatures w14:val="none"/>
        </w:rPr>
        <w:t>alcătuit din două componente:</w:t>
      </w:r>
    </w:p>
    <w:p w14:paraId="640D2F6C" w14:textId="77777777" w:rsidR="000D528E" w:rsidRPr="0020102C" w:rsidRDefault="000D528E" w:rsidP="00A41843">
      <w:pPr>
        <w:numPr>
          <w:ilvl w:val="0"/>
          <w:numId w:val="7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Partea generică</w:t>
      </w:r>
      <w:r w:rsidRPr="0020102C">
        <w:rPr>
          <w:rFonts w:ascii="Times New Roman" w:eastAsia="Times New Roman" w:hAnsi="Times New Roman" w:cs="Times New Roman"/>
          <w:kern w:val="0"/>
          <w:sz w:val="24"/>
          <w:szCs w:val="24"/>
          <w:lang w:eastAsia="ro-MD"/>
          <w14:ligatures w14:val="none"/>
        </w:rPr>
        <w:t xml:space="preserve"> – indică tipul calificării, determinat de nivelul educațional (general, profesional tehnic, superior), specificul rezultatelor învățării (competențe generale, vocaționale, profesionale), scopul (educație generală, formare inițială/continuă, formare la locul de muncă) și conținutul (de exemplu: Bacalaureat teoretic, Bacalaureat vocațional, Licență, Master, Doctorat).</w:t>
      </w:r>
    </w:p>
    <w:p w14:paraId="68E120DE" w14:textId="77777777" w:rsidR="000D528E" w:rsidRPr="0020102C" w:rsidRDefault="000D528E" w:rsidP="00A41843">
      <w:pPr>
        <w:numPr>
          <w:ilvl w:val="0"/>
          <w:numId w:val="7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Partea specifică</w:t>
      </w:r>
      <w:r w:rsidRPr="0020102C">
        <w:rPr>
          <w:rFonts w:ascii="Times New Roman" w:eastAsia="Times New Roman" w:hAnsi="Times New Roman" w:cs="Times New Roman"/>
          <w:kern w:val="0"/>
          <w:sz w:val="24"/>
          <w:szCs w:val="24"/>
          <w:lang w:eastAsia="ro-MD"/>
          <w14:ligatures w14:val="none"/>
        </w:rPr>
        <w:t xml:space="preserve"> – definește profilul calificării. În învățământul general, aceasta este stabilită de program (real, umanist, arte, sport, teologic, militar), iar în ÎPT și în învățământul superior – de domeniul general de studii și domeniul de formare profesională, conform nomenclatoarelor aprobate de Guvern.</w:t>
      </w:r>
    </w:p>
    <w:p w14:paraId="1FB6CE4D" w14:textId="77777777" w:rsidR="000D528E" w:rsidRPr="0020102C" w:rsidRDefault="000D528E"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Titlurile calificărilor se utilizează în original, conform cadrului normativ, sau în formă transliterată. Regulile de utilizare a acestor titluri sunt stabilite prin instrucțiunile privind conținutul și formatul actelor de studii care atestă calificările cu nivel CNC, aprobate de ministrul educației și cercetării.</w:t>
      </w:r>
    </w:p>
    <w:p w14:paraId="536B199C" w14:textId="4FA236A2" w:rsidR="009D538A" w:rsidRPr="0020102C" w:rsidRDefault="00F61393" w:rsidP="008C376E">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Standardul de calificare</w:t>
      </w:r>
    </w:p>
    <w:p w14:paraId="20A9E6B2" w14:textId="71F85B8A" w:rsidR="006207AD" w:rsidRPr="0020102C" w:rsidRDefault="006207A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Conform Hotărârii Guvernului nr. 330/2023, standardul de calificare este documentul de bază pentru elaborarea programelor de studii care conduc la obținerea unei calificări la un anumit nivel al CNC. Acesta este elaborat în raport cu cerințele pieței muncii naționale, cu standardele ocupaționale și de competență, cu recomandările organizațiilor profesionale internaționale și cu bunele practici europene. Standardul de calificare descrie cerințele generale pentru acordarea unei calificări și cuprinde: caracteristicile generale, rezultatele învățării, relevanța pentru piața muncii, posibilitățile de progres educațional, criteriile de evaluare finală și mecanismele de asigurare a calității (HG nr. 330/2023, art. 91–92).</w:t>
      </w:r>
    </w:p>
    <w:p w14:paraId="3103F988" w14:textId="5FDCB7B7" w:rsidR="006207AD" w:rsidRPr="0020102C" w:rsidRDefault="006207A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Procesul de elaborare presupune mai multe etape succesive: identificarea rolului calificării, analiza documentelor de referință și a tendințelor pieței muncii, implicarea experților și a părților interesate, formularea rezultatelor învățării și validarea finală. </w:t>
      </w:r>
      <w:r w:rsidR="002A4E2E"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xml:space="preserve"> coordonează acest proces, constituind grupuri de experți pe domenii de formare și niveluri de calificare. Calitatea este asigurată printr-o triplă validare: de către experți din sectorul profesional vizat, de către experți în definirea rezultatelor învățării și de către specialiști în elaborarea standardelor. În acest mod, standardul de calificare devine o referință unică pentru dezvoltarea programelor de formare – complete sau parțiale, formale sau nonformale – și pentru validarea rezultatelor învățării obținute în contexte diferite (HG nr. 330/2023, art. 93–97).</w:t>
      </w:r>
    </w:p>
    <w:p w14:paraId="00889919" w14:textId="77777777" w:rsidR="006207AD" w:rsidRPr="0020102C" w:rsidRDefault="006207AD" w:rsidP="008C376E">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În completarea cadrului normativ general, </w:t>
      </w:r>
      <w:r w:rsidRPr="0020102C">
        <w:rPr>
          <w:rFonts w:ascii="Times New Roman" w:eastAsia="Times New Roman" w:hAnsi="Times New Roman" w:cs="Times New Roman"/>
          <w:i/>
          <w:iCs/>
          <w:kern w:val="0"/>
          <w:sz w:val="24"/>
          <w:szCs w:val="24"/>
          <w:lang w:eastAsia="ro-MD"/>
          <w14:ligatures w14:val="none"/>
        </w:rPr>
        <w:t>Metodologia de elaborare, validare și aprobare a standardelor de calificare</w:t>
      </w:r>
      <w:r w:rsidRPr="0020102C">
        <w:rPr>
          <w:rFonts w:ascii="Times New Roman" w:eastAsia="Times New Roman" w:hAnsi="Times New Roman" w:cs="Times New Roman"/>
          <w:kern w:val="0"/>
          <w:sz w:val="24"/>
          <w:szCs w:val="24"/>
          <w:lang w:eastAsia="ro-MD"/>
          <w14:ligatures w14:val="none"/>
        </w:rPr>
        <w:t xml:space="preserve">, aprobată prin Ordinul MEC nr. 573/2022, constituie baza procedurală pentru aplicarea acestor prevederi. Ea reglementează procesul de elaborare, actualizare, evaluare, validare, avizare și aprobare a standardelor de calificare pentru toate nivelurile CNC, atât pentru formarea profesională inițială, cât și </w:t>
      </w:r>
      <w:r w:rsidRPr="0020102C">
        <w:rPr>
          <w:rFonts w:ascii="Times New Roman" w:eastAsia="Times New Roman" w:hAnsi="Times New Roman" w:cs="Times New Roman"/>
          <w:kern w:val="0"/>
          <w:sz w:val="24"/>
          <w:szCs w:val="24"/>
          <w:lang w:eastAsia="ro-MD"/>
          <w14:ligatures w14:val="none"/>
        </w:rPr>
        <w:lastRenderedPageBreak/>
        <w:t>pentru cea continuă. Scopul principal al metodologiei este de a contribui la dezvoltarea unui sistem național integrat de calificări, aliniat politicilor și strategiilor educaționale naționale, dar și spațiului european al educației și formării.</w:t>
      </w:r>
    </w:p>
    <w:p w14:paraId="1365FA86" w14:textId="77777777" w:rsidR="006207AD" w:rsidRPr="0020102C" w:rsidRDefault="006207AD"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Metodologia urmărește obiective precum: asigurarea relevanței și credibilității calificărilor, implicarea activă a tuturor părților interesate (angajatori, furnizori de educație, comunitatea academică, sindicate), prevenirea calificărilor neconforme, garantarea calității și facilitarea transferului și recunoașterii calificărilor obținute în diverse contexte. În plus, ea stabilește aplicarea standardelor de calificare nu doar în elaborarea programelor de studii, ci și în evaluarea relevanței calificărilor pentru piața muncii, validarea rezultatelor învățării și recunoașterea acestora pentru acordarea de calificări (Ordin MEC nr. 573/2022, p. 2–4).</w:t>
      </w:r>
    </w:p>
    <w:p w14:paraId="6FF553B1" w14:textId="36D620A4" w:rsidR="006207AD" w:rsidRPr="0020102C" w:rsidRDefault="006207AD"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Astfel, prevederile generale stabilite prin HG nr. 330/2023 sunt detaliate și operaționalizate prin Metodologia din 2022, asigurând atât coerența procesului de elaborare și validare a standardelor de calificare, cât și integrarea acestora în sistemul național și european al calificărilor.</w:t>
      </w:r>
      <w:r w:rsidRPr="0020102C">
        <w:rPr>
          <w:rStyle w:val="afc"/>
          <w:rFonts w:ascii="Times New Roman" w:eastAsia="Times New Roman" w:hAnsi="Times New Roman" w:cs="Times New Roman"/>
          <w:kern w:val="0"/>
          <w:sz w:val="24"/>
          <w:szCs w:val="24"/>
          <w:lang w:eastAsia="ro-MD"/>
          <w14:ligatures w14:val="none"/>
        </w:rPr>
        <w:footnoteReference w:id="34"/>
      </w:r>
    </w:p>
    <w:p w14:paraId="71677B2E" w14:textId="3DD277D2" w:rsidR="009E7240" w:rsidRPr="0020102C" w:rsidRDefault="009E7240" w:rsidP="005C4FE9">
      <w:pPr>
        <w:spacing w:before="120" w:after="120" w:line="276" w:lineRule="auto"/>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4.6. Promovarea incluziunii sociale în CNC</w:t>
      </w:r>
    </w:p>
    <w:p w14:paraId="0F5D8C53" w14:textId="3476AD99" w:rsidR="00413CD2" w:rsidRPr="0020102C" w:rsidRDefault="00413CD2" w:rsidP="005C4FE9">
      <w:pPr>
        <w:pStyle w:val="af8"/>
        <w:spacing w:before="120" w:beforeAutospacing="0" w:after="120" w:afterAutospacing="0" w:line="276" w:lineRule="auto"/>
        <w:jc w:val="both"/>
      </w:pPr>
      <w:r w:rsidRPr="0020102C">
        <w:t>În conformitate cu Capitolul VI al Codului educației și Capitolul VII din HG nr. 330/2023, CNC promovează incluziunea socială și educațională a tuturor categoriilor de persoane aflate în situații de vulnerabilitate sau cu cerințe educaționale speciale (CES), prin măsuri specifice implementate la nivel de sistem și programe educaționale.</w:t>
      </w:r>
    </w:p>
    <w:p w14:paraId="12DCF42B" w14:textId="77777777" w:rsidR="00413CD2" w:rsidRPr="0020102C" w:rsidRDefault="00413CD2" w:rsidP="005C4FE9">
      <w:pPr>
        <w:pStyle w:val="af8"/>
        <w:spacing w:before="120" w:beforeAutospacing="0" w:after="120" w:afterAutospacing="0" w:line="276" w:lineRule="auto"/>
        <w:jc w:val="both"/>
      </w:pPr>
      <w:r w:rsidRPr="0020102C">
        <w:t>Astfel, CNC:</w:t>
      </w:r>
    </w:p>
    <w:p w14:paraId="418FC8F2" w14:textId="66CAB618" w:rsidR="00413CD2" w:rsidRPr="0020102C" w:rsidRDefault="00413CD2" w:rsidP="00A41843">
      <w:pPr>
        <w:pStyle w:val="af8"/>
        <w:numPr>
          <w:ilvl w:val="0"/>
          <w:numId w:val="92"/>
        </w:numPr>
        <w:spacing w:before="120" w:beforeAutospacing="0" w:after="120" w:afterAutospacing="0" w:line="276" w:lineRule="auto"/>
        <w:jc w:val="both"/>
      </w:pPr>
      <w:r w:rsidRPr="0020102C">
        <w:rPr>
          <w:rStyle w:val="af9"/>
          <w:rFonts w:eastAsiaTheme="majorEastAsia"/>
        </w:rPr>
        <w:t>Asigură oportunități egale de acces</w:t>
      </w:r>
      <w:r w:rsidRPr="0020102C">
        <w:t xml:space="preserve"> la calificări pentru:</w:t>
      </w:r>
      <w:r w:rsidR="004058FB" w:rsidRPr="0020102C">
        <w:t xml:space="preserve"> </w:t>
      </w:r>
      <w:r w:rsidRPr="0020102C">
        <w:t>Persoanele aflate în situații de risc sau marginalizare — inclusiv adulți care au abandonat studiile, persoane din grupuri social-vulnerabile, minorități etnice, imigranți sau persoane cu CES — beneficiază de mecanisme de sprijin pentru integrarea în sistemul educațional și de formare profesională.</w:t>
      </w:r>
    </w:p>
    <w:p w14:paraId="441CD603" w14:textId="31666AF5" w:rsidR="00413CD2" w:rsidRPr="0020102C" w:rsidRDefault="00413CD2" w:rsidP="00A41843">
      <w:pPr>
        <w:pStyle w:val="af8"/>
        <w:numPr>
          <w:ilvl w:val="0"/>
          <w:numId w:val="92"/>
        </w:numPr>
        <w:spacing w:before="120" w:beforeAutospacing="0" w:after="120" w:afterAutospacing="0" w:line="276" w:lineRule="auto"/>
        <w:jc w:val="both"/>
      </w:pPr>
      <w:r w:rsidRPr="0020102C">
        <w:rPr>
          <w:rStyle w:val="af9"/>
          <w:rFonts w:eastAsiaTheme="majorEastAsia"/>
        </w:rPr>
        <w:t>Dezvoltă mecanisme de flexibilizare</w:t>
      </w:r>
      <w:r w:rsidRPr="0020102C">
        <w:t xml:space="preserve"> a parcursurilor educaționale și de formare profesională:</w:t>
      </w:r>
      <w:r w:rsidR="004058FB" w:rsidRPr="0020102C">
        <w:t xml:space="preserve"> </w:t>
      </w:r>
      <w:r w:rsidRPr="0020102C">
        <w:t>Acestea includ trasee de admitere alternative, condiții de acces personalizate, forme flexibile de organizare a studiilor, programe individualizate, precum și recunoașterea învățării anterioare și a experienței profesionale, pentru a facilita accesul și progresul în cadrul CNC.</w:t>
      </w:r>
    </w:p>
    <w:p w14:paraId="214B12B9" w14:textId="52C6BF50" w:rsidR="00413CD2" w:rsidRPr="0020102C" w:rsidRDefault="00413CD2" w:rsidP="00A41843">
      <w:pPr>
        <w:pStyle w:val="af8"/>
        <w:numPr>
          <w:ilvl w:val="0"/>
          <w:numId w:val="92"/>
        </w:numPr>
        <w:spacing w:before="120" w:beforeAutospacing="0" w:after="120" w:afterAutospacing="0" w:line="276" w:lineRule="auto"/>
        <w:jc w:val="both"/>
      </w:pPr>
      <w:r w:rsidRPr="0020102C">
        <w:rPr>
          <w:rStyle w:val="af9"/>
          <w:rFonts w:eastAsiaTheme="majorEastAsia"/>
        </w:rPr>
        <w:t>Sprijină integrarea persoanelor cu CES</w:t>
      </w:r>
      <w:r w:rsidRPr="0020102C">
        <w:t xml:space="preserve"> prin norme și proceduri dedicate:</w:t>
      </w:r>
      <w:r w:rsidR="004058FB" w:rsidRPr="0020102C">
        <w:t xml:space="preserve"> </w:t>
      </w:r>
      <w:r w:rsidRPr="0020102C">
        <w:t>CNC prevede adaptări ale formelor de instruire și ale metodelor de evaluare în cadrul proceselor de autorizare și acreditare, încurajează dezvoltarea programelor incluzive la toate nivelurile și promovează utilizarea programelor modulare, care răspund nevoilor individuale ale persoanelor cu CES.</w:t>
      </w:r>
    </w:p>
    <w:p w14:paraId="581A10AF" w14:textId="5EABD1B5" w:rsidR="00413CD2" w:rsidRPr="0020102C" w:rsidRDefault="00413CD2" w:rsidP="00A41843">
      <w:pPr>
        <w:pStyle w:val="af8"/>
        <w:numPr>
          <w:ilvl w:val="0"/>
          <w:numId w:val="92"/>
        </w:numPr>
        <w:spacing w:before="120" w:beforeAutospacing="0" w:after="120" w:afterAutospacing="0" w:line="276" w:lineRule="auto"/>
        <w:jc w:val="both"/>
      </w:pPr>
      <w:r w:rsidRPr="0020102C">
        <w:rPr>
          <w:rStyle w:val="af9"/>
          <w:rFonts w:eastAsiaTheme="majorEastAsia"/>
        </w:rPr>
        <w:t>Colaborează intersectorial</w:t>
      </w:r>
      <w:r w:rsidRPr="0020102C">
        <w:t xml:space="preserve"> pentru sprijin educațional și social:</w:t>
      </w:r>
      <w:r w:rsidR="004058FB" w:rsidRPr="0020102C">
        <w:t xml:space="preserve"> </w:t>
      </w:r>
      <w:r w:rsidRPr="0020102C">
        <w:t>Instituțiile de învățământ care deservesc persoane cu CES cooperează cu autorități din domeniul protecției sociale, sănătății și organizații non-guvernamentale pentru a crea un mediu educațional adaptat, accesibil și integrator.</w:t>
      </w:r>
    </w:p>
    <w:p w14:paraId="7AFEDC5E" w14:textId="069392B8" w:rsidR="00413CD2" w:rsidRPr="0020102C" w:rsidRDefault="00413CD2" w:rsidP="00A41843">
      <w:pPr>
        <w:pStyle w:val="af8"/>
        <w:numPr>
          <w:ilvl w:val="0"/>
          <w:numId w:val="92"/>
        </w:numPr>
        <w:spacing w:before="120" w:beforeAutospacing="0" w:after="120" w:afterAutospacing="0" w:line="276" w:lineRule="auto"/>
        <w:jc w:val="both"/>
      </w:pPr>
      <w:r w:rsidRPr="0020102C">
        <w:rPr>
          <w:rStyle w:val="af9"/>
          <w:rFonts w:eastAsiaTheme="majorEastAsia"/>
        </w:rPr>
        <w:t>Integrează principiile educației incluzive</w:t>
      </w:r>
      <w:r w:rsidRPr="0020102C">
        <w:t>, conform Codului educației:</w:t>
      </w:r>
      <w:r w:rsidR="004058FB" w:rsidRPr="0020102C">
        <w:t xml:space="preserve"> </w:t>
      </w:r>
      <w:r w:rsidRPr="0020102C">
        <w:t xml:space="preserve">Educația incluzivă este susținută prin organizarea învățământului pentru copii și elevi cu CES în instituții de învățământ </w:t>
      </w:r>
      <w:r w:rsidRPr="0020102C">
        <w:lastRenderedPageBreak/>
        <w:t>general sau special, instruirea la domiciliu atunci când este necesar, implicarea cadrelor didactice de sprijin, precum și adaptarea curriculară și metodologică la nevoile fiecărui elev.</w:t>
      </w:r>
    </w:p>
    <w:p w14:paraId="565DCDE6" w14:textId="77777777" w:rsidR="00413CD2" w:rsidRPr="0020102C" w:rsidRDefault="00413CD2" w:rsidP="005C4FE9">
      <w:pPr>
        <w:pStyle w:val="af8"/>
        <w:spacing w:before="120" w:beforeAutospacing="0" w:after="120" w:afterAutospacing="0" w:line="276" w:lineRule="auto"/>
        <w:jc w:val="both"/>
      </w:pPr>
      <w:r w:rsidRPr="0020102C">
        <w:t>Promovarea principiului incluziunii sociale în cadrul CNC reflectă angajamentul Republicii Moldova de a implementa standardele și bunele practici europene în domeniul educației și formării profesionale. Aceasta contribuie la realizarea obiectivelor Spațiului European al Învățământului, asigurând acces echitabil la oportunități de învățare pentru toate categoriile sociale, inclusiv pentru persoanele vulnerabile și cu cerințe educaționale speciale. Astfel, CNC sprijină integrarea socială și profesională, reducerea disparităților și dezvoltarea unui sistem educațional incluziv, flexibil și adaptat nevoilor individuale, în conformitate cu valorile și directivele Uniunii Europene.</w:t>
      </w:r>
    </w:p>
    <w:p w14:paraId="29ED8E72" w14:textId="74D469A5" w:rsidR="009E7240" w:rsidRPr="0020102C" w:rsidRDefault="009E7240" w:rsidP="005C4FE9">
      <w:pPr>
        <w:spacing w:before="120" w:after="120" w:line="276" w:lineRule="auto"/>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4.7. Evaluarea în vederea atribuirii calificării </w:t>
      </w:r>
      <w:r w:rsidR="00B1786B" w:rsidRPr="0020102C">
        <w:rPr>
          <w:rFonts w:ascii="Times New Roman" w:eastAsia="Times New Roman" w:hAnsi="Times New Roman" w:cs="Times New Roman"/>
          <w:b/>
          <w:bCs/>
          <w:color w:val="3494BA" w:themeColor="accent1"/>
          <w:kern w:val="0"/>
          <w:sz w:val="24"/>
          <w:szCs w:val="24"/>
          <w:lang w:eastAsia="ro-MD"/>
          <w14:ligatures w14:val="none"/>
        </w:rPr>
        <w:t xml:space="preserve"> și certificarea</w:t>
      </w:r>
    </w:p>
    <w:p w14:paraId="4238D1FB" w14:textId="47EE9F12" w:rsidR="005E700C" w:rsidRPr="0020102C" w:rsidRDefault="005E700C" w:rsidP="005C4FE9">
      <w:pPr>
        <w:pStyle w:val="af8"/>
        <w:spacing w:before="120" w:beforeAutospacing="0" w:after="120" w:afterAutospacing="0" w:line="276" w:lineRule="auto"/>
        <w:jc w:val="both"/>
      </w:pPr>
      <w:r w:rsidRPr="0020102C">
        <w:t xml:space="preserve">Evaluarea rezultatelor învățării reprezintă o etapă centrală în procesul de atribuire a calificărilor în Republica Moldova. Conform </w:t>
      </w:r>
      <w:r w:rsidRPr="0020102C">
        <w:rPr>
          <w:rStyle w:val="af9"/>
          <w:rFonts w:eastAsiaTheme="majorEastAsia"/>
          <w:b w:val="0"/>
          <w:bCs w:val="0"/>
        </w:rPr>
        <w:t>HG nr. 330/2023</w:t>
      </w:r>
      <w:r w:rsidRPr="0020102C">
        <w:t xml:space="preserve">, aceasta se realizează pe baza criteriilor de referință și a indicatorilor de performanță stabiliți în standardul de calificare și este aliniată descriptorilor de nivel CNC. Procedurile sunt reglementate prin regulamentele aprobate de </w:t>
      </w:r>
      <w:r w:rsidR="002A4E2E" w:rsidRPr="001F6026">
        <w:t>MEC</w:t>
      </w:r>
      <w:r w:rsidRPr="0020102C">
        <w:t>, care asigură uniformitate și transparență la nivel național.</w:t>
      </w:r>
    </w:p>
    <w:p w14:paraId="18DC5AF6" w14:textId="77777777" w:rsidR="005E700C" w:rsidRPr="0020102C" w:rsidRDefault="005E700C" w:rsidP="005C4FE9">
      <w:pPr>
        <w:pStyle w:val="af8"/>
        <w:spacing w:before="120" w:beforeAutospacing="0" w:after="120" w:afterAutospacing="0" w:line="276" w:lineRule="auto"/>
        <w:jc w:val="both"/>
      </w:pPr>
      <w:r w:rsidRPr="0020102C">
        <w:t>Evaluarea include mai multe elemente definitorii (HG nr. 330/2023, art. 71):</w:t>
      </w:r>
    </w:p>
    <w:p w14:paraId="589A3B80" w14:textId="77777777" w:rsidR="005E700C" w:rsidRPr="0020102C" w:rsidRDefault="005E700C" w:rsidP="00A41843">
      <w:pPr>
        <w:pStyle w:val="af8"/>
        <w:numPr>
          <w:ilvl w:val="0"/>
          <w:numId w:val="97"/>
        </w:numPr>
        <w:spacing w:before="120" w:beforeAutospacing="0" w:after="120" w:afterAutospacing="0" w:line="276" w:lineRule="auto"/>
        <w:jc w:val="both"/>
      </w:pPr>
      <w:r w:rsidRPr="0020102C">
        <w:t>principii, procese, proceduri și metode de evaluare;</w:t>
      </w:r>
    </w:p>
    <w:p w14:paraId="2FE976D1" w14:textId="77777777" w:rsidR="005E700C" w:rsidRPr="0020102C" w:rsidRDefault="005E700C" w:rsidP="00A41843">
      <w:pPr>
        <w:pStyle w:val="af8"/>
        <w:numPr>
          <w:ilvl w:val="0"/>
          <w:numId w:val="97"/>
        </w:numPr>
        <w:spacing w:before="120" w:beforeAutospacing="0" w:after="120" w:afterAutospacing="0" w:line="276" w:lineRule="auto"/>
        <w:jc w:val="both"/>
      </w:pPr>
      <w:r w:rsidRPr="0020102C">
        <w:t>cerințe specifice pentru o anumită calificare;</w:t>
      </w:r>
    </w:p>
    <w:p w14:paraId="2A7FF72F" w14:textId="77777777" w:rsidR="005E700C" w:rsidRPr="0020102C" w:rsidRDefault="005E700C" w:rsidP="00A41843">
      <w:pPr>
        <w:pStyle w:val="af8"/>
        <w:numPr>
          <w:ilvl w:val="0"/>
          <w:numId w:val="97"/>
        </w:numPr>
        <w:spacing w:before="120" w:beforeAutospacing="0" w:after="120" w:afterAutospacing="0" w:line="276" w:lineRule="auto"/>
        <w:jc w:val="both"/>
      </w:pPr>
      <w:r w:rsidRPr="0020102C">
        <w:t>cerințe minime obligatorii pentru acordarea calificării;</w:t>
      </w:r>
    </w:p>
    <w:p w14:paraId="0A3A95F4" w14:textId="77777777" w:rsidR="005E700C" w:rsidRPr="0020102C" w:rsidRDefault="005E700C" w:rsidP="00A41843">
      <w:pPr>
        <w:pStyle w:val="af8"/>
        <w:numPr>
          <w:ilvl w:val="0"/>
          <w:numId w:val="97"/>
        </w:numPr>
        <w:spacing w:before="120" w:beforeAutospacing="0" w:after="120" w:afterAutospacing="0" w:line="276" w:lineRule="auto"/>
        <w:jc w:val="both"/>
      </w:pPr>
      <w:r w:rsidRPr="0020102C">
        <w:t>criterii și scale de notare;</w:t>
      </w:r>
    </w:p>
    <w:p w14:paraId="049756E2" w14:textId="77777777" w:rsidR="005E700C" w:rsidRPr="0020102C" w:rsidRDefault="005E700C" w:rsidP="00A41843">
      <w:pPr>
        <w:pStyle w:val="af8"/>
        <w:numPr>
          <w:ilvl w:val="0"/>
          <w:numId w:val="97"/>
        </w:numPr>
        <w:spacing w:before="120" w:beforeAutospacing="0" w:after="120" w:afterAutospacing="0" w:line="276" w:lineRule="auto"/>
        <w:jc w:val="both"/>
      </w:pPr>
      <w:r w:rsidRPr="0020102C">
        <w:t>mecanisme de asigurare a calității procesului de evaluare și certificare;</w:t>
      </w:r>
    </w:p>
    <w:p w14:paraId="3CECDA25" w14:textId="77777777" w:rsidR="005E700C" w:rsidRPr="0020102C" w:rsidRDefault="005E700C" w:rsidP="00A41843">
      <w:pPr>
        <w:pStyle w:val="af8"/>
        <w:numPr>
          <w:ilvl w:val="0"/>
          <w:numId w:val="97"/>
        </w:numPr>
        <w:spacing w:before="120" w:beforeAutospacing="0" w:after="120" w:afterAutospacing="0" w:line="276" w:lineRule="auto"/>
        <w:jc w:val="both"/>
      </w:pPr>
      <w:r w:rsidRPr="0020102C">
        <w:t>posibilități de recunoaștere a rezultatelor învățării dobândite anterior.</w:t>
      </w:r>
    </w:p>
    <w:p w14:paraId="65798033" w14:textId="77777777" w:rsidR="005E700C" w:rsidRPr="0020102C" w:rsidRDefault="005E700C" w:rsidP="005C4FE9">
      <w:pPr>
        <w:pStyle w:val="af8"/>
        <w:spacing w:before="120" w:beforeAutospacing="0" w:after="120" w:afterAutospacing="0" w:line="276" w:lineRule="auto"/>
        <w:jc w:val="both"/>
      </w:pPr>
      <w:r w:rsidRPr="0020102C">
        <w:t>Aceasta se desfășoară în mai multe etape și cu scopuri diferite (HG nr. 330/2023, art. 72):</w:t>
      </w:r>
    </w:p>
    <w:p w14:paraId="01381EAA" w14:textId="77777777" w:rsidR="005E700C" w:rsidRPr="0020102C" w:rsidRDefault="005E700C" w:rsidP="00A41843">
      <w:pPr>
        <w:pStyle w:val="af8"/>
        <w:numPr>
          <w:ilvl w:val="0"/>
          <w:numId w:val="98"/>
        </w:numPr>
        <w:spacing w:before="120" w:beforeAutospacing="0" w:after="120" w:afterAutospacing="0" w:line="276" w:lineRule="auto"/>
        <w:jc w:val="both"/>
      </w:pPr>
      <w:r w:rsidRPr="0020102C">
        <w:t>evaluare inițială pentru stabilirea nivelului de pregătire și identificarea măsurilor compensatorii;</w:t>
      </w:r>
    </w:p>
    <w:p w14:paraId="60FD1614" w14:textId="77777777" w:rsidR="005E700C" w:rsidRPr="0020102C" w:rsidRDefault="005E700C" w:rsidP="00A41843">
      <w:pPr>
        <w:pStyle w:val="af8"/>
        <w:numPr>
          <w:ilvl w:val="0"/>
          <w:numId w:val="98"/>
        </w:numPr>
        <w:spacing w:before="120" w:beforeAutospacing="0" w:after="120" w:afterAutospacing="0" w:line="276" w:lineRule="auto"/>
        <w:jc w:val="both"/>
      </w:pPr>
      <w:r w:rsidRPr="0020102C">
        <w:t>evaluare formativă și sumativă pentru urmărirea progresului educațional;</w:t>
      </w:r>
    </w:p>
    <w:p w14:paraId="6844F18E" w14:textId="77777777" w:rsidR="005E700C" w:rsidRPr="0020102C" w:rsidRDefault="005E700C" w:rsidP="00A41843">
      <w:pPr>
        <w:pStyle w:val="af8"/>
        <w:numPr>
          <w:ilvl w:val="0"/>
          <w:numId w:val="98"/>
        </w:numPr>
        <w:spacing w:before="120" w:beforeAutospacing="0" w:after="120" w:afterAutospacing="0" w:line="276" w:lineRule="auto"/>
        <w:jc w:val="both"/>
      </w:pPr>
      <w:r w:rsidRPr="0020102C">
        <w:t>aprecierea eficienței procesului de instruire;</w:t>
      </w:r>
    </w:p>
    <w:p w14:paraId="37F3B64B" w14:textId="77777777" w:rsidR="005E700C" w:rsidRPr="0020102C" w:rsidRDefault="005E700C" w:rsidP="00A41843">
      <w:pPr>
        <w:pStyle w:val="af8"/>
        <w:numPr>
          <w:ilvl w:val="0"/>
          <w:numId w:val="98"/>
        </w:numPr>
        <w:spacing w:before="120" w:beforeAutospacing="0" w:after="120" w:afterAutospacing="0" w:line="276" w:lineRule="auto"/>
        <w:jc w:val="both"/>
      </w:pPr>
      <w:r w:rsidRPr="0020102C">
        <w:t>evaluare în procesul de recunoaștere a rezultatelor dobândite anterior;</w:t>
      </w:r>
    </w:p>
    <w:p w14:paraId="1BA52FB1" w14:textId="77777777" w:rsidR="005E700C" w:rsidRPr="0020102C" w:rsidRDefault="005E700C" w:rsidP="00A41843">
      <w:pPr>
        <w:pStyle w:val="af8"/>
        <w:numPr>
          <w:ilvl w:val="0"/>
          <w:numId w:val="98"/>
        </w:numPr>
        <w:spacing w:before="120" w:beforeAutospacing="0" w:after="120" w:afterAutospacing="0" w:line="276" w:lineRule="auto"/>
        <w:jc w:val="both"/>
      </w:pPr>
      <w:r w:rsidRPr="0020102C">
        <w:t>evaluare finală pentru acordarea calificării.</w:t>
      </w:r>
    </w:p>
    <w:p w14:paraId="2B2367FA" w14:textId="36DCF980" w:rsidR="005E700C" w:rsidRPr="0020102C" w:rsidRDefault="005E700C" w:rsidP="005C4FE9">
      <w:pPr>
        <w:pStyle w:val="af8"/>
        <w:spacing w:before="120" w:beforeAutospacing="0" w:after="120" w:afterAutospacing="0" w:line="276" w:lineRule="auto"/>
        <w:jc w:val="both"/>
      </w:pPr>
      <w:r w:rsidRPr="0020102C">
        <w:t>Procesul se bazează pe principii-c</w:t>
      </w:r>
      <w:r w:rsidR="00AE46B3" w:rsidRPr="0020102C">
        <w:t>he</w:t>
      </w:r>
      <w:r w:rsidRPr="0020102C">
        <w:t>ie precum: relevanța, echitatea, obiectivitatea, flexibilitatea, validitatea, siguranța, suficiența, costul rezonabil și transparența (HG nr. 330/2023, art. 73). Evaluarea poate fi realizată de furnizorii autorizați sau acreditați, iar pentru profesiile reglementate există cerințe suplimentare (cunoașterea limbii române, depunerea jurământului, respectarea codului de etică</w:t>
      </w:r>
      <w:r w:rsidR="005E66E5">
        <w:rPr>
          <w:lang w:val="it-IT"/>
        </w:rPr>
        <w:t xml:space="preserve">, </w:t>
      </w:r>
      <w:r w:rsidR="005E66E5" w:rsidRPr="005E66E5">
        <w:rPr>
          <w:lang w:val="it-IT"/>
        </w:rPr>
        <w:t xml:space="preserve">expertiza medicală a candidaților pentru admitere la studii, angajament prin care îşi asumă obligaţia de a activa în cadrul Ministerului Afacerilor Interne după absolvirea formelor de dezvoltare profesională respective în modul stabilit de Ministerul Afacerilor Interne </w:t>
      </w:r>
      <w:r w:rsidRPr="005E66E5">
        <w:t>etc</w:t>
      </w:r>
      <w:r w:rsidRPr="0020102C">
        <w:t xml:space="preserve">.). Calitatea este verificată prin evaluarea externă efectuată de </w:t>
      </w:r>
      <w:r w:rsidRPr="0020102C">
        <w:rPr>
          <w:rStyle w:val="af9"/>
          <w:rFonts w:eastAsiaTheme="majorEastAsia"/>
          <w:b w:val="0"/>
          <w:bCs w:val="0"/>
        </w:rPr>
        <w:t>ANACEC</w:t>
      </w:r>
      <w:r w:rsidRPr="0020102C">
        <w:rPr>
          <w:b/>
          <w:bCs/>
        </w:rPr>
        <w:t>,</w:t>
      </w:r>
      <w:r w:rsidRPr="0020102C">
        <w:t xml:space="preserve"> care confirmă corectitudinea aplicării metodelor de evaluare și corespunderea rezultatelor cu descriptorii CNC (HG nr. 330/2023, art. 74–77).</w:t>
      </w:r>
    </w:p>
    <w:p w14:paraId="0858B106" w14:textId="77777777" w:rsidR="005E700C" w:rsidRPr="0020102C" w:rsidRDefault="005E700C" w:rsidP="005C4FE9">
      <w:pPr>
        <w:pStyle w:val="af8"/>
        <w:spacing w:before="120" w:beforeAutospacing="0" w:after="120" w:afterAutospacing="0" w:line="276" w:lineRule="auto"/>
        <w:jc w:val="both"/>
      </w:pPr>
      <w:r w:rsidRPr="0020102C">
        <w:lastRenderedPageBreak/>
        <w:t xml:space="preserve">Acest cadru este consolidat de </w:t>
      </w:r>
      <w:r w:rsidRPr="0020102C">
        <w:rPr>
          <w:rStyle w:val="af9"/>
          <w:rFonts w:eastAsiaTheme="majorEastAsia"/>
          <w:b w:val="0"/>
          <w:bCs w:val="0"/>
        </w:rPr>
        <w:t>Ghidul metodologic privind procedura de evaluare în vederea atribuirii calificării</w:t>
      </w:r>
      <w:r w:rsidRPr="0020102C">
        <w:rPr>
          <w:b/>
          <w:bCs/>
        </w:rPr>
        <w:t xml:space="preserve">, </w:t>
      </w:r>
      <w:r w:rsidRPr="0020102C">
        <w:t>aprobat prin</w:t>
      </w:r>
      <w:r w:rsidRPr="0020102C">
        <w:rPr>
          <w:b/>
          <w:bCs/>
        </w:rPr>
        <w:t xml:space="preserve"> </w:t>
      </w:r>
      <w:r w:rsidRPr="0020102C">
        <w:rPr>
          <w:rStyle w:val="af9"/>
          <w:rFonts w:eastAsiaTheme="majorEastAsia"/>
          <w:b w:val="0"/>
          <w:bCs w:val="0"/>
        </w:rPr>
        <w:t>Ordinul MECC nr. 1442/2020</w:t>
      </w:r>
      <w:r w:rsidRPr="0020102C">
        <w:t>, care a precedat HG nr. 330/2023 și servește drept instrument de sprijin pentru implementarea standardelor de calificare. Ghidul clarifică două concepte fundamentale:</w:t>
      </w:r>
    </w:p>
    <w:p w14:paraId="4D8BE66E" w14:textId="77777777" w:rsidR="005E700C" w:rsidRPr="0020102C" w:rsidRDefault="005E700C" w:rsidP="00A41843">
      <w:pPr>
        <w:pStyle w:val="a7"/>
        <w:numPr>
          <w:ilvl w:val="0"/>
          <w:numId w:val="100"/>
        </w:numPr>
        <w:spacing w:before="120" w:after="120" w:line="276" w:lineRule="auto"/>
        <w:contextualSpacing w:val="0"/>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validitatea – măsura în care evaluarea reflectă exact rezultatele învățării asociate calificării;</w:t>
      </w:r>
    </w:p>
    <w:p w14:paraId="0B13ED18" w14:textId="77777777" w:rsidR="005E700C" w:rsidRPr="0020102C" w:rsidRDefault="005E700C" w:rsidP="00A41843">
      <w:pPr>
        <w:pStyle w:val="a7"/>
        <w:numPr>
          <w:ilvl w:val="0"/>
          <w:numId w:val="100"/>
        </w:numPr>
        <w:spacing w:before="120" w:after="120" w:line="276" w:lineRule="auto"/>
        <w:contextualSpacing w:val="0"/>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credibilitatea – consistența și fiabilitatea rezultatelor evaluării, indiferent de locul sau evaluatorul implicat.</w:t>
      </w:r>
    </w:p>
    <w:p w14:paraId="167B711C" w14:textId="77777777" w:rsidR="005E700C" w:rsidRPr="0020102C" w:rsidRDefault="005E700C" w:rsidP="005C4FE9">
      <w:pPr>
        <w:pStyle w:val="af8"/>
        <w:spacing w:before="120" w:beforeAutospacing="0" w:after="120" w:afterAutospacing="0" w:line="276" w:lineRule="auto"/>
        <w:jc w:val="both"/>
      </w:pPr>
      <w:r w:rsidRPr="0020102C">
        <w:t xml:space="preserve">Pentru a asigura validitatea și credibilitatea evaluării pe toată „durata de viață” a calificării, ghidul recomandă ca </w:t>
      </w:r>
      <w:r w:rsidRPr="0020102C">
        <w:rPr>
          <w:rStyle w:val="af9"/>
          <w:rFonts w:eastAsiaTheme="majorEastAsia"/>
          <w:b w:val="0"/>
          <w:bCs w:val="0"/>
        </w:rPr>
        <w:t>procedura de evaluare să fie elaborată concomitent cu standardul de calificare</w:t>
      </w:r>
      <w:r w:rsidRPr="0020102C">
        <w:t>, ca parte integrantă a acestuia.</w:t>
      </w:r>
    </w:p>
    <w:p w14:paraId="18AF0C47" w14:textId="774B3C98" w:rsidR="005E700C" w:rsidRPr="0020102C" w:rsidRDefault="005E700C" w:rsidP="005C4FE9">
      <w:pPr>
        <w:pStyle w:val="af8"/>
        <w:spacing w:before="120" w:beforeAutospacing="0" w:after="120" w:afterAutospacing="0" w:line="276" w:lineRule="auto"/>
        <w:jc w:val="both"/>
      </w:pPr>
      <w:r w:rsidRPr="0020102C">
        <w:t xml:space="preserve">Ghidul </w:t>
      </w:r>
      <w:r w:rsidRPr="0020102C">
        <w:rPr>
          <w:rStyle w:val="af9"/>
          <w:rFonts w:eastAsiaTheme="majorEastAsia"/>
          <w:b w:val="0"/>
          <w:bCs w:val="0"/>
        </w:rPr>
        <w:t>metodologic</w:t>
      </w:r>
      <w:r w:rsidRPr="0020102C">
        <w:t xml:space="preserve"> oferă suport metodologic pentru:</w:t>
      </w:r>
    </w:p>
    <w:p w14:paraId="0E76AFC0" w14:textId="77777777" w:rsidR="005E700C" w:rsidRPr="0020102C" w:rsidRDefault="005E700C" w:rsidP="00A41843">
      <w:pPr>
        <w:pStyle w:val="af8"/>
        <w:numPr>
          <w:ilvl w:val="0"/>
          <w:numId w:val="99"/>
        </w:numPr>
        <w:spacing w:before="120" w:beforeAutospacing="0" w:after="120" w:afterAutospacing="0" w:line="276" w:lineRule="auto"/>
        <w:jc w:val="both"/>
      </w:pPr>
      <w:r w:rsidRPr="0020102C">
        <w:t>elaboratorii de standarde de calificare și proceduri de evaluare;</w:t>
      </w:r>
    </w:p>
    <w:p w14:paraId="7A4115D0" w14:textId="77777777" w:rsidR="005E700C" w:rsidRPr="0020102C" w:rsidRDefault="005E700C" w:rsidP="00A41843">
      <w:pPr>
        <w:pStyle w:val="af8"/>
        <w:numPr>
          <w:ilvl w:val="0"/>
          <w:numId w:val="99"/>
        </w:numPr>
        <w:spacing w:before="120" w:beforeAutospacing="0" w:after="120" w:afterAutospacing="0" w:line="276" w:lineRule="auto"/>
        <w:jc w:val="both"/>
      </w:pPr>
      <w:r w:rsidRPr="0020102C">
        <w:t>persoanele responsabile de validarea și verificarea relevanței standardelor;</w:t>
      </w:r>
    </w:p>
    <w:p w14:paraId="2DEECE31" w14:textId="77777777" w:rsidR="005E700C" w:rsidRPr="0020102C" w:rsidRDefault="005E700C" w:rsidP="00A41843">
      <w:pPr>
        <w:pStyle w:val="af8"/>
        <w:numPr>
          <w:ilvl w:val="0"/>
          <w:numId w:val="99"/>
        </w:numPr>
        <w:spacing w:before="120" w:beforeAutospacing="0" w:after="120" w:afterAutospacing="0" w:line="276" w:lineRule="auto"/>
        <w:jc w:val="both"/>
      </w:pPr>
      <w:r w:rsidRPr="0020102C">
        <w:t>evaluatori și elaboratori de instrumente de evaluare;</w:t>
      </w:r>
    </w:p>
    <w:p w14:paraId="3D68EA91" w14:textId="77777777" w:rsidR="005E700C" w:rsidRPr="0020102C" w:rsidRDefault="005E700C" w:rsidP="00A41843">
      <w:pPr>
        <w:pStyle w:val="af8"/>
        <w:numPr>
          <w:ilvl w:val="0"/>
          <w:numId w:val="99"/>
        </w:numPr>
        <w:spacing w:before="120" w:beforeAutospacing="0" w:after="120" w:afterAutospacing="0" w:line="276" w:lineRule="auto"/>
        <w:jc w:val="both"/>
      </w:pPr>
      <w:r w:rsidRPr="0020102C">
        <w:t>candidați la certificarea unei calificări.</w:t>
      </w:r>
    </w:p>
    <w:p w14:paraId="61F57A06" w14:textId="1614E349" w:rsidR="005E700C" w:rsidRPr="0020102C" w:rsidRDefault="005E700C" w:rsidP="005C4FE9">
      <w:pPr>
        <w:pStyle w:val="af8"/>
        <w:spacing w:before="120" w:beforeAutospacing="0" w:after="120" w:afterAutospacing="0" w:line="276" w:lineRule="auto"/>
        <w:jc w:val="both"/>
      </w:pPr>
      <w:r w:rsidRPr="0020102C">
        <w:rPr>
          <w:rStyle w:val="af9"/>
          <w:rFonts w:eastAsiaTheme="majorEastAsia"/>
          <w:b w:val="0"/>
          <w:bCs w:val="0"/>
        </w:rPr>
        <w:t>Ghidul metodologic</w:t>
      </w:r>
      <w:r w:rsidRPr="0020102C">
        <w:t xml:space="preserve"> conține, de asemenea, informații generale despre procedura de evaluare; un algoritm de elaborare; o listă de verificare; cerințe de asigurare a calității procesului de evaluare.</w:t>
      </w:r>
    </w:p>
    <w:p w14:paraId="21571B89" w14:textId="77777777" w:rsidR="005E700C" w:rsidRPr="0020102C" w:rsidRDefault="005E700C" w:rsidP="005C4FE9">
      <w:pPr>
        <w:pStyle w:val="af8"/>
        <w:spacing w:before="120" w:beforeAutospacing="0" w:after="120" w:afterAutospacing="0" w:line="276" w:lineRule="auto"/>
        <w:jc w:val="both"/>
      </w:pPr>
      <w:r w:rsidRPr="0020102C">
        <w:t xml:space="preserve">Astfel, în timp ce </w:t>
      </w:r>
      <w:r w:rsidRPr="0020102C">
        <w:rPr>
          <w:rStyle w:val="af9"/>
          <w:rFonts w:eastAsiaTheme="majorEastAsia"/>
          <w:b w:val="0"/>
          <w:bCs w:val="0"/>
        </w:rPr>
        <w:t>HG nr. 330/2023</w:t>
      </w:r>
      <w:r w:rsidRPr="0020102C">
        <w:t xml:space="preserve"> fixează cadrul juridic și principiile generale, </w:t>
      </w:r>
      <w:r w:rsidRPr="0020102C">
        <w:rPr>
          <w:rStyle w:val="af9"/>
          <w:rFonts w:eastAsiaTheme="majorEastAsia"/>
          <w:b w:val="0"/>
          <w:bCs w:val="0"/>
        </w:rPr>
        <w:t>Ghidul metodologic din 2020</w:t>
      </w:r>
      <w:r w:rsidRPr="0020102C">
        <w:rPr>
          <w:b/>
          <w:bCs/>
        </w:rPr>
        <w:t xml:space="preserve"> </w:t>
      </w:r>
      <w:r w:rsidRPr="0020102C">
        <w:t xml:space="preserve">și </w:t>
      </w:r>
      <w:r w:rsidRPr="0020102C">
        <w:rPr>
          <w:rStyle w:val="af9"/>
          <w:rFonts w:eastAsiaTheme="majorEastAsia"/>
          <w:b w:val="0"/>
          <w:bCs w:val="0"/>
        </w:rPr>
        <w:t>Metodologia din 2022</w:t>
      </w:r>
      <w:r w:rsidRPr="0020102C">
        <w:rPr>
          <w:b/>
          <w:bCs/>
        </w:rPr>
        <w:t xml:space="preserve"> </w:t>
      </w:r>
      <w:r w:rsidRPr="0020102C">
        <w:t>vin să le operaționalizeze, oferind mecanisme clare și aplicabile pentru evaluarea și certificarea rezultatelor învățării în concordanță cu standardele CNC și cu practicile europene.</w:t>
      </w:r>
    </w:p>
    <w:p w14:paraId="54F09853" w14:textId="77777777" w:rsidR="00B1786B" w:rsidRPr="0020102C" w:rsidRDefault="00B1786B" w:rsidP="005C4FE9">
      <w:pPr>
        <w:spacing w:before="120" w:after="120" w:line="276" w:lineRule="auto"/>
        <w:outlineLvl w:val="3"/>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Certificarea calificărilor</w:t>
      </w:r>
    </w:p>
    <w:p w14:paraId="65D31035" w14:textId="0840CBA4" w:rsidR="00B90C0D" w:rsidRPr="0020102C" w:rsidRDefault="00B90C0D" w:rsidP="005C4FE9">
      <w:pPr>
        <w:pStyle w:val="af8"/>
        <w:spacing w:before="120" w:beforeAutospacing="0" w:after="120" w:afterAutospacing="0" w:line="276" w:lineRule="auto"/>
        <w:jc w:val="both"/>
      </w:pPr>
      <w:r w:rsidRPr="0020102C">
        <w:t xml:space="preserve">Certificarea calificărilor constituie dovada oficială a faptului că o persoană a obținut o calificare completă sau parțială, în concordanță cu nivelurile CNC. Conform </w:t>
      </w:r>
      <w:r w:rsidRPr="0020102C">
        <w:rPr>
          <w:rStyle w:val="af9"/>
          <w:rFonts w:eastAsiaTheme="majorEastAsia"/>
        </w:rPr>
        <w:t>HG nr. 330/2023</w:t>
      </w:r>
      <w:r w:rsidRPr="0020102C">
        <w:t>, acest proces se materializează prin eliberarea actelor de studii, însoțite de suplimentul descriptiv conform standardelor europene (Europass), ceea ce conferă transparență și facilitează recunoașterea la nivel național și internațional.</w:t>
      </w:r>
    </w:p>
    <w:p w14:paraId="6D21AB93" w14:textId="77777777" w:rsidR="00B90C0D" w:rsidRPr="0020102C" w:rsidRDefault="00B90C0D" w:rsidP="005C4FE9">
      <w:pPr>
        <w:pStyle w:val="af8"/>
        <w:spacing w:before="120" w:beforeAutospacing="0" w:after="120" w:afterAutospacing="0" w:line="276" w:lineRule="auto"/>
        <w:jc w:val="both"/>
      </w:pPr>
      <w:r w:rsidRPr="0020102C">
        <w:rPr>
          <w:rStyle w:val="af9"/>
          <w:rFonts w:eastAsiaTheme="majorEastAsia"/>
        </w:rPr>
        <w:t>Tipurile de acte pentru calificări complete</w:t>
      </w:r>
      <w:r w:rsidRPr="0020102C">
        <w:t xml:space="preserve"> includ:</w:t>
      </w:r>
    </w:p>
    <w:p w14:paraId="3FC01CF0" w14:textId="77777777" w:rsidR="00B90C0D" w:rsidRPr="0020102C" w:rsidRDefault="00B90C0D" w:rsidP="00A41843">
      <w:pPr>
        <w:pStyle w:val="af8"/>
        <w:numPr>
          <w:ilvl w:val="0"/>
          <w:numId w:val="101"/>
        </w:numPr>
        <w:spacing w:before="120" w:beforeAutospacing="0" w:after="120" w:afterAutospacing="0" w:line="276" w:lineRule="auto"/>
        <w:jc w:val="both"/>
      </w:pPr>
      <w:r w:rsidRPr="0020102C">
        <w:t>Certificat de studii gimnaziale;</w:t>
      </w:r>
    </w:p>
    <w:p w14:paraId="48230AD0" w14:textId="77777777" w:rsidR="00B90C0D" w:rsidRPr="0020102C" w:rsidRDefault="00B90C0D" w:rsidP="00A41843">
      <w:pPr>
        <w:pStyle w:val="af8"/>
        <w:numPr>
          <w:ilvl w:val="0"/>
          <w:numId w:val="101"/>
        </w:numPr>
        <w:spacing w:before="120" w:beforeAutospacing="0" w:after="120" w:afterAutospacing="0" w:line="276" w:lineRule="auto"/>
        <w:jc w:val="both"/>
      </w:pPr>
      <w:r w:rsidRPr="0020102C">
        <w:t>Diplomă de Bacalaureat;</w:t>
      </w:r>
    </w:p>
    <w:p w14:paraId="0362AF6C" w14:textId="77777777" w:rsidR="00B90C0D" w:rsidRPr="0020102C" w:rsidRDefault="00B90C0D" w:rsidP="00A41843">
      <w:pPr>
        <w:pStyle w:val="af8"/>
        <w:numPr>
          <w:ilvl w:val="0"/>
          <w:numId w:val="101"/>
        </w:numPr>
        <w:spacing w:before="120" w:beforeAutospacing="0" w:after="120" w:afterAutospacing="0" w:line="276" w:lineRule="auto"/>
        <w:jc w:val="both"/>
      </w:pPr>
      <w:r w:rsidRPr="0020102C">
        <w:t>Certificat de calificare;</w:t>
      </w:r>
    </w:p>
    <w:p w14:paraId="7BF07E40" w14:textId="77777777" w:rsidR="00B90C0D" w:rsidRPr="0020102C" w:rsidRDefault="00B90C0D" w:rsidP="00A41843">
      <w:pPr>
        <w:pStyle w:val="af8"/>
        <w:numPr>
          <w:ilvl w:val="0"/>
          <w:numId w:val="101"/>
        </w:numPr>
        <w:spacing w:before="120" w:beforeAutospacing="0" w:after="120" w:afterAutospacing="0" w:line="276" w:lineRule="auto"/>
        <w:jc w:val="both"/>
      </w:pPr>
      <w:r w:rsidRPr="0020102C">
        <w:t>Diplomă de studii profesionale;</w:t>
      </w:r>
    </w:p>
    <w:p w14:paraId="54284A0C" w14:textId="77777777" w:rsidR="00B90C0D" w:rsidRPr="0020102C" w:rsidRDefault="00B90C0D" w:rsidP="00A41843">
      <w:pPr>
        <w:pStyle w:val="af8"/>
        <w:numPr>
          <w:ilvl w:val="0"/>
          <w:numId w:val="101"/>
        </w:numPr>
        <w:spacing w:before="120" w:beforeAutospacing="0" w:after="120" w:afterAutospacing="0" w:line="276" w:lineRule="auto"/>
        <w:jc w:val="both"/>
      </w:pPr>
      <w:r w:rsidRPr="0020102C">
        <w:t>Diplomă de studii superioare de licență;</w:t>
      </w:r>
    </w:p>
    <w:p w14:paraId="28AD7E4F" w14:textId="77777777" w:rsidR="00B90C0D" w:rsidRDefault="00B90C0D" w:rsidP="00A41843">
      <w:pPr>
        <w:pStyle w:val="af8"/>
        <w:numPr>
          <w:ilvl w:val="0"/>
          <w:numId w:val="101"/>
        </w:numPr>
        <w:spacing w:before="120" w:beforeAutospacing="0" w:after="120" w:afterAutospacing="0" w:line="276" w:lineRule="auto"/>
        <w:jc w:val="both"/>
      </w:pPr>
      <w:r w:rsidRPr="0020102C">
        <w:t>Diplomă de studii superioare de master;</w:t>
      </w:r>
    </w:p>
    <w:p w14:paraId="22329F60" w14:textId="314D2F30" w:rsidR="00E95BE8" w:rsidRPr="00227CE7" w:rsidRDefault="00E95BE8" w:rsidP="00A41843">
      <w:pPr>
        <w:pStyle w:val="af8"/>
        <w:numPr>
          <w:ilvl w:val="0"/>
          <w:numId w:val="101"/>
        </w:numPr>
        <w:spacing w:before="120" w:beforeAutospacing="0" w:after="120" w:afterAutospacing="0" w:line="276" w:lineRule="auto"/>
        <w:jc w:val="both"/>
        <w:rPr>
          <w:lang w:val="ro-MD"/>
        </w:rPr>
      </w:pPr>
      <w:r>
        <w:t>Diplomă de studii superioare integrate;</w:t>
      </w:r>
    </w:p>
    <w:p w14:paraId="22D36F46" w14:textId="77777777" w:rsidR="00B90C0D" w:rsidRPr="0020102C" w:rsidRDefault="00B90C0D" w:rsidP="00A41843">
      <w:pPr>
        <w:pStyle w:val="af8"/>
        <w:numPr>
          <w:ilvl w:val="0"/>
          <w:numId w:val="101"/>
        </w:numPr>
        <w:spacing w:before="120" w:beforeAutospacing="0" w:after="120" w:afterAutospacing="0" w:line="276" w:lineRule="auto"/>
        <w:jc w:val="both"/>
      </w:pPr>
      <w:r w:rsidRPr="0020102C">
        <w:t>Diplomă de doctor.</w:t>
      </w:r>
    </w:p>
    <w:p w14:paraId="24608A5A" w14:textId="77777777" w:rsidR="00B90C0D" w:rsidRPr="0020102C" w:rsidRDefault="00B90C0D" w:rsidP="005C4FE9">
      <w:pPr>
        <w:pStyle w:val="af8"/>
        <w:spacing w:before="120" w:beforeAutospacing="0" w:after="120" w:afterAutospacing="0" w:line="276" w:lineRule="auto"/>
        <w:jc w:val="both"/>
      </w:pPr>
      <w:r w:rsidRPr="0020102C">
        <w:rPr>
          <w:rStyle w:val="af9"/>
          <w:rFonts w:eastAsiaTheme="majorEastAsia"/>
        </w:rPr>
        <w:t>Tipurile de acte pentru calificări parțiale</w:t>
      </w:r>
      <w:r w:rsidRPr="0020102C">
        <w:t xml:space="preserve"> includ:</w:t>
      </w:r>
    </w:p>
    <w:p w14:paraId="26A861D5" w14:textId="77777777" w:rsidR="00B90C0D" w:rsidRPr="0020102C" w:rsidRDefault="00B90C0D" w:rsidP="00A41843">
      <w:pPr>
        <w:pStyle w:val="af8"/>
        <w:numPr>
          <w:ilvl w:val="0"/>
          <w:numId w:val="102"/>
        </w:numPr>
        <w:spacing w:before="120" w:beforeAutospacing="0" w:after="120" w:afterAutospacing="0" w:line="276" w:lineRule="auto"/>
        <w:jc w:val="both"/>
      </w:pPr>
      <w:r w:rsidRPr="0020102C">
        <w:t>Certificat de specializare;</w:t>
      </w:r>
    </w:p>
    <w:p w14:paraId="24BDF8A1" w14:textId="77777777" w:rsidR="00B90C0D" w:rsidRPr="0020102C" w:rsidRDefault="00B90C0D" w:rsidP="00A41843">
      <w:pPr>
        <w:pStyle w:val="af8"/>
        <w:numPr>
          <w:ilvl w:val="0"/>
          <w:numId w:val="102"/>
        </w:numPr>
        <w:spacing w:before="120" w:beforeAutospacing="0" w:after="120" w:afterAutospacing="0" w:line="276" w:lineRule="auto"/>
        <w:jc w:val="both"/>
      </w:pPr>
      <w:r w:rsidRPr="0020102C">
        <w:lastRenderedPageBreak/>
        <w:t>Certificat de perfecționare;</w:t>
      </w:r>
    </w:p>
    <w:p w14:paraId="26F80092" w14:textId="77777777" w:rsidR="00B90C0D" w:rsidRPr="0020102C" w:rsidRDefault="00B90C0D" w:rsidP="00A41843">
      <w:pPr>
        <w:pStyle w:val="af8"/>
        <w:numPr>
          <w:ilvl w:val="0"/>
          <w:numId w:val="102"/>
        </w:numPr>
        <w:spacing w:before="120" w:beforeAutospacing="0" w:after="120" w:afterAutospacing="0" w:line="276" w:lineRule="auto"/>
        <w:jc w:val="both"/>
      </w:pPr>
      <w:r w:rsidRPr="0020102C">
        <w:t>Certificat de competență profesională (microcertificate);</w:t>
      </w:r>
    </w:p>
    <w:p w14:paraId="133AB0D7" w14:textId="77777777" w:rsidR="00B90C0D" w:rsidRPr="0020102C" w:rsidRDefault="00B90C0D" w:rsidP="00A41843">
      <w:pPr>
        <w:pStyle w:val="af8"/>
        <w:numPr>
          <w:ilvl w:val="0"/>
          <w:numId w:val="102"/>
        </w:numPr>
        <w:spacing w:before="120" w:beforeAutospacing="0" w:after="120" w:afterAutospacing="0" w:line="276" w:lineRule="auto"/>
        <w:jc w:val="both"/>
      </w:pPr>
      <w:r w:rsidRPr="0020102C">
        <w:t>Certificate care atestă competențe lingvistice, digitale sau antreprenoriale.</w:t>
      </w:r>
    </w:p>
    <w:p w14:paraId="4D9EECBD" w14:textId="77777777" w:rsidR="00B90C0D" w:rsidRPr="0020102C" w:rsidRDefault="00B90C0D" w:rsidP="005C4FE9">
      <w:pPr>
        <w:pStyle w:val="af8"/>
        <w:spacing w:before="120" w:beforeAutospacing="0" w:after="120" w:afterAutospacing="0" w:line="276" w:lineRule="auto"/>
        <w:jc w:val="both"/>
      </w:pPr>
      <w:r w:rsidRPr="0020102C">
        <w:t xml:space="preserve">Actele de studii și suplimentele lor descriptive fac trimitere obligatoriu la nivelul de calificare din CNC, iar după referențierea cadrului, și la nivelul corespunzător din </w:t>
      </w:r>
      <w:r w:rsidRPr="0020102C">
        <w:rPr>
          <w:rStyle w:val="af9"/>
          <w:rFonts w:eastAsiaTheme="majorEastAsia"/>
          <w:b w:val="0"/>
          <w:bCs w:val="0"/>
        </w:rPr>
        <w:t>EQF</w:t>
      </w:r>
      <w:r w:rsidRPr="0020102C">
        <w:t>. Totodată, acestea indică meseria, specialitatea sau titlul conform nomenclatoarelor naționale și includ suplimentul Europass, ceea ce consolidează transparența și comparabilitatea internațională a calificărilor.</w:t>
      </w:r>
    </w:p>
    <w:p w14:paraId="64ECF72F" w14:textId="114D14AD" w:rsidR="00B90C0D" w:rsidRPr="0020102C" w:rsidRDefault="00B90C0D" w:rsidP="005C4FE9">
      <w:pPr>
        <w:pStyle w:val="af8"/>
        <w:spacing w:before="120" w:beforeAutospacing="0" w:after="120" w:afterAutospacing="0" w:line="276" w:lineRule="auto"/>
        <w:jc w:val="both"/>
      </w:pPr>
      <w:r w:rsidRPr="0020102C">
        <w:t xml:space="preserve">Emiterea actelor este permisă exclusiv furnizorilor autorizați provizoriu sau acreditați, care fac parte din rețeaua instituțiilor de educație și formare profesională înscrise în </w:t>
      </w:r>
      <w:r w:rsidRPr="0020102C">
        <w:rPr>
          <w:rStyle w:val="af9"/>
          <w:rFonts w:eastAsiaTheme="majorEastAsia"/>
          <w:b w:val="0"/>
          <w:bCs w:val="0"/>
        </w:rPr>
        <w:t>RNC</w:t>
      </w:r>
      <w:r w:rsidRPr="0020102C">
        <w:rPr>
          <w:b/>
          <w:bCs/>
        </w:rPr>
        <w:t>.</w:t>
      </w:r>
      <w:r w:rsidRPr="0020102C">
        <w:t xml:space="preserve"> Actele pot fi eliberate atât în format fizic, cât și digital, iar </w:t>
      </w:r>
      <w:r w:rsidR="002A4E2E" w:rsidRPr="001F6026">
        <w:t>MEC</w:t>
      </w:r>
      <w:r w:rsidRPr="0020102C">
        <w:t xml:space="preserve"> stabilește formatul tip și mecanismele de evidență și verificare electronică.</w:t>
      </w:r>
    </w:p>
    <w:p w14:paraId="71D3AED2" w14:textId="77777777" w:rsidR="00B90C0D" w:rsidRPr="0020102C" w:rsidRDefault="00B90C0D" w:rsidP="005C4FE9">
      <w:pPr>
        <w:pStyle w:val="af8"/>
        <w:spacing w:before="120" w:beforeAutospacing="0" w:after="120" w:afterAutospacing="0" w:line="276" w:lineRule="auto"/>
        <w:jc w:val="both"/>
      </w:pPr>
      <w:r w:rsidRPr="0020102C">
        <w:t>Pentru a preveni fraudele și pentru a proteja reputația furnizorilor autorizați, MEC dezvoltă un mecanism de alertă cu privire la actele de studii false sau eliberate de instituții neautorizate. Acest mecanism sprijină și consiliile sectoriale sau autoritățile de etică în aplicarea eventualelor interdicții profesionale.</w:t>
      </w:r>
    </w:p>
    <w:p w14:paraId="60E6ABF1" w14:textId="77777777" w:rsidR="00B90C0D" w:rsidRPr="0020102C" w:rsidRDefault="00B90C0D" w:rsidP="005C4FE9">
      <w:pPr>
        <w:pStyle w:val="af8"/>
        <w:spacing w:before="120" w:beforeAutospacing="0" w:after="120" w:afterAutospacing="0" w:line="276" w:lineRule="auto"/>
        <w:jc w:val="both"/>
      </w:pPr>
      <w:r w:rsidRPr="0020102C">
        <w:t xml:space="preserve">Astfel, certificarea calificărilor nu se limitează la o simplă procedură administrativă, ci reprezintă un pilon esențial al încrederii în CNC, asigurând recunoașterea internă și externă a actelor de studii și facilitând mobilitatea academică și profesională în spațiul european prin corelarea cu </w:t>
      </w:r>
      <w:r w:rsidRPr="0020102C">
        <w:rPr>
          <w:rStyle w:val="af9"/>
          <w:rFonts w:eastAsiaTheme="majorEastAsia"/>
          <w:b w:val="0"/>
          <w:bCs w:val="0"/>
        </w:rPr>
        <w:t>EQF</w:t>
      </w:r>
      <w:r w:rsidRPr="0020102C">
        <w:rPr>
          <w:b/>
          <w:bCs/>
        </w:rPr>
        <w:t xml:space="preserve"> </w:t>
      </w:r>
      <w:r w:rsidRPr="0020102C">
        <w:t xml:space="preserve">și prin utilizarea instrumentelor </w:t>
      </w:r>
      <w:r w:rsidRPr="0020102C">
        <w:rPr>
          <w:rStyle w:val="af9"/>
          <w:rFonts w:eastAsiaTheme="majorEastAsia"/>
          <w:b w:val="0"/>
          <w:bCs w:val="0"/>
        </w:rPr>
        <w:t>Europass</w:t>
      </w:r>
      <w:r w:rsidRPr="0020102C">
        <w:rPr>
          <w:b/>
          <w:bCs/>
        </w:rPr>
        <w:t>.</w:t>
      </w:r>
    </w:p>
    <w:p w14:paraId="7DA05B80" w14:textId="13B8658C" w:rsidR="00B90C0D" w:rsidRPr="0020102C" w:rsidRDefault="00B90C0D" w:rsidP="005C4FE9">
      <w:pPr>
        <w:pStyle w:val="af8"/>
        <w:spacing w:before="120" w:beforeAutospacing="0" w:after="120" w:afterAutospacing="0" w:line="276" w:lineRule="auto"/>
        <w:jc w:val="both"/>
      </w:pPr>
      <w:r w:rsidRPr="0020102C">
        <w:t>Certificarea calificărilor constituie mecanismul prin care Republica Moldova garantează validitatea și recunoașterea oficială a rezultatelor învățării, asigurând calitatea și comparabilitatea acestora în raport cu standardele naționale și europene, precum și portabilitatea lor pe piața muncii și în spațiul educațional internațional.</w:t>
      </w:r>
    </w:p>
    <w:p w14:paraId="79BE6167" w14:textId="2802584D" w:rsidR="00AB2FCE" w:rsidRPr="0020102C" w:rsidRDefault="00AB2FCE" w:rsidP="005C4FE9">
      <w:pPr>
        <w:spacing w:before="120" w:after="120" w:line="276" w:lineRule="auto"/>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4.8 Validarea și recunoașterea calificărilor</w:t>
      </w:r>
    </w:p>
    <w:p w14:paraId="68C32472" w14:textId="77777777" w:rsidR="00C74B16" w:rsidRPr="0020102C" w:rsidRDefault="00C74B16" w:rsidP="005C4FE9">
      <w:pPr>
        <w:pStyle w:val="af8"/>
        <w:spacing w:before="120" w:beforeAutospacing="0" w:after="120" w:afterAutospacing="0" w:line="276" w:lineRule="auto"/>
        <w:jc w:val="both"/>
      </w:pPr>
      <w:r w:rsidRPr="0020102C">
        <w:t>Validarea și recunoașterea calificărilor reprezintă mecanisme esențiale pentru asigurarea transparenței, mobilității și încrederii reciproce între sistemul național și cel european al calificărilor. Aceste procese garantează că învățarea dobândită – indiferent de context (formal, nonformal, informal) – este recunoscută și valorificată pentru continuarea studiilor, inserția pe piața muncii și dezvoltarea profesională.</w:t>
      </w:r>
    </w:p>
    <w:p w14:paraId="215A1E01" w14:textId="1EEA81A7" w:rsidR="00C74B16" w:rsidRPr="0020102C" w:rsidRDefault="00C74B16" w:rsidP="005C4FE9">
      <w:pPr>
        <w:pStyle w:val="af8"/>
        <w:spacing w:before="120" w:beforeAutospacing="0" w:after="120" w:afterAutospacing="0" w:line="276" w:lineRule="auto"/>
        <w:jc w:val="both"/>
      </w:pPr>
      <w:r w:rsidRPr="0020102C">
        <w:t xml:space="preserve">În conformitate cu </w:t>
      </w:r>
      <w:r w:rsidR="00BA2515" w:rsidRPr="0020102C">
        <w:rPr>
          <w:rStyle w:val="af9"/>
          <w:rFonts w:eastAsiaTheme="majorEastAsia"/>
          <w:b w:val="0"/>
          <w:bCs w:val="0"/>
          <w:i/>
          <w:iCs/>
        </w:rPr>
        <w:t>HG</w:t>
      </w:r>
      <w:r w:rsidRPr="0020102C">
        <w:rPr>
          <w:rStyle w:val="af9"/>
          <w:rFonts w:eastAsiaTheme="majorEastAsia"/>
          <w:b w:val="0"/>
          <w:bCs w:val="0"/>
          <w:i/>
          <w:iCs/>
        </w:rPr>
        <w:t xml:space="preserve"> nr. 330/2023</w:t>
      </w:r>
      <w:r w:rsidRPr="0020102C">
        <w:t xml:space="preserve">, validarea competențelor profesionale este parte integrantă a mecanismului de funcționare a CNC, asigurând că standardele ocupaționale și cele </w:t>
      </w:r>
      <w:r w:rsidR="00BA2515" w:rsidRPr="0020102C">
        <w:t>de calificare/</w:t>
      </w:r>
      <w:r w:rsidRPr="0020102C">
        <w:t>educaționale devin repere clare pentru evaluarea și certificarea rezultatelor învățării.</w:t>
      </w:r>
    </w:p>
    <w:p w14:paraId="193DD81E" w14:textId="77777777" w:rsidR="00C74B16" w:rsidRPr="0020102C" w:rsidRDefault="00C74B16" w:rsidP="005C4FE9">
      <w:pPr>
        <w:pStyle w:val="af8"/>
        <w:spacing w:before="120" w:beforeAutospacing="0" w:after="120" w:afterAutospacing="0" w:line="276" w:lineRule="auto"/>
        <w:jc w:val="both"/>
      </w:pPr>
      <w:r w:rsidRPr="0020102C">
        <w:t xml:space="preserve">De asemenea, </w:t>
      </w:r>
      <w:r w:rsidRPr="0020102C">
        <w:rPr>
          <w:rStyle w:val="af9"/>
          <w:rFonts w:eastAsiaTheme="majorEastAsia"/>
          <w:b w:val="0"/>
          <w:bCs w:val="0"/>
          <w:i/>
          <w:iCs/>
        </w:rPr>
        <w:t>Ghidul practic privind certificarea competențelor profesionale corespunzătoare calificărilor de nivel 3, 4 și 5 din CNC, dobândite în contexte de educație nonformală și informală</w:t>
      </w:r>
      <w:r w:rsidRPr="0020102C">
        <w:t xml:space="preserve">, aprobat prin </w:t>
      </w:r>
      <w:r w:rsidRPr="0020102C">
        <w:rPr>
          <w:rStyle w:val="af9"/>
          <w:rFonts w:eastAsiaTheme="majorEastAsia"/>
          <w:b w:val="0"/>
          <w:bCs w:val="0"/>
          <w:i/>
          <w:iCs/>
        </w:rPr>
        <w:t>Ordinul MEC nr. 1066/2023</w:t>
      </w:r>
      <w:r w:rsidRPr="0020102C">
        <w:t xml:space="preserve">, precizează în mod explicit că </w:t>
      </w:r>
      <w:r w:rsidRPr="0020102C">
        <w:rPr>
          <w:rStyle w:val="afd"/>
          <w:rFonts w:eastAsiaTheme="majorEastAsia"/>
        </w:rPr>
        <w:t>validarea este procesul prin care se confirmă, de către o instituție abilitată, faptul că o persoană a obținut rezultate relevante ale învățării în raport cu un standard</w:t>
      </w:r>
      <w:r w:rsidRPr="0020102C">
        <w:t>. Procesul de validare este constituit din patru faze distincte:</w:t>
      </w:r>
    </w:p>
    <w:p w14:paraId="7498C2DF" w14:textId="77777777" w:rsidR="00C74B16" w:rsidRPr="0020102C" w:rsidRDefault="00C74B16" w:rsidP="00A41843">
      <w:pPr>
        <w:pStyle w:val="af8"/>
        <w:numPr>
          <w:ilvl w:val="0"/>
          <w:numId w:val="93"/>
        </w:numPr>
        <w:spacing w:before="120" w:beforeAutospacing="0" w:after="120" w:afterAutospacing="0" w:line="276" w:lineRule="auto"/>
        <w:jc w:val="both"/>
      </w:pPr>
      <w:r w:rsidRPr="0020102C">
        <w:rPr>
          <w:rStyle w:val="af9"/>
          <w:rFonts w:eastAsiaTheme="majorEastAsia"/>
          <w:b w:val="0"/>
          <w:bCs w:val="0"/>
          <w:i/>
          <w:iCs/>
        </w:rPr>
        <w:t>Identificarea</w:t>
      </w:r>
      <w:r w:rsidRPr="0020102C">
        <w:rPr>
          <w:b/>
          <w:bCs/>
          <w:i/>
          <w:iCs/>
        </w:rPr>
        <w:t xml:space="preserve"> </w:t>
      </w:r>
      <w:r w:rsidRPr="0020102C">
        <w:t>experienței individuale relevante;</w:t>
      </w:r>
    </w:p>
    <w:p w14:paraId="2378EC42" w14:textId="77777777" w:rsidR="00C74B16" w:rsidRPr="0020102C" w:rsidRDefault="00C74B16" w:rsidP="00A41843">
      <w:pPr>
        <w:pStyle w:val="af8"/>
        <w:numPr>
          <w:ilvl w:val="0"/>
          <w:numId w:val="93"/>
        </w:numPr>
        <w:spacing w:before="120" w:beforeAutospacing="0" w:after="120" w:afterAutospacing="0" w:line="276" w:lineRule="auto"/>
        <w:jc w:val="both"/>
      </w:pPr>
      <w:r w:rsidRPr="0020102C">
        <w:rPr>
          <w:rStyle w:val="af9"/>
          <w:rFonts w:eastAsiaTheme="majorEastAsia"/>
          <w:b w:val="0"/>
          <w:bCs w:val="0"/>
          <w:i/>
          <w:iCs/>
        </w:rPr>
        <w:t>Documentarea</w:t>
      </w:r>
      <w:r w:rsidRPr="0020102C">
        <w:t xml:space="preserve"> pentru a stabili vizibilitatea și veridicitatea experienței respective;</w:t>
      </w:r>
    </w:p>
    <w:p w14:paraId="710C7491" w14:textId="77777777" w:rsidR="00C74B16" w:rsidRPr="0020102C" w:rsidRDefault="00C74B16" w:rsidP="00A41843">
      <w:pPr>
        <w:pStyle w:val="af8"/>
        <w:numPr>
          <w:ilvl w:val="0"/>
          <w:numId w:val="93"/>
        </w:numPr>
        <w:spacing w:before="120" w:beforeAutospacing="0" w:after="120" w:afterAutospacing="0" w:line="276" w:lineRule="auto"/>
        <w:jc w:val="both"/>
      </w:pPr>
      <w:r w:rsidRPr="0020102C">
        <w:rPr>
          <w:rStyle w:val="af9"/>
          <w:rFonts w:eastAsiaTheme="majorEastAsia"/>
          <w:b w:val="0"/>
          <w:bCs w:val="0"/>
          <w:i/>
          <w:iCs/>
        </w:rPr>
        <w:t>Evaluarea</w:t>
      </w:r>
      <w:r w:rsidRPr="0020102C">
        <w:t xml:space="preserve"> experienței prin metode standardizate (teste, probe practice, portofolii);</w:t>
      </w:r>
    </w:p>
    <w:p w14:paraId="05E0E1A8" w14:textId="77777777" w:rsidR="00C74B16" w:rsidRPr="0020102C" w:rsidRDefault="00C74B16" w:rsidP="00A41843">
      <w:pPr>
        <w:pStyle w:val="af8"/>
        <w:numPr>
          <w:ilvl w:val="0"/>
          <w:numId w:val="93"/>
        </w:numPr>
        <w:spacing w:before="120" w:beforeAutospacing="0" w:after="120" w:afterAutospacing="0" w:line="276" w:lineRule="auto"/>
        <w:jc w:val="both"/>
      </w:pPr>
      <w:r w:rsidRPr="0020102C">
        <w:rPr>
          <w:rStyle w:val="af9"/>
          <w:rFonts w:eastAsiaTheme="majorEastAsia"/>
          <w:b w:val="0"/>
          <w:bCs w:val="0"/>
          <w:i/>
          <w:iCs/>
        </w:rPr>
        <w:t>Certificarea</w:t>
      </w:r>
      <w:r w:rsidRPr="0020102C">
        <w:t xml:space="preserve"> rezultatelor evaluării, care poate conduce la obținerea unei calificări complete sau parțiale (microcalificare).</w:t>
      </w:r>
    </w:p>
    <w:p w14:paraId="1F3D8AA1" w14:textId="391268DB" w:rsidR="00C74B16" w:rsidRPr="0020102C" w:rsidRDefault="00C74B16" w:rsidP="005C4FE9">
      <w:pPr>
        <w:pStyle w:val="af8"/>
        <w:spacing w:before="120" w:beforeAutospacing="0" w:after="120" w:afterAutospacing="0" w:line="276" w:lineRule="auto"/>
        <w:jc w:val="both"/>
      </w:pPr>
      <w:r w:rsidRPr="0020102C">
        <w:lastRenderedPageBreak/>
        <w:t xml:space="preserve">Prin aceste reglementări, validarea și recunoașterea devin instrumente practice pentru integrarea rezultatelor învățării în </w:t>
      </w:r>
      <w:r w:rsidRPr="0020102C">
        <w:rPr>
          <w:rStyle w:val="af9"/>
          <w:rFonts w:eastAsiaTheme="majorEastAsia"/>
          <w:b w:val="0"/>
          <w:bCs w:val="0"/>
        </w:rPr>
        <w:t>RNC</w:t>
      </w:r>
      <w:r w:rsidRPr="0020102C">
        <w:rPr>
          <w:b/>
          <w:bCs/>
        </w:rPr>
        <w:t>,</w:t>
      </w:r>
      <w:r w:rsidRPr="0020102C">
        <w:t xml:space="preserve"> sprijinind atât incluziunea socială și profesională, cât și mobilitatea transnațională a cetățenilor Republicii Moldova.</w:t>
      </w:r>
    </w:p>
    <w:p w14:paraId="2285BAB2" w14:textId="3B15C111" w:rsidR="002D4F41" w:rsidRPr="0020102C" w:rsidRDefault="002D4F41" w:rsidP="005C4FE9">
      <w:pPr>
        <w:pStyle w:val="af8"/>
        <w:spacing w:before="120" w:beforeAutospacing="0" w:after="120" w:afterAutospacing="0" w:line="276" w:lineRule="auto"/>
        <w:jc w:val="both"/>
      </w:pPr>
      <w:r w:rsidRPr="0020102C">
        <w:t>În acest context, validarea și recunoașterea se realizează în mai multe forme complementare: recunoașterea actelor de studii obținute în străinătate, recunoașterea învățării anterioare în cadrul sistemului național și validarea competențelor dobândite în contexte nonformale și informale. Toate aceste procese contribuie la funcționalitatea CNC, la asigurarea comparabilității internaționale și la integrarea Republicii Moldova în spațiul european al calificărilor.</w:t>
      </w:r>
    </w:p>
    <w:p w14:paraId="35463865" w14:textId="3B99CCEE" w:rsidR="00AB2FCE" w:rsidRPr="0020102C" w:rsidRDefault="00AB2FCE" w:rsidP="005C4FE9">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4.8.1. Recunoașterea calificărilor obținute în străinătate. Mobilitatea academică și profesională</w:t>
      </w:r>
    </w:p>
    <w:p w14:paraId="41C7C2FF" w14:textId="77777777" w:rsidR="00BE01E2" w:rsidRPr="0020102C" w:rsidRDefault="00BE01E2" w:rsidP="005C4FE9">
      <w:pPr>
        <w:pStyle w:val="af8"/>
        <w:spacing w:before="120" w:beforeAutospacing="0" w:after="120" w:afterAutospacing="0" w:line="276" w:lineRule="auto"/>
        <w:jc w:val="both"/>
      </w:pPr>
      <w:r w:rsidRPr="0020102C">
        <w:t>Recunoașterea și echivalarea actelor de studii și a calificărilor obținute în străinătate constituie fundamentul mobilității academice și profesionale pentru cetățenii Republicii Moldova. Aceasta se bazează pe un cadru juridic solid, construit pe două niveluri:</w:t>
      </w:r>
    </w:p>
    <w:p w14:paraId="2790798B" w14:textId="77777777" w:rsidR="00BE01E2" w:rsidRPr="0020102C" w:rsidRDefault="00BE01E2" w:rsidP="00A41843">
      <w:pPr>
        <w:pStyle w:val="af8"/>
        <w:numPr>
          <w:ilvl w:val="0"/>
          <w:numId w:val="103"/>
        </w:numPr>
        <w:spacing w:before="120" w:beforeAutospacing="0" w:after="120" w:afterAutospacing="0" w:line="276" w:lineRule="auto"/>
        <w:jc w:val="both"/>
      </w:pPr>
      <w:r w:rsidRPr="0020102C">
        <w:rPr>
          <w:rStyle w:val="af9"/>
          <w:rFonts w:eastAsiaTheme="majorEastAsia"/>
        </w:rPr>
        <w:t>Convenții internaționale:</w:t>
      </w:r>
      <w:r w:rsidRPr="0020102C">
        <w:t xml:space="preserve"> Republica Moldova a ratificat </w:t>
      </w:r>
      <w:r w:rsidRPr="0020102C">
        <w:rPr>
          <w:rStyle w:val="af9"/>
          <w:rFonts w:eastAsiaTheme="majorEastAsia"/>
          <w:b w:val="0"/>
          <w:bCs w:val="0"/>
        </w:rPr>
        <w:t>Convenția de la Lisabona privind recunoașterea calificărilor în învățământul superior</w:t>
      </w:r>
      <w:r w:rsidRPr="0020102C">
        <w:rPr>
          <w:b/>
          <w:bCs/>
        </w:rPr>
        <w:t xml:space="preserve"> </w:t>
      </w:r>
      <w:r w:rsidRPr="0020102C">
        <w:t>prin</w:t>
      </w:r>
      <w:r w:rsidRPr="0020102C">
        <w:rPr>
          <w:b/>
          <w:bCs/>
        </w:rPr>
        <w:t xml:space="preserve"> </w:t>
      </w:r>
      <w:r w:rsidRPr="0020102C">
        <w:rPr>
          <w:rStyle w:val="af9"/>
          <w:rFonts w:eastAsiaTheme="majorEastAsia"/>
          <w:b w:val="0"/>
          <w:bCs w:val="0"/>
        </w:rPr>
        <w:t>Legea nr. 235/1999</w:t>
      </w:r>
      <w:r w:rsidRPr="0020102C">
        <w:t>, ceea ce oferă cadrul internațional de referință pentru recunoașterea diplomelor și actelor de studii obținute peste hotare.</w:t>
      </w:r>
    </w:p>
    <w:p w14:paraId="6C939938" w14:textId="77777777" w:rsidR="00BE01E2" w:rsidRPr="0020102C" w:rsidRDefault="00BE01E2" w:rsidP="00A41843">
      <w:pPr>
        <w:pStyle w:val="af8"/>
        <w:numPr>
          <w:ilvl w:val="0"/>
          <w:numId w:val="103"/>
        </w:numPr>
        <w:spacing w:before="120" w:beforeAutospacing="0" w:after="120" w:afterAutospacing="0" w:line="276" w:lineRule="auto"/>
        <w:jc w:val="both"/>
      </w:pPr>
      <w:r w:rsidRPr="0020102C">
        <w:rPr>
          <w:rStyle w:val="af9"/>
          <w:rFonts w:eastAsiaTheme="majorEastAsia"/>
        </w:rPr>
        <w:t>Legislația națională:</w:t>
      </w:r>
      <w:r w:rsidRPr="0020102C">
        <w:t xml:space="preserve"> Baza legală primară este stabilită de </w:t>
      </w:r>
      <w:r w:rsidRPr="0020102C">
        <w:rPr>
          <w:rStyle w:val="af9"/>
          <w:rFonts w:eastAsiaTheme="majorEastAsia"/>
          <w:b w:val="0"/>
          <w:bCs w:val="0"/>
        </w:rPr>
        <w:t>Codul educației nr. 152/2014</w:t>
      </w:r>
      <w:r w:rsidRPr="0020102C">
        <w:t>, care reglementează principiile generale și stabilește competențele instituțiilor abilitate să efectueze recunoașterea și echivalarea actelor de studii.</w:t>
      </w:r>
    </w:p>
    <w:p w14:paraId="7569DD5F" w14:textId="124D5907" w:rsidR="00BE01E2" w:rsidRPr="0020102C" w:rsidRDefault="00BE01E2" w:rsidP="005C4FE9">
      <w:pPr>
        <w:pStyle w:val="af8"/>
        <w:spacing w:before="120" w:beforeAutospacing="0" w:after="120" w:afterAutospacing="0" w:line="276" w:lineRule="auto"/>
        <w:jc w:val="both"/>
      </w:pPr>
      <w:r w:rsidRPr="0020102C">
        <w:t xml:space="preserve">Aceste prevederi sunt operaționalizate prin acte normative și proceduri detaliate aprobate de </w:t>
      </w:r>
      <w:r w:rsidR="002A4E2E" w:rsidRPr="001F6026">
        <w:t>MEC</w:t>
      </w:r>
      <w:r w:rsidRPr="0020102C">
        <w:t>, care asigură coerența și alinierea la standardele europene.</w:t>
      </w:r>
    </w:p>
    <w:p w14:paraId="795E723B" w14:textId="77777777" w:rsidR="00BE01E2" w:rsidRPr="0020102C" w:rsidRDefault="00BE01E2" w:rsidP="005C4FE9">
      <w:pPr>
        <w:pStyle w:val="af8"/>
        <w:spacing w:before="120" w:beforeAutospacing="0" w:after="120" w:afterAutospacing="0" w:line="276" w:lineRule="auto"/>
        <w:jc w:val="both"/>
      </w:pPr>
      <w:r w:rsidRPr="0020102C">
        <w:rPr>
          <w:rStyle w:val="af9"/>
          <w:rFonts w:eastAsiaTheme="majorEastAsia"/>
        </w:rPr>
        <w:t>Reglementări secundare și procedurale:</w:t>
      </w:r>
    </w:p>
    <w:p w14:paraId="6CCA4362" w14:textId="77777777" w:rsidR="0085505D" w:rsidRPr="0020102C" w:rsidRDefault="00BE01E2" w:rsidP="00A41843">
      <w:pPr>
        <w:pStyle w:val="af8"/>
        <w:numPr>
          <w:ilvl w:val="0"/>
          <w:numId w:val="104"/>
        </w:numPr>
        <w:spacing w:before="120" w:beforeAutospacing="0" w:after="120" w:afterAutospacing="0" w:line="276" w:lineRule="auto"/>
        <w:jc w:val="both"/>
      </w:pPr>
      <w:r w:rsidRPr="0020102C">
        <w:rPr>
          <w:rStyle w:val="af9"/>
          <w:rFonts w:eastAsiaTheme="majorEastAsia"/>
        </w:rPr>
        <w:t>HG nr. 330/2023</w:t>
      </w:r>
      <w:r w:rsidRPr="0020102C">
        <w:t xml:space="preserve"> – modernizează Cadrul Național al Calificărilor (CNC), consolidând mecanismele de validare și recunoaștere și facilitând transparența pentru mobilitatea academică și profesională.</w:t>
      </w:r>
    </w:p>
    <w:p w14:paraId="34894E7F" w14:textId="3C5D0F40" w:rsidR="0085505D" w:rsidRPr="0020102C" w:rsidRDefault="0085505D" w:rsidP="00A41843">
      <w:pPr>
        <w:pStyle w:val="af8"/>
        <w:numPr>
          <w:ilvl w:val="0"/>
          <w:numId w:val="104"/>
        </w:numPr>
        <w:spacing w:before="120" w:beforeAutospacing="0" w:after="120" w:afterAutospacing="0" w:line="276" w:lineRule="auto"/>
        <w:jc w:val="both"/>
      </w:pPr>
      <w:r w:rsidRPr="0020102C">
        <w:rPr>
          <w:rStyle w:val="af9"/>
          <w:rFonts w:eastAsiaTheme="majorEastAsia"/>
        </w:rPr>
        <w:t xml:space="preserve">HG </w:t>
      </w:r>
      <w:r w:rsidR="002A4E2E" w:rsidRPr="001F6026">
        <w:rPr>
          <w:rStyle w:val="af9"/>
          <w:rFonts w:eastAsiaTheme="majorEastAsia"/>
        </w:rPr>
        <w:t>n</w:t>
      </w:r>
      <w:r w:rsidRPr="0020102C">
        <w:rPr>
          <w:rStyle w:val="af9"/>
          <w:rFonts w:eastAsiaTheme="majorEastAsia"/>
        </w:rPr>
        <w:t>r. 7/2024</w:t>
      </w:r>
      <w:r w:rsidRPr="0020102C">
        <w:t xml:space="preserve"> – aprobă Regulamentul de recunoaștere și de echivalare a titlurilor științifice și științifico-didactice obținute în străinătate.</w:t>
      </w:r>
    </w:p>
    <w:p w14:paraId="07CF5AF3" w14:textId="77777777" w:rsidR="0085505D" w:rsidRPr="0020102C" w:rsidRDefault="0085505D" w:rsidP="00A41843">
      <w:pPr>
        <w:pStyle w:val="af8"/>
        <w:numPr>
          <w:ilvl w:val="0"/>
          <w:numId w:val="104"/>
        </w:numPr>
        <w:spacing w:before="120" w:beforeAutospacing="0" w:after="120" w:afterAutospacing="0" w:line="276" w:lineRule="auto"/>
        <w:jc w:val="both"/>
      </w:pPr>
      <w:r w:rsidRPr="0020102C">
        <w:rPr>
          <w:rStyle w:val="af9"/>
          <w:rFonts w:eastAsiaTheme="majorEastAsia"/>
        </w:rPr>
        <w:t>HG nr. 201/2018</w:t>
      </w:r>
      <w:r w:rsidRPr="0020102C">
        <w:t xml:space="preserve"> – stabilește atribuțiile ANACEC, inclusiv recunoașterea și echivalarea titlurilor științifice obținute în străinătate și criteriile de certificare a competențelor dobândite în contexte nonformale și informale.</w:t>
      </w:r>
    </w:p>
    <w:p w14:paraId="1CD6F1B8" w14:textId="591EDC72" w:rsidR="0085505D" w:rsidRPr="0020102C" w:rsidRDefault="0085505D" w:rsidP="00A41843">
      <w:pPr>
        <w:pStyle w:val="af8"/>
        <w:numPr>
          <w:ilvl w:val="0"/>
          <w:numId w:val="104"/>
        </w:numPr>
        <w:spacing w:before="120" w:beforeAutospacing="0" w:after="120" w:afterAutospacing="0" w:line="276" w:lineRule="auto"/>
        <w:jc w:val="both"/>
      </w:pPr>
      <w:r w:rsidRPr="0020102C">
        <w:rPr>
          <w:rStyle w:val="af9"/>
          <w:rFonts w:eastAsiaTheme="majorEastAsia"/>
        </w:rPr>
        <w:t xml:space="preserve">Ordinul MEC </w:t>
      </w:r>
      <w:r w:rsidRPr="0020102C">
        <w:rPr>
          <w:b/>
          <w:bCs/>
        </w:rPr>
        <w:t>nr. 202/2024</w:t>
      </w:r>
      <w:r w:rsidRPr="0020102C">
        <w:rPr>
          <w:rStyle w:val="af9"/>
          <w:rFonts w:eastAsiaTheme="majorEastAsia"/>
        </w:rPr>
        <w:t xml:space="preserve"> </w:t>
      </w:r>
      <w:r w:rsidRPr="0020102C">
        <w:t>aprobă Metodologia cu privire la recunoaşterea şi echivalarea titlurilor ştiințifico-didactice din învăţământul superior obținute în străinătate</w:t>
      </w:r>
      <w:r w:rsidR="002A4E2E" w:rsidRPr="001F6026">
        <w:t>.</w:t>
      </w:r>
    </w:p>
    <w:p w14:paraId="40CBF8EE" w14:textId="0FFBE539" w:rsidR="00BE01E2" w:rsidRPr="0020102C" w:rsidRDefault="00BE01E2" w:rsidP="00A41843">
      <w:pPr>
        <w:pStyle w:val="af8"/>
        <w:numPr>
          <w:ilvl w:val="0"/>
          <w:numId w:val="104"/>
        </w:numPr>
        <w:spacing w:before="120" w:beforeAutospacing="0" w:after="120" w:afterAutospacing="0" w:line="276" w:lineRule="auto"/>
        <w:jc w:val="both"/>
      </w:pPr>
      <w:r w:rsidRPr="0020102C">
        <w:rPr>
          <w:rStyle w:val="af9"/>
          <w:rFonts w:eastAsiaTheme="majorEastAsia"/>
        </w:rPr>
        <w:t>Ordinul MECC nr. 1702/2019</w:t>
      </w:r>
      <w:r w:rsidRPr="0020102C">
        <w:t xml:space="preserve"> – aprobă Regulamentul privind recunoașterea și echivalarea actelor de studii și a calificărilor obținute în străinătate, detaliind principiile, procedurile, responsabilitățile și căile de contestare.</w:t>
      </w:r>
    </w:p>
    <w:p w14:paraId="2EE41842" w14:textId="77777777" w:rsidR="00BE01E2" w:rsidRPr="0020102C" w:rsidRDefault="00BE01E2" w:rsidP="00A41843">
      <w:pPr>
        <w:pStyle w:val="af8"/>
        <w:numPr>
          <w:ilvl w:val="0"/>
          <w:numId w:val="104"/>
        </w:numPr>
        <w:spacing w:before="120" w:beforeAutospacing="0" w:after="120" w:afterAutospacing="0" w:line="276" w:lineRule="auto"/>
        <w:jc w:val="both"/>
      </w:pPr>
      <w:r w:rsidRPr="0020102C">
        <w:rPr>
          <w:rStyle w:val="af9"/>
          <w:rFonts w:eastAsiaTheme="majorEastAsia"/>
        </w:rPr>
        <w:t>Procedurile operaționale MEC</w:t>
      </w:r>
      <w:r w:rsidRPr="0020102C">
        <w:t xml:space="preserve"> (pagina oficială „Autentificarea și recunoașterea actelor de studii”) – descriu etapele depunerii dosarului, principiile de recunoaștere automată sau cu măsuri compensatorii și rolul instituțiilor implicate.</w:t>
      </w:r>
    </w:p>
    <w:p w14:paraId="7F835764" w14:textId="77777777" w:rsidR="00BE01E2" w:rsidRPr="0020102C" w:rsidRDefault="00BE01E2" w:rsidP="005C4FE9">
      <w:pPr>
        <w:pStyle w:val="af8"/>
        <w:spacing w:before="120" w:beforeAutospacing="0" w:after="120" w:afterAutospacing="0" w:line="276" w:lineRule="auto"/>
        <w:jc w:val="both"/>
      </w:pPr>
      <w:r w:rsidRPr="0020102C">
        <w:rPr>
          <w:rStyle w:val="af9"/>
          <w:rFonts w:eastAsiaTheme="majorEastAsia"/>
        </w:rPr>
        <w:t>Instituții responsabile:</w:t>
      </w:r>
    </w:p>
    <w:p w14:paraId="6CBC991A" w14:textId="7CD15D89" w:rsidR="00BE01E2" w:rsidRPr="0020102C" w:rsidRDefault="00BE01E2" w:rsidP="00A41843">
      <w:pPr>
        <w:pStyle w:val="af8"/>
        <w:numPr>
          <w:ilvl w:val="0"/>
          <w:numId w:val="105"/>
        </w:numPr>
        <w:spacing w:before="120" w:beforeAutospacing="0" w:after="120" w:afterAutospacing="0" w:line="276" w:lineRule="auto"/>
        <w:jc w:val="both"/>
      </w:pPr>
      <w:r w:rsidRPr="0020102C">
        <w:rPr>
          <w:rStyle w:val="af9"/>
          <w:rFonts w:eastAsiaTheme="majorEastAsia"/>
        </w:rPr>
        <w:t>Ministerul Educației și Cercetării (ME</w:t>
      </w:r>
      <w:r w:rsidR="00F60129">
        <w:rPr>
          <w:rStyle w:val="af9"/>
          <w:rFonts w:eastAsiaTheme="majorEastAsia"/>
        </w:rPr>
        <w:t>C</w:t>
      </w:r>
      <w:r w:rsidRPr="0020102C">
        <w:rPr>
          <w:rStyle w:val="af9"/>
          <w:rFonts w:eastAsiaTheme="majorEastAsia"/>
        </w:rPr>
        <w:t>)</w:t>
      </w:r>
      <w:r w:rsidRPr="0020102C">
        <w:t xml:space="preserve">, prin Centrul Național de Recunoaștere și Echivalare a Diplomelor (CNRED), gestionează primirea și soluționarea cererilor de recunoaștere și emite </w:t>
      </w:r>
      <w:r w:rsidRPr="0020102C">
        <w:lastRenderedPageBreak/>
        <w:t>decizii oficiale, asigurând armonizarea procedurilor cu convențiile internaționale și standardele europene.</w:t>
      </w:r>
    </w:p>
    <w:p w14:paraId="1A4A6B5D" w14:textId="77777777" w:rsidR="00BE01E2" w:rsidRPr="0020102C" w:rsidRDefault="00BE01E2" w:rsidP="00A41843">
      <w:pPr>
        <w:pStyle w:val="af8"/>
        <w:numPr>
          <w:ilvl w:val="0"/>
          <w:numId w:val="105"/>
        </w:numPr>
        <w:spacing w:before="120" w:beforeAutospacing="0" w:after="120" w:afterAutospacing="0" w:line="276" w:lineRule="auto"/>
        <w:jc w:val="both"/>
      </w:pPr>
      <w:r w:rsidRPr="0020102C">
        <w:rPr>
          <w:rStyle w:val="af9"/>
          <w:rFonts w:eastAsiaTheme="majorEastAsia"/>
        </w:rPr>
        <w:t>ANACEC</w:t>
      </w:r>
      <w:r w:rsidRPr="0020102C">
        <w:t>, conform HG nr. 201/2018, are atribuții în stabilirea criteriilor de certificare a competențelor dobândite în contexte nonformale/informale și în recunoașterea titlurilor științifice obținute în străinătate.</w:t>
      </w:r>
    </w:p>
    <w:p w14:paraId="34059E6F" w14:textId="77777777" w:rsidR="00BE01E2" w:rsidRDefault="00BE01E2" w:rsidP="00A41843">
      <w:pPr>
        <w:pStyle w:val="af8"/>
        <w:numPr>
          <w:ilvl w:val="0"/>
          <w:numId w:val="105"/>
        </w:numPr>
        <w:spacing w:before="120" w:beforeAutospacing="0" w:after="120" w:afterAutospacing="0" w:line="276" w:lineRule="auto"/>
        <w:jc w:val="both"/>
      </w:pPr>
      <w:r w:rsidRPr="0020102C">
        <w:rPr>
          <w:rStyle w:val="af9"/>
          <w:rFonts w:eastAsiaTheme="majorEastAsia"/>
        </w:rPr>
        <w:t>Ministerele de ramură</w:t>
      </w:r>
      <w:r w:rsidRPr="0020102C">
        <w:t>, în cazul profesiilor reglementate (ex. sănătate, drept, arhitectură), cooperează cu MEC pentru validarea diplomelor conform legislației sectoriale și standardelor europene.</w:t>
      </w:r>
    </w:p>
    <w:p w14:paraId="4598E1B0" w14:textId="14C7000F" w:rsidR="00F60129" w:rsidRPr="0020102C" w:rsidRDefault="00600688" w:rsidP="00A41843">
      <w:pPr>
        <w:pStyle w:val="af8"/>
        <w:numPr>
          <w:ilvl w:val="0"/>
          <w:numId w:val="105"/>
        </w:numPr>
        <w:spacing w:before="120" w:beforeAutospacing="0" w:after="120" w:afterAutospacing="0" w:line="276" w:lineRule="auto"/>
        <w:jc w:val="both"/>
      </w:pPr>
      <w:r>
        <w:rPr>
          <w:b/>
          <w:bCs/>
        </w:rPr>
        <w:t xml:space="preserve">Centrele de </w:t>
      </w:r>
      <w:r w:rsidR="00354BEA">
        <w:rPr>
          <w:b/>
          <w:bCs/>
        </w:rPr>
        <w:t>recunoaștere</w:t>
      </w:r>
      <w:r>
        <w:rPr>
          <w:b/>
          <w:bCs/>
        </w:rPr>
        <w:t xml:space="preserve"> şi echivalare</w:t>
      </w:r>
      <w:r>
        <w:t xml:space="preserve"> a actelor de studii şi a calificărilor obținute în diferite contexte,</w:t>
      </w:r>
      <w:r w:rsidR="008A254D">
        <w:t xml:space="preserve"> apr</w:t>
      </w:r>
      <w:r w:rsidR="000B4293">
        <w:t xml:space="preserve">obate prin </w:t>
      </w:r>
      <w:r>
        <w:t>ordin MEC 1713/2024</w:t>
      </w:r>
      <w:r w:rsidR="000B4293">
        <w:t xml:space="preserve"> (</w:t>
      </w:r>
      <w:hyperlink r:id="rId19" w:history="1">
        <w:r w:rsidR="000B4293" w:rsidRPr="003E1DF7">
          <w:rPr>
            <w:rStyle w:val="aff0"/>
          </w:rPr>
          <w:t>link</w:t>
        </w:r>
      </w:hyperlink>
      <w:r w:rsidR="000B4293">
        <w:t>)</w:t>
      </w:r>
      <w:r w:rsidR="003E1DF7">
        <w:t xml:space="preserve">. </w:t>
      </w:r>
    </w:p>
    <w:p w14:paraId="4AB170EF" w14:textId="6AC8F527" w:rsidR="0085505D" w:rsidRPr="0020102C" w:rsidRDefault="00BE01E2" w:rsidP="00040831">
      <w:pPr>
        <w:pStyle w:val="af8"/>
        <w:spacing w:before="120" w:beforeAutospacing="0" w:after="120" w:afterAutospacing="0" w:line="276" w:lineRule="auto"/>
        <w:jc w:val="both"/>
        <w:rPr>
          <w:b/>
          <w:bCs/>
          <w:color w:val="3494BA" w:themeColor="accent1"/>
        </w:rPr>
      </w:pPr>
      <w:r w:rsidRPr="0020102C">
        <w:rPr>
          <w:b/>
          <w:bCs/>
          <w:color w:val="3494BA" w:themeColor="accent1"/>
        </w:rPr>
        <w:t>Mobilitatea academică și profesională</w:t>
      </w:r>
    </w:p>
    <w:p w14:paraId="56B05104" w14:textId="77777777" w:rsidR="00002FAE" w:rsidRPr="0020102C" w:rsidRDefault="00002FAE" w:rsidP="00040831">
      <w:pPr>
        <w:pStyle w:val="af8"/>
        <w:spacing w:before="120" w:beforeAutospacing="0" w:after="120" w:afterAutospacing="0" w:line="276" w:lineRule="auto"/>
        <w:jc w:val="both"/>
      </w:pPr>
      <w:r w:rsidRPr="0020102C">
        <w:t xml:space="preserve">Recunoașterea actelor de studii are o dublă finalitate: </w:t>
      </w:r>
      <w:r w:rsidRPr="0020102C">
        <w:rPr>
          <w:rStyle w:val="af9"/>
          <w:rFonts w:eastAsiaTheme="majorEastAsia"/>
          <w:b w:val="0"/>
          <w:bCs w:val="0"/>
        </w:rPr>
        <w:t>mobilitatea academică</w:t>
      </w:r>
      <w:r w:rsidRPr="0020102C">
        <w:rPr>
          <w:b/>
          <w:bCs/>
        </w:rPr>
        <w:t xml:space="preserve"> și </w:t>
      </w:r>
      <w:r w:rsidRPr="0020102C">
        <w:rPr>
          <w:rStyle w:val="af9"/>
          <w:rFonts w:eastAsiaTheme="majorEastAsia"/>
          <w:b w:val="0"/>
          <w:bCs w:val="0"/>
        </w:rPr>
        <w:t>mobilitatea profesională</w:t>
      </w:r>
      <w:r w:rsidRPr="0020102C">
        <w:rPr>
          <w:b/>
          <w:bCs/>
        </w:rPr>
        <w:t>.</w:t>
      </w:r>
      <w:r w:rsidRPr="0020102C">
        <w:t xml:space="preserve"> Aceasta nu este doar o chestiune tehnică, ci un mecanism strategic pentru internaționalizarea educației, integrarea rapidă pe piața muncii și stimularea reintegrării migranților.</w:t>
      </w:r>
    </w:p>
    <w:p w14:paraId="4520F68C" w14:textId="1BC05E13" w:rsidR="00002FAE" w:rsidRPr="0020102C" w:rsidRDefault="00002FAE" w:rsidP="00A41843">
      <w:pPr>
        <w:pStyle w:val="af8"/>
        <w:numPr>
          <w:ilvl w:val="0"/>
          <w:numId w:val="139"/>
        </w:numPr>
        <w:spacing w:before="120" w:beforeAutospacing="0" w:after="120" w:afterAutospacing="0" w:line="276" w:lineRule="auto"/>
        <w:jc w:val="both"/>
      </w:pPr>
      <w:r w:rsidRPr="0020102C">
        <w:rPr>
          <w:rStyle w:val="af9"/>
          <w:rFonts w:eastAsiaTheme="majorEastAsia"/>
        </w:rPr>
        <w:t>Mobilitatea academică</w:t>
      </w:r>
      <w:r w:rsidRPr="0020102C">
        <w:t xml:space="preserve"> – permite </w:t>
      </w:r>
      <w:r w:rsidR="00FD55E9">
        <w:t xml:space="preserve">realizarea unor perioade determinate de instruire în </w:t>
      </w:r>
      <w:r w:rsidR="000D25C4">
        <w:t>instituții</w:t>
      </w:r>
      <w:r w:rsidR="00FD55E9">
        <w:t xml:space="preserve"> de </w:t>
      </w:r>
      <w:r w:rsidR="000D25C4">
        <w:t>învățământ</w:t>
      </w:r>
      <w:r w:rsidR="00FD55E9">
        <w:t xml:space="preserve"> din ţară şi din străinătate, precum şi </w:t>
      </w:r>
      <w:r w:rsidRPr="0020102C">
        <w:t>continuarea studiilor în Republica Moldova pe baza calificărilor obținute peste hotare. Participarea la Procesul Bologna și utilizarea ECTS (</w:t>
      </w:r>
      <w:r w:rsidRPr="0020102C">
        <w:rPr>
          <w:rStyle w:val="af9"/>
          <w:rFonts w:eastAsiaTheme="majorEastAsia"/>
        </w:rPr>
        <w:t>Ordinul ME</w:t>
      </w:r>
      <w:r w:rsidR="00513D81">
        <w:rPr>
          <w:rStyle w:val="af9"/>
          <w:rFonts w:eastAsiaTheme="majorEastAsia"/>
        </w:rPr>
        <w:t>C</w:t>
      </w:r>
      <w:r w:rsidRPr="0020102C">
        <w:rPr>
          <w:rStyle w:val="af9"/>
          <w:rFonts w:eastAsiaTheme="majorEastAsia"/>
        </w:rPr>
        <w:t xml:space="preserve"> nr. 1020/2023</w:t>
      </w:r>
      <w:r w:rsidRPr="0020102C">
        <w:t>) facilitează echivalarea studiilor și recunoașterea perioadelor de mobilitate internațională (Erasmus+, CEEPUS, acorduri bilaterale).</w:t>
      </w:r>
    </w:p>
    <w:p w14:paraId="1C9F2883" w14:textId="77777777" w:rsidR="00002FAE" w:rsidRPr="0020102C" w:rsidRDefault="00002FAE" w:rsidP="00A41843">
      <w:pPr>
        <w:pStyle w:val="af8"/>
        <w:numPr>
          <w:ilvl w:val="0"/>
          <w:numId w:val="139"/>
        </w:numPr>
        <w:spacing w:before="120" w:beforeAutospacing="0" w:after="120" w:afterAutospacing="0" w:line="276" w:lineRule="auto"/>
        <w:jc w:val="both"/>
      </w:pPr>
      <w:r w:rsidRPr="0020102C">
        <w:rPr>
          <w:rStyle w:val="af9"/>
          <w:rFonts w:eastAsiaTheme="majorEastAsia"/>
        </w:rPr>
        <w:t>Mobilitatea profesională</w:t>
      </w:r>
      <w:r w:rsidRPr="0020102C">
        <w:t xml:space="preserve"> – asigură accesul absolvenților pe piața muncii națională și europeană. În special pentru profesiile reglementate (medicină, farmacie, arhitectură, drept), recunoașterea implică atât </w:t>
      </w:r>
      <w:r w:rsidRPr="0020102C">
        <w:rPr>
          <w:rStyle w:val="af9"/>
          <w:rFonts w:eastAsiaTheme="majorEastAsia"/>
          <w:b w:val="0"/>
          <w:bCs w:val="0"/>
        </w:rPr>
        <w:t>Centrul Național de Recunoaștere și Echivalare a Diplomelor (CNRED)</w:t>
      </w:r>
      <w:r w:rsidRPr="0020102C">
        <w:t>, cât și ministerele de ramură. Pentru domeniile tehnice și economice, recunoașterea diplomelor obținute peste hotare facilitează integrarea rapidă pe piața muncii.</w:t>
      </w:r>
    </w:p>
    <w:p w14:paraId="20E1E04A" w14:textId="65362191" w:rsidR="00002FAE" w:rsidRPr="0020102C" w:rsidRDefault="00002FAE" w:rsidP="00040831">
      <w:pPr>
        <w:pStyle w:val="af8"/>
        <w:spacing w:before="120" w:beforeAutospacing="0" w:after="120" w:afterAutospacing="0" w:line="276" w:lineRule="auto"/>
        <w:jc w:val="both"/>
      </w:pPr>
      <w:r w:rsidRPr="0020102C">
        <w:t xml:space="preserve">Un rol </w:t>
      </w:r>
      <w:r w:rsidR="001F34F0" w:rsidRPr="0020102C">
        <w:t>important</w:t>
      </w:r>
      <w:r w:rsidRPr="0020102C">
        <w:t xml:space="preserve"> îl joacă </w:t>
      </w:r>
      <w:r w:rsidRPr="0020102C">
        <w:rPr>
          <w:rStyle w:val="af9"/>
          <w:rFonts w:eastAsiaTheme="majorEastAsia"/>
          <w:b w:val="0"/>
          <w:bCs w:val="0"/>
        </w:rPr>
        <w:t>Punctul Național de Contact ENIC Moldova</w:t>
      </w:r>
      <w:r w:rsidRPr="0020102C">
        <w:t xml:space="preserve">, reglementat prin </w:t>
      </w:r>
      <w:r w:rsidRPr="0020102C">
        <w:rPr>
          <w:rStyle w:val="af9"/>
          <w:rFonts w:eastAsiaTheme="majorEastAsia"/>
          <w:b w:val="0"/>
          <w:bCs w:val="0"/>
        </w:rPr>
        <w:t>Ordinul MEC nr. 1504 din 25.10.2024</w:t>
      </w:r>
      <w:r w:rsidRPr="0020102C">
        <w:t>. Conform acestuia, funcțiile de bază sunt:</w:t>
      </w:r>
    </w:p>
    <w:p w14:paraId="1466414A" w14:textId="77777777" w:rsidR="00002FAE" w:rsidRPr="0020102C" w:rsidRDefault="00002FAE" w:rsidP="00A41843">
      <w:pPr>
        <w:pStyle w:val="af8"/>
        <w:numPr>
          <w:ilvl w:val="0"/>
          <w:numId w:val="140"/>
        </w:numPr>
        <w:spacing w:before="120" w:beforeAutospacing="0" w:after="120" w:afterAutospacing="0" w:line="276" w:lineRule="auto"/>
        <w:jc w:val="both"/>
      </w:pPr>
      <w:r w:rsidRPr="0020102C">
        <w:t xml:space="preserve">actualizarea și dezvoltarea cadrului normativ în domeniul recunoașterii și echivalării actelor de studii și a calificărilor, pentru armonizarea cu </w:t>
      </w:r>
      <w:r w:rsidRPr="0020102C">
        <w:rPr>
          <w:rStyle w:val="af9"/>
          <w:rFonts w:eastAsiaTheme="majorEastAsia"/>
          <w:b w:val="0"/>
          <w:bCs w:val="0"/>
        </w:rPr>
        <w:t>Convenția de la Lisabona (LRC)</w:t>
      </w:r>
      <w:r w:rsidRPr="0020102C">
        <w:t xml:space="preserve">, </w:t>
      </w:r>
      <w:r w:rsidRPr="0020102C">
        <w:rPr>
          <w:rStyle w:val="af9"/>
          <w:rFonts w:eastAsiaTheme="majorEastAsia"/>
          <w:b w:val="0"/>
          <w:bCs w:val="0"/>
        </w:rPr>
        <w:t>Convenția Globală privind Recunoașterea Calificărilor (GRC)</w:t>
      </w:r>
      <w:r w:rsidRPr="0020102C">
        <w:t xml:space="preserve"> și alte recomandări ale Spațiului European al Învățământului Superior (EHEA), Spațiului European de Cercetare (ERA) și EQF;</w:t>
      </w:r>
    </w:p>
    <w:p w14:paraId="31E37585" w14:textId="77777777" w:rsidR="00002FAE" w:rsidRPr="0020102C" w:rsidRDefault="00002FAE" w:rsidP="00A41843">
      <w:pPr>
        <w:pStyle w:val="af8"/>
        <w:numPr>
          <w:ilvl w:val="0"/>
          <w:numId w:val="140"/>
        </w:numPr>
        <w:spacing w:before="120" w:beforeAutospacing="0" w:after="120" w:afterAutospacing="0" w:line="276" w:lineRule="auto"/>
        <w:jc w:val="both"/>
      </w:pPr>
      <w:r w:rsidRPr="0020102C">
        <w:t>elaborarea acordurilor bilaterale și multilaterale privind recunoașterea reciprocă a actelor de studii și coordonarea implementării acestora;</w:t>
      </w:r>
    </w:p>
    <w:p w14:paraId="7E204DA6" w14:textId="77777777" w:rsidR="00002FAE" w:rsidRPr="0020102C" w:rsidRDefault="00002FAE" w:rsidP="00A41843">
      <w:pPr>
        <w:pStyle w:val="af8"/>
        <w:numPr>
          <w:ilvl w:val="0"/>
          <w:numId w:val="140"/>
        </w:numPr>
        <w:spacing w:before="120" w:beforeAutospacing="0" w:after="120" w:afterAutospacing="0" w:line="276" w:lineRule="auto"/>
        <w:jc w:val="both"/>
      </w:pPr>
      <w:r w:rsidRPr="0020102C">
        <w:t>dezvoltarea cooperării cu autoritățile relevante din alte țări și regiuni ale lumii în domeniul recunoașterii calificărilor.</w:t>
      </w:r>
    </w:p>
    <w:p w14:paraId="384FCD72" w14:textId="77777777" w:rsidR="00002FAE" w:rsidRPr="0020102C" w:rsidRDefault="00002FAE" w:rsidP="00040831">
      <w:pPr>
        <w:pStyle w:val="af8"/>
        <w:spacing w:before="120" w:beforeAutospacing="0" w:after="120" w:afterAutospacing="0" w:line="276" w:lineRule="auto"/>
        <w:jc w:val="both"/>
      </w:pPr>
      <w:r w:rsidRPr="0020102C">
        <w:rPr>
          <w:rStyle w:val="af9"/>
          <w:rFonts w:eastAsiaTheme="majorEastAsia"/>
        </w:rPr>
        <w:t>Date statistice privind recunoașterea și mobilitatea</w:t>
      </w:r>
      <w:r w:rsidRPr="0020102C">
        <w:t>:</w:t>
      </w:r>
    </w:p>
    <w:p w14:paraId="688956DE" w14:textId="460579D8" w:rsidR="00002FAE" w:rsidRPr="0020102C" w:rsidRDefault="00002FAE" w:rsidP="00A41843">
      <w:pPr>
        <w:pStyle w:val="af8"/>
        <w:numPr>
          <w:ilvl w:val="0"/>
          <w:numId w:val="141"/>
        </w:numPr>
        <w:spacing w:before="120" w:beforeAutospacing="0" w:after="120" w:afterAutospacing="0" w:line="276" w:lineRule="auto"/>
        <w:jc w:val="both"/>
      </w:pPr>
      <w:r w:rsidRPr="0020102C">
        <w:t xml:space="preserve">Anual, între </w:t>
      </w:r>
      <w:r w:rsidRPr="0020102C">
        <w:rPr>
          <w:rStyle w:val="af9"/>
          <w:rFonts w:eastAsiaTheme="majorEastAsia"/>
          <w:b w:val="0"/>
          <w:bCs w:val="0"/>
        </w:rPr>
        <w:t>2 500 și 3 000 de cereri de recunoaștere a actelor de studii</w:t>
      </w:r>
      <w:r w:rsidRPr="0020102C">
        <w:t xml:space="preserve"> din străinătate sunt procesate de MEC</w:t>
      </w:r>
      <w:r w:rsidR="00D50D1B">
        <w:t xml:space="preserve">, </w:t>
      </w:r>
      <w:r w:rsidRPr="004727DC">
        <w:t>CNRED</w:t>
      </w:r>
      <w:r w:rsidR="00D50D1B">
        <w:t xml:space="preserve"> și </w:t>
      </w:r>
      <w:r w:rsidR="00BA41E2">
        <w:t>Centrele de recunoaștere şi echivalare</w:t>
      </w:r>
      <w:r w:rsidRPr="0020102C">
        <w:t>, majoritatea provenind din România, Ucraina, Federația Rusă și statele UE (Raport ME</w:t>
      </w:r>
      <w:r w:rsidR="00D34134">
        <w:t>C</w:t>
      </w:r>
      <w:r w:rsidRPr="0020102C">
        <w:t xml:space="preserve"> &amp; CNRED, 2022).</w:t>
      </w:r>
    </w:p>
    <w:p w14:paraId="77D67549" w14:textId="77777777" w:rsidR="00002FAE" w:rsidRPr="0020102C" w:rsidRDefault="00002FAE" w:rsidP="00A41843">
      <w:pPr>
        <w:pStyle w:val="af8"/>
        <w:numPr>
          <w:ilvl w:val="0"/>
          <w:numId w:val="141"/>
        </w:numPr>
        <w:spacing w:before="120" w:beforeAutospacing="0" w:after="120" w:afterAutospacing="0" w:line="276" w:lineRule="auto"/>
        <w:jc w:val="both"/>
      </w:pPr>
      <w:r w:rsidRPr="0020102C">
        <w:t xml:space="preserve">În perioada </w:t>
      </w:r>
      <w:r w:rsidRPr="0020102C">
        <w:rPr>
          <w:rStyle w:val="af9"/>
          <w:rFonts w:eastAsiaTheme="majorEastAsia"/>
          <w:b w:val="0"/>
          <w:bCs w:val="0"/>
        </w:rPr>
        <w:t>2014–2023</w:t>
      </w:r>
      <w:r w:rsidRPr="0020102C">
        <w:t xml:space="preserve">, peste </w:t>
      </w:r>
      <w:r w:rsidRPr="0020102C">
        <w:rPr>
          <w:rStyle w:val="af9"/>
          <w:rFonts w:eastAsiaTheme="majorEastAsia"/>
          <w:b w:val="0"/>
          <w:bCs w:val="0"/>
        </w:rPr>
        <w:t>3 300 de participanți</w:t>
      </w:r>
      <w:r w:rsidRPr="0020102C">
        <w:t xml:space="preserve"> din Republica Moldova (studenți și cadre didactice) au beneficiat de programe Erasmus+ pentru mobilitate academică </w:t>
      </w:r>
      <w:r w:rsidRPr="00D812D6">
        <w:t>și profesională.</w:t>
      </w:r>
    </w:p>
    <w:p w14:paraId="795E6E46" w14:textId="13E1318F" w:rsidR="00002FAE" w:rsidRDefault="00002FAE" w:rsidP="00A41843">
      <w:pPr>
        <w:pStyle w:val="af8"/>
        <w:numPr>
          <w:ilvl w:val="0"/>
          <w:numId w:val="141"/>
        </w:numPr>
        <w:spacing w:before="120" w:beforeAutospacing="0" w:after="120" w:afterAutospacing="0" w:line="276" w:lineRule="auto"/>
        <w:jc w:val="both"/>
      </w:pPr>
      <w:r w:rsidRPr="0020102C">
        <w:rPr>
          <w:rStyle w:val="af9"/>
          <w:rFonts w:eastAsiaTheme="majorEastAsia"/>
          <w:b w:val="0"/>
          <w:bCs w:val="0"/>
        </w:rPr>
        <w:lastRenderedPageBreak/>
        <w:t>74,5%</w:t>
      </w:r>
      <w:r w:rsidRPr="0020102C">
        <w:t xml:space="preserve"> dintre moldovenii aflați în </w:t>
      </w:r>
      <w:r w:rsidRPr="00916AE3">
        <w:t xml:space="preserve">mobilitate </w:t>
      </w:r>
      <w:r w:rsidR="00916AE3">
        <w:t>academică</w:t>
      </w:r>
      <w:r w:rsidRPr="0020102C">
        <w:t xml:space="preserve"> aleg România ca destinație principală, ceea ce reflectă proximitatea lingvistică și culturală, dar și procedurile de recunoaștere mai accesibile.</w:t>
      </w:r>
    </w:p>
    <w:p w14:paraId="6D01A40A" w14:textId="45A52C13" w:rsidR="00655B68" w:rsidRDefault="00655B68" w:rsidP="00655B68">
      <w:pPr>
        <w:pStyle w:val="af8"/>
        <w:spacing w:before="120" w:beforeAutospacing="0" w:after="120" w:afterAutospacing="0" w:line="276" w:lineRule="auto"/>
        <w:jc w:val="both"/>
      </w:pPr>
      <w:r>
        <w:t>De ex.</w:t>
      </w:r>
      <w:r w:rsidR="00F274FB">
        <w:t>,</w:t>
      </w:r>
      <w:r>
        <w:t xml:space="preserve"> Dinamica mobilităților la UPS ”Ion Creangă” </w:t>
      </w:r>
    </w:p>
    <w:tbl>
      <w:tblPr>
        <w:tblStyle w:val="aff"/>
        <w:tblW w:w="0" w:type="auto"/>
        <w:tblLook w:val="04A0" w:firstRow="1" w:lastRow="0" w:firstColumn="1" w:lastColumn="0" w:noHBand="0" w:noVBand="1"/>
      </w:tblPr>
      <w:tblGrid>
        <w:gridCol w:w="2082"/>
        <w:gridCol w:w="2153"/>
        <w:gridCol w:w="2083"/>
        <w:gridCol w:w="1938"/>
        <w:gridCol w:w="1938"/>
      </w:tblGrid>
      <w:tr w:rsidR="00655B68" w14:paraId="7052C760" w14:textId="77777777" w:rsidTr="00F274FB">
        <w:tc>
          <w:tcPr>
            <w:tcW w:w="2082" w:type="dxa"/>
            <w:vMerge w:val="restart"/>
            <w:shd w:val="clear" w:color="auto" w:fill="FFFFFF" w:themeFill="background1"/>
          </w:tcPr>
          <w:p w14:paraId="3A4D9399" w14:textId="77777777" w:rsidR="00655B68" w:rsidRDefault="00655B68" w:rsidP="00AC2CD7">
            <w:pPr>
              <w:pStyle w:val="af8"/>
              <w:spacing w:before="0" w:beforeAutospacing="0" w:after="0" w:afterAutospacing="0"/>
              <w:jc w:val="both"/>
            </w:pPr>
            <w:r>
              <w:t>Anii de studii</w:t>
            </w:r>
          </w:p>
        </w:tc>
        <w:tc>
          <w:tcPr>
            <w:tcW w:w="4236" w:type="dxa"/>
            <w:gridSpan w:val="2"/>
            <w:shd w:val="clear" w:color="auto" w:fill="FFFFFF" w:themeFill="background1"/>
          </w:tcPr>
          <w:p w14:paraId="4D2418B1" w14:textId="77777777" w:rsidR="00655B68" w:rsidRDefault="00655B68" w:rsidP="00AC2CD7">
            <w:pPr>
              <w:pStyle w:val="af8"/>
              <w:spacing w:before="0" w:beforeAutospacing="0" w:after="0" w:afterAutospacing="0"/>
              <w:jc w:val="both"/>
            </w:pPr>
            <w:proofErr w:type="spellStart"/>
            <w:r w:rsidRPr="00337F47">
              <w:rPr>
                <w:b/>
                <w:bCs/>
                <w:lang w:val="en-US"/>
              </w:rPr>
              <w:t>Numărul</w:t>
            </w:r>
            <w:proofErr w:type="spellEnd"/>
            <w:r w:rsidRPr="00337F47">
              <w:rPr>
                <w:b/>
                <w:bCs/>
                <w:lang w:val="en-US"/>
              </w:rPr>
              <w:t xml:space="preserve"> de </w:t>
            </w:r>
            <w:proofErr w:type="spellStart"/>
            <w:r w:rsidRPr="00337F47">
              <w:rPr>
                <w:b/>
                <w:bCs/>
                <w:lang w:val="en-US"/>
              </w:rPr>
              <w:t>mobilități</w:t>
            </w:r>
            <w:proofErr w:type="spellEnd"/>
            <w:r w:rsidRPr="00337F47">
              <w:rPr>
                <w:b/>
                <w:bCs/>
                <w:lang w:val="en-US"/>
              </w:rPr>
              <w:t xml:space="preserve"> </w:t>
            </w:r>
            <w:proofErr w:type="spellStart"/>
            <w:r w:rsidRPr="00337F47">
              <w:rPr>
                <w:b/>
                <w:bCs/>
                <w:lang w:val="en-US"/>
              </w:rPr>
              <w:t>academice</w:t>
            </w:r>
            <w:proofErr w:type="spellEnd"/>
            <w:r w:rsidRPr="00337F47">
              <w:rPr>
                <w:b/>
                <w:bCs/>
                <w:lang w:val="en-US"/>
              </w:rPr>
              <w:t xml:space="preserve"> </w:t>
            </w:r>
            <w:proofErr w:type="spellStart"/>
            <w:r w:rsidRPr="00337F47">
              <w:rPr>
                <w:b/>
                <w:bCs/>
                <w:lang w:val="en-US"/>
              </w:rPr>
              <w:t>pentru</w:t>
            </w:r>
            <w:proofErr w:type="spellEnd"/>
            <w:r w:rsidRPr="00337F47">
              <w:rPr>
                <w:b/>
                <w:bCs/>
                <w:lang w:val="en-US"/>
              </w:rPr>
              <w:t xml:space="preserve"> </w:t>
            </w:r>
            <w:proofErr w:type="spellStart"/>
            <w:r w:rsidRPr="00337F47">
              <w:rPr>
                <w:b/>
                <w:bCs/>
                <w:lang w:val="en-US"/>
              </w:rPr>
              <w:t>studenți</w:t>
            </w:r>
            <w:proofErr w:type="spellEnd"/>
          </w:p>
        </w:tc>
        <w:tc>
          <w:tcPr>
            <w:tcW w:w="3876" w:type="dxa"/>
            <w:gridSpan w:val="2"/>
            <w:shd w:val="clear" w:color="auto" w:fill="FFFFFF" w:themeFill="background1"/>
          </w:tcPr>
          <w:p w14:paraId="7CD41C68" w14:textId="77777777" w:rsidR="00655B68" w:rsidRDefault="00655B68" w:rsidP="00AC2CD7">
            <w:pPr>
              <w:pStyle w:val="af8"/>
              <w:spacing w:before="0" w:beforeAutospacing="0" w:after="0" w:afterAutospacing="0"/>
              <w:jc w:val="both"/>
            </w:pPr>
            <w:proofErr w:type="spellStart"/>
            <w:r w:rsidRPr="00337F47">
              <w:rPr>
                <w:b/>
                <w:bCs/>
                <w:lang w:val="en-US"/>
              </w:rPr>
              <w:t>Numărul</w:t>
            </w:r>
            <w:proofErr w:type="spellEnd"/>
            <w:r w:rsidRPr="00337F47">
              <w:rPr>
                <w:b/>
                <w:bCs/>
                <w:lang w:val="en-US"/>
              </w:rPr>
              <w:t xml:space="preserve"> de </w:t>
            </w:r>
            <w:proofErr w:type="spellStart"/>
            <w:r w:rsidRPr="00337F47">
              <w:rPr>
                <w:b/>
                <w:bCs/>
                <w:lang w:val="en-US"/>
              </w:rPr>
              <w:t>mobilități</w:t>
            </w:r>
            <w:proofErr w:type="spellEnd"/>
            <w:r w:rsidRPr="00337F47">
              <w:rPr>
                <w:b/>
                <w:bCs/>
                <w:lang w:val="en-US"/>
              </w:rPr>
              <w:t xml:space="preserve"> </w:t>
            </w:r>
            <w:proofErr w:type="spellStart"/>
            <w:r w:rsidRPr="00337F47">
              <w:rPr>
                <w:b/>
                <w:bCs/>
                <w:lang w:val="en-US"/>
              </w:rPr>
              <w:t>academice</w:t>
            </w:r>
            <w:proofErr w:type="spellEnd"/>
            <w:r w:rsidRPr="00337F47">
              <w:rPr>
                <w:b/>
                <w:bCs/>
                <w:lang w:val="en-US"/>
              </w:rPr>
              <w:t xml:space="preserve"> </w:t>
            </w:r>
            <w:proofErr w:type="spellStart"/>
            <w:r w:rsidRPr="00337F47">
              <w:rPr>
                <w:b/>
                <w:bCs/>
                <w:lang w:val="en-US"/>
              </w:rPr>
              <w:t>pentru</w:t>
            </w:r>
            <w:proofErr w:type="spellEnd"/>
            <w:r w:rsidRPr="00337F47">
              <w:rPr>
                <w:b/>
                <w:bCs/>
                <w:lang w:val="en-US"/>
              </w:rPr>
              <w:t xml:space="preserve"> personal academic</w:t>
            </w:r>
          </w:p>
        </w:tc>
      </w:tr>
      <w:tr w:rsidR="00655B68" w14:paraId="664DDF40" w14:textId="77777777" w:rsidTr="00F274FB">
        <w:tc>
          <w:tcPr>
            <w:tcW w:w="2082" w:type="dxa"/>
            <w:vMerge/>
            <w:shd w:val="clear" w:color="auto" w:fill="FFFFFF" w:themeFill="background1"/>
          </w:tcPr>
          <w:p w14:paraId="32B7A8FC" w14:textId="77777777" w:rsidR="00655B68" w:rsidRDefault="00655B68" w:rsidP="00AC2CD7">
            <w:pPr>
              <w:pStyle w:val="af8"/>
              <w:spacing w:before="0" w:beforeAutospacing="0" w:after="0" w:afterAutospacing="0"/>
              <w:jc w:val="both"/>
            </w:pPr>
          </w:p>
        </w:tc>
        <w:tc>
          <w:tcPr>
            <w:tcW w:w="2153" w:type="dxa"/>
            <w:shd w:val="clear" w:color="auto" w:fill="FFFFFF" w:themeFill="background1"/>
            <w:vAlign w:val="center"/>
          </w:tcPr>
          <w:p w14:paraId="4ADA8FCE" w14:textId="77777777" w:rsidR="00655B68" w:rsidRDefault="00655B68" w:rsidP="00AC2CD7">
            <w:pPr>
              <w:pStyle w:val="af8"/>
              <w:spacing w:before="0" w:beforeAutospacing="0" w:after="0" w:afterAutospacing="0"/>
              <w:jc w:val="both"/>
            </w:pPr>
            <w:proofErr w:type="spellStart"/>
            <w:r w:rsidRPr="00337F47">
              <w:rPr>
                <w:b/>
                <w:bCs/>
                <w:lang w:val="en-US"/>
              </w:rPr>
              <w:t>intrări</w:t>
            </w:r>
            <w:proofErr w:type="spellEnd"/>
            <w:r w:rsidRPr="00337F47">
              <w:rPr>
                <w:b/>
                <w:bCs/>
                <w:lang w:val="en-US"/>
              </w:rPr>
              <w:t xml:space="preserve"> (</w:t>
            </w:r>
            <w:proofErr w:type="spellStart"/>
            <w:r w:rsidRPr="00337F47">
              <w:rPr>
                <w:b/>
                <w:bCs/>
                <w:lang w:val="en-US"/>
              </w:rPr>
              <w:t>străini</w:t>
            </w:r>
            <w:proofErr w:type="spellEnd"/>
            <w:r w:rsidRPr="00337F47">
              <w:rPr>
                <w:b/>
                <w:bCs/>
                <w:lang w:val="en-US"/>
              </w:rPr>
              <w:t>)</w:t>
            </w:r>
          </w:p>
        </w:tc>
        <w:tc>
          <w:tcPr>
            <w:tcW w:w="2083" w:type="dxa"/>
            <w:shd w:val="clear" w:color="auto" w:fill="FFFFFF" w:themeFill="background1"/>
            <w:vAlign w:val="center"/>
          </w:tcPr>
          <w:p w14:paraId="3DCBBDE2" w14:textId="77777777" w:rsidR="00655B68" w:rsidRDefault="00655B68" w:rsidP="00AC2CD7">
            <w:pPr>
              <w:pStyle w:val="af8"/>
              <w:spacing w:before="0" w:beforeAutospacing="0" w:after="0" w:afterAutospacing="0"/>
              <w:jc w:val="both"/>
            </w:pPr>
            <w:proofErr w:type="spellStart"/>
            <w:r w:rsidRPr="00337F47">
              <w:rPr>
                <w:b/>
                <w:bCs/>
                <w:lang w:val="en-US"/>
              </w:rPr>
              <w:t>ieșiri</w:t>
            </w:r>
            <w:proofErr w:type="spellEnd"/>
            <w:r w:rsidRPr="00337F47">
              <w:rPr>
                <w:b/>
                <w:bCs/>
                <w:lang w:val="en-US"/>
              </w:rPr>
              <w:t xml:space="preserve"> (RM)</w:t>
            </w:r>
          </w:p>
        </w:tc>
        <w:tc>
          <w:tcPr>
            <w:tcW w:w="1938" w:type="dxa"/>
            <w:shd w:val="clear" w:color="auto" w:fill="FFFFFF" w:themeFill="background1"/>
            <w:vAlign w:val="center"/>
          </w:tcPr>
          <w:p w14:paraId="4C405E18" w14:textId="77777777" w:rsidR="00655B68" w:rsidRDefault="00655B68" w:rsidP="00AC2CD7">
            <w:pPr>
              <w:pStyle w:val="af8"/>
              <w:spacing w:before="0" w:beforeAutospacing="0" w:after="0" w:afterAutospacing="0"/>
              <w:jc w:val="both"/>
            </w:pPr>
            <w:proofErr w:type="spellStart"/>
            <w:r w:rsidRPr="00337F47">
              <w:rPr>
                <w:b/>
                <w:bCs/>
                <w:lang w:val="en-US"/>
              </w:rPr>
              <w:t>intrări</w:t>
            </w:r>
            <w:proofErr w:type="spellEnd"/>
            <w:r w:rsidRPr="00337F47">
              <w:rPr>
                <w:b/>
                <w:bCs/>
                <w:lang w:val="en-US"/>
              </w:rPr>
              <w:t xml:space="preserve"> (</w:t>
            </w:r>
            <w:proofErr w:type="spellStart"/>
            <w:r w:rsidRPr="00337F47">
              <w:rPr>
                <w:b/>
                <w:bCs/>
                <w:lang w:val="en-US"/>
              </w:rPr>
              <w:t>străini</w:t>
            </w:r>
            <w:proofErr w:type="spellEnd"/>
            <w:r w:rsidRPr="00337F47">
              <w:rPr>
                <w:b/>
                <w:bCs/>
                <w:lang w:val="en-US"/>
              </w:rPr>
              <w:t>)</w:t>
            </w:r>
          </w:p>
        </w:tc>
        <w:tc>
          <w:tcPr>
            <w:tcW w:w="1938" w:type="dxa"/>
            <w:shd w:val="clear" w:color="auto" w:fill="FFFFFF" w:themeFill="background1"/>
            <w:vAlign w:val="center"/>
          </w:tcPr>
          <w:p w14:paraId="5C669423" w14:textId="77777777" w:rsidR="00655B68" w:rsidRDefault="00655B68" w:rsidP="00AC2CD7">
            <w:pPr>
              <w:pStyle w:val="af8"/>
              <w:spacing w:before="0" w:beforeAutospacing="0" w:after="0" w:afterAutospacing="0"/>
              <w:jc w:val="both"/>
            </w:pPr>
            <w:proofErr w:type="spellStart"/>
            <w:r w:rsidRPr="00337F47">
              <w:rPr>
                <w:b/>
                <w:bCs/>
                <w:lang w:val="en-US"/>
              </w:rPr>
              <w:t>ieșiri</w:t>
            </w:r>
            <w:proofErr w:type="spellEnd"/>
            <w:r w:rsidRPr="00337F47">
              <w:rPr>
                <w:b/>
                <w:bCs/>
                <w:lang w:val="en-US"/>
              </w:rPr>
              <w:t xml:space="preserve"> (RM)</w:t>
            </w:r>
          </w:p>
        </w:tc>
      </w:tr>
      <w:tr w:rsidR="00655B68" w14:paraId="7951F7AC" w14:textId="77777777" w:rsidTr="00B81475">
        <w:tc>
          <w:tcPr>
            <w:tcW w:w="2082" w:type="dxa"/>
          </w:tcPr>
          <w:p w14:paraId="547A809A" w14:textId="77777777" w:rsidR="00655B68" w:rsidRDefault="00655B68" w:rsidP="00AC2CD7">
            <w:pPr>
              <w:pStyle w:val="af8"/>
              <w:spacing w:before="0" w:beforeAutospacing="0" w:after="0" w:afterAutospacing="0"/>
              <w:jc w:val="both"/>
            </w:pPr>
            <w:r>
              <w:t>2022-2023</w:t>
            </w:r>
          </w:p>
        </w:tc>
        <w:tc>
          <w:tcPr>
            <w:tcW w:w="2153" w:type="dxa"/>
            <w:vAlign w:val="bottom"/>
          </w:tcPr>
          <w:p w14:paraId="7AA4726D" w14:textId="77777777" w:rsidR="00655B68" w:rsidRDefault="00655B68" w:rsidP="00AC2CD7">
            <w:pPr>
              <w:pStyle w:val="af8"/>
              <w:spacing w:before="0" w:beforeAutospacing="0" w:after="0" w:afterAutospacing="0"/>
              <w:jc w:val="both"/>
            </w:pPr>
            <w:r w:rsidRPr="00337F47">
              <w:rPr>
                <w:lang w:val="en-US"/>
              </w:rPr>
              <w:t>8</w:t>
            </w:r>
          </w:p>
        </w:tc>
        <w:tc>
          <w:tcPr>
            <w:tcW w:w="2083" w:type="dxa"/>
            <w:vAlign w:val="bottom"/>
          </w:tcPr>
          <w:p w14:paraId="11C6C1AD" w14:textId="77777777" w:rsidR="00655B68" w:rsidRDefault="00655B68" w:rsidP="00AC2CD7">
            <w:pPr>
              <w:pStyle w:val="af8"/>
              <w:spacing w:before="0" w:beforeAutospacing="0" w:after="0" w:afterAutospacing="0"/>
              <w:jc w:val="both"/>
            </w:pPr>
            <w:r w:rsidRPr="00337F47">
              <w:rPr>
                <w:lang w:val="en-US"/>
              </w:rPr>
              <w:t>41</w:t>
            </w:r>
          </w:p>
        </w:tc>
        <w:tc>
          <w:tcPr>
            <w:tcW w:w="1938" w:type="dxa"/>
            <w:vAlign w:val="bottom"/>
          </w:tcPr>
          <w:p w14:paraId="1100C9EA" w14:textId="77777777" w:rsidR="00655B68" w:rsidRDefault="00655B68" w:rsidP="00AC2CD7">
            <w:pPr>
              <w:pStyle w:val="af8"/>
              <w:spacing w:before="0" w:beforeAutospacing="0" w:after="0" w:afterAutospacing="0"/>
              <w:jc w:val="both"/>
            </w:pPr>
            <w:r w:rsidRPr="00337F47">
              <w:rPr>
                <w:lang w:val="en-US"/>
              </w:rPr>
              <w:t>37</w:t>
            </w:r>
          </w:p>
        </w:tc>
        <w:tc>
          <w:tcPr>
            <w:tcW w:w="1938" w:type="dxa"/>
            <w:vAlign w:val="bottom"/>
          </w:tcPr>
          <w:p w14:paraId="664ED518" w14:textId="77777777" w:rsidR="00655B68" w:rsidRDefault="00655B68" w:rsidP="00AC2CD7">
            <w:pPr>
              <w:pStyle w:val="af8"/>
              <w:spacing w:before="0" w:beforeAutospacing="0" w:after="0" w:afterAutospacing="0"/>
              <w:jc w:val="both"/>
            </w:pPr>
            <w:r w:rsidRPr="00337F47">
              <w:rPr>
                <w:lang w:val="en-US"/>
              </w:rPr>
              <w:t>118</w:t>
            </w:r>
          </w:p>
        </w:tc>
      </w:tr>
      <w:tr w:rsidR="00655B68" w14:paraId="1B11ABA9" w14:textId="77777777" w:rsidTr="00B81475">
        <w:tc>
          <w:tcPr>
            <w:tcW w:w="2082" w:type="dxa"/>
          </w:tcPr>
          <w:p w14:paraId="58976849" w14:textId="77777777" w:rsidR="00655B68" w:rsidRDefault="00655B68" w:rsidP="00AC2CD7">
            <w:pPr>
              <w:pStyle w:val="af8"/>
              <w:spacing w:before="0" w:beforeAutospacing="0" w:after="0" w:afterAutospacing="0"/>
              <w:jc w:val="both"/>
            </w:pPr>
            <w:r>
              <w:t>2023-2024</w:t>
            </w:r>
          </w:p>
        </w:tc>
        <w:tc>
          <w:tcPr>
            <w:tcW w:w="2153" w:type="dxa"/>
            <w:vAlign w:val="bottom"/>
          </w:tcPr>
          <w:p w14:paraId="43889A73" w14:textId="77777777" w:rsidR="00655B68" w:rsidRPr="00337F47" w:rsidRDefault="00655B68" w:rsidP="00AC2CD7">
            <w:pPr>
              <w:pStyle w:val="af8"/>
              <w:spacing w:before="0" w:beforeAutospacing="0" w:after="0" w:afterAutospacing="0"/>
              <w:jc w:val="both"/>
              <w:rPr>
                <w:lang w:val="en-US"/>
              </w:rPr>
            </w:pPr>
            <w:r w:rsidRPr="00337F47">
              <w:rPr>
                <w:lang w:val="en-US"/>
              </w:rPr>
              <w:t>2</w:t>
            </w:r>
          </w:p>
        </w:tc>
        <w:tc>
          <w:tcPr>
            <w:tcW w:w="2083" w:type="dxa"/>
            <w:vAlign w:val="bottom"/>
          </w:tcPr>
          <w:p w14:paraId="6A9A1720" w14:textId="77777777" w:rsidR="00655B68" w:rsidRPr="00337F47" w:rsidRDefault="00655B68" w:rsidP="00AC2CD7">
            <w:pPr>
              <w:pStyle w:val="af8"/>
              <w:spacing w:before="0" w:beforeAutospacing="0" w:after="0" w:afterAutospacing="0"/>
              <w:jc w:val="both"/>
              <w:rPr>
                <w:lang w:val="en-US"/>
              </w:rPr>
            </w:pPr>
            <w:r w:rsidRPr="00337F47">
              <w:rPr>
                <w:lang w:val="en-US"/>
              </w:rPr>
              <w:t>14</w:t>
            </w:r>
          </w:p>
        </w:tc>
        <w:tc>
          <w:tcPr>
            <w:tcW w:w="1938" w:type="dxa"/>
            <w:vAlign w:val="bottom"/>
          </w:tcPr>
          <w:p w14:paraId="34760F4D" w14:textId="77777777" w:rsidR="00655B68" w:rsidRDefault="00655B68" w:rsidP="00AC2CD7">
            <w:pPr>
              <w:pStyle w:val="af8"/>
              <w:spacing w:before="0" w:beforeAutospacing="0" w:after="0" w:afterAutospacing="0"/>
              <w:jc w:val="both"/>
            </w:pPr>
            <w:r w:rsidRPr="00337F47">
              <w:rPr>
                <w:lang w:val="en-US"/>
              </w:rPr>
              <w:t>41</w:t>
            </w:r>
          </w:p>
        </w:tc>
        <w:tc>
          <w:tcPr>
            <w:tcW w:w="1938" w:type="dxa"/>
            <w:vAlign w:val="bottom"/>
          </w:tcPr>
          <w:p w14:paraId="3035CD4C" w14:textId="77777777" w:rsidR="00655B68" w:rsidRDefault="00655B68" w:rsidP="00AC2CD7">
            <w:pPr>
              <w:pStyle w:val="af8"/>
              <w:spacing w:before="0" w:beforeAutospacing="0" w:after="0" w:afterAutospacing="0"/>
              <w:jc w:val="both"/>
            </w:pPr>
            <w:r w:rsidRPr="00337F47">
              <w:rPr>
                <w:lang w:val="en-US"/>
              </w:rPr>
              <w:t>86</w:t>
            </w:r>
          </w:p>
        </w:tc>
      </w:tr>
    </w:tbl>
    <w:p w14:paraId="36B95DE7" w14:textId="77777777" w:rsidR="00002FAE" w:rsidRPr="0020102C" w:rsidRDefault="00002FAE" w:rsidP="00B706F0">
      <w:pPr>
        <w:spacing w:before="120" w:after="120" w:line="276" w:lineRule="auto"/>
        <w:jc w:val="both"/>
        <w:rPr>
          <w:rFonts w:ascii="Times New Roman" w:hAnsi="Times New Roman" w:cs="Times New Roman"/>
          <w:sz w:val="24"/>
          <w:szCs w:val="24"/>
        </w:rPr>
      </w:pPr>
      <w:r w:rsidRPr="0020102C">
        <w:rPr>
          <w:rStyle w:val="af9"/>
          <w:rFonts w:ascii="Times New Roman" w:hAnsi="Times New Roman" w:cs="Times New Roman"/>
          <w:sz w:val="24"/>
          <w:szCs w:val="24"/>
        </w:rPr>
        <w:t>Corelare europeană</w:t>
      </w:r>
      <w:r w:rsidRPr="0020102C">
        <w:rPr>
          <w:rFonts w:ascii="Times New Roman" w:hAnsi="Times New Roman" w:cs="Times New Roman"/>
          <w:sz w:val="24"/>
          <w:szCs w:val="24"/>
        </w:rPr>
        <w:t>: Procedurile de recunoaștere sunt aliniate la principiile rețelei ENIC/NARIC, compatibile cu practicile statelor membre ale Procesului Bologna. Prin integrarea CNC cu Portalul EQF și utilizarea instrumentelor europene precum Diploma Supplement și Europass, Republica Moldova își sporește vizibilitatea și comparabilitatea calificărilor în Spațiul European al Învățământului Superior și pe piața muncii europene.</w:t>
      </w:r>
    </w:p>
    <w:p w14:paraId="0054451B" w14:textId="77777777" w:rsidR="00002FAE" w:rsidRPr="0020102C" w:rsidRDefault="00002FAE" w:rsidP="00B706F0">
      <w:pPr>
        <w:spacing w:before="120" w:after="120" w:line="276" w:lineRule="auto"/>
        <w:jc w:val="both"/>
        <w:rPr>
          <w:rFonts w:ascii="Times New Roman" w:hAnsi="Times New Roman" w:cs="Times New Roman"/>
          <w:sz w:val="24"/>
          <w:szCs w:val="24"/>
        </w:rPr>
      </w:pPr>
      <w:r w:rsidRPr="0020102C">
        <w:rPr>
          <w:rFonts w:ascii="Times New Roman" w:hAnsi="Times New Roman" w:cs="Times New Roman"/>
          <w:sz w:val="24"/>
          <w:szCs w:val="24"/>
        </w:rPr>
        <w:t>În concluzie, recunoașterea calificărilor obținute în străinătate nu se limitează la un act administrativ, ci reprezintă un instrument strategic pentru consolidarea atractivității sistemului educațional național, stimularea mobilității și reintegrarea profesională a migranților, dar și o garanție a încrederii internaționale în calitatea și comparabilitatea calificărilor moldovenești.</w:t>
      </w:r>
    </w:p>
    <w:p w14:paraId="373607AD" w14:textId="7309179B" w:rsidR="00FB2DB4" w:rsidRPr="0020102C" w:rsidRDefault="009E7240" w:rsidP="00040831">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4.8.2. Recunoașterea învățării anterioare </w:t>
      </w:r>
      <w:r w:rsidR="00FB2DB4" w:rsidRPr="0020102C">
        <w:rPr>
          <w:rFonts w:ascii="Times New Roman" w:eastAsia="Times New Roman" w:hAnsi="Times New Roman" w:cs="Times New Roman"/>
          <w:b/>
          <w:bCs/>
          <w:color w:val="3494BA" w:themeColor="accent1"/>
          <w:kern w:val="0"/>
          <w:sz w:val="24"/>
          <w:szCs w:val="24"/>
          <w:lang w:eastAsia="ro-MD"/>
          <w14:ligatures w14:val="none"/>
        </w:rPr>
        <w:t>și validarea rezultatelor învățării nonformale și informale</w:t>
      </w:r>
    </w:p>
    <w:p w14:paraId="2ED14E9E" w14:textId="77777777" w:rsidR="00FB2DB4" w:rsidRPr="0020102C" w:rsidRDefault="00FB2DB4" w:rsidP="00040831">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Recunoașterea și validarea rezultatelor învățării anterioare reprezintă un mecanism strategic prin care se valorifică experiențele de învățare acumulate de persoane în contexte formale, nonformale și informale. Acest proces are o dublă valoare: pe de o parte, facilitează accesul la educație pe tot parcursul vieții, iar pe de altă parte, sprijină integrarea rapidă și eficientă pe piața muncii. Prin recunoașterea competențelor existente, fiecare persoană își poate continua parcursul educațional sau profesional fără a relua etape deja parcurse, ceea ce contribuie la creșterea relevanței calificărilor și la utilizarea mai eficientă a resurselor umane.</w:t>
      </w:r>
    </w:p>
    <w:p w14:paraId="2EC1DAEB" w14:textId="77777777" w:rsidR="00FB2DB4" w:rsidRPr="0020102C" w:rsidRDefault="00FB2DB4" w:rsidP="00040831">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Baza legală</w:t>
      </w:r>
      <w:r w:rsidRPr="0020102C">
        <w:rPr>
          <w:rFonts w:ascii="Times New Roman" w:eastAsia="Times New Roman" w:hAnsi="Times New Roman" w:cs="Times New Roman"/>
          <w:kern w:val="0"/>
          <w:sz w:val="24"/>
          <w:szCs w:val="24"/>
          <w:lang w:eastAsia="ro-MD"/>
          <w14:ligatures w14:val="none"/>
        </w:rPr>
        <w:t xml:space="preserve"> a acestui mecanism este bine definită și asigură coerența cadrului național cu standardele europene și internaționale. Printre principalele reglementări se numără:</w:t>
      </w:r>
    </w:p>
    <w:p w14:paraId="5DF822D7" w14:textId="77777777" w:rsidR="00FB2DB4" w:rsidRPr="0020102C" w:rsidRDefault="00FB2DB4" w:rsidP="00A41843">
      <w:pPr>
        <w:numPr>
          <w:ilvl w:val="0"/>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Codul educației al Republicii Moldova nr. 152/2014</w:t>
      </w:r>
      <w:r w:rsidRPr="0020102C">
        <w:rPr>
          <w:rFonts w:ascii="Times New Roman" w:eastAsia="Times New Roman" w:hAnsi="Times New Roman" w:cs="Times New Roman"/>
          <w:kern w:val="0"/>
          <w:sz w:val="24"/>
          <w:szCs w:val="24"/>
          <w:lang w:eastAsia="ro-MD"/>
          <w14:ligatures w14:val="none"/>
        </w:rPr>
        <w:t xml:space="preserve"> – stabilește cadrul general pentru recunoașterea studiilor și a experiențelor educaționale acumulate anterior, ca parte a învățării pe tot parcursul vieții;</w:t>
      </w:r>
    </w:p>
    <w:p w14:paraId="135D7829" w14:textId="77777777" w:rsidR="00FB2DB4" w:rsidRPr="0020102C" w:rsidRDefault="00FB2DB4" w:rsidP="00A41843">
      <w:pPr>
        <w:numPr>
          <w:ilvl w:val="0"/>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HG nr. 330/2023</w:t>
      </w:r>
      <w:r w:rsidRPr="0020102C">
        <w:rPr>
          <w:rFonts w:ascii="Times New Roman" w:eastAsia="Times New Roman" w:hAnsi="Times New Roman" w:cs="Times New Roman"/>
          <w:kern w:val="0"/>
          <w:sz w:val="24"/>
          <w:szCs w:val="24"/>
          <w:lang w:eastAsia="ro-MD"/>
          <w14:ligatures w14:val="none"/>
        </w:rPr>
        <w:t xml:space="preserve"> – reglementează procedura de recunoaștere și validare a rezultatelor învățării anterioare și asigură corelarea cu CNC și EQF;</w:t>
      </w:r>
    </w:p>
    <w:p w14:paraId="03D77F83" w14:textId="4D956D16" w:rsidR="00FB2DB4" w:rsidRPr="0020102C" w:rsidRDefault="00FB2DB4" w:rsidP="00A41843">
      <w:pPr>
        <w:numPr>
          <w:ilvl w:val="0"/>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Ordinul ME</w:t>
      </w:r>
      <w:r w:rsidR="006252BC" w:rsidRPr="001F6026">
        <w:rPr>
          <w:rFonts w:ascii="Times New Roman" w:eastAsia="Times New Roman" w:hAnsi="Times New Roman" w:cs="Times New Roman"/>
          <w:b/>
          <w:bCs/>
          <w:kern w:val="0"/>
          <w:sz w:val="24"/>
          <w:szCs w:val="24"/>
          <w:lang w:eastAsia="ro-MD"/>
          <w14:ligatures w14:val="none"/>
        </w:rPr>
        <w:t>C</w:t>
      </w:r>
      <w:r w:rsidRPr="0020102C">
        <w:rPr>
          <w:rFonts w:ascii="Times New Roman" w:eastAsia="Times New Roman" w:hAnsi="Times New Roman" w:cs="Times New Roman"/>
          <w:b/>
          <w:bCs/>
          <w:kern w:val="0"/>
          <w:sz w:val="24"/>
          <w:szCs w:val="24"/>
          <w:lang w:eastAsia="ro-MD"/>
          <w14:ligatures w14:val="none"/>
        </w:rPr>
        <w:t xml:space="preserve"> nr. 885/2022</w:t>
      </w:r>
      <w:r w:rsidRPr="0020102C">
        <w:rPr>
          <w:rFonts w:ascii="Times New Roman" w:eastAsia="Times New Roman" w:hAnsi="Times New Roman" w:cs="Times New Roman"/>
          <w:kern w:val="0"/>
          <w:sz w:val="24"/>
          <w:szCs w:val="24"/>
          <w:lang w:eastAsia="ro-MD"/>
          <w14:ligatures w14:val="none"/>
        </w:rPr>
        <w:t xml:space="preserve"> – aprobă </w:t>
      </w:r>
      <w:r w:rsidRPr="0020102C">
        <w:rPr>
          <w:rFonts w:ascii="Times New Roman" w:eastAsia="Times New Roman" w:hAnsi="Times New Roman" w:cs="Times New Roman"/>
          <w:i/>
          <w:iCs/>
          <w:kern w:val="0"/>
          <w:sz w:val="24"/>
          <w:szCs w:val="24"/>
          <w:lang w:eastAsia="ro-MD"/>
          <w14:ligatures w14:val="none"/>
        </w:rPr>
        <w:t>Regulamentul privind certificarea competențelor profesionale</w:t>
      </w:r>
      <w:r w:rsidRPr="0020102C">
        <w:rPr>
          <w:rFonts w:ascii="Times New Roman" w:eastAsia="Times New Roman" w:hAnsi="Times New Roman" w:cs="Times New Roman"/>
          <w:kern w:val="0"/>
          <w:sz w:val="24"/>
          <w:szCs w:val="24"/>
          <w:lang w:eastAsia="ro-MD"/>
          <w14:ligatures w14:val="none"/>
        </w:rPr>
        <w:t xml:space="preserve"> pentru calificările de nivel 3, 4 și 5 CNC dobândite în contexte nonformale și informale, instituind cadrul de funcționare al sistemului național de validare;</w:t>
      </w:r>
    </w:p>
    <w:p w14:paraId="21525E03" w14:textId="7886B35D" w:rsidR="00F51166" w:rsidRPr="0020102C" w:rsidRDefault="00F51166" w:rsidP="00A41843">
      <w:pPr>
        <w:numPr>
          <w:ilvl w:val="0"/>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Ordinul ME</w:t>
      </w:r>
      <w:r w:rsidR="006252BC" w:rsidRPr="001F6026">
        <w:rPr>
          <w:rFonts w:ascii="Times New Roman" w:eastAsia="Times New Roman" w:hAnsi="Times New Roman" w:cs="Times New Roman"/>
          <w:b/>
          <w:bCs/>
          <w:kern w:val="0"/>
          <w:sz w:val="24"/>
          <w:szCs w:val="24"/>
          <w:lang w:eastAsia="ro-MD"/>
          <w14:ligatures w14:val="none"/>
        </w:rPr>
        <w:t>C</w:t>
      </w:r>
      <w:r w:rsidRPr="0020102C">
        <w:rPr>
          <w:rFonts w:ascii="Times New Roman" w:eastAsia="Times New Roman" w:hAnsi="Times New Roman" w:cs="Times New Roman"/>
          <w:b/>
          <w:bCs/>
          <w:kern w:val="0"/>
          <w:sz w:val="24"/>
          <w:szCs w:val="24"/>
          <w:lang w:eastAsia="ro-MD"/>
          <w14:ligatures w14:val="none"/>
        </w:rPr>
        <w:t xml:space="preserve"> nr. 1021/2023</w:t>
      </w:r>
      <w:r w:rsidRPr="0020102C">
        <w:rPr>
          <w:rFonts w:ascii="Times New Roman" w:eastAsia="Times New Roman" w:hAnsi="Times New Roman" w:cs="Times New Roman"/>
          <w:kern w:val="0"/>
          <w:sz w:val="24"/>
          <w:szCs w:val="24"/>
          <w:lang w:eastAsia="ro-MD"/>
          <w14:ligatures w14:val="none"/>
        </w:rPr>
        <w:t xml:space="preserve"> aprobă Regulamentul privind certificarea competențelor profesionale corespunzătoare calificărilor de nivel 6 CNC, dobândite în contexte de educație nonformală și informală. Documentul instituie cadrul normativ al Sistemului național de validare a învățării nonformale și informale, care reglementează etapele de identificare, documentare, evaluare și certificare a competențelor profesionale.</w:t>
      </w:r>
    </w:p>
    <w:p w14:paraId="7D43640E" w14:textId="1F736266" w:rsidR="00FB2DB4" w:rsidRPr="0020102C" w:rsidRDefault="00FB2DB4" w:rsidP="00A41843">
      <w:pPr>
        <w:numPr>
          <w:ilvl w:val="0"/>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lastRenderedPageBreak/>
        <w:t>Ordinul MEC nr. 1066/2023</w:t>
      </w:r>
      <w:r w:rsidRPr="0020102C">
        <w:rPr>
          <w:rFonts w:ascii="Times New Roman" w:eastAsia="Times New Roman" w:hAnsi="Times New Roman" w:cs="Times New Roman"/>
          <w:kern w:val="0"/>
          <w:sz w:val="24"/>
          <w:szCs w:val="24"/>
          <w:lang w:eastAsia="ro-MD"/>
          <w14:ligatures w14:val="none"/>
        </w:rPr>
        <w:t xml:space="preserve"> – aprobă </w:t>
      </w:r>
      <w:r w:rsidRPr="0020102C">
        <w:rPr>
          <w:rFonts w:ascii="Times New Roman" w:eastAsia="Times New Roman" w:hAnsi="Times New Roman" w:cs="Times New Roman"/>
          <w:i/>
          <w:iCs/>
          <w:kern w:val="0"/>
          <w:sz w:val="24"/>
          <w:szCs w:val="24"/>
          <w:lang w:eastAsia="ro-MD"/>
          <w14:ligatures w14:val="none"/>
        </w:rPr>
        <w:t>Ghidul practic privind certificarea competențelor profesionale</w:t>
      </w:r>
      <w:r w:rsidRPr="0020102C">
        <w:rPr>
          <w:rFonts w:ascii="Times New Roman" w:eastAsia="Times New Roman" w:hAnsi="Times New Roman" w:cs="Times New Roman"/>
          <w:kern w:val="0"/>
          <w:sz w:val="24"/>
          <w:szCs w:val="24"/>
          <w:lang w:eastAsia="ro-MD"/>
          <w14:ligatures w14:val="none"/>
        </w:rPr>
        <w:t xml:space="preserve"> pentru calificările de nivel 3, 4 și 5 CNC, care descrie etapele procesului</w:t>
      </w:r>
      <w:r w:rsidR="00F81C40" w:rsidRPr="0020102C">
        <w:rPr>
          <w:rFonts w:ascii="Times New Roman" w:eastAsia="Times New Roman" w:hAnsi="Times New Roman" w:cs="Times New Roman"/>
          <w:kern w:val="0"/>
          <w:sz w:val="24"/>
          <w:szCs w:val="24"/>
          <w:lang w:eastAsia="ro-MD"/>
          <w14:ligatures w14:val="none"/>
        </w:rPr>
        <w:t xml:space="preserve"> de certificare</w:t>
      </w:r>
      <w:r w:rsidRPr="0020102C">
        <w:rPr>
          <w:rFonts w:ascii="Times New Roman" w:eastAsia="Times New Roman" w:hAnsi="Times New Roman" w:cs="Times New Roman"/>
          <w:kern w:val="0"/>
          <w:sz w:val="24"/>
          <w:szCs w:val="24"/>
          <w:lang w:eastAsia="ro-MD"/>
          <w14:ligatures w14:val="none"/>
        </w:rPr>
        <w:t>:</w:t>
      </w:r>
    </w:p>
    <w:p w14:paraId="1D627861" w14:textId="77777777" w:rsidR="00FB2DB4" w:rsidRPr="0020102C" w:rsidRDefault="00FB2DB4" w:rsidP="00A41843">
      <w:pPr>
        <w:numPr>
          <w:ilvl w:val="1"/>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identificarea experienței individuale;</w:t>
      </w:r>
    </w:p>
    <w:p w14:paraId="65B0EE7D" w14:textId="77777777" w:rsidR="00FB2DB4" w:rsidRPr="0020102C" w:rsidRDefault="00FB2DB4" w:rsidP="00A41843">
      <w:pPr>
        <w:numPr>
          <w:ilvl w:val="1"/>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documentarea pentru vizibilitatea și veridicitatea experienței;</w:t>
      </w:r>
    </w:p>
    <w:p w14:paraId="4FBA15AA" w14:textId="77777777" w:rsidR="00FB2DB4" w:rsidRPr="0020102C" w:rsidRDefault="00FB2DB4" w:rsidP="00A41843">
      <w:pPr>
        <w:numPr>
          <w:ilvl w:val="1"/>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prin probe practice, teste, portofolii sau interviuri;</w:t>
      </w:r>
    </w:p>
    <w:p w14:paraId="30DDF5F2" w14:textId="77777777" w:rsidR="00FB2DB4" w:rsidRPr="0020102C" w:rsidRDefault="00FB2DB4" w:rsidP="00A41843">
      <w:pPr>
        <w:numPr>
          <w:ilvl w:val="1"/>
          <w:numId w:val="106"/>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certificarea rezultatelor, care poate conduce la o calificare completă sau parțială.</w:t>
      </w:r>
    </w:p>
    <w:p w14:paraId="32329B94" w14:textId="32E4EB12" w:rsidR="001975CD" w:rsidRDefault="00577306" w:rsidP="00040831">
      <w:pPr>
        <w:pStyle w:val="af8"/>
        <w:spacing w:before="120" w:beforeAutospacing="0" w:after="120" w:afterAutospacing="0" w:line="276" w:lineRule="auto"/>
        <w:jc w:val="both"/>
      </w:pPr>
      <w:r w:rsidRPr="00916AE3">
        <w:t>De menționat este faptul că, pentru asigurarea transparenței și a recunoașterii calificărilor dobândite anterior reformei sistemului național de educație, Hotărârea Guvernului nr. 330/2023 include, în Anexa 3, un tabel de corespondență între actele de studii eliberate înainte și după 1991, nivelurile ISCED, CNC și EQF.</w:t>
      </w:r>
      <w:r w:rsidRPr="00916AE3">
        <w:br/>
        <w:t>Acest instrument facilitează procesul de echivalare și validare a calificărilor istorice și contribuie la consolidarea coerenței interne a Cadrului Național al Calificărilor.</w:t>
      </w:r>
    </w:p>
    <w:p w14:paraId="75BCC491" w14:textId="181329AD" w:rsidR="00482D69" w:rsidRPr="0020102C" w:rsidRDefault="00482D69" w:rsidP="00040831">
      <w:pPr>
        <w:pStyle w:val="af8"/>
        <w:spacing w:before="120" w:beforeAutospacing="0" w:after="120" w:afterAutospacing="0" w:line="276" w:lineRule="auto"/>
        <w:jc w:val="both"/>
      </w:pPr>
      <w:r w:rsidRPr="0020102C">
        <w:t>Procedura de recunoaștere și validare aprobată de MEC se realizează pe baza standardelor de calificare, cu adaptări sectoriale, având la bază câteva principii c</w:t>
      </w:r>
      <w:r w:rsidR="00492E47" w:rsidRPr="0020102C">
        <w:t>he</w:t>
      </w:r>
      <w:r w:rsidRPr="0020102C">
        <w:t>ie:</w:t>
      </w:r>
    </w:p>
    <w:p w14:paraId="65CDD6A3"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corelarea măsurilor de validare cu CNC și conformitatea cu EQF;</w:t>
      </w:r>
    </w:p>
    <w:p w14:paraId="24B01949"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asigurarea accesului la informații clare privind beneficiile și procedurile de validare;</w:t>
      </w:r>
    </w:p>
    <w:p w14:paraId="12C6D8D8"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sprijinirea grupurilor defavorizate și a persoanelor aflate în șomaj, oferindu-le oportunități de participare la educație și integrare profesională;</w:t>
      </w:r>
    </w:p>
    <w:p w14:paraId="71798958"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furnizarea de servicii de orientare și consiliere accesibile;</w:t>
      </w:r>
    </w:p>
    <w:p w14:paraId="5E96DB9E"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garantarea calității prin metodologii și instrumente fiabile, validate și transparente;</w:t>
      </w:r>
    </w:p>
    <w:p w14:paraId="5C7436E8"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perfecționarea continuă a personalului implicat în proces;</w:t>
      </w:r>
    </w:p>
    <w:p w14:paraId="716B3B71"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posibilitatea de recunoaștere a calificărilor complete sau parțiale obținute prin experiențe nonformale și informale;</w:t>
      </w:r>
    </w:p>
    <w:p w14:paraId="39D46419" w14:textId="77777777" w:rsidR="00482D69" w:rsidRPr="0020102C" w:rsidRDefault="00482D69" w:rsidP="00A41843">
      <w:pPr>
        <w:pStyle w:val="af8"/>
        <w:numPr>
          <w:ilvl w:val="0"/>
          <w:numId w:val="109"/>
        </w:numPr>
        <w:spacing w:before="120" w:beforeAutospacing="0" w:after="120" w:afterAutospacing="0" w:line="276" w:lineRule="auto"/>
        <w:jc w:val="both"/>
      </w:pPr>
      <w:r w:rsidRPr="0020102C">
        <w:t>utilizarea instrumentelor europene de transparență, precum Europass și Youthpass, pentru documentarea rezultatelor și facilitarea mobilității.</w:t>
      </w:r>
    </w:p>
    <w:p w14:paraId="2410EB46" w14:textId="145959EB" w:rsidR="00482D69" w:rsidRPr="0020102C" w:rsidRDefault="00482D69" w:rsidP="00040831">
      <w:pPr>
        <w:pStyle w:val="af8"/>
        <w:spacing w:before="120" w:beforeAutospacing="0" w:after="120" w:afterAutospacing="0" w:line="276" w:lineRule="auto"/>
        <w:jc w:val="both"/>
      </w:pPr>
      <w:r w:rsidRPr="0020102C">
        <w:t>Procedura de recunoaștere se aplică doar calificărilor înscrise în RNC și presupune respectarea principiilor de asigurare a calității, inclusiv utilizarea sistemului de credite pentru studii. În cadrul procesului se examinează: identificarea nivelului de calificare și a volumului de credite, corespondența modulelor și disciplinelor cu scopul calificării, calitatea și relevanța evaluării, documentarea rezultatelor și certificarea finală, fie a unei calificări complete, fie a unei părți din aceasta.</w:t>
      </w:r>
    </w:p>
    <w:p w14:paraId="381EAE41" w14:textId="77777777" w:rsidR="00482D69" w:rsidRPr="0020102C" w:rsidRDefault="00482D69" w:rsidP="00040831">
      <w:pPr>
        <w:pStyle w:val="af8"/>
        <w:spacing w:before="120" w:beforeAutospacing="0" w:after="120" w:afterAutospacing="0" w:line="276" w:lineRule="auto"/>
        <w:jc w:val="both"/>
      </w:pPr>
      <w:r w:rsidRPr="0020102C">
        <w:t xml:space="preserve">Recunoașterea și validarea rezultatelor pot fi realizate de instituții de educație și formare, centre de evaluare a competențelor sau organizații de cercetare autorizate, iar pentru profesiile reglementate – în colaborare cu ministerele de resort. </w:t>
      </w:r>
      <w:r w:rsidRPr="0020102C">
        <w:rPr>
          <w:rStyle w:val="af9"/>
          <w:rFonts w:eastAsiaTheme="majorEastAsia"/>
          <w:b w:val="0"/>
          <w:bCs w:val="0"/>
        </w:rPr>
        <w:t>ANACEC</w:t>
      </w:r>
      <w:r w:rsidRPr="0020102C">
        <w:t xml:space="preserve"> are responsabilitatea de a monitoriza respectarea cadrului normativ și a principiilor de calitate în acest proces, consolidând astfel credibilitatea și coerența sistemului.</w:t>
      </w:r>
    </w:p>
    <w:p w14:paraId="5A86C59D" w14:textId="77777777" w:rsidR="00FB2DB4" w:rsidRPr="0020102C" w:rsidRDefault="00FB2DB4" w:rsidP="000E435B">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Finanțarea</w:t>
      </w:r>
      <w:r w:rsidRPr="0020102C">
        <w:rPr>
          <w:rFonts w:ascii="Times New Roman" w:eastAsia="Times New Roman" w:hAnsi="Times New Roman" w:cs="Times New Roman"/>
          <w:kern w:val="0"/>
          <w:sz w:val="24"/>
          <w:szCs w:val="24"/>
          <w:lang w:eastAsia="ro-MD"/>
          <w14:ligatures w14:val="none"/>
        </w:rPr>
        <w:t xml:space="preserve"> procesului se realizează din surse variate: bugetul de stat, taxe suportate de beneficiari, resurse corporative sau fonduri internaționale. Statul sprijină în mod special:</w:t>
      </w:r>
    </w:p>
    <w:p w14:paraId="7F58073A" w14:textId="77777777" w:rsidR="00FB2DB4" w:rsidRPr="0020102C" w:rsidRDefault="00FB2DB4" w:rsidP="00A41843">
      <w:pPr>
        <w:numPr>
          <w:ilvl w:val="0"/>
          <w:numId w:val="10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beneficiari din grupuri social-vulnerabile;</w:t>
      </w:r>
    </w:p>
    <w:p w14:paraId="6F1A2B30" w14:textId="77777777" w:rsidR="00FB2DB4" w:rsidRPr="0020102C" w:rsidRDefault="00FB2DB4" w:rsidP="00A41843">
      <w:pPr>
        <w:numPr>
          <w:ilvl w:val="0"/>
          <w:numId w:val="10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persoane aflate în șomaj de lungă durată;</w:t>
      </w:r>
    </w:p>
    <w:p w14:paraId="0319A82E" w14:textId="77777777" w:rsidR="00916AE3" w:rsidRDefault="00FB2DB4" w:rsidP="00A41843">
      <w:pPr>
        <w:numPr>
          <w:ilvl w:val="0"/>
          <w:numId w:val="10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candidați pentru meserii și specialități prioritare pentru dezvoltarea națională.</w:t>
      </w:r>
    </w:p>
    <w:p w14:paraId="393B5CEF" w14:textId="023695B3" w:rsidR="00194EA9" w:rsidRPr="00916AE3" w:rsidRDefault="00194EA9" w:rsidP="00916AE3">
      <w:pPr>
        <w:spacing w:before="120" w:after="120" w:line="276" w:lineRule="auto"/>
        <w:jc w:val="both"/>
        <w:rPr>
          <w:rFonts w:ascii="Times New Roman" w:eastAsia="Times New Roman" w:hAnsi="Times New Roman" w:cs="Times New Roman"/>
          <w:kern w:val="0"/>
          <w:sz w:val="24"/>
          <w:szCs w:val="24"/>
          <w:lang w:eastAsia="ro-MD"/>
          <w14:ligatures w14:val="none"/>
        </w:rPr>
      </w:pPr>
      <w:r w:rsidRPr="00916AE3">
        <w:rPr>
          <w:rFonts w:ascii="Times New Roman" w:eastAsia="Times New Roman" w:hAnsi="Times New Roman" w:cs="Times New Roman"/>
          <w:kern w:val="0"/>
          <w:sz w:val="24"/>
          <w:szCs w:val="24"/>
          <w:lang w:eastAsia="ro-MD"/>
          <w14:ligatures w14:val="none"/>
        </w:rPr>
        <w:lastRenderedPageBreak/>
        <w:t xml:space="preserve">În cadrul mai multor instituții superioare de învățământ au fost deschise Centre de validare, care activează în baza Regulmantelor instituționale elaborate. ( </w:t>
      </w:r>
      <w:hyperlink r:id="rId20" w:tgtFrame="_blank" w:history="1">
        <w:r w:rsidRPr="00916AE3">
          <w:rPr>
            <w:rFonts w:ascii="Times New Roman" w:eastAsia="Times New Roman" w:hAnsi="Times New Roman" w:cs="Times New Roman"/>
            <w:kern w:val="0"/>
            <w:sz w:val="24"/>
            <w:szCs w:val="24"/>
            <w:lang w:eastAsia="ro-MD"/>
            <w14:ligatures w14:val="none"/>
          </w:rPr>
          <w:t>Regulamentul de organizare și funcționare a Centrului de validare în cadrul Universității Pedagogice de Stat „Ion Creangă” din Chișinău, PV nr. 14 din 20.06.2024</w:t>
        </w:r>
      </w:hyperlink>
      <w:r w:rsidRPr="00916AE3">
        <w:rPr>
          <w:rFonts w:ascii="Times New Roman" w:eastAsia="Times New Roman" w:hAnsi="Times New Roman" w:cs="Times New Roman"/>
          <w:kern w:val="0"/>
          <w:sz w:val="24"/>
          <w:szCs w:val="24"/>
          <w:lang w:eastAsia="ro-MD"/>
          <w14:ligatures w14:val="none"/>
        </w:rPr>
        <w:t>)</w:t>
      </w:r>
    </w:p>
    <w:p w14:paraId="0F741EB6" w14:textId="43443701" w:rsidR="00FB2DB4" w:rsidRPr="0020102C" w:rsidRDefault="00FB2DB4" w:rsidP="000E435B">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Conform datelor </w:t>
      </w:r>
      <w:r w:rsidR="006252BC" w:rsidRPr="001F6026">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xml:space="preserve"> (2023), în Republica Moldova funcționează 15 centre de validare a competențelor dobândite în contexte nonformale și informale. În perioada 2019–2023, au fost certificați 966 de candidați, acoperind 92 de meserii și specialități. Din total:</w:t>
      </w:r>
    </w:p>
    <w:p w14:paraId="74CAF47F" w14:textId="77777777" w:rsidR="00FB2DB4" w:rsidRPr="0020102C" w:rsidRDefault="00FB2DB4" w:rsidP="00A41843">
      <w:pPr>
        <w:numPr>
          <w:ilvl w:val="0"/>
          <w:numId w:val="10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188 (2019–2021) și 543 (2022–2023) au fost femei;</w:t>
      </w:r>
    </w:p>
    <w:p w14:paraId="291297CF" w14:textId="77777777" w:rsidR="00FB2DB4" w:rsidRPr="0020102C" w:rsidRDefault="00FB2DB4" w:rsidP="00A41843">
      <w:pPr>
        <w:numPr>
          <w:ilvl w:val="0"/>
          <w:numId w:val="10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167 au fost migranți moldoveni reveniți în țară;</w:t>
      </w:r>
    </w:p>
    <w:p w14:paraId="4956BACA" w14:textId="704D740F" w:rsidR="00FB2DB4" w:rsidRPr="0020102C" w:rsidRDefault="00FB2DB4" w:rsidP="00A41843">
      <w:pPr>
        <w:numPr>
          <w:ilvl w:val="0"/>
          <w:numId w:val="10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1 refugiat a beneficiat de această procedură.</w:t>
      </w:r>
      <w:r w:rsidR="00BF5C32" w:rsidRPr="0020102C">
        <w:rPr>
          <w:rFonts w:ascii="Times New Roman" w:eastAsia="Times New Roman" w:hAnsi="Times New Roman" w:cs="Times New Roman"/>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De asemenea, în cadrul centrelor </w:t>
      </w:r>
      <w:r w:rsidRPr="00433190">
        <w:rPr>
          <w:rFonts w:ascii="Times New Roman" w:eastAsia="Times New Roman" w:hAnsi="Times New Roman" w:cs="Times New Roman"/>
          <w:color w:val="EE0000"/>
          <w:kern w:val="0"/>
          <w:sz w:val="24"/>
          <w:szCs w:val="24"/>
          <w:lang w:eastAsia="ro-MD"/>
          <w14:ligatures w14:val="none"/>
        </w:rPr>
        <w:t xml:space="preserve">pot fi certificate </w:t>
      </w:r>
      <w:r w:rsidRPr="0020102C">
        <w:rPr>
          <w:rFonts w:ascii="Times New Roman" w:eastAsia="Times New Roman" w:hAnsi="Times New Roman" w:cs="Times New Roman"/>
          <w:kern w:val="0"/>
          <w:sz w:val="24"/>
          <w:szCs w:val="24"/>
          <w:lang w:eastAsia="ro-MD"/>
          <w14:ligatures w14:val="none"/>
        </w:rPr>
        <w:t>622 de competențe profesionale distincte.</w:t>
      </w:r>
    </w:p>
    <w:p w14:paraId="7F63BB84" w14:textId="5D90EC4C" w:rsidR="00766E04" w:rsidRPr="0020102C" w:rsidRDefault="00FB2DB4" w:rsidP="000E435B">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Aceste date confirmă dinamica pozitivă, dar și faptul că sistemul se află încă în proces de extindere și consolidare, ceea ce evidențiază necesitatea intensificării monitorizării și a raportării periodice pentru a crește impactul la nivel național.</w:t>
      </w:r>
    </w:p>
    <w:p w14:paraId="0FF170F3" w14:textId="77777777" w:rsidR="007F7F5E" w:rsidRPr="0020102C" w:rsidRDefault="007F7F5E" w:rsidP="000E435B">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p>
    <w:p w14:paraId="4153C334" w14:textId="1E504B98" w:rsidR="002C2000" w:rsidRPr="0020102C" w:rsidRDefault="002C2000" w:rsidP="000E435B">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4.9. </w:t>
      </w:r>
      <w:r w:rsidR="007F7F5E" w:rsidRPr="0020102C">
        <w:rPr>
          <w:rFonts w:ascii="Times New Roman" w:eastAsia="Times New Roman" w:hAnsi="Times New Roman" w:cs="Times New Roman"/>
          <w:b/>
          <w:bCs/>
          <w:color w:val="3494BA" w:themeColor="accent1"/>
          <w:kern w:val="0"/>
          <w:sz w:val="24"/>
          <w:szCs w:val="24"/>
          <w:lang w:eastAsia="ro-MD"/>
          <w14:ligatures w14:val="none"/>
        </w:rPr>
        <w:t>DIGITALIZARE, INSTRUMENTE DE TRANSPARENȚĂ ȘI RECUNOAȘTERE AUTOMATĂ ÎN CONTEXTUL INTEGRĂRII CNC ÎN SPAȚIUL EUROPEAN AL CALIFICĂRILOR</w:t>
      </w:r>
    </w:p>
    <w:p w14:paraId="42A79004" w14:textId="6E335FB6" w:rsidR="00CF250D" w:rsidRPr="0020102C" w:rsidRDefault="00CF250D" w:rsidP="000E435B">
      <w:pPr>
        <w:pStyle w:val="af8"/>
        <w:spacing w:before="120" w:beforeAutospacing="0" w:after="120" w:afterAutospacing="0" w:line="276" w:lineRule="auto"/>
        <w:jc w:val="both"/>
      </w:pPr>
      <w:r w:rsidRPr="0020102C">
        <w:t>Transformarea digitală reprezintă una dintre cele mai importante direcții de modernizare a CNC și un element central al alinierii Republicii Moldova la standardele europene. Digitalizarea nu doar eficientizează procesele de administrare și recunoaștere a calificărilor, ci și asigură transparența, integritatea și accesibilitatea acestora pentru elevi, studenți, angajatori și instituții de învățământ. Prin intermediul platformelor electronice naționale, datele educaționale sunt colectate, gestionate și publicate într-un mod unitar și fiabil, sprijinind astfel procesul de elaborare a politicilor publice, admiterea la programele de studii și verificarea autenticității actelor de studii. Totodată, interoperabilitatea acestor instrumente cu platformele europene permite o integrare directă a CNC în spațiul educațional și ocupațional european, facilitând mobilitatea academică și profesională.</w:t>
      </w:r>
    </w:p>
    <w:p w14:paraId="314CB45D" w14:textId="77777777" w:rsidR="00CF250D" w:rsidRPr="0020102C" w:rsidRDefault="00CF250D" w:rsidP="005C4FE9">
      <w:pPr>
        <w:pStyle w:val="af8"/>
        <w:spacing w:before="120" w:beforeAutospacing="0" w:after="120" w:afterAutospacing="0" w:line="276" w:lineRule="auto"/>
        <w:jc w:val="both"/>
      </w:pPr>
      <w:r w:rsidRPr="0020102C">
        <w:t>Centrul Tehnologiilor Informaționale și Comunicaționale în Educație (CTICE), instituție publică subordonată Ministerului Educației și Cercetării, are un rol esențial în acest proces. CTICE administrează principalele sisteme informaționale educaționale naționale:</w:t>
      </w:r>
    </w:p>
    <w:p w14:paraId="66B027B4" w14:textId="6BB0D1E2" w:rsidR="00CF250D" w:rsidRPr="0020102C" w:rsidRDefault="00F73080" w:rsidP="00A41843">
      <w:pPr>
        <w:pStyle w:val="af8"/>
        <w:numPr>
          <w:ilvl w:val="0"/>
          <w:numId w:val="110"/>
        </w:numPr>
        <w:spacing w:before="120" w:beforeAutospacing="0" w:after="120" w:afterAutospacing="0" w:line="276" w:lineRule="auto"/>
        <w:jc w:val="both"/>
      </w:pPr>
      <w:r w:rsidRPr="0020102C">
        <w:rPr>
          <w:b/>
          <w:bCs/>
        </w:rPr>
        <w:t>SIME</w:t>
      </w:r>
      <w:r w:rsidRPr="0020102C">
        <w:t xml:space="preserve"> (Sistemul Informațional de Management Educațional)/ </w:t>
      </w:r>
      <w:r w:rsidRPr="0020102C">
        <w:rPr>
          <w:rStyle w:val="af9"/>
          <w:rFonts w:eastAsiaTheme="majorEastAsia"/>
        </w:rPr>
        <w:t>EMIS</w:t>
      </w:r>
      <w:r w:rsidRPr="0020102C">
        <w:t xml:space="preserve"> </w:t>
      </w:r>
      <w:r w:rsidR="00CF250D" w:rsidRPr="0020102C">
        <w:t>Education Management Information System</w:t>
      </w:r>
      <w:r w:rsidR="001B7A63" w:rsidRPr="0020102C">
        <w:t xml:space="preserve"> (</w:t>
      </w:r>
      <w:hyperlink r:id="rId21" w:history="1">
        <w:r w:rsidR="001B7A63" w:rsidRPr="0020102C">
          <w:rPr>
            <w:rStyle w:val="aff0"/>
          </w:rPr>
          <w:t>link</w:t>
        </w:r>
      </w:hyperlink>
      <w:r w:rsidR="001B7A63" w:rsidRPr="0020102C">
        <w:t>)</w:t>
      </w:r>
      <w:r w:rsidR="00CF250D" w:rsidRPr="0020102C">
        <w:t>;</w:t>
      </w:r>
    </w:p>
    <w:p w14:paraId="0EF00F04" w14:textId="5DCB9D39" w:rsidR="00CF250D" w:rsidRPr="0020102C" w:rsidRDefault="004F037E" w:rsidP="00A41843">
      <w:pPr>
        <w:pStyle w:val="af8"/>
        <w:numPr>
          <w:ilvl w:val="0"/>
          <w:numId w:val="110"/>
        </w:numPr>
        <w:spacing w:before="120" w:beforeAutospacing="0" w:after="120" w:afterAutospacing="0" w:line="276" w:lineRule="auto"/>
        <w:jc w:val="both"/>
      </w:pPr>
      <w:r w:rsidRPr="0020102C">
        <w:rPr>
          <w:b/>
          <w:bCs/>
        </w:rPr>
        <w:t>SIMIS</w:t>
      </w:r>
      <w:r w:rsidRPr="0020102C">
        <w:t xml:space="preserve"> (Sistemul Informațional de Management al Învățământului Superior) </w:t>
      </w:r>
      <w:r w:rsidR="002F5C7D" w:rsidRPr="0020102C">
        <w:t>/</w:t>
      </w:r>
      <w:r w:rsidR="00B77FA5" w:rsidRPr="0020102C">
        <w:rPr>
          <w:rStyle w:val="af9"/>
          <w:rFonts w:eastAsiaTheme="majorEastAsia"/>
        </w:rPr>
        <w:t>HEMIS</w:t>
      </w:r>
      <w:r w:rsidR="00CF250D" w:rsidRPr="0020102C">
        <w:t xml:space="preserve"> (Hig</w:t>
      </w:r>
      <w:r w:rsidR="007B29A9" w:rsidRPr="0020102C">
        <w:t>he</w:t>
      </w:r>
      <w:r w:rsidR="00CF250D" w:rsidRPr="0020102C">
        <w:t>r Education Management Information System);</w:t>
      </w:r>
      <w:r w:rsidR="00F50543" w:rsidRPr="0020102C">
        <w:t xml:space="preserve"> (</w:t>
      </w:r>
      <w:r w:rsidR="00F50543" w:rsidRPr="00F274FB">
        <w:t>https://</w:t>
      </w:r>
      <w:r w:rsidR="00B77FA5" w:rsidRPr="00F274FB">
        <w:t>he</w:t>
      </w:r>
      <w:r w:rsidR="00F50543" w:rsidRPr="00F274FB">
        <w:t>mis.md</w:t>
      </w:r>
      <w:r w:rsidR="00F50543" w:rsidRPr="0020102C">
        <w:t>)</w:t>
      </w:r>
    </w:p>
    <w:p w14:paraId="2A7CD223" w14:textId="111C2F5E" w:rsidR="00CF250D" w:rsidRPr="0020102C" w:rsidRDefault="00CF250D" w:rsidP="00A41843">
      <w:pPr>
        <w:pStyle w:val="af8"/>
        <w:numPr>
          <w:ilvl w:val="0"/>
          <w:numId w:val="110"/>
        </w:numPr>
        <w:spacing w:before="120" w:beforeAutospacing="0" w:after="120" w:afterAutospacing="0" w:line="276" w:lineRule="auto"/>
        <w:jc w:val="both"/>
      </w:pPr>
      <w:r w:rsidRPr="0020102C">
        <w:rPr>
          <w:rStyle w:val="af9"/>
          <w:rFonts w:eastAsiaTheme="majorEastAsia"/>
        </w:rPr>
        <w:t>portalul acte.edu.md</w:t>
      </w:r>
      <w:r w:rsidRPr="0020102C">
        <w:t>;</w:t>
      </w:r>
    </w:p>
    <w:p w14:paraId="11965FB6" w14:textId="31A6BA81" w:rsidR="00CF250D" w:rsidRPr="0020102C" w:rsidRDefault="00CF250D" w:rsidP="00A41843">
      <w:pPr>
        <w:pStyle w:val="af8"/>
        <w:numPr>
          <w:ilvl w:val="0"/>
          <w:numId w:val="110"/>
        </w:numPr>
        <w:spacing w:before="120" w:beforeAutospacing="0" w:after="120" w:afterAutospacing="0" w:line="276" w:lineRule="auto"/>
        <w:jc w:val="both"/>
      </w:pPr>
      <w:r w:rsidRPr="0020102C">
        <w:rPr>
          <w:rStyle w:val="af9"/>
          <w:rFonts w:eastAsiaTheme="majorEastAsia"/>
        </w:rPr>
        <w:t>sistemul e-Admission</w:t>
      </w:r>
      <w:r w:rsidR="001D294F" w:rsidRPr="0020102C">
        <w:rPr>
          <w:rStyle w:val="af9"/>
          <w:rFonts w:eastAsiaTheme="majorEastAsia"/>
        </w:rPr>
        <w:t xml:space="preserve"> </w:t>
      </w:r>
      <w:r w:rsidR="001D294F" w:rsidRPr="0020102C">
        <w:rPr>
          <w:rStyle w:val="af9"/>
          <w:rFonts w:eastAsiaTheme="majorEastAsia"/>
          <w:b w:val="0"/>
          <w:bCs w:val="0"/>
        </w:rPr>
        <w:t>(</w:t>
      </w:r>
      <w:hyperlink r:id="rId22" w:history="1">
        <w:r w:rsidR="001D294F" w:rsidRPr="0020102C">
          <w:rPr>
            <w:rStyle w:val="aff0"/>
          </w:rPr>
          <w:t>link</w:t>
        </w:r>
      </w:hyperlink>
      <w:r w:rsidR="001D294F" w:rsidRPr="0020102C">
        <w:t>)</w:t>
      </w:r>
      <w:r w:rsidRPr="0020102C">
        <w:t>.</w:t>
      </w:r>
    </w:p>
    <w:p w14:paraId="6A81DDDD" w14:textId="7F362381" w:rsidR="00715BA4" w:rsidRPr="0020102C" w:rsidRDefault="00715BA4"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Sistemul Informațional de Management Educațional (</w:t>
      </w:r>
      <w:r w:rsidRPr="0020102C">
        <w:rPr>
          <w:rFonts w:ascii="Times New Roman" w:eastAsia="Times New Roman" w:hAnsi="Times New Roman" w:cs="Times New Roman"/>
          <w:b/>
          <w:bCs/>
          <w:kern w:val="0"/>
          <w:sz w:val="24"/>
          <w:szCs w:val="24"/>
          <w:lang w:eastAsia="ro-MD"/>
          <w14:ligatures w14:val="none"/>
        </w:rPr>
        <w:t>EMIS</w:t>
      </w:r>
      <w:r w:rsidRPr="0020102C">
        <w:rPr>
          <w:rFonts w:ascii="Times New Roman" w:eastAsia="Times New Roman" w:hAnsi="Times New Roman" w:cs="Times New Roman"/>
          <w:kern w:val="0"/>
          <w:sz w:val="24"/>
          <w:szCs w:val="24"/>
          <w:lang w:eastAsia="ro-MD"/>
          <w14:ligatures w14:val="none"/>
        </w:rPr>
        <w:t xml:space="preserve">) este o platformă națională destinată colectării, procesării și analizării datelor din învățământul general și învățământul profesional tehnic (ÎPT). Datele gestionate de EMIS acoperă toate componentele esențiale ale sistemului educațional: numărul și caracteristicile elevilor (vârstă, gen, limba de instruire, statut socio-economic), cadrele didactice (număr, calificări, distribuție), infrastructura și dotările instituțiilor de învățământ, precum și indicatorii de </w:t>
      </w:r>
      <w:r w:rsidRPr="0020102C">
        <w:rPr>
          <w:rFonts w:ascii="Times New Roman" w:eastAsia="Times New Roman" w:hAnsi="Times New Roman" w:cs="Times New Roman"/>
          <w:kern w:val="0"/>
          <w:sz w:val="24"/>
          <w:szCs w:val="24"/>
          <w:lang w:eastAsia="ro-MD"/>
          <w14:ligatures w14:val="none"/>
        </w:rPr>
        <w:lastRenderedPageBreak/>
        <w:t>performanță (promovabilitate, abandon școlar, rezultate la examene). Informațiile astfel colectate sunt utilizate de Ministerul Educației și Cercetării, autoritățile locale și alți factori de decizie pentru planificarea strategică, elaborarea politicilor educaționale bazate pe date și raportarea internațională. Prin EMIS, Republica Moldova își consolidează capacitatea de monitorizare și guvernanță a sistemului educațional în conformitate cu bunele practici europene.</w:t>
      </w:r>
    </w:p>
    <w:p w14:paraId="638F085B" w14:textId="706B9746" w:rsidR="00715BA4" w:rsidRPr="0020102C" w:rsidRDefault="00715BA4" w:rsidP="005C4FE9">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Sistemul Informațional de Management al Învățământului Superior (</w:t>
      </w:r>
      <w:r w:rsidR="00B77FA5" w:rsidRPr="0020102C">
        <w:rPr>
          <w:rFonts w:ascii="Times New Roman" w:eastAsia="Times New Roman" w:hAnsi="Times New Roman" w:cs="Times New Roman"/>
          <w:b/>
          <w:bCs/>
          <w:kern w:val="0"/>
          <w:sz w:val="24"/>
          <w:szCs w:val="24"/>
          <w:lang w:eastAsia="ro-MD"/>
          <w14:ligatures w14:val="none"/>
        </w:rPr>
        <w:t>HEMIS</w:t>
      </w:r>
      <w:r w:rsidRPr="0020102C">
        <w:rPr>
          <w:rFonts w:ascii="Times New Roman" w:eastAsia="Times New Roman" w:hAnsi="Times New Roman" w:cs="Times New Roman"/>
          <w:kern w:val="0"/>
          <w:sz w:val="24"/>
          <w:szCs w:val="24"/>
          <w:lang w:eastAsia="ro-MD"/>
          <w14:ligatures w14:val="none"/>
        </w:rPr>
        <w:t xml:space="preserve">) este o platformă digitală centralizată care asigură colectarea și gestionarea datelor din sectorul învățământului superior din Republica Moldova. </w:t>
      </w:r>
      <w:r w:rsidR="00B77FA5" w:rsidRPr="0020102C">
        <w:rPr>
          <w:rFonts w:ascii="Times New Roman" w:eastAsia="Times New Roman" w:hAnsi="Times New Roman" w:cs="Times New Roman"/>
          <w:kern w:val="0"/>
          <w:sz w:val="24"/>
          <w:szCs w:val="24"/>
          <w:lang w:eastAsia="ro-MD"/>
          <w14:ligatures w14:val="none"/>
        </w:rPr>
        <w:t>HEMIS</w:t>
      </w:r>
      <w:r w:rsidRPr="0020102C">
        <w:rPr>
          <w:rFonts w:ascii="Times New Roman" w:eastAsia="Times New Roman" w:hAnsi="Times New Roman" w:cs="Times New Roman"/>
          <w:kern w:val="0"/>
          <w:sz w:val="24"/>
          <w:szCs w:val="24"/>
          <w:lang w:eastAsia="ro-MD"/>
          <w14:ligatures w14:val="none"/>
        </w:rPr>
        <w:t xml:space="preserve"> include informații detaliate despre studenți (înscriere, parcurs academic, mobilități, absolvire), personal academic și administrativ (număr, funcții, calificări), precum și despre programele de studii, infrastructura universitară și indicatorii de performanță instituțională. Sistemul sprijină luarea deciziilor informate la nivel de politici publice, evaluarea calității învățământului superior și raportarea națională și internațională. Prin implementarea </w:t>
      </w:r>
      <w:r w:rsidR="00B77FA5" w:rsidRPr="0020102C">
        <w:rPr>
          <w:rFonts w:ascii="Times New Roman" w:eastAsia="Times New Roman" w:hAnsi="Times New Roman" w:cs="Times New Roman"/>
          <w:kern w:val="0"/>
          <w:sz w:val="24"/>
          <w:szCs w:val="24"/>
          <w:lang w:eastAsia="ro-MD"/>
          <w14:ligatures w14:val="none"/>
        </w:rPr>
        <w:t>HEMIS</w:t>
      </w:r>
      <w:r w:rsidRPr="0020102C">
        <w:rPr>
          <w:rFonts w:ascii="Times New Roman" w:eastAsia="Times New Roman" w:hAnsi="Times New Roman" w:cs="Times New Roman"/>
          <w:kern w:val="0"/>
          <w:sz w:val="24"/>
          <w:szCs w:val="24"/>
          <w:lang w:eastAsia="ro-MD"/>
          <w14:ligatures w14:val="none"/>
        </w:rPr>
        <w:t>, Republica Moldova avansează în direcția modernizării managementului universitar, aliniindu-se la standardele europene privind transparența, eficiența și guvernanța educațională.</w:t>
      </w:r>
    </w:p>
    <w:p w14:paraId="50E2782C" w14:textId="42F246B3" w:rsidR="00CF250D" w:rsidRPr="0020102C" w:rsidRDefault="00CF250D" w:rsidP="005C4FE9">
      <w:pPr>
        <w:pStyle w:val="af8"/>
        <w:spacing w:before="120" w:beforeAutospacing="0" w:after="120" w:afterAutospacing="0" w:line="276" w:lineRule="auto"/>
        <w:jc w:val="both"/>
      </w:pPr>
      <w:r w:rsidRPr="0020102C">
        <w:t xml:space="preserve">Portalul </w:t>
      </w:r>
      <w:r w:rsidRPr="0020102C">
        <w:rPr>
          <w:rStyle w:val="af9"/>
          <w:rFonts w:eastAsiaTheme="majorEastAsia"/>
        </w:rPr>
        <w:t>acte.edu.md</w:t>
      </w:r>
      <w:r w:rsidRPr="0020102C">
        <w:t xml:space="preserve"> oferă posibilitatea de verificare în timp real a autenticității diplomelor, certificatelor și altor acte de studii emise de instituțiile de învățământ din Republica Moldova, contribuind la prevenirea falsificării documentelor și consolidarea încrederii în sistemul educațional. Platforma este interconectată cu sistemele educaționale naționale și facilitează accesul la acte în format electronic, însoțite de semnătură digitală calificată.</w:t>
      </w:r>
    </w:p>
    <w:p w14:paraId="1B290C86" w14:textId="78886EFD" w:rsidR="00CF250D" w:rsidRPr="0020102C" w:rsidRDefault="00C26C1F" w:rsidP="005C4FE9">
      <w:pPr>
        <w:pStyle w:val="af8"/>
        <w:spacing w:before="120" w:beforeAutospacing="0" w:after="120" w:afterAutospacing="0" w:line="276" w:lineRule="auto"/>
        <w:jc w:val="both"/>
      </w:pPr>
      <w:r w:rsidRPr="0020102C">
        <w:t>S</w:t>
      </w:r>
      <w:r w:rsidR="00CF250D" w:rsidRPr="0020102C">
        <w:t xml:space="preserve">istemul </w:t>
      </w:r>
      <w:r w:rsidR="00CF250D" w:rsidRPr="0020102C">
        <w:rPr>
          <w:rStyle w:val="af9"/>
          <w:rFonts w:eastAsiaTheme="majorEastAsia"/>
        </w:rPr>
        <w:t>e-Admission</w:t>
      </w:r>
      <w:r w:rsidR="00CF250D" w:rsidRPr="0020102C">
        <w:t xml:space="preserve"> permite automatizarea proceselor de înscriere la studii, simplificând interacțiunea dintre candidați și instituțiile de învățământ, reducând birocrația și oferind o experiență digitală modernă, conformă cu practicile europene. Acest sistem oferă posibilitatea de integrare a informațiilor despre calificări și credite ECTS, facilitând corelarea între nivelurile CNC și cele europene (EQF, QF-</w:t>
      </w:r>
      <w:r w:rsidR="002513BE" w:rsidRPr="0020102C">
        <w:t>EHEA</w:t>
      </w:r>
      <w:r w:rsidR="00CF250D" w:rsidRPr="0020102C">
        <w:t>) încă din etapa admiterii.</w:t>
      </w:r>
    </w:p>
    <w:p w14:paraId="10D230AC" w14:textId="4F6B11FD" w:rsidR="00CF250D" w:rsidRPr="0020102C" w:rsidRDefault="0040352A" w:rsidP="005C4FE9">
      <w:pPr>
        <w:pStyle w:val="af8"/>
        <w:spacing w:before="120" w:beforeAutospacing="0" w:after="120" w:afterAutospacing="0" w:line="276" w:lineRule="auto"/>
        <w:jc w:val="both"/>
      </w:pPr>
      <w:r w:rsidRPr="0020102C">
        <w:t>Prin aceste instrumente, CTICE asigură colectarea, prelucrarea și publicarea datelor educaționale oficiale, oferind acces transparent pentru elevi, studenți, angajatori și alte părți interesate</w:t>
      </w:r>
      <w:r w:rsidR="00811AA7" w:rsidRPr="0020102C">
        <w:t xml:space="preserve"> și </w:t>
      </w:r>
      <w:r w:rsidR="00CF250D" w:rsidRPr="0020102C">
        <w:t>furnizează Ministerului și altor autorități date relevante pentru elaborarea, monitorizarea și evaluarea politicilor educaționale, sprijinind astfel procesul decizional bazat pe dovezi.</w:t>
      </w:r>
    </w:p>
    <w:p w14:paraId="6AA1EE9A" w14:textId="77777777" w:rsidR="00CF250D" w:rsidRPr="0020102C" w:rsidRDefault="00CF250D" w:rsidP="005C4FE9">
      <w:pPr>
        <w:pStyle w:val="af8"/>
        <w:spacing w:before="120" w:beforeAutospacing="0" w:after="120" w:afterAutospacing="0" w:line="276" w:lineRule="auto"/>
        <w:jc w:val="both"/>
      </w:pPr>
      <w:r w:rsidRPr="0020102C">
        <w:t>Instrumentele de transparență europeană completează acest cadru, consolidând comparabilitatea și recunoașterea internațională a calificărilor moldovenești. Republica Moldova utilizează:</w:t>
      </w:r>
    </w:p>
    <w:p w14:paraId="614B8C05" w14:textId="77777777" w:rsidR="00CF250D" w:rsidRPr="0020102C" w:rsidRDefault="00CF250D" w:rsidP="00A41843">
      <w:pPr>
        <w:pStyle w:val="af8"/>
        <w:numPr>
          <w:ilvl w:val="0"/>
          <w:numId w:val="111"/>
        </w:numPr>
        <w:spacing w:before="120" w:beforeAutospacing="0" w:after="120" w:afterAutospacing="0" w:line="276" w:lineRule="auto"/>
        <w:jc w:val="both"/>
      </w:pPr>
      <w:r w:rsidRPr="0020102C">
        <w:rPr>
          <w:rStyle w:val="af9"/>
          <w:rFonts w:eastAsiaTheme="majorEastAsia"/>
        </w:rPr>
        <w:t>Europass</w:t>
      </w:r>
      <w:r w:rsidRPr="0020102C">
        <w:t xml:space="preserve"> – pentru prezentarea standardizată a competențelor și calificărilor;</w:t>
      </w:r>
    </w:p>
    <w:p w14:paraId="2A47823F" w14:textId="77777777" w:rsidR="00CF250D" w:rsidRPr="0020102C" w:rsidRDefault="00CF250D" w:rsidP="00A41843">
      <w:pPr>
        <w:pStyle w:val="af8"/>
        <w:numPr>
          <w:ilvl w:val="0"/>
          <w:numId w:val="111"/>
        </w:numPr>
        <w:spacing w:before="120" w:beforeAutospacing="0" w:after="120" w:afterAutospacing="0" w:line="276" w:lineRule="auto"/>
        <w:jc w:val="both"/>
      </w:pPr>
      <w:r w:rsidRPr="0020102C">
        <w:rPr>
          <w:rStyle w:val="af9"/>
          <w:rFonts w:eastAsiaTheme="majorEastAsia"/>
        </w:rPr>
        <w:t>Youthpass</w:t>
      </w:r>
      <w:r w:rsidRPr="0020102C">
        <w:t xml:space="preserve"> – pentru documentarea rezultatelor învățării dobândite în proiecte de tineret;</w:t>
      </w:r>
    </w:p>
    <w:p w14:paraId="145C69FB" w14:textId="77777777" w:rsidR="00CF250D" w:rsidRPr="0020102C" w:rsidRDefault="00CF250D" w:rsidP="00A41843">
      <w:pPr>
        <w:pStyle w:val="af8"/>
        <w:numPr>
          <w:ilvl w:val="0"/>
          <w:numId w:val="111"/>
        </w:numPr>
        <w:spacing w:before="120" w:beforeAutospacing="0" w:after="120" w:afterAutospacing="0" w:line="276" w:lineRule="auto"/>
        <w:jc w:val="both"/>
      </w:pPr>
      <w:r w:rsidRPr="0020102C">
        <w:rPr>
          <w:rStyle w:val="af9"/>
          <w:rFonts w:eastAsiaTheme="majorEastAsia"/>
        </w:rPr>
        <w:t>ECTS</w:t>
      </w:r>
      <w:r w:rsidRPr="0020102C">
        <w:t xml:space="preserve"> (European Credit Transfer and Accumulation System) – pentru învățământul superior;</w:t>
      </w:r>
    </w:p>
    <w:p w14:paraId="385A736A" w14:textId="051949BB" w:rsidR="00CF250D" w:rsidRPr="0020102C" w:rsidRDefault="008E3A2E" w:rsidP="00A41843">
      <w:pPr>
        <w:pStyle w:val="af8"/>
        <w:numPr>
          <w:ilvl w:val="0"/>
          <w:numId w:val="111"/>
        </w:numPr>
        <w:spacing w:before="120" w:beforeAutospacing="0" w:after="120" w:afterAutospacing="0" w:line="276" w:lineRule="auto"/>
        <w:jc w:val="both"/>
      </w:pPr>
      <w:r w:rsidRPr="0020102C">
        <w:rPr>
          <w:rStyle w:val="af9"/>
          <w:rFonts w:eastAsiaTheme="majorEastAsia"/>
        </w:rPr>
        <w:t>ECVET</w:t>
      </w:r>
      <w:r w:rsidR="00CF250D" w:rsidRPr="0020102C">
        <w:t xml:space="preserve"> (European Credit System for Vocational Education and Training) – pentru învățământul profesional și formarea continuă.</w:t>
      </w:r>
    </w:p>
    <w:p w14:paraId="010A69F3" w14:textId="456F395E" w:rsidR="00CF250D" w:rsidRPr="0020102C" w:rsidRDefault="00CF250D" w:rsidP="005C4FE9">
      <w:pPr>
        <w:pStyle w:val="af8"/>
        <w:spacing w:before="120" w:beforeAutospacing="0" w:after="120" w:afterAutospacing="0" w:line="276" w:lineRule="auto"/>
        <w:jc w:val="both"/>
      </w:pPr>
      <w:r w:rsidRPr="0020102C">
        <w:t xml:space="preserve">În paralel, instrumentele naționale interconectate joacă un rol complementar. Cel mai important este </w:t>
      </w:r>
      <w:r w:rsidRPr="0020102C">
        <w:rPr>
          <w:rStyle w:val="af9"/>
          <w:rFonts w:eastAsiaTheme="majorEastAsia"/>
          <w:b w:val="0"/>
          <w:bCs w:val="0"/>
        </w:rPr>
        <w:t>RNC</w:t>
      </w:r>
      <w:r w:rsidRPr="0020102C">
        <w:rPr>
          <w:b/>
          <w:bCs/>
        </w:rPr>
        <w:t>,</w:t>
      </w:r>
      <w:r w:rsidRPr="0020102C">
        <w:t xml:space="preserve"> care funcționează ca platformă centrală de transparență la nivel național. Deși este un instrument național, RNC este interconectat cu Portalul EQF și Europass, ceea ce îi conferă și o dimensiune europeană, asigurând comparabilitatea și vizibilitatea internațională a calificărilor moldovenești.</w:t>
      </w:r>
    </w:p>
    <w:p w14:paraId="5E802B4A" w14:textId="0E4C2D13" w:rsidR="00644FCF" w:rsidRPr="0020102C" w:rsidRDefault="00644FCF" w:rsidP="005C4FE9">
      <w:pPr>
        <w:pStyle w:val="af8"/>
        <w:spacing w:before="120" w:beforeAutospacing="0" w:after="120" w:afterAutospacing="0" w:line="276" w:lineRule="auto"/>
        <w:jc w:val="both"/>
        <w:rPr>
          <w:b/>
          <w:bCs/>
          <w:color w:val="3494BA" w:themeColor="accent1"/>
        </w:rPr>
      </w:pPr>
      <w:r w:rsidRPr="0020102C">
        <w:rPr>
          <w:b/>
          <w:bCs/>
          <w:color w:val="3494BA" w:themeColor="accent1"/>
        </w:rPr>
        <w:t xml:space="preserve">Recunoașterea automată a calificărilor </w:t>
      </w:r>
    </w:p>
    <w:p w14:paraId="022F01CE" w14:textId="56F89D1E" w:rsidR="005B2FEF" w:rsidRPr="0020102C" w:rsidRDefault="005B2FEF" w:rsidP="005C4FE9">
      <w:pPr>
        <w:pStyle w:val="af8"/>
        <w:spacing w:before="120" w:beforeAutospacing="0" w:after="120" w:afterAutospacing="0" w:line="276" w:lineRule="auto"/>
        <w:jc w:val="both"/>
      </w:pPr>
      <w:r w:rsidRPr="0020102C">
        <w:lastRenderedPageBreak/>
        <w:t xml:space="preserve">Un element distinctiv al integrării CNC îl reprezintă </w:t>
      </w:r>
      <w:r w:rsidRPr="0020102C">
        <w:rPr>
          <w:rStyle w:val="af9"/>
          <w:rFonts w:eastAsiaTheme="majorEastAsia"/>
          <w:b w:val="0"/>
          <w:bCs w:val="0"/>
        </w:rPr>
        <w:t>recunoașterea automată a calificărilor</w:t>
      </w:r>
      <w:r w:rsidRPr="0020102C">
        <w:rPr>
          <w:b/>
          <w:bCs/>
        </w:rPr>
        <w:t>,</w:t>
      </w:r>
      <w:r w:rsidRPr="0020102C">
        <w:t xml:space="preserve"> prevăzută de HG nr. 330/2023 și consolidată prin participarea Republicii Moldova la Procesul Bologna și la inițiativele europene privind mobilitatea. Conform </w:t>
      </w:r>
      <w:r w:rsidRPr="0020102C">
        <w:rPr>
          <w:rStyle w:val="af9"/>
          <w:rFonts w:eastAsiaTheme="majorEastAsia"/>
          <w:b w:val="0"/>
          <w:bCs w:val="0"/>
        </w:rPr>
        <w:t>Ordinului ME</w:t>
      </w:r>
      <w:r w:rsidR="006252BC" w:rsidRPr="001F6026">
        <w:rPr>
          <w:rStyle w:val="af9"/>
          <w:rFonts w:eastAsiaTheme="majorEastAsia"/>
          <w:b w:val="0"/>
          <w:bCs w:val="0"/>
        </w:rPr>
        <w:t>C</w:t>
      </w:r>
      <w:r w:rsidRPr="0020102C">
        <w:rPr>
          <w:rStyle w:val="af9"/>
          <w:rFonts w:eastAsiaTheme="majorEastAsia"/>
          <w:b w:val="0"/>
          <w:bCs w:val="0"/>
        </w:rPr>
        <w:t xml:space="preserve"> nr. 1020/2023</w:t>
      </w:r>
      <w:r w:rsidRPr="0020102C">
        <w:t xml:space="preserve">, aplicarea sistemului ECTS și includerea nivelului CNC/EQF pe diplome și certificate constituie fundamentul pentru recunoașterea automată a studiilor și calificărilor, în special în cadrul schimburilor educaționale internaționale (Erasmus+, CEEPUS, acorduri bilaterale). De asemenea, </w:t>
      </w:r>
      <w:r w:rsidRPr="0020102C">
        <w:rPr>
          <w:rStyle w:val="af9"/>
          <w:rFonts w:eastAsiaTheme="majorEastAsia"/>
          <w:b w:val="0"/>
          <w:bCs w:val="0"/>
        </w:rPr>
        <w:t>Regulamentul privind recunoașterea și echivalarea actelor de studii obținute în străinătate</w:t>
      </w:r>
      <w:r w:rsidRPr="0020102C">
        <w:t xml:space="preserve"> (Ordin MECC nr. 1702/2019) include dispoziții care facilitează recunoașterea directă a diplomelor din țările participante la Procesul Bologna, reducând sarcina administrativă și sporind mobilitatea academică și profesională.</w:t>
      </w:r>
    </w:p>
    <w:p w14:paraId="6064E844" w14:textId="4525915D" w:rsidR="005B2FEF" w:rsidRPr="0020102C" w:rsidRDefault="005B2FEF" w:rsidP="005C4FE9">
      <w:pPr>
        <w:pStyle w:val="af8"/>
        <w:spacing w:before="120" w:beforeAutospacing="0" w:after="120" w:afterAutospacing="0" w:line="276" w:lineRule="auto"/>
        <w:jc w:val="both"/>
      </w:pPr>
      <w:r w:rsidRPr="0020102C">
        <w:t>De exemplu, absolvenții liceelor din Republica Moldova beneficiază de recunoaștere automată a diplomelor de bacalaureat în majoritatea țărilor UE, ceea ce le permite acces direct la programe universitare fără proceduri suplimentare de echivalare. În același timp, universitățile din Moldova aplică echivalarea automată a creditelor obținute prin programele Erasmus+, asigurând continuitatea studiilor și mobilitatea academică fără pierderi educaționale.</w:t>
      </w:r>
    </w:p>
    <w:p w14:paraId="1A2F6DE5" w14:textId="2F9BCEB0" w:rsidR="005B2FEF" w:rsidRPr="00A449FE" w:rsidRDefault="005B2FEF" w:rsidP="00ED0618">
      <w:pPr>
        <w:pStyle w:val="af8"/>
        <w:spacing w:before="120" w:beforeAutospacing="0" w:after="120" w:afterAutospacing="0" w:line="276" w:lineRule="auto"/>
        <w:jc w:val="both"/>
      </w:pPr>
      <w:r w:rsidRPr="0020102C">
        <w:t xml:space="preserve">Astfel, digitalizarea și interoperabilitatea instrumentelor naționale cu cele europene, combinate cu reglementările juridice privind recunoașterea automată, consolidează poziția CNC ca mecanism </w:t>
      </w:r>
      <w:r w:rsidRPr="00A449FE">
        <w:t>transparent, comparabil și eficient, capabil să sprijine integrarea Republicii Moldova în Spațiul European al Educației și Calificărilor.</w:t>
      </w:r>
    </w:p>
    <w:p w14:paraId="4531AC18" w14:textId="77777777" w:rsidR="007F7F5E" w:rsidRPr="00A449FE" w:rsidRDefault="007F7F5E" w:rsidP="00842630">
      <w:pPr>
        <w:pStyle w:val="af8"/>
        <w:spacing w:before="120" w:beforeAutospacing="0" w:after="120" w:afterAutospacing="0" w:line="276" w:lineRule="auto"/>
        <w:jc w:val="both"/>
        <w:rPr>
          <w:b/>
          <w:bCs/>
          <w:color w:val="3494BA" w:themeColor="accent1"/>
        </w:rPr>
      </w:pPr>
    </w:p>
    <w:p w14:paraId="6079865B" w14:textId="0970BDE5" w:rsidR="00523512" w:rsidRPr="00A449FE" w:rsidRDefault="00D87CA7" w:rsidP="00842630">
      <w:pPr>
        <w:pStyle w:val="af8"/>
        <w:spacing w:before="120" w:beforeAutospacing="0" w:after="120" w:afterAutospacing="0" w:line="276" w:lineRule="auto"/>
        <w:jc w:val="both"/>
        <w:rPr>
          <w:b/>
          <w:bCs/>
          <w:color w:val="3494BA" w:themeColor="accent1"/>
        </w:rPr>
      </w:pPr>
      <w:r w:rsidRPr="00A449FE">
        <w:rPr>
          <w:b/>
          <w:bCs/>
          <w:color w:val="3494BA" w:themeColor="accent1"/>
        </w:rPr>
        <w:t>4.9.1. Registrul Național al Calificărilor</w:t>
      </w:r>
    </w:p>
    <w:p w14:paraId="4CA7F49D" w14:textId="77777777" w:rsidR="00E84C14" w:rsidRPr="00A449FE" w:rsidRDefault="00243B12" w:rsidP="00842630">
      <w:pPr>
        <w:pStyle w:val="af8"/>
        <w:spacing w:before="120" w:beforeAutospacing="0" w:after="120" w:afterAutospacing="0" w:line="276" w:lineRule="auto"/>
        <w:jc w:val="both"/>
      </w:pPr>
      <w:r w:rsidRPr="00A449FE">
        <w:rPr>
          <w:b/>
          <w:bCs/>
          <w:color w:val="3494BA" w:themeColor="accent1"/>
        </w:rPr>
        <w:t xml:space="preserve">Registrul Național al Calificărilor </w:t>
      </w:r>
      <w:r w:rsidR="008E61FB" w:rsidRPr="00A449FE">
        <w:rPr>
          <w:b/>
          <w:bCs/>
          <w:color w:val="3494BA" w:themeColor="accent1"/>
        </w:rPr>
        <w:t>(</w:t>
      </w:r>
      <w:r w:rsidR="00D87CA7" w:rsidRPr="00A449FE">
        <w:rPr>
          <w:b/>
          <w:bCs/>
          <w:color w:val="3494BA" w:themeColor="accent1"/>
        </w:rPr>
        <w:t>RNC</w:t>
      </w:r>
      <w:r w:rsidR="008E61FB" w:rsidRPr="00A449FE">
        <w:rPr>
          <w:b/>
          <w:bCs/>
          <w:color w:val="3494BA" w:themeColor="accent1"/>
        </w:rPr>
        <w:t>)</w:t>
      </w:r>
      <w:r w:rsidR="00933229" w:rsidRPr="00A449FE">
        <w:rPr>
          <w:rStyle w:val="af9"/>
          <w:rFonts w:eastAsiaTheme="majorEastAsia"/>
        </w:rPr>
        <w:t xml:space="preserve"> </w:t>
      </w:r>
      <w:r w:rsidR="00FE7EEB" w:rsidRPr="00A449FE">
        <w:t>(</w:t>
      </w:r>
      <w:hyperlink r:id="rId23" w:history="1">
        <w:r w:rsidR="00FE7EEB" w:rsidRPr="00A449FE">
          <w:rPr>
            <w:rStyle w:val="aff0"/>
          </w:rPr>
          <w:t>link</w:t>
        </w:r>
      </w:hyperlink>
      <w:r w:rsidR="00FE7EEB" w:rsidRPr="00A449FE">
        <w:t xml:space="preserve">) </w:t>
      </w:r>
      <w:r w:rsidR="00FC62DC" w:rsidRPr="00A449FE">
        <w:t>reprezintă instrument</w:t>
      </w:r>
      <w:r w:rsidR="008E61FB" w:rsidRPr="00A449FE">
        <w:t>ul</w:t>
      </w:r>
      <w:r w:rsidR="00FC62DC" w:rsidRPr="00A449FE">
        <w:t xml:space="preserve"> central pentru </w:t>
      </w:r>
      <w:r w:rsidR="008E61FB" w:rsidRPr="00A449FE">
        <w:t xml:space="preserve">asigurarea </w:t>
      </w:r>
      <w:r w:rsidR="00FC62DC" w:rsidRPr="00A449FE">
        <w:t>transparenț</w:t>
      </w:r>
      <w:r w:rsidR="008E61FB" w:rsidRPr="00A449FE">
        <w:t>ei</w:t>
      </w:r>
      <w:r w:rsidR="00FC62DC" w:rsidRPr="00A449FE">
        <w:t>, accesibilit</w:t>
      </w:r>
      <w:r w:rsidR="00B52811" w:rsidRPr="00A449FE">
        <w:t>ății</w:t>
      </w:r>
      <w:r w:rsidR="00FC62DC" w:rsidRPr="00A449FE">
        <w:t xml:space="preserve"> și recunoașter</w:t>
      </w:r>
      <w:r w:rsidR="00B52811" w:rsidRPr="00A449FE">
        <w:t>ii</w:t>
      </w:r>
      <w:r w:rsidR="00FC62DC" w:rsidRPr="00A449FE">
        <w:t xml:space="preserve"> calificărilor în Republica Moldova. Dezvoltat și gestionat de ME</w:t>
      </w:r>
      <w:r w:rsidR="006252BC" w:rsidRPr="00A449FE">
        <w:t>C</w:t>
      </w:r>
      <w:r w:rsidR="00FC62DC" w:rsidRPr="00A449FE">
        <w:t xml:space="preserve">, RNC constituie baza oficială de date a calificărilor recunoscute de stat. </w:t>
      </w:r>
    </w:p>
    <w:p w14:paraId="6FA9F9DA" w14:textId="77777777" w:rsidR="003C5038" w:rsidRPr="00A449FE" w:rsidRDefault="00FC62DC" w:rsidP="00842630">
      <w:pPr>
        <w:pStyle w:val="af8"/>
        <w:spacing w:before="120" w:beforeAutospacing="0" w:after="120" w:afterAutospacing="0" w:line="276" w:lineRule="auto"/>
        <w:jc w:val="both"/>
      </w:pPr>
      <w:r w:rsidRPr="00A449FE">
        <w:t xml:space="preserve">Fiecare calificare este înregistrată sistematic și descrisă în termeni de </w:t>
      </w:r>
      <w:r w:rsidRPr="00A449FE">
        <w:rPr>
          <w:b/>
          <w:bCs/>
        </w:rPr>
        <w:t>rezultate ale învățării</w:t>
      </w:r>
      <w:r w:rsidRPr="00A449FE">
        <w:t xml:space="preserve">, </w:t>
      </w:r>
      <w:r w:rsidRPr="00A449FE">
        <w:rPr>
          <w:b/>
          <w:bCs/>
        </w:rPr>
        <w:t>nivel CNC</w:t>
      </w:r>
      <w:r w:rsidRPr="00A449FE">
        <w:t xml:space="preserve">, </w:t>
      </w:r>
      <w:r w:rsidRPr="00A449FE">
        <w:rPr>
          <w:b/>
          <w:bCs/>
        </w:rPr>
        <w:t>domeniu ocupațional</w:t>
      </w:r>
      <w:r w:rsidRPr="00A449FE">
        <w:t xml:space="preserve">, </w:t>
      </w:r>
      <w:r w:rsidRPr="00A449FE">
        <w:rPr>
          <w:b/>
          <w:bCs/>
        </w:rPr>
        <w:t>instituție emitentă</w:t>
      </w:r>
      <w:r w:rsidRPr="00A449FE">
        <w:t xml:space="preserve"> și </w:t>
      </w:r>
      <w:r w:rsidRPr="00A449FE">
        <w:rPr>
          <w:b/>
          <w:bCs/>
        </w:rPr>
        <w:t>clasificare sectorială</w:t>
      </w:r>
      <w:r w:rsidRPr="00A449FE">
        <w:t xml:space="preserve"> relevantă.</w:t>
      </w:r>
      <w:r w:rsidR="00E84C14" w:rsidRPr="00A449FE">
        <w:t xml:space="preserve"> </w:t>
      </w:r>
      <w:r w:rsidRPr="00A449FE">
        <w:t>R</w:t>
      </w:r>
      <w:r w:rsidR="0031132C" w:rsidRPr="00A449FE">
        <w:t>NC</w:t>
      </w:r>
      <w:r w:rsidRPr="00A449FE">
        <w:t xml:space="preserve"> este accesibil publicului larg și tuturor părților interesate, facilitând atât utilizarea la nivel național, cât și comparabilitatea la nivel european. </w:t>
      </w:r>
    </w:p>
    <w:p w14:paraId="39FB4986" w14:textId="5F64DAC3" w:rsidR="00FC62DC" w:rsidRPr="00A449FE" w:rsidRDefault="00624830" w:rsidP="00842630">
      <w:pPr>
        <w:pStyle w:val="af8"/>
        <w:spacing w:before="120" w:beforeAutospacing="0" w:after="120" w:afterAutospacing="0" w:line="276" w:lineRule="auto"/>
        <w:jc w:val="both"/>
      </w:pPr>
      <w:r w:rsidRPr="00A449FE">
        <w:t xml:space="preserve">Prin </w:t>
      </w:r>
      <w:r w:rsidR="00CB3B9D">
        <w:t>mecanismele</w:t>
      </w:r>
      <w:r w:rsidRPr="00A449FE">
        <w:t xml:space="preserve"> sale</w:t>
      </w:r>
      <w:r w:rsidR="00FC62DC" w:rsidRPr="00A449FE">
        <w:t>, RNC contribuie direct la:</w:t>
      </w:r>
    </w:p>
    <w:p w14:paraId="78406C79" w14:textId="0B89302C" w:rsidR="00FC62DC" w:rsidRPr="00A449FE" w:rsidRDefault="00FC62DC" w:rsidP="00A41843">
      <w:pPr>
        <w:pStyle w:val="af8"/>
        <w:numPr>
          <w:ilvl w:val="0"/>
          <w:numId w:val="112"/>
        </w:numPr>
        <w:spacing w:before="120" w:beforeAutospacing="0" w:after="120" w:afterAutospacing="0" w:line="276" w:lineRule="auto"/>
        <w:jc w:val="both"/>
      </w:pPr>
      <w:r w:rsidRPr="00A449FE">
        <w:t xml:space="preserve">îmbunătățirea vizibilității calificărilor pentru elevi, </w:t>
      </w:r>
      <w:r w:rsidR="00624830" w:rsidRPr="00A449FE">
        <w:t xml:space="preserve">studenți, </w:t>
      </w:r>
      <w:r w:rsidRPr="00A449FE">
        <w:t>angajatori și alți actori interesați;</w:t>
      </w:r>
    </w:p>
    <w:p w14:paraId="5A8E5325" w14:textId="46963D96" w:rsidR="00FC62DC" w:rsidRPr="00A449FE" w:rsidRDefault="00FC62DC" w:rsidP="00A41843">
      <w:pPr>
        <w:pStyle w:val="af8"/>
        <w:numPr>
          <w:ilvl w:val="0"/>
          <w:numId w:val="112"/>
        </w:numPr>
        <w:spacing w:before="120" w:beforeAutospacing="0" w:after="120" w:afterAutospacing="0" w:line="276" w:lineRule="auto"/>
        <w:jc w:val="both"/>
      </w:pPr>
      <w:r w:rsidRPr="00A449FE">
        <w:t xml:space="preserve">sprijinirea </w:t>
      </w:r>
      <w:r w:rsidR="00624830" w:rsidRPr="00A449FE">
        <w:t xml:space="preserve">proceselor de </w:t>
      </w:r>
      <w:r w:rsidRPr="00A449FE">
        <w:t>orient</w:t>
      </w:r>
      <w:r w:rsidR="001F785A" w:rsidRPr="00A449FE">
        <w:t>are</w:t>
      </w:r>
      <w:r w:rsidRPr="00A449FE">
        <w:t xml:space="preserve"> educațional</w:t>
      </w:r>
      <w:r w:rsidR="001F785A" w:rsidRPr="00A449FE">
        <w:t>ă</w:t>
      </w:r>
      <w:r w:rsidRPr="00A449FE">
        <w:t xml:space="preserve"> și profesional</w:t>
      </w:r>
      <w:r w:rsidR="001F785A" w:rsidRPr="00A449FE">
        <w:t>ă</w:t>
      </w:r>
      <w:r w:rsidRPr="00A449FE">
        <w:t>;</w:t>
      </w:r>
    </w:p>
    <w:p w14:paraId="21188F94" w14:textId="77777777" w:rsidR="00FC62DC" w:rsidRPr="00A449FE" w:rsidRDefault="00FC62DC" w:rsidP="00A41843">
      <w:pPr>
        <w:pStyle w:val="af8"/>
        <w:numPr>
          <w:ilvl w:val="0"/>
          <w:numId w:val="112"/>
        </w:numPr>
        <w:spacing w:before="120" w:beforeAutospacing="0" w:after="120" w:afterAutospacing="0" w:line="276" w:lineRule="auto"/>
        <w:jc w:val="both"/>
      </w:pPr>
      <w:r w:rsidRPr="00A449FE">
        <w:t>facilitarea recunoașterii calificărilor la nivel național și internațional;</w:t>
      </w:r>
    </w:p>
    <w:p w14:paraId="66940CB6" w14:textId="77777777" w:rsidR="00291208" w:rsidRPr="00A449FE" w:rsidRDefault="001F785A" w:rsidP="00A41843">
      <w:pPr>
        <w:pStyle w:val="af8"/>
        <w:numPr>
          <w:ilvl w:val="0"/>
          <w:numId w:val="112"/>
        </w:numPr>
        <w:spacing w:before="120" w:beforeAutospacing="0" w:after="120" w:afterAutospacing="0" w:line="276" w:lineRule="auto"/>
        <w:jc w:val="both"/>
      </w:pPr>
      <w:r w:rsidRPr="00A449FE">
        <w:t xml:space="preserve">susținerea </w:t>
      </w:r>
      <w:r w:rsidR="00FC62DC" w:rsidRPr="00A449FE">
        <w:t xml:space="preserve">procesului de planificare </w:t>
      </w:r>
      <w:r w:rsidR="00904F77" w:rsidRPr="00A449FE">
        <w:t xml:space="preserve">strategică a </w:t>
      </w:r>
      <w:r w:rsidR="00FC62DC" w:rsidRPr="00A449FE">
        <w:t xml:space="preserve">politicilor </w:t>
      </w:r>
      <w:r w:rsidR="00291208" w:rsidRPr="00A449FE">
        <w:t>educaționale și de ocupare;</w:t>
      </w:r>
    </w:p>
    <w:p w14:paraId="4648F223" w14:textId="58B89EB9" w:rsidR="00FC62DC" w:rsidRPr="00A449FE" w:rsidRDefault="00291208" w:rsidP="00A41843">
      <w:pPr>
        <w:pStyle w:val="af8"/>
        <w:numPr>
          <w:ilvl w:val="0"/>
          <w:numId w:val="112"/>
        </w:numPr>
        <w:spacing w:before="120" w:beforeAutospacing="0" w:after="120" w:afterAutospacing="0" w:line="276" w:lineRule="auto"/>
        <w:jc w:val="both"/>
      </w:pPr>
      <w:r w:rsidRPr="00A449FE">
        <w:t>dezvoltarea instrumentelor de monitorizare și analiză a pieței muncii</w:t>
      </w:r>
      <w:r w:rsidR="00FC62DC" w:rsidRPr="00A449FE">
        <w:t>.</w:t>
      </w:r>
    </w:p>
    <w:p w14:paraId="642743B4" w14:textId="77777777" w:rsidR="00CA7E53" w:rsidRPr="00A449FE" w:rsidRDefault="00FC62DC" w:rsidP="00842630">
      <w:pPr>
        <w:pStyle w:val="af8"/>
        <w:spacing w:before="120" w:beforeAutospacing="0" w:after="120" w:afterAutospacing="0" w:line="276" w:lineRule="auto"/>
        <w:jc w:val="both"/>
      </w:pPr>
      <w:r w:rsidRPr="00A449FE">
        <w:rPr>
          <w:b/>
          <w:bCs/>
          <w:color w:val="3494BA" w:themeColor="accent1"/>
        </w:rPr>
        <w:t>Baza legală și reglementările:</w:t>
      </w:r>
      <w:r w:rsidR="002C2B22" w:rsidRPr="00A449FE">
        <w:t xml:space="preserve"> </w:t>
      </w:r>
    </w:p>
    <w:p w14:paraId="08D4FEAB" w14:textId="6A0F3313" w:rsidR="00CA7E53" w:rsidRPr="00A449FE" w:rsidRDefault="00CA7E53" w:rsidP="00842630">
      <w:pPr>
        <w:pStyle w:val="af8"/>
        <w:spacing w:before="120" w:beforeAutospacing="0" w:after="120" w:afterAutospacing="0" w:line="276" w:lineRule="auto"/>
        <w:jc w:val="both"/>
      </w:pPr>
      <w:r w:rsidRPr="00A449FE">
        <w:t>Funcționarea și dezvoltarea RNC sunt reglementate printr-un set coerent de acte normative:</w:t>
      </w:r>
    </w:p>
    <w:p w14:paraId="6E3A98FF" w14:textId="77777777" w:rsidR="00CA7E53" w:rsidRPr="00A449FE" w:rsidRDefault="00CA7E53" w:rsidP="00A41843">
      <w:pPr>
        <w:pStyle w:val="af8"/>
        <w:numPr>
          <w:ilvl w:val="0"/>
          <w:numId w:val="158"/>
        </w:numPr>
        <w:spacing w:before="120" w:beforeAutospacing="0" w:after="120" w:afterAutospacing="0" w:line="276" w:lineRule="auto"/>
        <w:jc w:val="both"/>
      </w:pPr>
      <w:r w:rsidRPr="00A449FE">
        <w:rPr>
          <w:b/>
          <w:bCs/>
        </w:rPr>
        <w:t>Hotărârea Guvernului nr. 1199/2018</w:t>
      </w:r>
      <w:r w:rsidRPr="00A449FE">
        <w:t>, care instituie Registrul Național al Calificărilor și stabilește structura, funcțiile, mecanismele de actualizare și responsabilitățile instituționale;</w:t>
      </w:r>
    </w:p>
    <w:p w14:paraId="590C554A" w14:textId="77777777" w:rsidR="00CA7E53" w:rsidRPr="00A449FE" w:rsidRDefault="00CA7E53" w:rsidP="00A41843">
      <w:pPr>
        <w:pStyle w:val="af8"/>
        <w:numPr>
          <w:ilvl w:val="0"/>
          <w:numId w:val="158"/>
        </w:numPr>
        <w:spacing w:before="120" w:beforeAutospacing="0" w:after="120" w:afterAutospacing="0" w:line="276" w:lineRule="auto"/>
        <w:jc w:val="both"/>
      </w:pPr>
      <w:r w:rsidRPr="00A449FE">
        <w:rPr>
          <w:b/>
          <w:bCs/>
        </w:rPr>
        <w:t>HG nr. 3/2024</w:t>
      </w:r>
      <w:r w:rsidRPr="00A449FE">
        <w:t>, care modifică și completează HG nr. 1199/2018, consolidând cadrul juridic privind interoperabilitatea și structura de date a registrului;</w:t>
      </w:r>
    </w:p>
    <w:p w14:paraId="4930CC07" w14:textId="77777777" w:rsidR="00CA7E53" w:rsidRPr="00A449FE" w:rsidRDefault="00CA7E53" w:rsidP="00A41843">
      <w:pPr>
        <w:pStyle w:val="af8"/>
        <w:numPr>
          <w:ilvl w:val="0"/>
          <w:numId w:val="158"/>
        </w:numPr>
        <w:spacing w:before="120" w:beforeAutospacing="0" w:after="120" w:afterAutospacing="0" w:line="276" w:lineRule="auto"/>
        <w:jc w:val="both"/>
      </w:pPr>
      <w:r w:rsidRPr="00A449FE">
        <w:rPr>
          <w:b/>
          <w:bCs/>
        </w:rPr>
        <w:lastRenderedPageBreak/>
        <w:t>HG nr. 330/2023</w:t>
      </w:r>
      <w:r w:rsidRPr="00A449FE">
        <w:t xml:space="preserve"> (art. 113–125), care detaliază rolul RNC în cadrul sistemului național al calificărilor, reglementând procedurile de identificare, înregistrare, arhivare, consultare și actualizare a calificărilor;</w:t>
      </w:r>
    </w:p>
    <w:p w14:paraId="701001B4" w14:textId="1199F5C8" w:rsidR="00CA7E53" w:rsidRPr="00A449FE" w:rsidRDefault="00CA7E53" w:rsidP="00A41843">
      <w:pPr>
        <w:pStyle w:val="af8"/>
        <w:numPr>
          <w:ilvl w:val="0"/>
          <w:numId w:val="158"/>
        </w:numPr>
        <w:spacing w:before="120" w:beforeAutospacing="0" w:after="120" w:afterAutospacing="0" w:line="276" w:lineRule="auto"/>
        <w:jc w:val="both"/>
      </w:pPr>
      <w:r w:rsidRPr="00A449FE">
        <w:rPr>
          <w:b/>
          <w:bCs/>
        </w:rPr>
        <w:t>Ordinul MEC nr. 770/2024</w:t>
      </w:r>
      <w:r w:rsidRPr="00A449FE">
        <w:t xml:space="preserve">, prin care a fost aprobată </w:t>
      </w:r>
      <w:r w:rsidRPr="00A449FE">
        <w:rPr>
          <w:b/>
          <w:bCs/>
        </w:rPr>
        <w:t>Metodologia de înscriere a calificărilor în RNC</w:t>
      </w:r>
      <w:r w:rsidRPr="00A449FE">
        <w:t xml:space="preserve">, care </w:t>
      </w:r>
      <w:r w:rsidR="00FE40F8" w:rsidRPr="00A449FE">
        <w:t>operaționalizează</w:t>
      </w:r>
      <w:r w:rsidRPr="00A449FE">
        <w:t xml:space="preserve"> procedurile de înregistrare pentru toate nivelurile și tipurile de calificări. Această metodologie stabilește pașii și criteriile pentru înscrierea calificărilor acreditate sau autorizate provizoriu, pe baza rezultatelor învățării, a nivelului CNC, a domeniului ocupațional, a instituției emitente și a clasificării sectoriale.</w:t>
      </w:r>
    </w:p>
    <w:p w14:paraId="311E5C70" w14:textId="77777777" w:rsidR="00CA7E53" w:rsidRPr="00A449FE" w:rsidRDefault="00CA7E53" w:rsidP="00842630">
      <w:pPr>
        <w:pStyle w:val="af8"/>
        <w:spacing w:before="120" w:beforeAutospacing="0" w:after="120" w:afterAutospacing="0" w:line="276" w:lineRule="auto"/>
        <w:jc w:val="both"/>
      </w:pPr>
      <w:r w:rsidRPr="00A449FE">
        <w:t xml:space="preserve">Astfel, cadrul normativ asigură </w:t>
      </w:r>
      <w:r w:rsidRPr="00F274FB">
        <w:t>un mecanism uniform, transparent și comparabil</w:t>
      </w:r>
      <w:r w:rsidRPr="00A449FE">
        <w:t xml:space="preserve"> de înregistrare și prezentare a calificărilor.</w:t>
      </w:r>
    </w:p>
    <w:p w14:paraId="76EF630C" w14:textId="77777777" w:rsidR="00CF57D5" w:rsidRPr="00A449FE" w:rsidRDefault="00CF57D5" w:rsidP="00842630">
      <w:pPr>
        <w:pStyle w:val="af8"/>
        <w:spacing w:before="120" w:beforeAutospacing="0" w:after="120" w:afterAutospacing="0" w:line="276" w:lineRule="auto"/>
        <w:jc w:val="both"/>
        <w:rPr>
          <w:b/>
          <w:bCs/>
          <w:color w:val="3494BA" w:themeColor="accent1"/>
        </w:rPr>
      </w:pPr>
      <w:r w:rsidRPr="00A449FE">
        <w:rPr>
          <w:b/>
          <w:bCs/>
          <w:color w:val="3494BA" w:themeColor="accent1"/>
        </w:rPr>
        <w:t>Caracteristici fundamentale ale RNC</w:t>
      </w:r>
    </w:p>
    <w:p w14:paraId="58B7B10E" w14:textId="77777777" w:rsidR="00CF57D5" w:rsidRPr="00A449FE" w:rsidRDefault="00CF57D5" w:rsidP="00842630">
      <w:pPr>
        <w:pStyle w:val="af8"/>
        <w:spacing w:before="120" w:beforeAutospacing="0" w:after="120" w:afterAutospacing="0" w:line="276" w:lineRule="auto"/>
        <w:jc w:val="both"/>
      </w:pPr>
      <w:r w:rsidRPr="00A449FE">
        <w:t xml:space="preserve">Conform </w:t>
      </w:r>
      <w:r w:rsidRPr="00A449FE">
        <w:rPr>
          <w:rStyle w:val="af9"/>
          <w:rFonts w:eastAsiaTheme="majorEastAsia"/>
          <w:b w:val="0"/>
          <w:bCs w:val="0"/>
        </w:rPr>
        <w:t>HG nr. 330/2023</w:t>
      </w:r>
      <w:r w:rsidRPr="00A449FE">
        <w:rPr>
          <w:b/>
          <w:bCs/>
        </w:rPr>
        <w:t>,</w:t>
      </w:r>
      <w:r w:rsidRPr="00A449FE">
        <w:t xml:space="preserve"> RNC are curmătoarele caracteristici principale:</w:t>
      </w:r>
    </w:p>
    <w:p w14:paraId="4035746F" w14:textId="77777777" w:rsidR="008510A3" w:rsidRPr="00F274FB" w:rsidRDefault="008510A3" w:rsidP="00A41843">
      <w:pPr>
        <w:pStyle w:val="af8"/>
        <w:numPr>
          <w:ilvl w:val="0"/>
          <w:numId w:val="113"/>
        </w:numPr>
        <w:spacing w:before="120" w:beforeAutospacing="0" w:after="120" w:afterAutospacing="0" w:line="276" w:lineRule="auto"/>
        <w:jc w:val="both"/>
      </w:pPr>
      <w:r w:rsidRPr="00F274FB">
        <w:t xml:space="preserve">reprezintă o sursă publică oficială de informații și conține informații structurate în limba română, cu elemente-cheie disponibile și în limba engleză, în vederea facilitării interoperabilității cu EQF Portal și Europass; extinderea versiunii bilingve complete este prevăzută în Foaia de parcurs privind operaționalizarea CNC (HG nr. 330/2023);, </w:t>
      </w:r>
    </w:p>
    <w:p w14:paraId="5DC0AD80" w14:textId="77777777" w:rsidR="008510A3" w:rsidRPr="00F274FB" w:rsidRDefault="008510A3" w:rsidP="00A41843">
      <w:pPr>
        <w:pStyle w:val="af8"/>
        <w:numPr>
          <w:ilvl w:val="0"/>
          <w:numId w:val="113"/>
        </w:numPr>
        <w:spacing w:before="120" w:beforeAutospacing="0" w:after="120" w:afterAutospacing="0" w:line="276" w:lineRule="auto"/>
        <w:jc w:val="both"/>
      </w:pPr>
      <w:r w:rsidRPr="00F274FB">
        <w:t>asigură vizibilitatea și comparabilitatea calificărilor în raport cu CNC și EQF, contribuind la transparență și mobilitate;</w:t>
      </w:r>
    </w:p>
    <w:p w14:paraId="43CCE5E9" w14:textId="77777777" w:rsidR="008510A3" w:rsidRPr="00F274FB" w:rsidRDefault="008510A3" w:rsidP="00A41843">
      <w:pPr>
        <w:pStyle w:val="af8"/>
        <w:numPr>
          <w:ilvl w:val="0"/>
          <w:numId w:val="113"/>
        </w:numPr>
        <w:spacing w:before="120" w:beforeAutospacing="0" w:after="120" w:afterAutospacing="0" w:line="276" w:lineRule="auto"/>
        <w:jc w:val="both"/>
      </w:pPr>
      <w:r w:rsidRPr="00F274FB">
        <w:t xml:space="preserve">păstrează și arhivează datele referitoare la calificări pentru o perioadă de </w:t>
      </w:r>
      <w:r w:rsidRPr="00F274FB">
        <w:rPr>
          <w:rStyle w:val="af9"/>
          <w:rFonts w:eastAsiaTheme="majorEastAsia"/>
          <w:b w:val="0"/>
          <w:bCs w:val="0"/>
        </w:rPr>
        <w:t>75 de ani</w:t>
      </w:r>
      <w:r w:rsidRPr="00F274FB">
        <w:t>;</w:t>
      </w:r>
    </w:p>
    <w:p w14:paraId="269CF064" w14:textId="77777777" w:rsidR="008510A3" w:rsidRPr="00A449FE" w:rsidRDefault="008510A3" w:rsidP="00A41843">
      <w:pPr>
        <w:pStyle w:val="af8"/>
        <w:numPr>
          <w:ilvl w:val="0"/>
          <w:numId w:val="113"/>
        </w:numPr>
        <w:spacing w:before="120" w:beforeAutospacing="0" w:after="120" w:afterAutospacing="0" w:line="276" w:lineRule="auto"/>
        <w:jc w:val="both"/>
      </w:pPr>
      <w:r w:rsidRPr="00F274FB">
        <w:t xml:space="preserve">utilizează câmpuri informaționale aliniate la recomandările </w:t>
      </w:r>
      <w:r w:rsidRPr="00F274FB">
        <w:rPr>
          <w:rStyle w:val="af9"/>
          <w:rFonts w:eastAsiaTheme="majorEastAsia"/>
          <w:b w:val="0"/>
          <w:bCs w:val="0"/>
        </w:rPr>
        <w:t>EQF</w:t>
      </w:r>
      <w:r w:rsidRPr="00F274FB">
        <w:rPr>
          <w:b/>
          <w:bCs/>
        </w:rPr>
        <w:t>,</w:t>
      </w:r>
      <w:r w:rsidRPr="00A449FE">
        <w:t xml:space="preserve"> facilitând interoperabilitatea cu portalurile și instrumentele europene</w:t>
      </w:r>
      <w:r w:rsidRPr="00A449FE">
        <w:rPr>
          <w:rFonts w:eastAsiaTheme="minorHAnsi"/>
          <w:kern w:val="2"/>
          <w:lang w:eastAsia="en-US"/>
          <w14:ligatures w14:val="standardContextual"/>
        </w:rPr>
        <w:t xml:space="preserve"> (</w:t>
      </w:r>
      <w:r w:rsidRPr="00A449FE">
        <w:t>EQF Portal și Europass).</w:t>
      </w:r>
    </w:p>
    <w:p w14:paraId="5944B8C0" w14:textId="3CF20EDB" w:rsidR="00FC62DC" w:rsidRPr="00A449FE" w:rsidRDefault="00FC62DC" w:rsidP="00842630">
      <w:pPr>
        <w:pStyle w:val="af8"/>
        <w:spacing w:before="120" w:beforeAutospacing="0" w:after="120" w:afterAutospacing="0" w:line="276" w:lineRule="auto"/>
        <w:jc w:val="both"/>
        <w:rPr>
          <w:b/>
          <w:bCs/>
          <w:color w:val="3494BA" w:themeColor="accent1"/>
        </w:rPr>
      </w:pPr>
      <w:r w:rsidRPr="00A449FE">
        <w:rPr>
          <w:b/>
          <w:bCs/>
          <w:color w:val="3494BA" w:themeColor="accent1"/>
        </w:rPr>
        <w:t>Rolul Ministerului Educației și Cercetării</w:t>
      </w:r>
    </w:p>
    <w:p w14:paraId="3231B931" w14:textId="67C7611C" w:rsidR="00EE4669" w:rsidRPr="00A449FE" w:rsidRDefault="006252BC" w:rsidP="00842630">
      <w:pPr>
        <w:pStyle w:val="af8"/>
        <w:spacing w:before="120" w:beforeAutospacing="0" w:after="120" w:afterAutospacing="0" w:line="276" w:lineRule="auto"/>
        <w:jc w:val="both"/>
      </w:pPr>
      <w:r w:rsidRPr="00A449FE">
        <w:t>MEC</w:t>
      </w:r>
      <w:r w:rsidR="003415ED" w:rsidRPr="00A449FE">
        <w:t xml:space="preserve"> deține un rol </w:t>
      </w:r>
      <w:r w:rsidR="00EE4669" w:rsidRPr="00A449FE">
        <w:t xml:space="preserve">central în </w:t>
      </w:r>
      <w:r w:rsidR="00EE4669" w:rsidRPr="00A449FE">
        <w:rPr>
          <w:bCs/>
        </w:rPr>
        <w:t xml:space="preserve">guvernanța </w:t>
      </w:r>
      <w:r w:rsidR="00CD407A" w:rsidRPr="00A449FE">
        <w:rPr>
          <w:bCs/>
        </w:rPr>
        <w:t>RNC</w:t>
      </w:r>
      <w:r w:rsidR="00EE4669" w:rsidRPr="00A449FE">
        <w:rPr>
          <w:bCs/>
        </w:rPr>
        <w:t>,</w:t>
      </w:r>
      <w:r w:rsidR="00EE4669" w:rsidRPr="00A449FE">
        <w:t xml:space="preserve"> asigurând:</w:t>
      </w:r>
    </w:p>
    <w:p w14:paraId="389A4A2B" w14:textId="77777777" w:rsidR="00EE4669" w:rsidRPr="00A449FE" w:rsidRDefault="00EE4669" w:rsidP="00A41843">
      <w:pPr>
        <w:pStyle w:val="af8"/>
        <w:numPr>
          <w:ilvl w:val="0"/>
          <w:numId w:val="159"/>
        </w:numPr>
        <w:spacing w:before="120" w:beforeAutospacing="0" w:after="120" w:afterAutospacing="0" w:line="276" w:lineRule="auto"/>
        <w:ind w:left="630"/>
        <w:jc w:val="both"/>
      </w:pPr>
      <w:r w:rsidRPr="00A449FE">
        <w:t>cadrul legal și organizatoric pentru funcționarea RNC;</w:t>
      </w:r>
    </w:p>
    <w:p w14:paraId="121C2466" w14:textId="77777777" w:rsidR="00EE4669" w:rsidRPr="00A449FE" w:rsidRDefault="00EE4669" w:rsidP="00A41843">
      <w:pPr>
        <w:pStyle w:val="af8"/>
        <w:numPr>
          <w:ilvl w:val="0"/>
          <w:numId w:val="159"/>
        </w:numPr>
        <w:spacing w:before="120" w:beforeAutospacing="0" w:after="120" w:afterAutospacing="0" w:line="276" w:lineRule="auto"/>
        <w:ind w:left="630"/>
        <w:jc w:val="both"/>
      </w:pPr>
      <w:r w:rsidRPr="00A449FE">
        <w:t>coordonarea procesului de înscriere a calificărilor și validarea informațiilor furnizate;</w:t>
      </w:r>
    </w:p>
    <w:p w14:paraId="5CAD0930" w14:textId="77777777" w:rsidR="00EE4669" w:rsidRPr="00A449FE" w:rsidRDefault="00EE4669" w:rsidP="00A41843">
      <w:pPr>
        <w:pStyle w:val="af8"/>
        <w:numPr>
          <w:ilvl w:val="0"/>
          <w:numId w:val="159"/>
        </w:numPr>
        <w:spacing w:before="120" w:beforeAutospacing="0" w:after="120" w:afterAutospacing="0" w:line="276" w:lineRule="auto"/>
        <w:ind w:left="630"/>
        <w:jc w:val="both"/>
      </w:pPr>
      <w:r w:rsidRPr="00A449FE">
        <w:t>verificarea, actualizarea și publicarea datelor în format standardizat;</w:t>
      </w:r>
    </w:p>
    <w:p w14:paraId="75464FC0" w14:textId="77777777" w:rsidR="00EE4669" w:rsidRPr="00A449FE" w:rsidRDefault="00EE4669" w:rsidP="00A41843">
      <w:pPr>
        <w:pStyle w:val="af8"/>
        <w:numPr>
          <w:ilvl w:val="0"/>
          <w:numId w:val="159"/>
        </w:numPr>
        <w:spacing w:before="120" w:beforeAutospacing="0" w:after="120" w:afterAutospacing="0" w:line="276" w:lineRule="auto"/>
        <w:ind w:left="630"/>
        <w:jc w:val="both"/>
      </w:pPr>
      <w:r w:rsidRPr="00A449FE">
        <w:t>elaborarea procedurilor tehnice și asigurarea interoperabilității informatice;</w:t>
      </w:r>
    </w:p>
    <w:p w14:paraId="256E665F" w14:textId="77777777" w:rsidR="00EE4669" w:rsidRPr="00A449FE" w:rsidRDefault="00EE4669" w:rsidP="00A41843">
      <w:pPr>
        <w:pStyle w:val="af8"/>
        <w:numPr>
          <w:ilvl w:val="0"/>
          <w:numId w:val="159"/>
        </w:numPr>
        <w:spacing w:before="120" w:beforeAutospacing="0" w:after="120" w:afterAutospacing="0" w:line="276" w:lineRule="auto"/>
        <w:ind w:left="630"/>
        <w:jc w:val="both"/>
      </w:pPr>
      <w:r w:rsidRPr="00A449FE">
        <w:t>radierea sau arhivarea calificărilor care și-au pierdut relevanța sau a programelor sistate.</w:t>
      </w:r>
    </w:p>
    <w:p w14:paraId="5129F011" w14:textId="42B50E5A" w:rsidR="0060791A" w:rsidRPr="00A449FE" w:rsidRDefault="0060791A" w:rsidP="00842630">
      <w:pPr>
        <w:pStyle w:val="af8"/>
        <w:spacing w:before="120" w:beforeAutospacing="0" w:after="120" w:afterAutospacing="0" w:line="276" w:lineRule="auto"/>
        <w:jc w:val="both"/>
        <w:rPr>
          <w:b/>
          <w:bCs/>
          <w:color w:val="3494BA" w:themeColor="accent1"/>
        </w:rPr>
      </w:pPr>
      <w:r w:rsidRPr="00A449FE">
        <w:t xml:space="preserve">Prin aceste responsabilități, </w:t>
      </w:r>
      <w:r w:rsidR="006252BC" w:rsidRPr="00A449FE">
        <w:t xml:space="preserve">MEC </w:t>
      </w:r>
      <w:r w:rsidRPr="00A449FE">
        <w:t xml:space="preserve">garantează că </w:t>
      </w:r>
      <w:r w:rsidR="006252BC" w:rsidRPr="002942EA">
        <w:t>RNC</w:t>
      </w:r>
      <w:r w:rsidRPr="002942EA">
        <w:t xml:space="preserve"> funcționează ca un instrument credibil</w:t>
      </w:r>
      <w:r w:rsidR="005E0D4D" w:rsidRPr="002942EA">
        <w:t>, transparent și aliniat la principiile EQF și QF-EHEA,</w:t>
      </w:r>
      <w:r w:rsidR="005E0D4D" w:rsidRPr="00A449FE">
        <w:t xml:space="preserve"> facilitând mobilitatea academică și profesională</w:t>
      </w:r>
      <w:r w:rsidRPr="00A449FE">
        <w:t>.</w:t>
      </w:r>
    </w:p>
    <w:p w14:paraId="7B6F7923" w14:textId="70D00D6B" w:rsidR="00FC62DC" w:rsidRPr="00A449FE" w:rsidRDefault="00FC62DC" w:rsidP="00842630">
      <w:pPr>
        <w:pStyle w:val="af8"/>
        <w:spacing w:before="120" w:beforeAutospacing="0" w:after="120" w:afterAutospacing="0" w:line="276" w:lineRule="auto"/>
        <w:jc w:val="both"/>
      </w:pPr>
      <w:r w:rsidRPr="00A449FE">
        <w:rPr>
          <w:b/>
          <w:bCs/>
          <w:color w:val="3494BA" w:themeColor="accent1"/>
        </w:rPr>
        <w:t>Responsabilitatea furnizorilor de educație și formare:</w:t>
      </w:r>
      <w:r w:rsidR="00ED0618" w:rsidRPr="00A449FE">
        <w:t xml:space="preserve"> </w:t>
      </w:r>
      <w:r w:rsidRPr="00A449FE">
        <w:t xml:space="preserve">Instituțiile care oferă programe de educație și formare </w:t>
      </w:r>
      <w:r w:rsidR="00240ED7" w:rsidRPr="00A449FE">
        <w:t>au obligația legală de a notifica MEC cu privire la orice modificări relevante pentru actualizarea RNC.</w:t>
      </w:r>
      <w:r w:rsidR="00240ED7" w:rsidRPr="00A449FE">
        <w:rPr>
          <w:rFonts w:eastAsiaTheme="minorHAnsi"/>
          <w:kern w:val="2"/>
          <w:lang w:eastAsia="en-US"/>
          <w14:ligatures w14:val="standardContextual"/>
        </w:rPr>
        <w:t xml:space="preserve"> </w:t>
      </w:r>
      <w:r w:rsidR="00240ED7" w:rsidRPr="00A449FE">
        <w:t xml:space="preserve">Aceste notificări asigură </w:t>
      </w:r>
      <w:r w:rsidR="00240ED7" w:rsidRPr="002942EA">
        <w:t>acuratețea, actualitatea și completitudinea datelor</w:t>
      </w:r>
      <w:r w:rsidR="00240ED7" w:rsidRPr="00A449FE">
        <w:t xml:space="preserve"> publicate, contribuind la menținerea unui registru funcțional și relevant pentru piața muncii</w:t>
      </w:r>
      <w:r w:rsidRPr="00A449FE">
        <w:t>.</w:t>
      </w:r>
    </w:p>
    <w:p w14:paraId="05A2D1F9" w14:textId="77777777" w:rsidR="003078B8" w:rsidRPr="00A449FE" w:rsidRDefault="00FC62DC" w:rsidP="00842630">
      <w:pPr>
        <w:pStyle w:val="af8"/>
        <w:spacing w:before="120" w:beforeAutospacing="0" w:after="120" w:afterAutospacing="0" w:line="276" w:lineRule="auto"/>
        <w:jc w:val="both"/>
      </w:pPr>
      <w:r w:rsidRPr="00A449FE">
        <w:rPr>
          <w:b/>
          <w:bCs/>
          <w:color w:val="3494BA" w:themeColor="accent1"/>
        </w:rPr>
        <w:t>Interoperabilitate și integrare europeană:</w:t>
      </w:r>
      <w:r w:rsidR="00ED0618" w:rsidRPr="00A449FE">
        <w:t xml:space="preserve"> </w:t>
      </w:r>
      <w:r w:rsidRPr="00A449FE">
        <w:t xml:space="preserve">RNC este conceput pentru a fi </w:t>
      </w:r>
      <w:r w:rsidRPr="002942EA">
        <w:t>interoperabil cu</w:t>
      </w:r>
      <w:r w:rsidRPr="00A449FE">
        <w:rPr>
          <w:b/>
          <w:bCs/>
        </w:rPr>
        <w:t xml:space="preserve"> </w:t>
      </w:r>
      <w:r w:rsidRPr="00A449FE">
        <w:rPr>
          <w:rStyle w:val="af9"/>
          <w:rFonts w:eastAsiaTheme="majorEastAsia"/>
          <w:b w:val="0"/>
          <w:bCs w:val="0"/>
        </w:rPr>
        <w:t>Portalul EQF</w:t>
      </w:r>
      <w:r w:rsidRPr="00A449FE">
        <w:t xml:space="preserve"> și cu </w:t>
      </w:r>
      <w:r w:rsidRPr="002942EA">
        <w:t xml:space="preserve">rețelele </w:t>
      </w:r>
      <w:r w:rsidRPr="002942EA">
        <w:rPr>
          <w:rStyle w:val="af9"/>
          <w:rFonts w:eastAsiaTheme="majorEastAsia"/>
          <w:b w:val="0"/>
          <w:bCs w:val="0"/>
        </w:rPr>
        <w:t>ENIC/NARIC</w:t>
      </w:r>
      <w:r w:rsidRPr="00A449FE">
        <w:t xml:space="preserve">, </w:t>
      </w:r>
      <w:r w:rsidR="003078B8" w:rsidRPr="00A449FE">
        <w:t>oferindu-i o dimensiune europeană consolidată. Această integrare facilitează:</w:t>
      </w:r>
    </w:p>
    <w:p w14:paraId="525DF38E" w14:textId="77777777" w:rsidR="003078B8" w:rsidRPr="00A449FE" w:rsidRDefault="003078B8" w:rsidP="00A41843">
      <w:pPr>
        <w:pStyle w:val="af8"/>
        <w:numPr>
          <w:ilvl w:val="0"/>
          <w:numId w:val="114"/>
        </w:numPr>
        <w:spacing w:before="120" w:beforeAutospacing="0" w:after="120" w:afterAutospacing="0" w:line="276" w:lineRule="auto"/>
        <w:jc w:val="both"/>
      </w:pPr>
      <w:r w:rsidRPr="00A449FE">
        <w:t>recunoașterea automată a calificărilor în alte state europene;</w:t>
      </w:r>
    </w:p>
    <w:p w14:paraId="79556DF7" w14:textId="77777777" w:rsidR="003078B8" w:rsidRPr="00A449FE" w:rsidRDefault="003078B8" w:rsidP="00A41843">
      <w:pPr>
        <w:pStyle w:val="af8"/>
        <w:numPr>
          <w:ilvl w:val="0"/>
          <w:numId w:val="114"/>
        </w:numPr>
        <w:spacing w:before="120" w:beforeAutospacing="0" w:after="120" w:afterAutospacing="0" w:line="276" w:lineRule="auto"/>
        <w:jc w:val="both"/>
      </w:pPr>
      <w:r w:rsidRPr="00A449FE">
        <w:lastRenderedPageBreak/>
        <w:t>consolidarea încrederii reciproce în Spațiul European al Învățământului Superior și al Calificărilor(QF-EHEA);</w:t>
      </w:r>
    </w:p>
    <w:p w14:paraId="5D68A5B3" w14:textId="77777777" w:rsidR="003078B8" w:rsidRPr="00A449FE" w:rsidRDefault="003078B8" w:rsidP="00A41843">
      <w:pPr>
        <w:pStyle w:val="af8"/>
        <w:numPr>
          <w:ilvl w:val="0"/>
          <w:numId w:val="114"/>
        </w:numPr>
        <w:spacing w:before="120" w:beforeAutospacing="0" w:after="120" w:afterAutospacing="0" w:line="276" w:lineRule="auto"/>
        <w:jc w:val="both"/>
      </w:pPr>
      <w:r w:rsidRPr="00A449FE">
        <w:t xml:space="preserve">utilizarea coerentă a instrumentelor de transparență precum </w:t>
      </w:r>
      <w:r w:rsidRPr="002942EA">
        <w:rPr>
          <w:rStyle w:val="af9"/>
          <w:rFonts w:eastAsiaTheme="majorEastAsia"/>
          <w:b w:val="0"/>
        </w:rPr>
        <w:t>Europass</w:t>
      </w:r>
      <w:r w:rsidRPr="002942EA">
        <w:rPr>
          <w:b/>
        </w:rPr>
        <w:t xml:space="preserve"> și </w:t>
      </w:r>
      <w:r w:rsidRPr="002942EA">
        <w:rPr>
          <w:rStyle w:val="af9"/>
          <w:rFonts w:eastAsiaTheme="majorEastAsia"/>
          <w:b w:val="0"/>
        </w:rPr>
        <w:t>Suplimentul la Diplomă</w:t>
      </w:r>
      <w:r w:rsidRPr="00A449FE">
        <w:t>.</w:t>
      </w:r>
    </w:p>
    <w:p w14:paraId="12A99F5E" w14:textId="77777777" w:rsidR="003078B8" w:rsidRPr="00A449FE" w:rsidRDefault="003078B8" w:rsidP="00842630">
      <w:pPr>
        <w:pStyle w:val="af8"/>
        <w:spacing w:before="120" w:beforeAutospacing="0" w:after="120" w:afterAutospacing="0" w:line="276" w:lineRule="auto"/>
        <w:jc w:val="both"/>
        <w:rPr>
          <w:b/>
          <w:bCs/>
          <w:color w:val="3494BA" w:themeColor="accent1"/>
        </w:rPr>
      </w:pPr>
      <w:r w:rsidRPr="00A449FE">
        <w:rPr>
          <w:b/>
          <w:bCs/>
          <w:color w:val="3494BA" w:themeColor="accent1"/>
        </w:rPr>
        <w:t>Interoperabilitate cu QDR și publicarea calificărilor pe Portalul EQF</w:t>
      </w:r>
    </w:p>
    <w:p w14:paraId="10539CBD" w14:textId="24F9E51F" w:rsidR="003078B8" w:rsidRPr="00A449FE" w:rsidRDefault="003078B8" w:rsidP="00842630">
      <w:pPr>
        <w:pStyle w:val="af8"/>
        <w:spacing w:before="120" w:beforeAutospacing="0" w:after="120" w:afterAutospacing="0" w:line="276" w:lineRule="auto"/>
        <w:jc w:val="both"/>
      </w:pPr>
      <w:r w:rsidRPr="00A449FE">
        <w:t xml:space="preserve">În conformitate cu Foaia de parcurs privind implementarea CNC (HG nr. 330/2023), </w:t>
      </w:r>
      <w:r w:rsidRPr="002942EA">
        <w:rPr>
          <w:bCs/>
        </w:rPr>
        <w:t>interoperabilitatea tehnică dintre RNC și QDR (Qualifications Data Register)</w:t>
      </w:r>
      <w:r w:rsidRPr="00A449FE">
        <w:t xml:space="preserve"> al Comisiei Europene a fost realizată. QDR reprezintă infrastructura tehnică de date care alimentează Portalul EQF, platforma publică europeană destinată vizualizării și comparării calificărilor într-un format standardizat.</w:t>
      </w:r>
    </w:p>
    <w:p w14:paraId="72B0ABFD" w14:textId="77777777" w:rsidR="003078B8" w:rsidRPr="00A449FE" w:rsidRDefault="003078B8" w:rsidP="00842630">
      <w:pPr>
        <w:pStyle w:val="af8"/>
        <w:spacing w:before="120" w:beforeAutospacing="0" w:after="120" w:afterAutospacing="0" w:line="276" w:lineRule="auto"/>
        <w:jc w:val="both"/>
      </w:pPr>
      <w:r w:rsidRPr="00A449FE">
        <w:t xml:space="preserve">Până în prezent, </w:t>
      </w:r>
      <w:r w:rsidRPr="002942EA">
        <w:rPr>
          <w:bCs/>
        </w:rPr>
        <w:t>peste 100 de calificări înregistrate în RNC au fost transmise în QDR</w:t>
      </w:r>
      <w:r w:rsidRPr="00A449FE">
        <w:t>, în format standardizat, conform specificațiilor tehnice europene privind seturile de date EQF. Această transmitere include informații detaliate privind nivelul CNC/EQF, descrierile bazate pe rezultate ale învățării, domeniile ocupaționale și clasificările sectoriale aferente.</w:t>
      </w:r>
    </w:p>
    <w:p w14:paraId="7EC304FD" w14:textId="77777777" w:rsidR="003078B8" w:rsidRPr="00A449FE" w:rsidRDefault="003078B8" w:rsidP="00842630">
      <w:pPr>
        <w:pStyle w:val="af8"/>
        <w:spacing w:before="120" w:beforeAutospacing="0" w:after="120" w:afterAutospacing="0" w:line="276" w:lineRule="auto"/>
        <w:jc w:val="both"/>
      </w:pPr>
      <w:r w:rsidRPr="00A449FE">
        <w:t xml:space="preserve">În perioada imediat următoare, după finalizarea proceselor de validare tehnică și de conținut de către Comisia Europeană, </w:t>
      </w:r>
      <w:r w:rsidRPr="00A449FE">
        <w:rPr>
          <w:b/>
        </w:rPr>
        <w:t>calificările respective vor fi publicate pe Portalul EQF</w:t>
      </w:r>
      <w:r w:rsidRPr="00A449FE">
        <w:t xml:space="preserve">, devenind astfel accesibile publicului european larg și actorilor din domeniul educației și ocupării forței de muncă. Publicarea acestor calificări pe Portalul EQF va consolida </w:t>
      </w:r>
      <w:r w:rsidRPr="00A449FE">
        <w:rPr>
          <w:b/>
        </w:rPr>
        <w:t>transparența, comparabilitatea și recunoașterea internațională a calificărilor</w:t>
      </w:r>
      <w:r w:rsidRPr="00A449FE">
        <w:t xml:space="preserve"> Republicii Moldova și va marca integrarea deplină a sistemului național în rețeaua europeană a registrelor de calificări.</w:t>
      </w:r>
    </w:p>
    <w:p w14:paraId="1AA35653" w14:textId="77777777" w:rsidR="003078B8" w:rsidRPr="00A449FE" w:rsidRDefault="003078B8" w:rsidP="00842630">
      <w:pPr>
        <w:pStyle w:val="af8"/>
        <w:spacing w:before="120" w:beforeAutospacing="0" w:after="120" w:afterAutospacing="0" w:line="276" w:lineRule="auto"/>
        <w:jc w:val="both"/>
        <w:rPr>
          <w:b/>
          <w:bCs/>
          <w:color w:val="3494BA" w:themeColor="accent1"/>
        </w:rPr>
      </w:pPr>
      <w:r w:rsidRPr="00A449FE">
        <w:rPr>
          <w:b/>
          <w:bCs/>
          <w:color w:val="3494BA" w:themeColor="accent1"/>
        </w:rPr>
        <w:t>Corelarea calificărilor din RNC cu ESCO</w:t>
      </w:r>
    </w:p>
    <w:p w14:paraId="07335DBC" w14:textId="77777777" w:rsidR="003078B8" w:rsidRPr="00F274FB" w:rsidRDefault="003078B8" w:rsidP="00842630">
      <w:pPr>
        <w:pStyle w:val="af8"/>
        <w:spacing w:before="120" w:beforeAutospacing="0" w:after="120" w:afterAutospacing="0" w:line="276" w:lineRule="auto"/>
        <w:jc w:val="both"/>
      </w:pPr>
      <w:r w:rsidRPr="00A449FE">
        <w:t xml:space="preserve">Un pas </w:t>
      </w:r>
      <w:r w:rsidRPr="00F274FB">
        <w:t>semnificativ în procesul de aliniere a sistemului național al calificărilor la instrumentele europene îl constituie corelarea rezultatelor învățării din standardele de calificare naționale cu aptitudinile și competențele din clasificarea europeană ESCO (European Skills, Competences, Qualifications and Occupations).</w:t>
      </w:r>
    </w:p>
    <w:p w14:paraId="589FB5E2" w14:textId="71C13B5C" w:rsidR="003078B8" w:rsidRPr="00F274FB" w:rsidRDefault="003078B8" w:rsidP="00842630">
      <w:pPr>
        <w:pStyle w:val="af8"/>
        <w:spacing w:before="120" w:beforeAutospacing="0" w:after="120" w:afterAutospacing="0" w:line="276" w:lineRule="auto"/>
        <w:jc w:val="both"/>
      </w:pPr>
      <w:r w:rsidRPr="00F274FB">
        <w:t xml:space="preserve">Până în prezent, 10 calificări naționale au fost elaborate și publicate în </w:t>
      </w:r>
      <w:r w:rsidR="00B73195" w:rsidRPr="00F274FB">
        <w:t>RNC</w:t>
      </w:r>
      <w:r w:rsidRPr="00F274FB">
        <w:t xml:space="preserve"> cu corelarea completă a rezultatelor învățării la descriptorii ESCO, atât la nivel de aptitudini (skills), cât și competențe (competences).</w:t>
      </w:r>
    </w:p>
    <w:p w14:paraId="02118EF9" w14:textId="77777777" w:rsidR="003078B8" w:rsidRPr="00F274FB" w:rsidRDefault="003078B8" w:rsidP="00842630">
      <w:pPr>
        <w:pStyle w:val="af8"/>
        <w:spacing w:before="120" w:beforeAutospacing="0" w:after="120" w:afterAutospacing="0" w:line="276" w:lineRule="auto"/>
        <w:jc w:val="both"/>
      </w:pPr>
      <w:r w:rsidRPr="00F274FB">
        <w:t>Această corelare permite:</w:t>
      </w:r>
    </w:p>
    <w:p w14:paraId="76A6A133" w14:textId="77777777" w:rsidR="003078B8" w:rsidRPr="00F274FB" w:rsidRDefault="003078B8" w:rsidP="00A41843">
      <w:pPr>
        <w:pStyle w:val="af8"/>
        <w:numPr>
          <w:ilvl w:val="0"/>
          <w:numId w:val="160"/>
        </w:numPr>
        <w:spacing w:before="120" w:beforeAutospacing="0" w:after="120" w:afterAutospacing="0" w:line="276" w:lineRule="auto"/>
        <w:jc w:val="both"/>
      </w:pPr>
      <w:r w:rsidRPr="00F274FB">
        <w:t>alinierea semantică și tehnică a calificărilor moldovenești cu standardele europene;</w:t>
      </w:r>
    </w:p>
    <w:p w14:paraId="71830AF3" w14:textId="77777777" w:rsidR="003078B8" w:rsidRPr="00F274FB" w:rsidRDefault="003078B8" w:rsidP="00A41843">
      <w:pPr>
        <w:pStyle w:val="af8"/>
        <w:numPr>
          <w:ilvl w:val="0"/>
          <w:numId w:val="160"/>
        </w:numPr>
        <w:spacing w:before="120" w:beforeAutospacing="0" w:after="120" w:afterAutospacing="0" w:line="276" w:lineRule="auto"/>
        <w:jc w:val="both"/>
      </w:pPr>
      <w:r w:rsidRPr="00F274FB">
        <w:t>facilitarea interoperabilității cu ESCO, EQF Portal și Europass;</w:t>
      </w:r>
    </w:p>
    <w:p w14:paraId="4B4812EC" w14:textId="77777777" w:rsidR="003078B8" w:rsidRPr="00F274FB" w:rsidRDefault="003078B8" w:rsidP="00A41843">
      <w:pPr>
        <w:pStyle w:val="af8"/>
        <w:numPr>
          <w:ilvl w:val="0"/>
          <w:numId w:val="160"/>
        </w:numPr>
        <w:spacing w:before="120" w:beforeAutospacing="0" w:after="120" w:afterAutospacing="0" w:line="276" w:lineRule="auto"/>
        <w:jc w:val="both"/>
      </w:pPr>
      <w:r w:rsidRPr="00F274FB">
        <w:t>creșterea relevanței internaționale a calificărilor pentru piața muncii europene;</w:t>
      </w:r>
    </w:p>
    <w:p w14:paraId="270AD14F" w14:textId="77777777" w:rsidR="003078B8" w:rsidRPr="00F274FB" w:rsidRDefault="003078B8" w:rsidP="00A41843">
      <w:pPr>
        <w:pStyle w:val="af8"/>
        <w:numPr>
          <w:ilvl w:val="0"/>
          <w:numId w:val="160"/>
        </w:numPr>
        <w:spacing w:before="120" w:beforeAutospacing="0" w:after="120" w:afterAutospacing="0" w:line="276" w:lineRule="auto"/>
        <w:jc w:val="both"/>
      </w:pPr>
      <w:r w:rsidRPr="00F274FB">
        <w:t>sprijinirea mobilității profesionale și a recunoașterii automate.</w:t>
      </w:r>
    </w:p>
    <w:p w14:paraId="650C9AEA" w14:textId="77777777" w:rsidR="003078B8" w:rsidRPr="00A449FE" w:rsidRDefault="003078B8" w:rsidP="00842630">
      <w:pPr>
        <w:pStyle w:val="af8"/>
        <w:spacing w:before="120" w:beforeAutospacing="0" w:after="120" w:afterAutospacing="0" w:line="276" w:lineRule="auto"/>
        <w:jc w:val="both"/>
      </w:pPr>
      <w:r w:rsidRPr="00F274FB">
        <w:t>Calificările corelate cu ESCO acoperă domenii-cheie ale economiei naționale (ex. construcții, TIC, servicii, textile-confectii) și constituie modele de bună practică pentru extinderea progresivă a corelării</w:t>
      </w:r>
      <w:r w:rsidRPr="00A449FE">
        <w:t xml:space="preserve"> la toate calificările incluse în RNC, conform Foii de parcurs privind operaționalizarea CNC (HG nr. 330/2023).</w:t>
      </w:r>
    </w:p>
    <w:p w14:paraId="021B5529" w14:textId="2F9FED55" w:rsidR="000A5297" w:rsidRPr="00A449FE" w:rsidRDefault="001B1344" w:rsidP="00842630">
      <w:pPr>
        <w:pStyle w:val="af8"/>
        <w:spacing w:before="120" w:beforeAutospacing="0" w:after="120" w:afterAutospacing="0" w:line="276" w:lineRule="auto"/>
        <w:jc w:val="both"/>
        <w:rPr>
          <w:b/>
          <w:bCs/>
        </w:rPr>
      </w:pPr>
      <w:r w:rsidRPr="00A449FE">
        <w:rPr>
          <w:b/>
          <w:bCs/>
          <w:color w:val="3494BA" w:themeColor="accent1"/>
        </w:rPr>
        <w:t xml:space="preserve">4.9.2. Integrarea cu rețele </w:t>
      </w:r>
      <w:r w:rsidR="000A5297" w:rsidRPr="00A449FE">
        <w:rPr>
          <w:b/>
          <w:bCs/>
          <w:color w:val="3494BA" w:themeColor="accent1"/>
        </w:rPr>
        <w:t>și platforme europene: ENIC/NARIC, EQF Portal, NCP-EQF, MICROBOL, Europass</w:t>
      </w:r>
    </w:p>
    <w:p w14:paraId="6D9EB745" w14:textId="40693C68" w:rsidR="000A5297" w:rsidRPr="0020102C" w:rsidRDefault="000A5297" w:rsidP="0084263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Integrarea CNC în spațiul european al calificărilor nu se limitează la elaborarea cadrului național și la corelarea sa cu EQF și QF-</w:t>
      </w:r>
      <w:r w:rsidR="002513BE" w:rsidRPr="0020102C">
        <w:rPr>
          <w:rFonts w:ascii="Times New Roman" w:eastAsia="Times New Roman" w:hAnsi="Times New Roman" w:cs="Times New Roman"/>
          <w:kern w:val="0"/>
          <w:sz w:val="24"/>
          <w:szCs w:val="24"/>
          <w:lang w:eastAsia="ro-MD"/>
          <w14:ligatures w14:val="none"/>
        </w:rPr>
        <w:t>EHEA</w:t>
      </w:r>
      <w:r w:rsidRPr="0020102C">
        <w:rPr>
          <w:rFonts w:ascii="Times New Roman" w:eastAsia="Times New Roman" w:hAnsi="Times New Roman" w:cs="Times New Roman"/>
          <w:kern w:val="0"/>
          <w:sz w:val="24"/>
          <w:szCs w:val="24"/>
          <w:lang w:eastAsia="ro-MD"/>
          <w14:ligatures w14:val="none"/>
        </w:rPr>
        <w:t xml:space="preserve">. Ea presupune participarea activă a Republicii Moldova în rețelele și platformele europene care facilitează transparența, comparabilitatea și recunoașterea calificărilor. În acest </w:t>
      </w:r>
      <w:r w:rsidRPr="0020102C">
        <w:rPr>
          <w:rFonts w:ascii="Times New Roman" w:eastAsia="Times New Roman" w:hAnsi="Times New Roman" w:cs="Times New Roman"/>
          <w:kern w:val="0"/>
          <w:sz w:val="24"/>
          <w:szCs w:val="24"/>
          <w:lang w:eastAsia="ro-MD"/>
          <w14:ligatures w14:val="none"/>
        </w:rPr>
        <w:lastRenderedPageBreak/>
        <w:t>sens, au fost instituite puncte naționale de contact și centre specializate care asigură conectarea sistemului național la arhitectura europeană și internațională a calificărilor.</w:t>
      </w:r>
    </w:p>
    <w:p w14:paraId="3F3EA703" w14:textId="77777777" w:rsidR="000A5297" w:rsidRPr="0020102C" w:rsidRDefault="000A5297" w:rsidP="000A52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Punctul Național de Coordonare pentru EQF (NCP-EQF)</w:t>
      </w:r>
    </w:p>
    <w:p w14:paraId="6199F0E2" w14:textId="77777777" w:rsidR="000A5297" w:rsidRPr="0020102C" w:rsidRDefault="000A5297" w:rsidP="0084263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Prin Ordinul MEC nr. 4117/2024 a fost aprobat Regulamentul privind organizarea și funcționarea NCP-EQF. Rolul său principal este de a coordona corelarea CNC cu EQF, conform Recomandării Consiliului UE din 22 mai 2017, și de a asigura:</w:t>
      </w:r>
    </w:p>
    <w:p w14:paraId="69BB034A" w14:textId="77777777" w:rsidR="000A5297" w:rsidRPr="0020102C" w:rsidRDefault="000A5297" w:rsidP="00A41843">
      <w:pPr>
        <w:numPr>
          <w:ilvl w:val="0"/>
          <w:numId w:val="12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transparența și comparabilitatea calificărilor moldovenești;</w:t>
      </w:r>
    </w:p>
    <w:p w14:paraId="467A0B05" w14:textId="77777777" w:rsidR="000A5297" w:rsidRPr="0020102C" w:rsidRDefault="000A5297" w:rsidP="00A41843">
      <w:pPr>
        <w:numPr>
          <w:ilvl w:val="0"/>
          <w:numId w:val="12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participarea Republicii Moldova la rețeaua europeană a Punctelor Naționale de Coordonare;</w:t>
      </w:r>
    </w:p>
    <w:p w14:paraId="48E9751D" w14:textId="27F1D5CB" w:rsidR="000A5297" w:rsidRPr="0020102C" w:rsidRDefault="000A5297" w:rsidP="00A41843">
      <w:pPr>
        <w:numPr>
          <w:ilvl w:val="0"/>
          <w:numId w:val="12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actualizarea permanentă a referențierii, în concordanță cu evoluțiile educaționale și ale pieței muncii.</w:t>
      </w:r>
    </w:p>
    <w:p w14:paraId="304F589B" w14:textId="4F8553B7" w:rsidR="000A5297" w:rsidRPr="0020102C" w:rsidRDefault="000A5297" w:rsidP="000A52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ENIC/NARIC</w:t>
      </w:r>
    </w:p>
    <w:p w14:paraId="7CE9C6CE" w14:textId="642B17AD" w:rsidR="000A5297" w:rsidRPr="0020102C" w:rsidRDefault="000A5297" w:rsidP="000A52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Prin Ordinul MEC nr. 1504/2024 a fost aprobat Regulamentul privind organizarea și funcționarea Centrului ENIC Moldova. Acesta are misiunea de a asigura legătura cu rețelele europene ENIC-NARIC și cu structurile de coordonare internațională, precum Consiliul Europei și UNESCO. Centrul ENIC Moldova este responsabil de organizarea procesului de recunoaștere și echivalare a actelor de studii obținute în străinătate, precum și de asigurarea transparenței și calității acestuia, în conformitate cu Convenția de la Lisabona (1997) și Convenția Globală UNESCO privind recunoașterea calificărilor (2019), ratificată de Republica Moldova în 2024.</w:t>
      </w:r>
    </w:p>
    <w:p w14:paraId="3ADD6C15" w14:textId="77777777" w:rsidR="000A5297" w:rsidRPr="0020102C" w:rsidRDefault="000A5297" w:rsidP="000A52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Europass</w:t>
      </w:r>
    </w:p>
    <w:p w14:paraId="5B883A7E" w14:textId="11BC94F6" w:rsidR="000A5297" w:rsidRPr="0020102C" w:rsidRDefault="000A5297" w:rsidP="000A52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Prin Ordinul MEC nr. 1626/2024 a fost aprobat Regulamentul privind organizarea și funcționarea Centrului Național Europass. Acesta asigură implementarea și promovarea instrumentelor Europass în Republica Moldova, în baza Deciziei (UE) 2018/646. Europass Moldova are rolul de a sprijini utilizatorii (elevi, studenți, angajați, angajatori) în documentarea și prezentarea aptitudinilor și calificărilor, indiferent de contextul de învățare în care au fost dobândite, și facilitează comparabilitatea internațională a acestora. Activitatea sa se desfășoară în cooperare cu Comisia Europeană și cu rețeaua Centrelor Naționale Europass.</w:t>
      </w:r>
    </w:p>
    <w:p w14:paraId="7685D2AB" w14:textId="5490D3A2" w:rsidR="000A5297" w:rsidRPr="0020102C" w:rsidRDefault="000A5297" w:rsidP="000A52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MICROBOL</w:t>
      </w:r>
    </w:p>
    <w:p w14:paraId="05C1E6DF" w14:textId="5B39AF92" w:rsidR="000A5297" w:rsidRPr="0020102C" w:rsidRDefault="000A5297" w:rsidP="000A52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Republica Moldova participă la inițiativa europeană </w:t>
      </w:r>
      <w:r w:rsidRPr="007B47CA">
        <w:rPr>
          <w:rFonts w:ascii="Times New Roman" w:eastAsia="Times New Roman" w:hAnsi="Times New Roman" w:cs="Times New Roman"/>
          <w:kern w:val="0"/>
          <w:sz w:val="24"/>
          <w:szCs w:val="24"/>
          <w:lang w:eastAsia="ro-MD"/>
          <w14:ligatures w14:val="none"/>
        </w:rPr>
        <w:t>MICROBOL</w:t>
      </w:r>
      <w:r w:rsidRPr="0020102C">
        <w:rPr>
          <w:rFonts w:ascii="Times New Roman" w:eastAsia="Times New Roman" w:hAnsi="Times New Roman" w:cs="Times New Roman"/>
          <w:b/>
          <w:bCs/>
          <w:kern w:val="0"/>
          <w:sz w:val="24"/>
          <w:szCs w:val="24"/>
          <w:lang w:eastAsia="ro-MD"/>
          <w14:ligatures w14:val="none"/>
        </w:rPr>
        <w:t xml:space="preserve"> </w:t>
      </w:r>
      <w:r w:rsidRPr="0020102C">
        <w:rPr>
          <w:rFonts w:ascii="Times New Roman" w:eastAsia="Times New Roman" w:hAnsi="Times New Roman" w:cs="Times New Roman"/>
          <w:kern w:val="0"/>
          <w:sz w:val="24"/>
          <w:szCs w:val="24"/>
          <w:lang w:eastAsia="ro-MD"/>
          <w14:ligatures w14:val="none"/>
        </w:rPr>
        <w:t xml:space="preserve">(Micro-credentials linked to </w:t>
      </w:r>
      <w:r w:rsidR="001846AE" w:rsidRPr="0020102C">
        <w:rPr>
          <w:rFonts w:ascii="Times New Roman" w:eastAsia="Times New Roman" w:hAnsi="Times New Roman" w:cs="Times New Roman"/>
          <w:kern w:val="0"/>
          <w:sz w:val="24"/>
          <w:szCs w:val="24"/>
          <w:lang w:eastAsia="ro-MD"/>
          <w14:ligatures w14:val="none"/>
        </w:rPr>
        <w:t>the</w:t>
      </w:r>
      <w:r w:rsidRPr="0020102C">
        <w:rPr>
          <w:rFonts w:ascii="Times New Roman" w:eastAsia="Times New Roman" w:hAnsi="Times New Roman" w:cs="Times New Roman"/>
          <w:kern w:val="0"/>
          <w:sz w:val="24"/>
          <w:szCs w:val="24"/>
          <w:lang w:eastAsia="ro-MD"/>
          <w14:ligatures w14:val="none"/>
        </w:rPr>
        <w:t xml:space="preserve"> Bologna key commitments), care sprijină statele membre ale Procesului Bologna în integrarea micro-certificatelor în cadrele naționale ale calificărilor și în EQF. MICROBOL explorează modul în care instrumentele existente (ECTS, supliment la diplomă, asigurarea calității) pot fi adaptate pentru micro-certificări și contribuie la dezvoltarea unui cadru european comun. Moldova este implicată prin reprezentanți ai Ministerului Educației și Cercetării și ai ANACEC în grupurile de lucru și atelierele de lucru internaționale, iar la nivel național a inițiat procesul de integrare a micro-certificatelor în CNC, în conformitate cu Recomandarea Consiliului UE din 2022 privind micro-credentials.</w:t>
      </w:r>
    </w:p>
    <w:p w14:paraId="4EDE808B" w14:textId="77777777" w:rsidR="000A5297" w:rsidRPr="0020102C" w:rsidRDefault="000A5297" w:rsidP="000A52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EQF Portal</w:t>
      </w:r>
    </w:p>
    <w:p w14:paraId="48F6403E" w14:textId="77777777" w:rsidR="000A5297" w:rsidRPr="0020102C" w:rsidRDefault="000A5297" w:rsidP="000A52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Portalul Cadrului European al Calificărilor (EQF Portal) este platforma oficială de publicare și comparabilitate a calificărilor referențiate la EQF. După finalizarea procesului de referențiere, calificările înscrise în Registrul Național al Calificărilor (RNC) vor fi accesibile prin acest portal, ceea ce va asigura:</w:t>
      </w:r>
    </w:p>
    <w:p w14:paraId="2A0B6C02" w14:textId="77777777" w:rsidR="000A5297" w:rsidRPr="0020102C" w:rsidRDefault="000A5297" w:rsidP="00A41843">
      <w:pPr>
        <w:numPr>
          <w:ilvl w:val="0"/>
          <w:numId w:val="11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transparența și comparabilitatea calificărilor moldovenești la nivel european;</w:t>
      </w:r>
    </w:p>
    <w:p w14:paraId="133B4845" w14:textId="77777777" w:rsidR="000A5297" w:rsidRPr="0020102C" w:rsidRDefault="000A5297" w:rsidP="00A41843">
      <w:pPr>
        <w:numPr>
          <w:ilvl w:val="0"/>
          <w:numId w:val="11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facilitarea accesului angajatorilor, instituțiilor și cetățenilor la informații standardizate;</w:t>
      </w:r>
    </w:p>
    <w:p w14:paraId="645033BD" w14:textId="77777777" w:rsidR="000A5297" w:rsidRPr="0020102C" w:rsidRDefault="000A5297" w:rsidP="00A41843">
      <w:pPr>
        <w:numPr>
          <w:ilvl w:val="0"/>
          <w:numId w:val="11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integrarea Republicii Moldova într-un spațiu comun al învățării pe tot parcursul vieții.</w:t>
      </w:r>
    </w:p>
    <w:p w14:paraId="21ACE2A3" w14:textId="77777777" w:rsidR="000A5297" w:rsidRPr="0020102C" w:rsidRDefault="000A5297" w:rsidP="000A52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Concluzie</w:t>
      </w:r>
    </w:p>
    <w:p w14:paraId="1449442C" w14:textId="5E0C873C" w:rsidR="000A5297" w:rsidRPr="0020102C" w:rsidRDefault="000A5297" w:rsidP="000A52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Participarea activă a Republicii Moldova la aceste rețele și platforme europene consolidează transparența, credibilitatea și comparabilitatea CNC. Prin conectarea la ENIC/NARIC, EQF Portal, NCP-EQF, MICROBOL și Europass, Republica Moldova își aliniază mecanismele de recunoaștere și validare la standardele europene, ceea ce facilitează </w:t>
      </w:r>
      <w:r w:rsidRPr="0020102C">
        <w:rPr>
          <w:rFonts w:ascii="Times New Roman" w:eastAsia="Times New Roman" w:hAnsi="Times New Roman" w:cs="Times New Roman"/>
          <w:b/>
          <w:bCs/>
          <w:kern w:val="0"/>
          <w:sz w:val="24"/>
          <w:szCs w:val="24"/>
          <w:lang w:eastAsia="ro-MD"/>
          <w14:ligatures w14:val="none"/>
        </w:rPr>
        <w:t>recunoașterea automată</w:t>
      </w:r>
      <w:r w:rsidRPr="0020102C">
        <w:rPr>
          <w:rFonts w:ascii="Times New Roman" w:eastAsia="Times New Roman" w:hAnsi="Times New Roman" w:cs="Times New Roman"/>
          <w:kern w:val="0"/>
          <w:sz w:val="24"/>
          <w:szCs w:val="24"/>
          <w:lang w:eastAsia="ro-MD"/>
          <w14:ligatures w14:val="none"/>
        </w:rPr>
        <w:t xml:space="preserve"> a calificărilor, mobilitatea academică și profesională, și crește atractivitatea sistemului educațional și de formare la nivel internațional.</w:t>
      </w:r>
    </w:p>
    <w:p w14:paraId="44AE43BD" w14:textId="59C901C8" w:rsidR="000A5297" w:rsidRPr="0020102C" w:rsidRDefault="000A5297" w:rsidP="001B1344">
      <w:pPr>
        <w:spacing w:before="120" w:after="120" w:line="276" w:lineRule="auto"/>
        <w:jc w:val="both"/>
        <w:outlineLvl w:val="1"/>
        <w:rPr>
          <w:rFonts w:ascii="Times New Roman" w:eastAsia="Times New Roman" w:hAnsi="Times New Roman" w:cs="Times New Roman"/>
          <w:b/>
          <w:bCs/>
          <w:color w:val="3494BA" w:themeColor="accent1"/>
          <w:kern w:val="0"/>
          <w:sz w:val="24"/>
          <w:szCs w:val="24"/>
          <w:lang w:eastAsia="ro-MD"/>
          <w14:ligatures w14:val="none"/>
        </w:rPr>
      </w:pPr>
    </w:p>
    <w:p w14:paraId="6A59922D" w14:textId="1772E265" w:rsidR="00010517" w:rsidRPr="0020102C" w:rsidRDefault="00991EC6" w:rsidP="007C7797">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4.10. MANAGEMENTUL CALIFICĂRILOR ȘI ASIGURAREA CALITĂȚII</w:t>
      </w:r>
    </w:p>
    <w:p w14:paraId="360FA270" w14:textId="3C5E1097" w:rsidR="006E4447" w:rsidRPr="0020102C" w:rsidRDefault="006E4447" w:rsidP="007C77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Managementul calificărilor și asigurarea calității reprezintă pilonii esențiali ai funcționării și credibilității CNC. Acestea se desfășoară pe baza unui cadru normativ bine definit, în special </w:t>
      </w:r>
      <w:r w:rsidRPr="0020102C">
        <w:rPr>
          <w:rFonts w:ascii="Times New Roman" w:eastAsia="Times New Roman" w:hAnsi="Times New Roman" w:cs="Times New Roman"/>
          <w:b/>
          <w:bCs/>
          <w:kern w:val="0"/>
          <w:sz w:val="24"/>
          <w:szCs w:val="24"/>
          <w:lang w:eastAsia="ro-MD"/>
          <w14:ligatures w14:val="none"/>
        </w:rPr>
        <w:t>Codul educației nr. 152/2014</w:t>
      </w:r>
      <w:r w:rsidRPr="0020102C">
        <w:rPr>
          <w:rFonts w:ascii="Times New Roman" w:eastAsia="Times New Roman" w:hAnsi="Times New Roman" w:cs="Times New Roman"/>
          <w:kern w:val="0"/>
          <w:sz w:val="24"/>
          <w:szCs w:val="24"/>
          <w:lang w:eastAsia="ro-MD"/>
          <w14:ligatures w14:val="none"/>
        </w:rPr>
        <w:t xml:space="preserve"> și </w:t>
      </w:r>
      <w:r w:rsidRPr="0020102C">
        <w:rPr>
          <w:rFonts w:ascii="Times New Roman" w:eastAsia="Times New Roman" w:hAnsi="Times New Roman" w:cs="Times New Roman"/>
          <w:b/>
          <w:bCs/>
          <w:kern w:val="0"/>
          <w:sz w:val="24"/>
          <w:szCs w:val="24"/>
          <w:lang w:eastAsia="ro-MD"/>
          <w14:ligatures w14:val="none"/>
        </w:rPr>
        <w:t>Hotărârea Guvernului nr. 330/2023</w:t>
      </w:r>
      <w:r w:rsidRPr="0020102C">
        <w:rPr>
          <w:rFonts w:ascii="Times New Roman" w:eastAsia="Times New Roman" w:hAnsi="Times New Roman" w:cs="Times New Roman"/>
          <w:kern w:val="0"/>
          <w:sz w:val="24"/>
          <w:szCs w:val="24"/>
          <w:lang w:eastAsia="ro-MD"/>
          <w14:ligatures w14:val="none"/>
        </w:rPr>
        <w:t>, care instituie mecanisme clare pentru dezvoltarea, evaluarea, certificarea și recunoașterea calificărilor, asigurând în același timp transparența și coerența calității.</w:t>
      </w:r>
    </w:p>
    <w:p w14:paraId="10D783DF" w14:textId="77777777" w:rsidR="006E4447" w:rsidRPr="0020102C" w:rsidRDefault="006E4447" w:rsidP="007C779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Arhitectura managementului calificărilor</w:t>
      </w:r>
    </w:p>
    <w:p w14:paraId="36EACC0B" w14:textId="2FE5A28F" w:rsidR="006E4447" w:rsidRPr="0020102C" w:rsidRDefault="006E4447" w:rsidP="007C77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Managementul calificărilor este structurat pe întregul ciclu de viață al acestora: de la elaborarea și validarea standardelor de calificare, până la autorizarea și acreditarea programelor, evaluarea și certificarea rezultatelor învățării, precum și integrarea informațiilor în RNC, care constituie o „sursă publică autorizată” și instrumentul unic de identificare, înregistrare și consultare a calificărilor, garantând transparență și comparabilitate la nivel național și european.</w:t>
      </w:r>
    </w:p>
    <w:p w14:paraId="68A28727" w14:textId="77777777" w:rsidR="006E4447" w:rsidRPr="0020102C" w:rsidRDefault="006E4447" w:rsidP="007C77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Rolurile instituționale sunt clar definite:</w:t>
      </w:r>
    </w:p>
    <w:p w14:paraId="3E27D61C" w14:textId="7F87263A" w:rsidR="006E4447" w:rsidRPr="0020102C" w:rsidRDefault="006E4447" w:rsidP="00A41843">
      <w:pPr>
        <w:numPr>
          <w:ilvl w:val="0"/>
          <w:numId w:val="12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xml:space="preserve"> stabilește cadrul juridic și organizatoric, gestionează RNC și coordonează politicile de recunoaștere și certificare.</w:t>
      </w:r>
    </w:p>
    <w:p w14:paraId="194DBC14" w14:textId="53410F0E" w:rsidR="006E4447" w:rsidRPr="0020102C" w:rsidRDefault="006E4447" w:rsidP="00A41843">
      <w:pPr>
        <w:numPr>
          <w:ilvl w:val="0"/>
          <w:numId w:val="12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ANACEC</w:t>
      </w:r>
      <w:r w:rsidRPr="0020102C">
        <w:rPr>
          <w:rFonts w:ascii="Times New Roman" w:eastAsia="Times New Roman" w:hAnsi="Times New Roman" w:cs="Times New Roman"/>
          <w:kern w:val="0"/>
          <w:sz w:val="24"/>
          <w:szCs w:val="24"/>
          <w:lang w:eastAsia="ro-MD"/>
          <w14:ligatures w14:val="none"/>
        </w:rPr>
        <w:t xml:space="preserve"> realizează evaluarea externă a calității și acreditarea programelor</w:t>
      </w:r>
      <w:r w:rsidR="00AA7DC0">
        <w:rPr>
          <w:rFonts w:ascii="Times New Roman" w:eastAsia="Times New Roman" w:hAnsi="Times New Roman" w:cs="Times New Roman"/>
          <w:kern w:val="0"/>
          <w:sz w:val="24"/>
          <w:szCs w:val="24"/>
          <w:lang w:eastAsia="ro-MD"/>
          <w14:ligatures w14:val="none"/>
        </w:rPr>
        <w:t xml:space="preserve"> de studii și a </w:t>
      </w:r>
      <w:r w:rsidR="005A15B6">
        <w:rPr>
          <w:rFonts w:ascii="Times New Roman" w:eastAsia="Times New Roman" w:hAnsi="Times New Roman" w:cs="Times New Roman"/>
          <w:kern w:val="0"/>
          <w:sz w:val="24"/>
          <w:szCs w:val="24"/>
          <w:lang w:eastAsia="ro-MD"/>
          <w14:ligatures w14:val="none"/>
        </w:rPr>
        <w:t>instituțiilor de învățământ</w:t>
      </w:r>
      <w:r w:rsidRPr="0020102C">
        <w:rPr>
          <w:rFonts w:ascii="Times New Roman" w:eastAsia="Times New Roman" w:hAnsi="Times New Roman" w:cs="Times New Roman"/>
          <w:kern w:val="0"/>
          <w:sz w:val="24"/>
          <w:szCs w:val="24"/>
          <w:lang w:eastAsia="ro-MD"/>
          <w14:ligatures w14:val="none"/>
        </w:rPr>
        <w:t>, administrează registrul experților evaluatori și monitorizează respectarea standardelor.</w:t>
      </w:r>
    </w:p>
    <w:p w14:paraId="5634FED1" w14:textId="77777777" w:rsidR="006E4447" w:rsidRPr="0020102C" w:rsidRDefault="006E4447" w:rsidP="00A41843">
      <w:pPr>
        <w:numPr>
          <w:ilvl w:val="0"/>
          <w:numId w:val="12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Furnizorii de educație și formare profesională</w:t>
      </w:r>
      <w:r w:rsidRPr="0020102C">
        <w:rPr>
          <w:rFonts w:ascii="Times New Roman" w:eastAsia="Times New Roman" w:hAnsi="Times New Roman" w:cs="Times New Roman"/>
          <w:kern w:val="0"/>
          <w:sz w:val="24"/>
          <w:szCs w:val="24"/>
          <w:lang w:eastAsia="ro-MD"/>
          <w14:ligatures w14:val="none"/>
        </w:rPr>
        <w:t xml:space="preserve"> sunt responsabili de implementarea programelor acreditate, evaluarea rezultatelor învățării și emiterea actelor de certificare.</w:t>
      </w:r>
    </w:p>
    <w:p w14:paraId="4A207091" w14:textId="77777777" w:rsidR="006E4447" w:rsidRPr="0020102C" w:rsidRDefault="006E4447" w:rsidP="00A41843">
      <w:pPr>
        <w:numPr>
          <w:ilvl w:val="0"/>
          <w:numId w:val="12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CTICE</w:t>
      </w:r>
      <w:r w:rsidRPr="0020102C">
        <w:rPr>
          <w:rFonts w:ascii="Times New Roman" w:eastAsia="Times New Roman" w:hAnsi="Times New Roman" w:cs="Times New Roman"/>
          <w:kern w:val="0"/>
          <w:sz w:val="24"/>
          <w:szCs w:val="24"/>
          <w:lang w:eastAsia="ro-MD"/>
          <w14:ligatures w14:val="none"/>
        </w:rPr>
        <w:t xml:space="preserve"> administrează platformele digitale pentru gestionarea actelor de studii, asigurând interoperabilitatea cu instrumente europene (EQF, Europass).</w:t>
      </w:r>
    </w:p>
    <w:p w14:paraId="598B3FF1" w14:textId="77777777" w:rsidR="006E4447" w:rsidRPr="0020102C" w:rsidRDefault="006E4447" w:rsidP="007C779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Asigurarea calității calificărilor</w:t>
      </w:r>
    </w:p>
    <w:p w14:paraId="6177912F" w14:textId="5CE57E66" w:rsidR="006E4447" w:rsidRPr="0020102C" w:rsidRDefault="006E4447" w:rsidP="007C77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Potrivit </w:t>
      </w:r>
      <w:r w:rsidRPr="0020102C">
        <w:rPr>
          <w:rFonts w:ascii="Times New Roman" w:eastAsia="Times New Roman" w:hAnsi="Times New Roman" w:cs="Times New Roman"/>
          <w:b/>
          <w:bCs/>
          <w:kern w:val="0"/>
          <w:sz w:val="24"/>
          <w:szCs w:val="24"/>
          <w:lang w:eastAsia="ro-MD"/>
          <w14:ligatures w14:val="none"/>
        </w:rPr>
        <w:t xml:space="preserve">Codului educației </w:t>
      </w:r>
      <w:r w:rsidRPr="0020102C">
        <w:rPr>
          <w:rFonts w:ascii="Times New Roman" w:eastAsia="Times New Roman" w:hAnsi="Times New Roman" w:cs="Times New Roman"/>
          <w:kern w:val="0"/>
          <w:sz w:val="24"/>
          <w:szCs w:val="24"/>
          <w:lang w:eastAsia="ro-MD"/>
          <w14:ligatures w14:val="none"/>
        </w:rPr>
        <w:t xml:space="preserve">și </w:t>
      </w:r>
      <w:r w:rsidRPr="0020102C">
        <w:rPr>
          <w:rFonts w:ascii="Times New Roman" w:eastAsia="Times New Roman" w:hAnsi="Times New Roman" w:cs="Times New Roman"/>
          <w:b/>
          <w:bCs/>
          <w:kern w:val="0"/>
          <w:sz w:val="24"/>
          <w:szCs w:val="24"/>
          <w:lang w:eastAsia="ro-MD"/>
          <w14:ligatures w14:val="none"/>
        </w:rPr>
        <w:t>HG nr. 330/2023</w:t>
      </w:r>
      <w:r w:rsidRPr="0020102C">
        <w:rPr>
          <w:rFonts w:ascii="Times New Roman" w:eastAsia="Times New Roman" w:hAnsi="Times New Roman" w:cs="Times New Roman"/>
          <w:kern w:val="0"/>
          <w:sz w:val="24"/>
          <w:szCs w:val="24"/>
          <w:lang w:eastAsia="ro-MD"/>
          <w14:ligatures w14:val="none"/>
        </w:rPr>
        <w:t xml:space="preserve">, asigurarea calității este o responsabilitate comună, realizată prin cooperarea transparentă, implicarea și asumarea părților interesate în toate etapele – de la elaborarea standardului de calificare și evaluarea rezultatelor învățării, până la certificare și recunoaștere. </w:t>
      </w:r>
    </w:p>
    <w:p w14:paraId="361C528C" w14:textId="05F86F7B" w:rsidR="006E4447" w:rsidRPr="0020102C" w:rsidRDefault="006E4447" w:rsidP="007C7797">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Asigurarea calității calificărilor cu nivel CNC se aliniază direct principiilor europene aplicabile nivelurilor EQF, vizând conceperea pe baza rezultatelor învățării, evaluarea și certificarea conform unor standarde transparente și credibile, implicarea tuturor părților interesate, precum și funcționarea unor mecanisme de feedback și îmbunătățire continuă. Calitatea este integrată în managementul intern al instituțiilor prin obiective și indicatori clari, corelarea autoevaluării cu evaluarea externă, utilizarea resurselor adecvate și asigurarea accesului electronic la rezultatele învățării și la actele de certificare. În plus, activitatea </w:t>
      </w:r>
      <w:r w:rsidRPr="0020102C">
        <w:rPr>
          <w:rFonts w:ascii="Times New Roman" w:eastAsia="Times New Roman" w:hAnsi="Times New Roman" w:cs="Times New Roman"/>
          <w:kern w:val="0"/>
          <w:sz w:val="24"/>
          <w:szCs w:val="24"/>
          <w:lang w:eastAsia="ro-MD"/>
          <w14:ligatures w14:val="none"/>
        </w:rPr>
        <w:lastRenderedPageBreak/>
        <w:t>evaluatorilor și a agențiilor de evaluare este supusă unei revizuiri periodice pentru a garanta fiabilitatea și coerența proceselor.</w:t>
      </w:r>
    </w:p>
    <w:p w14:paraId="488E968F" w14:textId="3E84B946" w:rsidR="006E4447" w:rsidRPr="0020102C" w:rsidRDefault="006E4447" w:rsidP="007C7797">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Implementarea standardelor și procedurilor: </w:t>
      </w:r>
      <w:r w:rsidRPr="0020102C">
        <w:rPr>
          <w:rFonts w:ascii="Times New Roman" w:eastAsia="Times New Roman" w:hAnsi="Times New Roman" w:cs="Times New Roman"/>
          <w:kern w:val="0"/>
          <w:sz w:val="24"/>
          <w:szCs w:val="24"/>
          <w:lang w:eastAsia="ro-MD"/>
          <w14:ligatures w14:val="none"/>
        </w:rPr>
        <w:t>Standardele și procedurile de asigurare a calității sunt implementate prin regulamentele aplicabile pe niveluri CNC și se referă în mod special la:</w:t>
      </w:r>
    </w:p>
    <w:p w14:paraId="2132CFC2"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politicile instituționale de calitate;</w:t>
      </w:r>
    </w:p>
    <w:p w14:paraId="3558F6DB"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proiectarea, validarea și coordonarea programelor cu atribuirea nivelului CNC;</w:t>
      </w:r>
    </w:p>
    <w:p w14:paraId="3102FDEF"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procesele de predare, învățare și evaluare a rezultatelor centrate pe elev/student/cursant;</w:t>
      </w:r>
    </w:p>
    <w:p w14:paraId="5AD49383"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admiterea, parcursul educațional, validarea și certificarea calificărilor;</w:t>
      </w:r>
    </w:p>
    <w:p w14:paraId="282BF2B1"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resursele de predare și sprijin, precum și calificarea și atestarea personalului didactic;</w:t>
      </w:r>
    </w:p>
    <w:p w14:paraId="390A2B92"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transparența informațiilor și informarea publicului;</w:t>
      </w:r>
    </w:p>
    <w:p w14:paraId="56364D84" w14:textId="77777777" w:rsidR="006E4447" w:rsidRPr="0020102C"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monitorizarea și evaluarea continuă a programelor;</w:t>
      </w:r>
    </w:p>
    <w:p w14:paraId="5A67D133" w14:textId="254A8CED" w:rsidR="00204D0D" w:rsidRDefault="006E4447"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evaluarea internă și externă a calității pentru autorizarea </w:t>
      </w:r>
      <w:r w:rsidR="006B7535">
        <w:rPr>
          <w:rFonts w:ascii="Times New Roman" w:eastAsia="Times New Roman" w:hAnsi="Times New Roman" w:cs="Times New Roman"/>
          <w:kern w:val="0"/>
          <w:sz w:val="24"/>
          <w:szCs w:val="24"/>
          <w:lang w:eastAsia="ro-MD"/>
          <w14:ligatures w14:val="none"/>
        </w:rPr>
        <w:t xml:space="preserve">de funcționare </w:t>
      </w:r>
      <w:r w:rsidRPr="0020102C">
        <w:rPr>
          <w:rFonts w:ascii="Times New Roman" w:eastAsia="Times New Roman" w:hAnsi="Times New Roman" w:cs="Times New Roman"/>
          <w:kern w:val="0"/>
          <w:sz w:val="24"/>
          <w:szCs w:val="24"/>
          <w:lang w:eastAsia="ro-MD"/>
          <w14:ligatures w14:val="none"/>
        </w:rPr>
        <w:t>provizorie și acreditare</w:t>
      </w:r>
      <w:r w:rsidR="00A43FDD">
        <w:rPr>
          <w:rFonts w:ascii="Times New Roman" w:eastAsia="Times New Roman" w:hAnsi="Times New Roman" w:cs="Times New Roman"/>
          <w:kern w:val="0"/>
          <w:sz w:val="24"/>
          <w:szCs w:val="24"/>
          <w:lang w:eastAsia="ro-MD"/>
          <w14:ligatures w14:val="none"/>
        </w:rPr>
        <w:t>;</w:t>
      </w:r>
    </w:p>
    <w:p w14:paraId="7C4893BF" w14:textId="1574EB0C" w:rsidR="006E4447" w:rsidRPr="0020102C" w:rsidRDefault="00204D0D" w:rsidP="00A41843">
      <w:pPr>
        <w:numPr>
          <w:ilvl w:val="0"/>
          <w:numId w:val="122"/>
        </w:numPr>
        <w:spacing w:before="120" w:after="120" w:line="276" w:lineRule="auto"/>
        <w:jc w:val="both"/>
        <w:rPr>
          <w:rFonts w:ascii="Times New Roman" w:eastAsia="Times New Roman" w:hAnsi="Times New Roman" w:cs="Times New Roman"/>
          <w:kern w:val="0"/>
          <w:sz w:val="24"/>
          <w:szCs w:val="24"/>
          <w:lang w:eastAsia="ro-MD"/>
          <w14:ligatures w14:val="none"/>
        </w:rPr>
      </w:pPr>
      <w:proofErr w:type="spellStart"/>
      <w:r w:rsidRPr="00204D0D">
        <w:rPr>
          <w:rFonts w:ascii="Times New Roman" w:eastAsia="Times New Roman" w:hAnsi="Times New Roman" w:cs="Times New Roman"/>
          <w:kern w:val="0"/>
          <w:sz w:val="24"/>
          <w:szCs w:val="24"/>
          <w:lang w:val="en-US" w:eastAsia="ro-MD"/>
          <w14:ligatures w14:val="none"/>
        </w:rPr>
        <w:t>elaborarea</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și</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aprobarea</w:t>
      </w:r>
      <w:proofErr w:type="spellEnd"/>
      <w:r w:rsidRPr="00204D0D">
        <w:rPr>
          <w:rFonts w:ascii="Times New Roman" w:eastAsia="Times New Roman" w:hAnsi="Times New Roman" w:cs="Times New Roman"/>
          <w:kern w:val="0"/>
          <w:sz w:val="24"/>
          <w:szCs w:val="24"/>
          <w:lang w:val="en-US" w:eastAsia="ro-MD"/>
          <w14:ligatures w14:val="none"/>
        </w:rPr>
        <w:t xml:space="preserve"> de </w:t>
      </w:r>
      <w:proofErr w:type="spellStart"/>
      <w:r w:rsidRPr="00204D0D">
        <w:rPr>
          <w:rFonts w:ascii="Times New Roman" w:eastAsia="Times New Roman" w:hAnsi="Times New Roman" w:cs="Times New Roman"/>
          <w:kern w:val="0"/>
          <w:sz w:val="24"/>
          <w:szCs w:val="24"/>
          <w:lang w:val="en-US" w:eastAsia="ro-MD"/>
          <w14:ligatures w14:val="none"/>
        </w:rPr>
        <w:t>către</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instituțiile</w:t>
      </w:r>
      <w:proofErr w:type="spellEnd"/>
      <w:r w:rsidRPr="00204D0D">
        <w:rPr>
          <w:rFonts w:ascii="Times New Roman" w:eastAsia="Times New Roman" w:hAnsi="Times New Roman" w:cs="Times New Roman"/>
          <w:kern w:val="0"/>
          <w:sz w:val="24"/>
          <w:szCs w:val="24"/>
          <w:lang w:val="en-US" w:eastAsia="ro-MD"/>
          <w14:ligatures w14:val="none"/>
        </w:rPr>
        <w:t xml:space="preserve"> evaluate a </w:t>
      </w:r>
      <w:proofErr w:type="spellStart"/>
      <w:r w:rsidRPr="00204D0D">
        <w:rPr>
          <w:rFonts w:ascii="Times New Roman" w:eastAsia="Times New Roman" w:hAnsi="Times New Roman" w:cs="Times New Roman"/>
          <w:kern w:val="0"/>
          <w:sz w:val="24"/>
          <w:szCs w:val="24"/>
          <w:lang w:val="en-US" w:eastAsia="ro-MD"/>
          <w14:ligatures w14:val="none"/>
        </w:rPr>
        <w:t>Planului</w:t>
      </w:r>
      <w:proofErr w:type="spellEnd"/>
      <w:r w:rsidRPr="00204D0D">
        <w:rPr>
          <w:rFonts w:ascii="Times New Roman" w:eastAsia="Times New Roman" w:hAnsi="Times New Roman" w:cs="Times New Roman"/>
          <w:kern w:val="0"/>
          <w:sz w:val="24"/>
          <w:szCs w:val="24"/>
          <w:lang w:val="en-US" w:eastAsia="ro-MD"/>
          <w14:ligatures w14:val="none"/>
        </w:rPr>
        <w:t xml:space="preserve"> de </w:t>
      </w:r>
      <w:proofErr w:type="spellStart"/>
      <w:r w:rsidRPr="00204D0D">
        <w:rPr>
          <w:rFonts w:ascii="Times New Roman" w:eastAsia="Times New Roman" w:hAnsi="Times New Roman" w:cs="Times New Roman"/>
          <w:kern w:val="0"/>
          <w:sz w:val="24"/>
          <w:szCs w:val="24"/>
          <w:lang w:val="en-US" w:eastAsia="ro-MD"/>
          <w14:ligatures w14:val="none"/>
        </w:rPr>
        <w:t>măsuri</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corective</w:t>
      </w:r>
      <w:proofErr w:type="spellEnd"/>
      <w:r w:rsidRPr="00204D0D">
        <w:rPr>
          <w:rFonts w:ascii="Times New Roman" w:eastAsia="Times New Roman" w:hAnsi="Times New Roman" w:cs="Times New Roman"/>
          <w:kern w:val="0"/>
          <w:sz w:val="24"/>
          <w:szCs w:val="24"/>
          <w:lang w:val="en-US" w:eastAsia="ro-MD"/>
          <w14:ligatures w14:val="none"/>
        </w:rPr>
        <w:t>/</w:t>
      </w:r>
      <w:proofErr w:type="spellStart"/>
      <w:r w:rsidRPr="00204D0D">
        <w:rPr>
          <w:rFonts w:ascii="Times New Roman" w:eastAsia="Times New Roman" w:hAnsi="Times New Roman" w:cs="Times New Roman"/>
          <w:kern w:val="0"/>
          <w:sz w:val="24"/>
          <w:szCs w:val="24"/>
          <w:lang w:val="en-US" w:eastAsia="ro-MD"/>
          <w14:ligatures w14:val="none"/>
        </w:rPr>
        <w:t>acțiuni</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postevaluare</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și</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implementarea</w:t>
      </w:r>
      <w:proofErr w:type="spellEnd"/>
      <w:r w:rsidRPr="00204D0D">
        <w:rPr>
          <w:rFonts w:ascii="Times New Roman" w:eastAsia="Times New Roman" w:hAnsi="Times New Roman" w:cs="Times New Roman"/>
          <w:kern w:val="0"/>
          <w:sz w:val="24"/>
          <w:szCs w:val="24"/>
          <w:lang w:val="en-US" w:eastAsia="ro-MD"/>
          <w14:ligatures w14:val="none"/>
        </w:rPr>
        <w:t xml:space="preserve"> </w:t>
      </w:r>
      <w:proofErr w:type="spellStart"/>
      <w:r w:rsidRPr="00204D0D">
        <w:rPr>
          <w:rFonts w:ascii="Times New Roman" w:eastAsia="Times New Roman" w:hAnsi="Times New Roman" w:cs="Times New Roman"/>
          <w:kern w:val="0"/>
          <w:sz w:val="24"/>
          <w:szCs w:val="24"/>
          <w:lang w:val="en-US" w:eastAsia="ro-MD"/>
          <w14:ligatures w14:val="none"/>
        </w:rPr>
        <w:t>acestuia</w:t>
      </w:r>
      <w:proofErr w:type="spellEnd"/>
      <w:r w:rsidR="006E4447" w:rsidRPr="0020102C">
        <w:rPr>
          <w:rFonts w:ascii="Times New Roman" w:eastAsia="Times New Roman" w:hAnsi="Times New Roman" w:cs="Times New Roman"/>
          <w:kern w:val="0"/>
          <w:sz w:val="24"/>
          <w:szCs w:val="24"/>
          <w:lang w:eastAsia="ro-MD"/>
          <w14:ligatures w14:val="none"/>
        </w:rPr>
        <w:t>.</w:t>
      </w:r>
    </w:p>
    <w:p w14:paraId="7BB81389" w14:textId="3B4E5F89" w:rsidR="006E4447" w:rsidRPr="0020102C" w:rsidRDefault="006E4447" w:rsidP="007C7797">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Evaluarea externă și rolul ANACEC: </w:t>
      </w:r>
      <w:r w:rsidRPr="0020102C">
        <w:rPr>
          <w:rFonts w:ascii="Times New Roman" w:eastAsia="Times New Roman" w:hAnsi="Times New Roman" w:cs="Times New Roman"/>
          <w:kern w:val="0"/>
          <w:sz w:val="24"/>
          <w:szCs w:val="24"/>
          <w:lang w:eastAsia="ro-MD"/>
          <w14:ligatures w14:val="none"/>
        </w:rPr>
        <w:t xml:space="preserve">Conform </w:t>
      </w:r>
      <w:r w:rsidRPr="0020102C">
        <w:rPr>
          <w:rFonts w:ascii="Times New Roman" w:eastAsia="Times New Roman" w:hAnsi="Times New Roman" w:cs="Times New Roman"/>
          <w:b/>
          <w:bCs/>
          <w:kern w:val="0"/>
          <w:sz w:val="24"/>
          <w:szCs w:val="24"/>
          <w:lang w:eastAsia="ro-MD"/>
          <w14:ligatures w14:val="none"/>
        </w:rPr>
        <w:t>HG nr. 330/2023, Anexa 1, pct. 169–170</w:t>
      </w:r>
      <w:r w:rsidRPr="0020102C">
        <w:rPr>
          <w:rFonts w:ascii="Times New Roman" w:eastAsia="Times New Roman" w:hAnsi="Times New Roman" w:cs="Times New Roman"/>
          <w:kern w:val="0"/>
          <w:sz w:val="24"/>
          <w:szCs w:val="24"/>
          <w:lang w:eastAsia="ro-MD"/>
          <w14:ligatures w14:val="none"/>
        </w:rPr>
        <w:t>, evaluarea externă a programelor care conduc la obținerea calificărilor complete sau parțiale este realizată de ANACEC sau, în anumite condiții, de alte agenții de evaluare a calității acreditate la nivel internațional și/sau incluse în EQAR. În cazul constatării unor neconformități persistente, ANACEC poate recomanda MEC retragerea acreditării, pentru a garanta încrederea în calitatea și nivelul calificărilor.</w:t>
      </w:r>
    </w:p>
    <w:p w14:paraId="25B346E5" w14:textId="2627AE85" w:rsidR="006E4447" w:rsidRPr="0020102C" w:rsidRDefault="006E4447" w:rsidP="007C7797">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Integrarea dimensiunii europene: </w:t>
      </w:r>
      <w:r w:rsidRPr="0020102C">
        <w:rPr>
          <w:rFonts w:ascii="Times New Roman" w:eastAsia="Times New Roman" w:hAnsi="Times New Roman" w:cs="Times New Roman"/>
          <w:kern w:val="0"/>
          <w:sz w:val="24"/>
          <w:szCs w:val="24"/>
          <w:lang w:eastAsia="ro-MD"/>
          <w14:ligatures w14:val="none"/>
        </w:rPr>
        <w:t>Întregul sistem de asigurare a calității este aliniat la principiile și instrumentele europene:</w:t>
      </w:r>
    </w:p>
    <w:p w14:paraId="69B38579" w14:textId="535A49FF" w:rsidR="006E4447" w:rsidRPr="007B47CA" w:rsidRDefault="00BB2A74" w:rsidP="00A41843">
      <w:pPr>
        <w:numPr>
          <w:ilvl w:val="0"/>
          <w:numId w:val="123"/>
        </w:numPr>
        <w:spacing w:before="120" w:after="120" w:line="276" w:lineRule="auto"/>
        <w:jc w:val="both"/>
        <w:rPr>
          <w:rFonts w:ascii="Times New Roman" w:eastAsia="Times New Roman" w:hAnsi="Times New Roman" w:cs="Times New Roman"/>
          <w:kern w:val="0"/>
          <w:sz w:val="24"/>
          <w:szCs w:val="24"/>
          <w:lang w:eastAsia="ro-MD"/>
          <w14:ligatures w14:val="none"/>
        </w:rPr>
      </w:pPr>
      <w:r w:rsidRPr="007B47CA">
        <w:rPr>
          <w:rFonts w:ascii="Times New Roman" w:eastAsia="Times New Roman" w:hAnsi="Times New Roman" w:cs="Times New Roman"/>
          <w:kern w:val="0"/>
          <w:sz w:val="24"/>
          <w:szCs w:val="24"/>
          <w:lang w:eastAsia="ro-MD"/>
          <w14:ligatures w14:val="none"/>
        </w:rPr>
        <w:t>EQAVET</w:t>
      </w:r>
      <w:r w:rsidR="006E4447" w:rsidRPr="007B47CA">
        <w:rPr>
          <w:rFonts w:ascii="Times New Roman" w:eastAsia="Times New Roman" w:hAnsi="Times New Roman" w:cs="Times New Roman"/>
          <w:kern w:val="0"/>
          <w:sz w:val="24"/>
          <w:szCs w:val="24"/>
          <w:lang w:eastAsia="ro-MD"/>
          <w14:ligatures w14:val="none"/>
        </w:rPr>
        <w:t xml:space="preserve"> pentru învățământul profesional tehnic;</w:t>
      </w:r>
    </w:p>
    <w:p w14:paraId="27145B56" w14:textId="77777777" w:rsidR="006E4447" w:rsidRPr="0020102C" w:rsidRDefault="006E4447" w:rsidP="00A41843">
      <w:pPr>
        <w:numPr>
          <w:ilvl w:val="0"/>
          <w:numId w:val="123"/>
        </w:numPr>
        <w:spacing w:before="120" w:after="120" w:line="276" w:lineRule="auto"/>
        <w:jc w:val="both"/>
        <w:rPr>
          <w:rFonts w:ascii="Times New Roman" w:eastAsia="Times New Roman" w:hAnsi="Times New Roman" w:cs="Times New Roman"/>
          <w:kern w:val="0"/>
          <w:sz w:val="24"/>
          <w:szCs w:val="24"/>
          <w:lang w:eastAsia="ro-MD"/>
          <w14:ligatures w14:val="none"/>
        </w:rPr>
      </w:pPr>
      <w:r w:rsidRPr="007B47CA">
        <w:rPr>
          <w:rFonts w:ascii="Times New Roman" w:eastAsia="Times New Roman" w:hAnsi="Times New Roman" w:cs="Times New Roman"/>
          <w:kern w:val="0"/>
          <w:sz w:val="24"/>
          <w:szCs w:val="24"/>
          <w:lang w:eastAsia="ro-MD"/>
          <w14:ligatures w14:val="none"/>
        </w:rPr>
        <w:t>ESG</w:t>
      </w:r>
      <w:r w:rsidRPr="0020102C">
        <w:rPr>
          <w:rFonts w:ascii="Times New Roman" w:eastAsia="Times New Roman" w:hAnsi="Times New Roman" w:cs="Times New Roman"/>
          <w:kern w:val="0"/>
          <w:sz w:val="24"/>
          <w:szCs w:val="24"/>
          <w:lang w:eastAsia="ro-MD"/>
          <w14:ligatures w14:val="none"/>
        </w:rPr>
        <w:t xml:space="preserve"> pentru învățământul superior;</w:t>
      </w:r>
    </w:p>
    <w:p w14:paraId="5300A6B1" w14:textId="77777777" w:rsidR="006E4447" w:rsidRPr="0020102C" w:rsidRDefault="006E4447" w:rsidP="00A41843">
      <w:pPr>
        <w:numPr>
          <w:ilvl w:val="0"/>
          <w:numId w:val="123"/>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recomandările EQF privind asigurarea calității bazată pe rezultate ale învățării.</w:t>
      </w:r>
    </w:p>
    <w:p w14:paraId="5B07B3D5" w14:textId="77777777" w:rsidR="006E4447" w:rsidRPr="0020102C" w:rsidRDefault="006E444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Astfel, asigurarea calității în Republica Moldova nu se limitează la conformitatea națională, ci contribuie direct la transparența, portabilitatea și recunoașterea internațională a calificărilor.</w:t>
      </w:r>
    </w:p>
    <w:p w14:paraId="644DC057" w14:textId="77777777" w:rsidR="007C7797" w:rsidRPr="0020102C" w:rsidRDefault="007C7797" w:rsidP="00540960">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4.10.1. Evaluarea calității în învățământul general</w:t>
      </w:r>
    </w:p>
    <w:p w14:paraId="15D8A924" w14:textId="77777777"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calității în învățământul general se realizează într-un cadru normativ solid, fundamentat pe Codul educației și pe standardele educaționale de stat, care constituie baza pentru asigurarea unei educații echitabile, transparente și relevante.</w:t>
      </w:r>
    </w:p>
    <w:p w14:paraId="1F2AAA45" w14:textId="494BD1E6"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Standardele educaționale de stat</w:t>
      </w:r>
      <w:r w:rsidRPr="0020102C">
        <w:rPr>
          <w:rFonts w:ascii="Times New Roman" w:eastAsia="Times New Roman" w:hAnsi="Times New Roman" w:cs="Times New Roman"/>
          <w:kern w:val="0"/>
          <w:sz w:val="24"/>
          <w:szCs w:val="24"/>
          <w:lang w:eastAsia="ro-MD"/>
          <w14:ligatures w14:val="none"/>
        </w:rPr>
        <w:t xml:space="preserve"> reprezintă </w:t>
      </w:r>
      <w:r w:rsidR="008243E3" w:rsidRPr="0020102C">
        <w:rPr>
          <w:rFonts w:ascii="Times New Roman" w:eastAsia="Times New Roman" w:hAnsi="Times New Roman" w:cs="Times New Roman"/>
          <w:kern w:val="0"/>
          <w:sz w:val="24"/>
          <w:szCs w:val="24"/>
          <w:lang w:eastAsia="ro-MD"/>
          <w14:ligatures w14:val="none"/>
        </w:rPr>
        <w:t>un ansamblu</w:t>
      </w:r>
      <w:r w:rsidRPr="0020102C">
        <w:rPr>
          <w:rFonts w:ascii="Times New Roman" w:eastAsia="Times New Roman" w:hAnsi="Times New Roman" w:cs="Times New Roman"/>
          <w:kern w:val="0"/>
          <w:sz w:val="24"/>
          <w:szCs w:val="24"/>
          <w:lang w:eastAsia="ro-MD"/>
          <w14:ligatures w14:val="none"/>
        </w:rPr>
        <w:t xml:space="preserve"> de criterii și norme prin care se definesc nivelurile de calitate ce trebuie atinse la diferite componente ale sistemului</w:t>
      </w:r>
      <w:r w:rsidR="008243E3" w:rsidRPr="0020102C">
        <w:rPr>
          <w:rFonts w:ascii="Times New Roman" w:eastAsia="Times New Roman" w:hAnsi="Times New Roman" w:cs="Times New Roman"/>
          <w:kern w:val="0"/>
          <w:sz w:val="24"/>
          <w:szCs w:val="24"/>
          <w:lang w:eastAsia="ro-MD"/>
          <w14:ligatures w14:val="none"/>
        </w:rPr>
        <w:t>, și anume: curriculumul național, competențele elevilor, pregătirea cadrelor didactice și manageriale, manualele și resursele educaționale, precum și condițiile materiale necesare pentru desfășurarea unui proces educațional eficient.</w:t>
      </w:r>
    </w:p>
    <w:p w14:paraId="42D2D9A8" w14:textId="5905DA2B"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Aceste standarde, aprobate de MEC, sunt obligatorii pentru toate instituțiile publice și private și constituie baza pentru </w:t>
      </w:r>
      <w:r w:rsidRPr="0020102C">
        <w:rPr>
          <w:rFonts w:ascii="Times New Roman" w:eastAsia="Times New Roman" w:hAnsi="Times New Roman" w:cs="Times New Roman"/>
          <w:b/>
          <w:bCs/>
          <w:kern w:val="0"/>
          <w:sz w:val="24"/>
          <w:szCs w:val="24"/>
          <w:lang w:eastAsia="ro-MD"/>
          <w14:ligatures w14:val="none"/>
        </w:rPr>
        <w:t>recunoașterea și echivalarea actelor de studii</w:t>
      </w:r>
      <w:r w:rsidRPr="0020102C">
        <w:rPr>
          <w:rFonts w:ascii="Times New Roman" w:eastAsia="Times New Roman" w:hAnsi="Times New Roman" w:cs="Times New Roman"/>
          <w:kern w:val="0"/>
          <w:sz w:val="24"/>
          <w:szCs w:val="24"/>
          <w:lang w:eastAsia="ro-MD"/>
          <w14:ligatures w14:val="none"/>
        </w:rPr>
        <w:t>, precum și pentru evaluarea obiectivă a nivelului de pregătire generală a persoanelor.</w:t>
      </w:r>
    </w:p>
    <w:p w14:paraId="2D02AB3B" w14:textId="4B987760" w:rsidR="008243E3" w:rsidRPr="0020102C" w:rsidRDefault="003B3A3A" w:rsidP="00540960">
      <w:pPr>
        <w:pStyle w:val="af8"/>
        <w:spacing w:before="120" w:beforeAutospacing="0" w:after="120" w:afterAutospacing="0" w:line="276" w:lineRule="auto"/>
        <w:jc w:val="both"/>
      </w:pPr>
      <w:r w:rsidRPr="0020102C">
        <w:rPr>
          <w:b/>
          <w:bCs/>
        </w:rPr>
        <w:lastRenderedPageBreak/>
        <w:t>Evaluarea calității în învățământul general</w:t>
      </w:r>
      <w:r w:rsidR="00721436" w:rsidRPr="0020102C">
        <w:t>,</w:t>
      </w:r>
      <w:r w:rsidRPr="0020102C">
        <w:t xml:space="preserve"> </w:t>
      </w:r>
      <w:r w:rsidR="00721436" w:rsidRPr="0020102C">
        <w:t>p</w:t>
      </w:r>
      <w:r w:rsidR="008243E3" w:rsidRPr="0020102C">
        <w:t>otrivit Codului educației,</w:t>
      </w:r>
      <w:r w:rsidR="008243E3" w:rsidRPr="0020102C">
        <w:rPr>
          <w:b/>
          <w:bCs/>
        </w:rPr>
        <w:t xml:space="preserve"> </w:t>
      </w:r>
      <w:r w:rsidR="007C7797" w:rsidRPr="0020102C">
        <w:t xml:space="preserve">este concepută ca un </w:t>
      </w:r>
      <w:r w:rsidR="008243E3" w:rsidRPr="0020102C">
        <w:t xml:space="preserve">proces sistemic și complex, aplicat </w:t>
      </w:r>
      <w:r w:rsidRPr="0020102C">
        <w:t xml:space="preserve">simultan pe mai multe paliere, asigurând obținerea unei imagini integrate a calității educației. Astfel, evaluarea </w:t>
      </w:r>
      <w:r w:rsidRPr="0020102C">
        <w:rPr>
          <w:rFonts w:eastAsiaTheme="majorEastAsia"/>
        </w:rPr>
        <w:t>se aplică:</w:t>
      </w:r>
      <w:r w:rsidRPr="0020102C">
        <w:rPr>
          <w:rStyle w:val="af9"/>
          <w:rFonts w:eastAsiaTheme="majorEastAsia"/>
        </w:rPr>
        <w:t xml:space="preserve"> </w:t>
      </w:r>
    </w:p>
    <w:p w14:paraId="69018FD9" w14:textId="291859E5" w:rsidR="003B3A3A" w:rsidRPr="0020102C" w:rsidRDefault="003B3A3A" w:rsidP="00A41843">
      <w:pPr>
        <w:pStyle w:val="af8"/>
        <w:numPr>
          <w:ilvl w:val="0"/>
          <w:numId w:val="125"/>
        </w:numPr>
        <w:spacing w:before="120" w:beforeAutospacing="0" w:after="120" w:afterAutospacing="0" w:line="276" w:lineRule="auto"/>
        <w:jc w:val="both"/>
      </w:pPr>
      <w:r w:rsidRPr="0020102C">
        <w:rPr>
          <w:rStyle w:val="af9"/>
          <w:rFonts w:eastAsiaTheme="majorEastAsia"/>
        </w:rPr>
        <w:t>la nivel macro:</w:t>
      </w:r>
      <w:r w:rsidRPr="0020102C">
        <w:t xml:space="preserve"> funcționarea sistemului de învățământ general și coerența curriculumului național și a produselor curriculare;</w:t>
      </w:r>
    </w:p>
    <w:p w14:paraId="7BF871D0" w14:textId="77777777" w:rsidR="003B3A3A" w:rsidRPr="0020102C" w:rsidRDefault="003B3A3A" w:rsidP="00A41843">
      <w:pPr>
        <w:pStyle w:val="af8"/>
        <w:numPr>
          <w:ilvl w:val="0"/>
          <w:numId w:val="125"/>
        </w:numPr>
        <w:spacing w:before="120" w:beforeAutospacing="0" w:after="120" w:afterAutospacing="0" w:line="276" w:lineRule="auto"/>
        <w:jc w:val="both"/>
      </w:pPr>
      <w:r w:rsidRPr="0020102C">
        <w:rPr>
          <w:rStyle w:val="af9"/>
          <w:rFonts w:eastAsiaTheme="majorEastAsia"/>
        </w:rPr>
        <w:t>la nivel mezo:</w:t>
      </w:r>
      <w:r w:rsidRPr="0020102C">
        <w:t xml:space="preserve"> calitatea instituțiilor de învățământ general, managementul și resursele acestora;</w:t>
      </w:r>
    </w:p>
    <w:p w14:paraId="77CD4016" w14:textId="3C601F8A" w:rsidR="003B3A3A" w:rsidRPr="0020102C" w:rsidRDefault="003B3A3A" w:rsidP="00A41843">
      <w:pPr>
        <w:pStyle w:val="af8"/>
        <w:numPr>
          <w:ilvl w:val="0"/>
          <w:numId w:val="125"/>
        </w:numPr>
        <w:spacing w:before="120" w:beforeAutospacing="0" w:after="120" w:afterAutospacing="0" w:line="276" w:lineRule="auto"/>
        <w:jc w:val="both"/>
      </w:pPr>
      <w:r w:rsidRPr="0020102C">
        <w:rPr>
          <w:rStyle w:val="af9"/>
          <w:rFonts w:eastAsiaTheme="majorEastAsia"/>
        </w:rPr>
        <w:t>la nivel micro:</w:t>
      </w:r>
      <w:r w:rsidRPr="0020102C">
        <w:t xml:space="preserve"> rezultatele învățării obținute de elevi, performanța cadrelor didactice și activitatea managerială.</w:t>
      </w:r>
    </w:p>
    <w:p w14:paraId="6A06C676" w14:textId="1B68C16E"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Responsabilitățile</w:t>
      </w:r>
      <w:r w:rsidRPr="0020102C">
        <w:rPr>
          <w:rFonts w:ascii="Times New Roman" w:eastAsia="Times New Roman" w:hAnsi="Times New Roman" w:cs="Times New Roman"/>
          <w:kern w:val="0"/>
          <w:sz w:val="24"/>
          <w:szCs w:val="24"/>
          <w:lang w:eastAsia="ro-MD"/>
          <w14:ligatures w14:val="none"/>
        </w:rPr>
        <w:t xml:space="preserve"> sunt distribuite pe niveluri</w:t>
      </w:r>
      <w:r w:rsidR="00721436" w:rsidRPr="0020102C">
        <w:rPr>
          <w:rFonts w:ascii="Times New Roman" w:eastAsia="Times New Roman" w:hAnsi="Times New Roman" w:cs="Times New Roman"/>
          <w:kern w:val="0"/>
          <w:sz w:val="24"/>
          <w:szCs w:val="24"/>
          <w:lang w:eastAsia="ro-MD"/>
          <w14:ligatures w14:val="none"/>
        </w:rPr>
        <w:t>,</w:t>
      </w:r>
      <w:r w:rsidR="00721436" w:rsidRPr="0020102C">
        <w:t xml:space="preserve"> </w:t>
      </w:r>
      <w:r w:rsidR="00721436" w:rsidRPr="0020102C">
        <w:rPr>
          <w:rFonts w:ascii="Times New Roman" w:eastAsia="Times New Roman" w:hAnsi="Times New Roman" w:cs="Times New Roman"/>
          <w:kern w:val="0"/>
          <w:sz w:val="24"/>
          <w:szCs w:val="24"/>
          <w:lang w:eastAsia="ro-MD"/>
          <w14:ligatures w14:val="none"/>
        </w:rPr>
        <w:t>reflectând principiul guvernanței partajate:</w:t>
      </w:r>
    </w:p>
    <w:p w14:paraId="1E1D1014" w14:textId="508F97D6" w:rsidR="00721436" w:rsidRPr="0020102C" w:rsidRDefault="00721436" w:rsidP="00A41843">
      <w:pPr>
        <w:pStyle w:val="af8"/>
        <w:numPr>
          <w:ilvl w:val="0"/>
          <w:numId w:val="126"/>
        </w:numPr>
        <w:spacing w:before="120" w:beforeAutospacing="0" w:after="120" w:afterAutospacing="0" w:line="276" w:lineRule="auto"/>
        <w:jc w:val="both"/>
      </w:pPr>
      <w:r w:rsidRPr="0020102C">
        <w:rPr>
          <w:rStyle w:val="af9"/>
          <w:rFonts w:eastAsiaTheme="majorEastAsia"/>
        </w:rPr>
        <w:t>la nivel național</w:t>
      </w:r>
      <w:r w:rsidRPr="0020102C">
        <w:t xml:space="preserve">, </w:t>
      </w:r>
      <w:r w:rsidR="006252BC" w:rsidRPr="001F6026">
        <w:t>MEC</w:t>
      </w:r>
      <w:r w:rsidRPr="0020102C">
        <w:t xml:space="preserve"> asigură cadrul normativ, metodologiile și evaluările de ansamblu, în colaborare cu Agenția Națională pentru Curriculum și Evaluare;</w:t>
      </w:r>
    </w:p>
    <w:p w14:paraId="5BFE9925" w14:textId="77777777" w:rsidR="00721436" w:rsidRPr="0020102C" w:rsidRDefault="00721436" w:rsidP="00A41843">
      <w:pPr>
        <w:pStyle w:val="af8"/>
        <w:numPr>
          <w:ilvl w:val="0"/>
          <w:numId w:val="126"/>
        </w:numPr>
        <w:spacing w:before="120" w:beforeAutospacing="0" w:after="120" w:afterAutospacing="0" w:line="276" w:lineRule="auto"/>
        <w:jc w:val="both"/>
      </w:pPr>
      <w:r w:rsidRPr="0020102C">
        <w:rPr>
          <w:rStyle w:val="af9"/>
          <w:rFonts w:eastAsiaTheme="majorEastAsia"/>
        </w:rPr>
        <w:t>la nivel local</w:t>
      </w:r>
      <w:r w:rsidRPr="0020102C">
        <w:t>, autoritățile publice de nivelul II și organele specializate monitorizează implementarea standardelor și sprijină școlile în procesele de evaluare;</w:t>
      </w:r>
    </w:p>
    <w:p w14:paraId="5145FE07" w14:textId="77777777" w:rsidR="00721436" w:rsidRPr="0020102C" w:rsidRDefault="00721436" w:rsidP="00A41843">
      <w:pPr>
        <w:pStyle w:val="af8"/>
        <w:numPr>
          <w:ilvl w:val="0"/>
          <w:numId w:val="126"/>
        </w:numPr>
        <w:spacing w:before="120" w:beforeAutospacing="0" w:after="120" w:afterAutospacing="0" w:line="276" w:lineRule="auto"/>
        <w:jc w:val="both"/>
      </w:pPr>
      <w:r w:rsidRPr="0020102C">
        <w:rPr>
          <w:rStyle w:val="af9"/>
          <w:rFonts w:eastAsiaTheme="majorEastAsia"/>
        </w:rPr>
        <w:t>la nivel instituțional</w:t>
      </w:r>
      <w:r w:rsidRPr="0020102C">
        <w:t>, directorii și echipele manageriale aplică regulamentele și standardele prin autoevaluări interne, completând sistemul național cu date și dovezi din teren.</w:t>
      </w:r>
    </w:p>
    <w:p w14:paraId="54EC2C0E" w14:textId="77777777" w:rsidR="00721436" w:rsidRPr="0020102C" w:rsidRDefault="00721436" w:rsidP="00540960">
      <w:pPr>
        <w:pStyle w:val="af8"/>
        <w:spacing w:before="120" w:beforeAutospacing="0" w:after="120" w:afterAutospacing="0" w:line="276" w:lineRule="auto"/>
        <w:jc w:val="both"/>
      </w:pPr>
      <w:r w:rsidRPr="0020102C">
        <w:t xml:space="preserve">Agenția Națională pentru Curriculum și Evaluare are un rol central în acest proces, fiind responsabilă de evaluarea curriculumului național și a produselor curriculare, de organizarea examenelor naționale și internaționale, de acreditarea instituțiilor private și de autorizarea provizorie a furnizorilor de servicii educaționale. </w:t>
      </w:r>
    </w:p>
    <w:p w14:paraId="28D2787E" w14:textId="77777777"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rezultatelor învățării</w:t>
      </w:r>
      <w:r w:rsidRPr="0020102C">
        <w:rPr>
          <w:rFonts w:ascii="Times New Roman" w:eastAsia="Times New Roman" w:hAnsi="Times New Roman" w:cs="Times New Roman"/>
          <w:kern w:val="0"/>
          <w:sz w:val="24"/>
          <w:szCs w:val="24"/>
          <w:lang w:eastAsia="ro-MD"/>
          <w14:ligatures w14:val="none"/>
        </w:rPr>
        <w:t xml:space="preserve"> are ca obiectiv măsurarea nivelului de dezvoltare și a competențelor elevilor, în raport cu standardele educaționale de stat. Aceasta include evaluări formative și sumative, desfășurate de cadrele didactice, conducerea instituției, autoritățile locale și MEC. Evaluarea finală se realizează prin examene naționale de absolvire a gimnaziului și bacalaureat, organizate de ANCE, instituție responsabilă și de evaluările internaționale, olimpiade sau concursuri.</w:t>
      </w:r>
    </w:p>
    <w:p w14:paraId="2D654D8B" w14:textId="77777777"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cadrelor didactice și manageriale</w:t>
      </w:r>
      <w:r w:rsidRPr="0020102C">
        <w:rPr>
          <w:rFonts w:ascii="Times New Roman" w:eastAsia="Times New Roman" w:hAnsi="Times New Roman" w:cs="Times New Roman"/>
          <w:kern w:val="0"/>
          <w:sz w:val="24"/>
          <w:szCs w:val="24"/>
          <w:lang w:eastAsia="ro-MD"/>
          <w14:ligatures w14:val="none"/>
        </w:rPr>
        <w:t xml:space="preserve"> completează tabloul calității:</w:t>
      </w:r>
    </w:p>
    <w:p w14:paraId="225CAA2F" w14:textId="77777777" w:rsidR="007C7797" w:rsidRPr="0020102C" w:rsidRDefault="007C7797" w:rsidP="00A41843">
      <w:pPr>
        <w:numPr>
          <w:ilvl w:val="0"/>
          <w:numId w:val="12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cadrele didactice sunt evaluate anual intern, iar extern o dată la cinci ani, conform metodologiei MEC, incluzând consultarea elevilor, părinților și colegilor;</w:t>
      </w:r>
    </w:p>
    <w:p w14:paraId="57F99B00" w14:textId="77777777" w:rsidR="007C7797" w:rsidRPr="0020102C" w:rsidRDefault="007C7797" w:rsidP="00A41843">
      <w:pPr>
        <w:numPr>
          <w:ilvl w:val="0"/>
          <w:numId w:val="124"/>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cadrele de conducere sunt evaluate cel puțin o dată la cinci ani de către MEC, pe baza raportului de activitate și a criteriilor de performanță managerială.</w:t>
      </w:r>
    </w:p>
    <w:p w14:paraId="1DBC253F" w14:textId="77777777" w:rsidR="007C7797" w:rsidRPr="0020102C" w:rsidRDefault="007C7797" w:rsidP="00540960">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instituțiilor de învățământ</w:t>
      </w:r>
      <w:r w:rsidRPr="0020102C">
        <w:rPr>
          <w:rFonts w:ascii="Times New Roman" w:eastAsia="Times New Roman" w:hAnsi="Times New Roman" w:cs="Times New Roman"/>
          <w:kern w:val="0"/>
          <w:sz w:val="24"/>
          <w:szCs w:val="24"/>
          <w:lang w:eastAsia="ro-MD"/>
          <w14:ligatures w14:val="none"/>
        </w:rPr>
        <w:t xml:space="preserve"> se efectuează de MEC sau de organele locale, în baza standardelor de calitate aprobate la nivel național. Rezultatele acestor evaluări sunt publice și constituie o resursă pentru creșterea transparenței și a responsabilizării instituțiilor.</w:t>
      </w:r>
    </w:p>
    <w:p w14:paraId="280E50C4" w14:textId="77777777" w:rsidR="00540960" w:rsidRPr="0020102C" w:rsidRDefault="00B12E66" w:rsidP="00540960">
      <w:pPr>
        <w:spacing w:before="120" w:after="120" w:line="276" w:lineRule="auto"/>
        <w:jc w:val="both"/>
        <w:outlineLvl w:val="1"/>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Astfel, evaluarea calității în învățământul general nu se rezumă doar la examenele de absolvire sau la rezultatele elevilor, ci constituie un mecanism amplu de guvernanță educațională. Managementul și evaluarea calității în învățământul general reflectă o abordare complexă, ce combină standardele obligatorii cu mecanisme variate de evaluare – interne și externe – pentru a garanta relevanța, echitatea și performanța sistemului, precum și calitatea procesului educațional la toate nivelurile. Această abordare este reglementată prin Codul educației (art. 39 și art. 42), care consacră standardele educaționale de stat ca bază a evaluării și stabilește responsabilitățile de asigurare a calității la nivel național, local și instituțional. Accentul pus pe </w:t>
      </w:r>
      <w:r w:rsidRPr="0020102C">
        <w:rPr>
          <w:rFonts w:ascii="Times New Roman" w:eastAsia="Times New Roman" w:hAnsi="Times New Roman" w:cs="Times New Roman"/>
          <w:kern w:val="0"/>
          <w:sz w:val="24"/>
          <w:szCs w:val="24"/>
          <w:lang w:eastAsia="ro-MD"/>
          <w14:ligatures w14:val="none"/>
        </w:rPr>
        <w:lastRenderedPageBreak/>
        <w:t>competențe, implicarea părților interesate și publicarea transparentă a rezultatelor constituie garanții că procesul educațional răspunde atât cerințelor elevilor, cât și așteptărilor societății și ale pieței muncii.</w:t>
      </w:r>
    </w:p>
    <w:p w14:paraId="6E21ABF2" w14:textId="77777777" w:rsidR="00855881" w:rsidRPr="0020102C" w:rsidRDefault="00855881" w:rsidP="00540960">
      <w:pPr>
        <w:spacing w:before="120" w:after="120" w:line="276" w:lineRule="auto"/>
        <w:jc w:val="both"/>
        <w:outlineLvl w:val="1"/>
        <w:rPr>
          <w:rFonts w:ascii="Times New Roman" w:eastAsia="Times New Roman" w:hAnsi="Times New Roman" w:cs="Times New Roman"/>
          <w:kern w:val="0"/>
          <w:sz w:val="24"/>
          <w:szCs w:val="24"/>
          <w:lang w:eastAsia="ro-MD"/>
          <w14:ligatures w14:val="none"/>
        </w:rPr>
      </w:pPr>
    </w:p>
    <w:p w14:paraId="2F982E78" w14:textId="23B44566" w:rsidR="00880BC4" w:rsidRPr="0020102C" w:rsidRDefault="00880BC4" w:rsidP="004019A8">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4.10.2. Evaluarea calității în învățământul profesional tehnic</w:t>
      </w:r>
      <w:r w:rsidR="009B7E59" w:rsidRPr="0020102C">
        <w:rPr>
          <w:rFonts w:ascii="Times New Roman" w:eastAsia="Times New Roman" w:hAnsi="Times New Roman" w:cs="Times New Roman"/>
          <w:b/>
          <w:bCs/>
          <w:color w:val="3494BA" w:themeColor="accent1"/>
          <w:kern w:val="0"/>
          <w:sz w:val="24"/>
          <w:szCs w:val="24"/>
          <w:lang w:eastAsia="ro-MD"/>
          <w14:ligatures w14:val="none"/>
        </w:rPr>
        <w:t>.</w:t>
      </w:r>
      <w:r w:rsidR="009B7E59" w:rsidRPr="0020102C">
        <w:t xml:space="preserve"> </w:t>
      </w:r>
      <w:r w:rsidR="009B7E59" w:rsidRPr="0020102C">
        <w:rPr>
          <w:rFonts w:ascii="Times New Roman" w:eastAsia="Times New Roman" w:hAnsi="Times New Roman" w:cs="Times New Roman"/>
          <w:b/>
          <w:bCs/>
          <w:color w:val="3494BA" w:themeColor="accent1"/>
          <w:kern w:val="0"/>
          <w:sz w:val="24"/>
          <w:szCs w:val="24"/>
          <w:lang w:eastAsia="ro-MD"/>
          <w14:ligatures w14:val="none"/>
        </w:rPr>
        <w:t xml:space="preserve">Legătura cu </w:t>
      </w:r>
      <w:r w:rsidR="00BB2A74" w:rsidRPr="0020102C">
        <w:rPr>
          <w:rFonts w:ascii="Times New Roman" w:eastAsia="Times New Roman" w:hAnsi="Times New Roman" w:cs="Times New Roman"/>
          <w:b/>
          <w:bCs/>
          <w:color w:val="3494BA" w:themeColor="accent1"/>
          <w:kern w:val="0"/>
          <w:sz w:val="24"/>
          <w:szCs w:val="24"/>
          <w:lang w:eastAsia="ro-MD"/>
          <w14:ligatures w14:val="none"/>
        </w:rPr>
        <w:t>EQAVET</w:t>
      </w:r>
    </w:p>
    <w:p w14:paraId="66C09DDA" w14:textId="0FF9C60A" w:rsidR="00022173" w:rsidRPr="0020102C"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calității în ÎPT are o importanță strategică în asigurarea relevanței și credibilității calificărilor, fiind reglementată atât prin Codul educației (art. 65), cât și prin HG nr. 330/2023 și actele subsecvente. Potrivit Codului educației, evaluarea calității se realizează pe baza standardelor naționale de referință</w:t>
      </w:r>
      <w:r w:rsidR="00B13B6D" w:rsidRPr="0020102C">
        <w:rPr>
          <w:rFonts w:ascii="Times New Roman" w:eastAsia="Times New Roman" w:hAnsi="Times New Roman" w:cs="Times New Roman"/>
          <w:kern w:val="0"/>
          <w:sz w:val="24"/>
          <w:szCs w:val="24"/>
          <w:lang w:eastAsia="ro-MD"/>
          <w14:ligatures w14:val="none"/>
        </w:rPr>
        <w:t>, a standardelor de acreditare</w:t>
      </w:r>
      <w:r w:rsidRPr="0020102C">
        <w:rPr>
          <w:rFonts w:ascii="Times New Roman" w:eastAsia="Times New Roman" w:hAnsi="Times New Roman" w:cs="Times New Roman"/>
          <w:kern w:val="0"/>
          <w:sz w:val="24"/>
          <w:szCs w:val="24"/>
          <w:lang w:eastAsia="ro-MD"/>
          <w14:ligatures w14:val="none"/>
        </w:rPr>
        <w:t xml:space="preserve"> și a metodologiilor elaborate de ANACEC și aprobate de Guvern</w:t>
      </w:r>
      <w:r w:rsidR="00D5283B" w:rsidRPr="0020102C">
        <w:rPr>
          <w:rFonts w:ascii="Times New Roman" w:eastAsia="Times New Roman" w:hAnsi="Times New Roman" w:cs="Times New Roman"/>
          <w:kern w:val="0"/>
          <w:sz w:val="24"/>
          <w:szCs w:val="24"/>
          <w:lang w:eastAsia="ro-MD"/>
          <w14:ligatures w14:val="none"/>
        </w:rPr>
        <w:t>. Procesul vizează atât programele de formare profesională (inițială și continuă), cât și instituțiile de ÎPT,</w:t>
      </w:r>
      <w:r w:rsidRPr="0020102C">
        <w:rPr>
          <w:rFonts w:ascii="Times New Roman" w:eastAsia="Times New Roman" w:hAnsi="Times New Roman" w:cs="Times New Roman"/>
          <w:kern w:val="0"/>
          <w:sz w:val="24"/>
          <w:szCs w:val="24"/>
          <w:lang w:eastAsia="ro-MD"/>
          <w14:ligatures w14:val="none"/>
        </w:rPr>
        <w:t xml:space="preserve"> acoperind aspecte precum: capacitatea instituțională, eficiența educațională, calitatea programelor, managementul intern al calității și concordanța dintre autoevaluarea internă și situația reală</w:t>
      </w:r>
      <w:r w:rsidR="00822F85" w:rsidRPr="0020102C">
        <w:rPr>
          <w:rFonts w:ascii="Times New Roman" w:eastAsia="Times New Roman" w:hAnsi="Times New Roman" w:cs="Times New Roman"/>
          <w:kern w:val="0"/>
          <w:sz w:val="24"/>
          <w:szCs w:val="24"/>
          <w:lang w:eastAsia="ro-MD"/>
          <w14:ligatures w14:val="none"/>
        </w:rPr>
        <w:t>.</w:t>
      </w:r>
    </w:p>
    <w:p w14:paraId="0674ABB6" w14:textId="77777777" w:rsidR="00022173" w:rsidRPr="0020102C" w:rsidRDefault="00022173" w:rsidP="004019A8">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Cadrul normativ principal</w:t>
      </w:r>
    </w:p>
    <w:p w14:paraId="44EC0DBA" w14:textId="77777777" w:rsidR="00022173" w:rsidRPr="0020102C"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Cadrul juridic național stabilește atât mecanismele interne, cât și pe cele externe de evaluare a calității:</w:t>
      </w:r>
    </w:p>
    <w:p w14:paraId="2ED783A5" w14:textId="77777777" w:rsidR="00022173" w:rsidRPr="0020102C" w:rsidRDefault="00022173" w:rsidP="00A41843">
      <w:pPr>
        <w:numPr>
          <w:ilvl w:val="0"/>
          <w:numId w:val="12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Codul educației, art. 65</w:t>
      </w:r>
      <w:r w:rsidRPr="0020102C">
        <w:rPr>
          <w:rFonts w:ascii="Times New Roman" w:eastAsia="Times New Roman" w:hAnsi="Times New Roman" w:cs="Times New Roman"/>
          <w:kern w:val="0"/>
          <w:sz w:val="24"/>
          <w:szCs w:val="24"/>
          <w:lang w:eastAsia="ro-MD"/>
          <w14:ligatures w14:val="none"/>
        </w:rPr>
        <w:t xml:space="preserve"> – reglementează principiile, domeniile și nivelurile de evaluare (interna și externă).</w:t>
      </w:r>
    </w:p>
    <w:p w14:paraId="1CE21A13" w14:textId="77777777" w:rsidR="00022173" w:rsidRPr="0020102C" w:rsidRDefault="00022173" w:rsidP="00A41843">
      <w:pPr>
        <w:numPr>
          <w:ilvl w:val="0"/>
          <w:numId w:val="12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HG nr. 330/2023</w:t>
      </w:r>
      <w:r w:rsidRPr="0020102C">
        <w:rPr>
          <w:rFonts w:ascii="Times New Roman" w:eastAsia="Times New Roman" w:hAnsi="Times New Roman" w:cs="Times New Roman"/>
          <w:kern w:val="0"/>
          <w:sz w:val="24"/>
          <w:szCs w:val="24"/>
          <w:lang w:eastAsia="ro-MD"/>
          <w14:ligatures w14:val="none"/>
        </w:rPr>
        <w:t>, Anexa nr. 1 – prevede principiile de asigurare a calității calificărilor și responsabilitățile MEC, ANACEC și ale furnizorilor de educație.</w:t>
      </w:r>
    </w:p>
    <w:p w14:paraId="290F092B" w14:textId="0A1BD9DB" w:rsidR="00022173" w:rsidRPr="0020102C" w:rsidRDefault="00022173" w:rsidP="00A41843">
      <w:pPr>
        <w:numPr>
          <w:ilvl w:val="0"/>
          <w:numId w:val="12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HG nr. 616/2016</w:t>
      </w:r>
      <w:r w:rsidRPr="0020102C">
        <w:rPr>
          <w:rFonts w:ascii="Times New Roman" w:eastAsia="Times New Roman" w:hAnsi="Times New Roman" w:cs="Times New Roman"/>
          <w:kern w:val="0"/>
          <w:sz w:val="24"/>
          <w:szCs w:val="24"/>
          <w:lang w:eastAsia="ro-MD"/>
          <w14:ligatures w14:val="none"/>
        </w:rPr>
        <w:t xml:space="preserve"> – stabilește metodologia de evaluare externă pentru autorizarea </w:t>
      </w:r>
      <w:r w:rsidR="002659D0">
        <w:rPr>
          <w:rFonts w:ascii="Times New Roman" w:eastAsia="Times New Roman" w:hAnsi="Times New Roman" w:cs="Times New Roman"/>
          <w:kern w:val="0"/>
          <w:sz w:val="24"/>
          <w:szCs w:val="24"/>
          <w:lang w:eastAsia="ro-MD"/>
          <w14:ligatures w14:val="none"/>
        </w:rPr>
        <w:t xml:space="preserve">de funcționare </w:t>
      </w:r>
      <w:r w:rsidRPr="0020102C">
        <w:rPr>
          <w:rFonts w:ascii="Times New Roman" w:eastAsia="Times New Roman" w:hAnsi="Times New Roman" w:cs="Times New Roman"/>
          <w:kern w:val="0"/>
          <w:sz w:val="24"/>
          <w:szCs w:val="24"/>
          <w:lang w:eastAsia="ro-MD"/>
          <w14:ligatures w14:val="none"/>
        </w:rPr>
        <w:t>provizorie și acreditarea programelor de studii</w:t>
      </w:r>
      <w:r w:rsidR="00D5779C">
        <w:rPr>
          <w:rFonts w:ascii="Times New Roman" w:eastAsia="Times New Roman" w:hAnsi="Times New Roman" w:cs="Times New Roman"/>
          <w:kern w:val="0"/>
          <w:sz w:val="24"/>
          <w:szCs w:val="24"/>
          <w:lang w:eastAsia="ro-MD"/>
          <w14:ligatures w14:val="none"/>
        </w:rPr>
        <w:t xml:space="preserve"> și a instituțiilor de învățământ</w:t>
      </w:r>
      <w:r w:rsidRPr="0020102C">
        <w:rPr>
          <w:rFonts w:ascii="Times New Roman" w:eastAsia="Times New Roman" w:hAnsi="Times New Roman" w:cs="Times New Roman"/>
          <w:kern w:val="0"/>
          <w:sz w:val="24"/>
          <w:szCs w:val="24"/>
          <w:lang w:eastAsia="ro-MD"/>
          <w14:ligatures w14:val="none"/>
        </w:rPr>
        <w:t>.</w:t>
      </w:r>
    </w:p>
    <w:p w14:paraId="40DF8E4A" w14:textId="77777777" w:rsidR="00022173" w:rsidRPr="0020102C" w:rsidRDefault="00022173" w:rsidP="00A41843">
      <w:pPr>
        <w:numPr>
          <w:ilvl w:val="0"/>
          <w:numId w:val="12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Ordinul MEC nr. 609/2017</w:t>
      </w:r>
      <w:r w:rsidRPr="0020102C">
        <w:rPr>
          <w:rFonts w:ascii="Times New Roman" w:eastAsia="Times New Roman" w:hAnsi="Times New Roman" w:cs="Times New Roman"/>
          <w:kern w:val="0"/>
          <w:sz w:val="24"/>
          <w:szCs w:val="24"/>
          <w:lang w:eastAsia="ro-MD"/>
          <w14:ligatures w14:val="none"/>
        </w:rPr>
        <w:t xml:space="preserve"> – aprobă două instrumente esențiale:</w:t>
      </w:r>
    </w:p>
    <w:p w14:paraId="5B62744A" w14:textId="77777777" w:rsidR="00022173" w:rsidRPr="0020102C" w:rsidRDefault="00022173" w:rsidP="00A41843">
      <w:pPr>
        <w:numPr>
          <w:ilvl w:val="1"/>
          <w:numId w:val="12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Ghidul Managementului Calității în ÎPT</w:t>
      </w:r>
      <w:r w:rsidRPr="0020102C">
        <w:rPr>
          <w:rFonts w:ascii="Times New Roman" w:eastAsia="Times New Roman" w:hAnsi="Times New Roman" w:cs="Times New Roman"/>
          <w:kern w:val="0"/>
          <w:sz w:val="24"/>
          <w:szCs w:val="24"/>
          <w:lang w:eastAsia="ro-MD"/>
          <w14:ligatures w14:val="none"/>
        </w:rPr>
        <w:t xml:space="preserve"> (Anexa 1), care definește conceptele și principiile de calitate, destinate cadrelor de conducere, cadrelor didactice, elevilor, partenerilor educaționali și altor actori.</w:t>
      </w:r>
    </w:p>
    <w:p w14:paraId="6B1418B1" w14:textId="77777777" w:rsidR="00022173" w:rsidRPr="0020102C" w:rsidRDefault="00022173" w:rsidP="00A41843">
      <w:pPr>
        <w:numPr>
          <w:ilvl w:val="1"/>
          <w:numId w:val="127"/>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Ghidul de autoevaluare</w:t>
      </w:r>
      <w:r w:rsidRPr="0020102C">
        <w:rPr>
          <w:rFonts w:ascii="Times New Roman" w:eastAsia="Times New Roman" w:hAnsi="Times New Roman" w:cs="Times New Roman"/>
          <w:kern w:val="0"/>
          <w:sz w:val="24"/>
          <w:szCs w:val="24"/>
          <w:lang w:eastAsia="ro-MD"/>
          <w14:ligatures w14:val="none"/>
        </w:rPr>
        <w:t xml:space="preserve"> (Anexa 2), care sprijină instituțiile de ÎPT în utilizarea standardelor, criteriilor și indicatorilor de calitate pentru dezvoltarea culturii calității și pentru monitorizarea impactului asupra serviciilor educaționale.</w:t>
      </w:r>
    </w:p>
    <w:p w14:paraId="7D042805" w14:textId="77777777" w:rsidR="00022173" w:rsidRPr="0020102C" w:rsidRDefault="00022173" w:rsidP="004019A8">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Mecanisme de evaluare și autorizare/acreditare</w:t>
      </w:r>
    </w:p>
    <w:p w14:paraId="23805369" w14:textId="77777777" w:rsidR="00022173" w:rsidRPr="0020102C"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calității se desfășoară pe două dimensiuni complementare:</w:t>
      </w:r>
    </w:p>
    <w:p w14:paraId="0D0CA5E9" w14:textId="77777777" w:rsidR="00022173" w:rsidRPr="0020102C" w:rsidRDefault="00022173" w:rsidP="00A41843">
      <w:pPr>
        <w:numPr>
          <w:ilvl w:val="0"/>
          <w:numId w:val="1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internă</w:t>
      </w:r>
      <w:r w:rsidRPr="0020102C">
        <w:rPr>
          <w:rFonts w:ascii="Times New Roman" w:eastAsia="Times New Roman" w:hAnsi="Times New Roman" w:cs="Times New Roman"/>
          <w:kern w:val="0"/>
          <w:sz w:val="24"/>
          <w:szCs w:val="24"/>
          <w:lang w:eastAsia="ro-MD"/>
          <w14:ligatures w14:val="none"/>
        </w:rPr>
        <w:t>, realizată de structurile de asigurare a calității din instituțiile de ÎPT, prin aplicarea standardelor și prin raportări periodice.</w:t>
      </w:r>
    </w:p>
    <w:p w14:paraId="3945890D" w14:textId="444E67A4" w:rsidR="00022173" w:rsidRPr="0020102C" w:rsidRDefault="00022173" w:rsidP="00A41843">
      <w:pPr>
        <w:numPr>
          <w:ilvl w:val="0"/>
          <w:numId w:val="128"/>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Evaluarea externă</w:t>
      </w:r>
      <w:r w:rsidRPr="0020102C">
        <w:rPr>
          <w:rFonts w:ascii="Times New Roman" w:eastAsia="Times New Roman" w:hAnsi="Times New Roman" w:cs="Times New Roman"/>
          <w:kern w:val="0"/>
          <w:sz w:val="24"/>
          <w:szCs w:val="24"/>
          <w:lang w:eastAsia="ro-MD"/>
          <w14:ligatures w14:val="none"/>
        </w:rPr>
        <w:t xml:space="preserve">, realizată de ANACEC și, după caz, de alte agenții recunoscute internațional, care verifică respectarea standardelor și emit decizii privind autorizarea </w:t>
      </w:r>
      <w:r w:rsidR="004420D0">
        <w:rPr>
          <w:rFonts w:ascii="Times New Roman" w:eastAsia="Times New Roman" w:hAnsi="Times New Roman" w:cs="Times New Roman"/>
          <w:kern w:val="0"/>
          <w:sz w:val="24"/>
          <w:szCs w:val="24"/>
          <w:lang w:eastAsia="ro-MD"/>
          <w14:ligatures w14:val="none"/>
        </w:rPr>
        <w:t xml:space="preserve">de funcționare </w:t>
      </w:r>
      <w:r w:rsidRPr="0020102C">
        <w:rPr>
          <w:rFonts w:ascii="Times New Roman" w:eastAsia="Times New Roman" w:hAnsi="Times New Roman" w:cs="Times New Roman"/>
          <w:kern w:val="0"/>
          <w:sz w:val="24"/>
          <w:szCs w:val="24"/>
          <w:lang w:eastAsia="ro-MD"/>
          <w14:ligatures w14:val="none"/>
        </w:rPr>
        <w:t>provizorie și acreditarea programelor</w:t>
      </w:r>
      <w:r w:rsidR="002B64AB">
        <w:rPr>
          <w:rFonts w:ascii="Times New Roman" w:eastAsia="Times New Roman" w:hAnsi="Times New Roman" w:cs="Times New Roman"/>
          <w:kern w:val="0"/>
          <w:sz w:val="24"/>
          <w:szCs w:val="24"/>
          <w:lang w:eastAsia="ro-MD"/>
          <w14:ligatures w14:val="none"/>
        </w:rPr>
        <w:t xml:space="preserve"> de studii și a instituțiilor</w:t>
      </w:r>
      <w:r w:rsidRPr="0020102C">
        <w:rPr>
          <w:rFonts w:ascii="Times New Roman" w:eastAsia="Times New Roman" w:hAnsi="Times New Roman" w:cs="Times New Roman"/>
          <w:kern w:val="0"/>
          <w:sz w:val="24"/>
          <w:szCs w:val="24"/>
          <w:lang w:eastAsia="ro-MD"/>
          <w14:ligatures w14:val="none"/>
        </w:rPr>
        <w:t>.</w:t>
      </w:r>
    </w:p>
    <w:p w14:paraId="3BA79469" w14:textId="769746D6" w:rsidR="00022173" w:rsidRPr="0020102C"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Anual, în baza deciziilor Consiliului de conducere al ANACEC, </w:t>
      </w:r>
      <w:r w:rsidRPr="002B64AB">
        <w:rPr>
          <w:rFonts w:ascii="Times New Roman" w:eastAsia="Times New Roman" w:hAnsi="Times New Roman" w:cs="Times New Roman"/>
          <w:kern w:val="0"/>
          <w:sz w:val="24"/>
          <w:szCs w:val="24"/>
          <w:lang w:eastAsia="ro-MD"/>
          <w14:ligatures w14:val="none"/>
        </w:rPr>
        <w:t>MEC</w:t>
      </w:r>
      <w:r w:rsidRPr="0020102C">
        <w:rPr>
          <w:rFonts w:ascii="Times New Roman" w:eastAsia="Times New Roman" w:hAnsi="Times New Roman" w:cs="Times New Roman"/>
          <w:kern w:val="0"/>
          <w:sz w:val="24"/>
          <w:szCs w:val="24"/>
          <w:lang w:eastAsia="ro-MD"/>
          <w14:ligatures w14:val="none"/>
        </w:rPr>
        <w:t xml:space="preserve"> acordă acreditarea sau autoriza</w:t>
      </w:r>
      <w:r w:rsidR="002B64AB">
        <w:rPr>
          <w:rFonts w:ascii="Times New Roman" w:eastAsia="Times New Roman" w:hAnsi="Times New Roman" w:cs="Times New Roman"/>
          <w:kern w:val="0"/>
          <w:sz w:val="24"/>
          <w:szCs w:val="24"/>
          <w:lang w:eastAsia="ro-MD"/>
          <w14:ligatures w14:val="none"/>
        </w:rPr>
        <w:t>rea</w:t>
      </w:r>
      <w:r w:rsidRPr="0020102C">
        <w:rPr>
          <w:rFonts w:ascii="Times New Roman" w:eastAsia="Times New Roman" w:hAnsi="Times New Roman" w:cs="Times New Roman"/>
          <w:kern w:val="0"/>
          <w:sz w:val="24"/>
          <w:szCs w:val="24"/>
          <w:lang w:eastAsia="ro-MD"/>
          <w14:ligatures w14:val="none"/>
        </w:rPr>
        <w:t xml:space="preserve"> de funcționare provizorie programelor de studii profesional tehnice, în temeiul art. 65 alin. (4) din Codul educației și al HG nr. 616/2016.</w:t>
      </w:r>
    </w:p>
    <w:p w14:paraId="26F54E12" w14:textId="3676C8D9" w:rsidR="00022173" w:rsidRPr="0020102C" w:rsidRDefault="00022173" w:rsidP="004019A8">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Dimensiunea europeană și integrarea cu </w:t>
      </w:r>
      <w:r w:rsidR="00BB2A74" w:rsidRPr="0020102C">
        <w:rPr>
          <w:rFonts w:ascii="Times New Roman" w:eastAsia="Times New Roman" w:hAnsi="Times New Roman" w:cs="Times New Roman"/>
          <w:b/>
          <w:bCs/>
          <w:color w:val="3494BA" w:themeColor="accent1"/>
          <w:kern w:val="0"/>
          <w:sz w:val="24"/>
          <w:szCs w:val="24"/>
          <w:lang w:eastAsia="ro-MD"/>
          <w14:ligatures w14:val="none"/>
        </w:rPr>
        <w:t>EQAVET</w:t>
      </w:r>
    </w:p>
    <w:p w14:paraId="2BC0DEC8" w14:textId="5F7E9453" w:rsidR="00022173" w:rsidRPr="002E32D4"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 xml:space="preserve">Evaluarea calității în ÎPT este construită în deplină coerență cu principiile și recomandările rețelei </w:t>
      </w:r>
      <w:r w:rsidR="00BB2A74" w:rsidRPr="002E32D4">
        <w:rPr>
          <w:rFonts w:ascii="Times New Roman" w:eastAsia="Times New Roman" w:hAnsi="Times New Roman" w:cs="Times New Roman"/>
          <w:kern w:val="0"/>
          <w:sz w:val="24"/>
          <w:szCs w:val="24"/>
          <w:lang w:eastAsia="ro-MD"/>
          <w14:ligatures w14:val="none"/>
        </w:rPr>
        <w:t>EQAVET</w:t>
      </w:r>
      <w:r w:rsidRPr="002E32D4">
        <w:rPr>
          <w:rFonts w:ascii="Times New Roman" w:eastAsia="Times New Roman" w:hAnsi="Times New Roman" w:cs="Times New Roman"/>
          <w:kern w:val="0"/>
          <w:sz w:val="24"/>
          <w:szCs w:val="24"/>
          <w:lang w:eastAsia="ro-MD"/>
          <w14:ligatures w14:val="none"/>
        </w:rPr>
        <w:t>, ceea ce asigură integrarea Republicii Moldova într-un spațiu european comun al calificărilor. Accentul principal este pus pe:</w:t>
      </w:r>
    </w:p>
    <w:p w14:paraId="212F7B1F" w14:textId="77777777" w:rsidR="00022173" w:rsidRPr="002E32D4" w:rsidRDefault="00022173" w:rsidP="00A41843">
      <w:pPr>
        <w:numPr>
          <w:ilvl w:val="0"/>
          <w:numId w:val="12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centrarea procesului de evaluare pe rezultatele învățării;</w:t>
      </w:r>
    </w:p>
    <w:p w14:paraId="35930D48" w14:textId="77777777" w:rsidR="00022173" w:rsidRPr="002E32D4" w:rsidRDefault="00022173" w:rsidP="00A41843">
      <w:pPr>
        <w:numPr>
          <w:ilvl w:val="0"/>
          <w:numId w:val="12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transparență și acces public la informații;</w:t>
      </w:r>
    </w:p>
    <w:p w14:paraId="657165C3" w14:textId="77777777" w:rsidR="00022173" w:rsidRPr="002E32D4" w:rsidRDefault="00022173" w:rsidP="00A41843">
      <w:pPr>
        <w:numPr>
          <w:ilvl w:val="0"/>
          <w:numId w:val="129"/>
        </w:num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implicarea activă a actorilor relevanți, inclusiv angajatori și parteneri sociali.</w:t>
      </w:r>
    </w:p>
    <w:p w14:paraId="4A59C52D" w14:textId="77777777" w:rsidR="00022173" w:rsidRPr="002E32D4"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În plan operațional, această abordare se reflectă în actele de studii – Certificat de calificare, Diplomă de studii profesionale sau microcertificate aferente calificărilor parțiale – care includ mențiuni despre nivelul CNC și, după referențiere, și despre nivelul EQF. Toate aceste documente sunt înregistrate și reflectate în Registrul Național al Calificărilor (RNC), consolidând trasabilitatea și comparabilitatea calificărilor ÎPT atât la nivel național, cât și european.</w:t>
      </w:r>
    </w:p>
    <w:p w14:paraId="70EE394B" w14:textId="77777777" w:rsidR="00022173" w:rsidRPr="0020102C"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Un rol central în asigurarea calității îl au agenții economici</w:t>
      </w:r>
      <w:r w:rsidRPr="0020102C">
        <w:rPr>
          <w:rFonts w:ascii="Times New Roman" w:eastAsia="Times New Roman" w:hAnsi="Times New Roman" w:cs="Times New Roman"/>
          <w:kern w:val="0"/>
          <w:sz w:val="24"/>
          <w:szCs w:val="24"/>
          <w:lang w:eastAsia="ro-MD"/>
          <w14:ligatures w14:val="none"/>
        </w:rPr>
        <w:t>, implicați în validarea standardelor de calificare și curriculumului, precum și în evaluarea practică a rezultatelor învățării demonstrate de elevi la examenele de calificare.</w:t>
      </w:r>
    </w:p>
    <w:p w14:paraId="7E18EC4D" w14:textId="77777777" w:rsidR="00022173" w:rsidRPr="0020102C" w:rsidRDefault="00022173" w:rsidP="004019A8">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Perspectiva de dezvoltare</w:t>
      </w:r>
    </w:p>
    <w:p w14:paraId="1D2E4222" w14:textId="0FCFE493" w:rsidR="00022173" w:rsidRPr="002E32D4" w:rsidRDefault="00022173" w:rsidP="004019A8">
      <w:p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 xml:space="preserve">Foaia de parcurs 2023–2027 prevede: actualizarea cadrului normativ de evaluare și certificare, diversificarea instrumentelor de evaluare în funcție de nivelurile 1–8 CNC, dezvoltarea soluțiilor digitale pentru evaluare și consolidarea cerințelor pentru experți-evaluatori. Toate aceste măsuri sporesc robustețea mecanismelor de asigurare a calității și coerența cu </w:t>
      </w:r>
      <w:r w:rsidR="00BB2A74" w:rsidRPr="002E32D4">
        <w:rPr>
          <w:rFonts w:ascii="Times New Roman" w:eastAsia="Times New Roman" w:hAnsi="Times New Roman" w:cs="Times New Roman"/>
          <w:kern w:val="0"/>
          <w:sz w:val="24"/>
          <w:szCs w:val="24"/>
          <w:lang w:eastAsia="ro-MD"/>
          <w14:ligatures w14:val="none"/>
        </w:rPr>
        <w:t>EQAVET</w:t>
      </w:r>
      <w:r w:rsidRPr="002E32D4">
        <w:rPr>
          <w:rFonts w:ascii="Times New Roman" w:eastAsia="Times New Roman" w:hAnsi="Times New Roman" w:cs="Times New Roman"/>
          <w:kern w:val="0"/>
          <w:sz w:val="24"/>
          <w:szCs w:val="24"/>
          <w:lang w:eastAsia="ro-MD"/>
          <w14:ligatures w14:val="none"/>
        </w:rPr>
        <w:t>.</w:t>
      </w:r>
    </w:p>
    <w:p w14:paraId="3AEAA269" w14:textId="224924A4" w:rsidR="00022173" w:rsidRPr="0020102C" w:rsidRDefault="00022173" w:rsidP="00896B82">
      <w:pPr>
        <w:spacing w:before="120" w:after="120" w:line="276" w:lineRule="auto"/>
        <w:jc w:val="both"/>
        <w:rPr>
          <w:rFonts w:ascii="Times New Roman" w:eastAsia="Times New Roman" w:hAnsi="Times New Roman" w:cs="Times New Roman"/>
          <w:kern w:val="0"/>
          <w:sz w:val="24"/>
          <w:szCs w:val="24"/>
          <w:lang w:eastAsia="ro-MD"/>
          <w14:ligatures w14:val="none"/>
        </w:rPr>
      </w:pPr>
      <w:r w:rsidRPr="002E32D4">
        <w:rPr>
          <w:rFonts w:ascii="Times New Roman" w:eastAsia="Times New Roman" w:hAnsi="Times New Roman" w:cs="Times New Roman"/>
          <w:kern w:val="0"/>
          <w:sz w:val="24"/>
          <w:szCs w:val="24"/>
          <w:lang w:eastAsia="ro-MD"/>
          <w14:ligatures w14:val="none"/>
        </w:rPr>
        <w:t>Astfel, evaluarea calității în ÎPT nu se limitează la un exercițiu birocratic de autorizare și acreditare, ci constituie un mecanism strategic de modernizare și de aliniere la standardele europene</w:t>
      </w:r>
      <w:r w:rsidRPr="0020102C">
        <w:rPr>
          <w:rFonts w:ascii="Times New Roman" w:eastAsia="Times New Roman" w:hAnsi="Times New Roman" w:cs="Times New Roman"/>
          <w:kern w:val="0"/>
          <w:sz w:val="24"/>
          <w:szCs w:val="24"/>
          <w:lang w:eastAsia="ro-MD"/>
          <w14:ligatures w14:val="none"/>
        </w:rPr>
        <w:t xml:space="preserve">. Prin Codul educației, HG nr. 330/2023 și ghidurile aprobate prin OMECC nr. 609/2017, Republica Moldova promovează o cultură instituțională a calității, bazată pe implicarea părților interesate, pe transparență și pe responsabilitate partajată. Legătura directă cu </w:t>
      </w:r>
      <w:r w:rsidR="00BB2A74" w:rsidRPr="0020102C">
        <w:rPr>
          <w:rFonts w:ascii="Times New Roman" w:eastAsia="Times New Roman" w:hAnsi="Times New Roman" w:cs="Times New Roman"/>
          <w:kern w:val="0"/>
          <w:sz w:val="24"/>
          <w:szCs w:val="24"/>
          <w:lang w:eastAsia="ro-MD"/>
          <w14:ligatures w14:val="none"/>
        </w:rPr>
        <w:t>EQAVET</w:t>
      </w:r>
      <w:r w:rsidRPr="0020102C">
        <w:rPr>
          <w:rFonts w:ascii="Times New Roman" w:eastAsia="Times New Roman" w:hAnsi="Times New Roman" w:cs="Times New Roman"/>
          <w:kern w:val="0"/>
          <w:sz w:val="24"/>
          <w:szCs w:val="24"/>
          <w:lang w:eastAsia="ro-MD"/>
          <w14:ligatures w14:val="none"/>
        </w:rPr>
        <w:t xml:space="preserve"> se reflectă în orientarea către rezultate ale învățării, în mecanismele de feedback și îmbunătățire continuă, dar și în utilizarea evaluărilor externe realizate de agenții recunoscute internațional. În acest fel, calificările obținute în ÎPT devin mai credibile, mai vizibile și mai comparabile la nivel european, ceea ce întărește încrederea angajatorilor, facilitează mobilitatea transnațională și consolidează rolul CNC în arhitectura Spațiului European al Învățării pe </w:t>
      </w:r>
      <w:r w:rsidR="00345BF2" w:rsidRPr="0020102C">
        <w:rPr>
          <w:rFonts w:ascii="Times New Roman" w:eastAsia="Times New Roman" w:hAnsi="Times New Roman" w:cs="Times New Roman"/>
          <w:kern w:val="0"/>
          <w:sz w:val="24"/>
          <w:szCs w:val="24"/>
          <w:lang w:eastAsia="ro-MD"/>
          <w14:ligatures w14:val="none"/>
        </w:rPr>
        <w:t>t</w:t>
      </w:r>
      <w:r w:rsidRPr="0020102C">
        <w:rPr>
          <w:rFonts w:ascii="Times New Roman" w:eastAsia="Times New Roman" w:hAnsi="Times New Roman" w:cs="Times New Roman"/>
          <w:kern w:val="0"/>
          <w:sz w:val="24"/>
          <w:szCs w:val="24"/>
          <w:lang w:eastAsia="ro-MD"/>
          <w14:ligatures w14:val="none"/>
        </w:rPr>
        <w:t xml:space="preserve">ot </w:t>
      </w:r>
      <w:r w:rsidR="00345BF2" w:rsidRPr="0020102C">
        <w:rPr>
          <w:rFonts w:ascii="Times New Roman" w:eastAsia="Times New Roman" w:hAnsi="Times New Roman" w:cs="Times New Roman"/>
          <w:kern w:val="0"/>
          <w:sz w:val="24"/>
          <w:szCs w:val="24"/>
          <w:lang w:eastAsia="ro-MD"/>
          <w14:ligatures w14:val="none"/>
        </w:rPr>
        <w:t>p</w:t>
      </w:r>
      <w:r w:rsidRPr="0020102C">
        <w:rPr>
          <w:rFonts w:ascii="Times New Roman" w:eastAsia="Times New Roman" w:hAnsi="Times New Roman" w:cs="Times New Roman"/>
          <w:kern w:val="0"/>
          <w:sz w:val="24"/>
          <w:szCs w:val="24"/>
          <w:lang w:eastAsia="ro-MD"/>
          <w14:ligatures w14:val="none"/>
        </w:rPr>
        <w:t xml:space="preserve">arcursul </w:t>
      </w:r>
      <w:r w:rsidR="00345BF2" w:rsidRPr="0020102C">
        <w:rPr>
          <w:rFonts w:ascii="Times New Roman" w:eastAsia="Times New Roman" w:hAnsi="Times New Roman" w:cs="Times New Roman"/>
          <w:kern w:val="0"/>
          <w:sz w:val="24"/>
          <w:szCs w:val="24"/>
          <w:lang w:eastAsia="ro-MD"/>
          <w14:ligatures w14:val="none"/>
        </w:rPr>
        <w:t>v</w:t>
      </w:r>
      <w:r w:rsidRPr="0020102C">
        <w:rPr>
          <w:rFonts w:ascii="Times New Roman" w:eastAsia="Times New Roman" w:hAnsi="Times New Roman" w:cs="Times New Roman"/>
          <w:kern w:val="0"/>
          <w:sz w:val="24"/>
          <w:szCs w:val="24"/>
          <w:lang w:eastAsia="ro-MD"/>
          <w14:ligatures w14:val="none"/>
        </w:rPr>
        <w:t>ieții.</w:t>
      </w:r>
    </w:p>
    <w:p w14:paraId="22FA4050" w14:textId="5DA675F8" w:rsidR="00F562E5" w:rsidRPr="0020102C" w:rsidRDefault="00F562E5" w:rsidP="0041118E">
      <w:pPr>
        <w:pStyle w:val="a7"/>
        <w:numPr>
          <w:ilvl w:val="2"/>
          <w:numId w:val="4"/>
        </w:num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Evaluarea calității în învățământul superior</w:t>
      </w:r>
      <w:r w:rsidR="00896B82" w:rsidRPr="0020102C">
        <w:rPr>
          <w:rFonts w:ascii="Times New Roman" w:eastAsia="Times New Roman" w:hAnsi="Times New Roman" w:cs="Times New Roman"/>
          <w:b/>
          <w:bCs/>
          <w:color w:val="3494BA" w:themeColor="accent1"/>
          <w:kern w:val="0"/>
          <w:sz w:val="24"/>
          <w:szCs w:val="24"/>
          <w:lang w:eastAsia="ro-MD"/>
          <w14:ligatures w14:val="none"/>
        </w:rPr>
        <w:t>. Legătura cu ESG</w:t>
      </w:r>
    </w:p>
    <w:p w14:paraId="75820FC8" w14:textId="77777777" w:rsidR="00F562E5" w:rsidRPr="0020102C" w:rsidRDefault="00F562E5" w:rsidP="005C4B7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Evaluarea calității în învățământul superior din Republica Moldova se desfășoară într-un cadru normativ complex, ce îmbină reglementările naționale cu principiile europene ale Spațiului European al Învățământului Superior. Conform </w:t>
      </w:r>
      <w:r w:rsidRPr="0020102C">
        <w:rPr>
          <w:rFonts w:ascii="Times New Roman" w:eastAsia="Times New Roman" w:hAnsi="Times New Roman" w:cs="Times New Roman"/>
          <w:b/>
          <w:bCs/>
          <w:kern w:val="0"/>
          <w:sz w:val="24"/>
          <w:szCs w:val="24"/>
          <w:lang w:eastAsia="ro-MD"/>
          <w14:ligatures w14:val="none"/>
        </w:rPr>
        <w:t>Codului educației nr. 152/2014</w:t>
      </w:r>
      <w:r w:rsidRPr="0020102C">
        <w:rPr>
          <w:rFonts w:ascii="Times New Roman" w:eastAsia="Times New Roman" w:hAnsi="Times New Roman" w:cs="Times New Roman"/>
          <w:kern w:val="0"/>
          <w:sz w:val="24"/>
          <w:szCs w:val="24"/>
          <w:lang w:eastAsia="ro-MD"/>
          <w14:ligatures w14:val="none"/>
        </w:rPr>
        <w:t xml:space="preserve">, evaluarea calității în universități constituie o </w:t>
      </w:r>
      <w:r w:rsidRPr="0020102C">
        <w:rPr>
          <w:rFonts w:ascii="Times New Roman" w:eastAsia="Times New Roman" w:hAnsi="Times New Roman" w:cs="Times New Roman"/>
          <w:b/>
          <w:bCs/>
          <w:kern w:val="0"/>
          <w:sz w:val="24"/>
          <w:szCs w:val="24"/>
          <w:lang w:eastAsia="ro-MD"/>
          <w14:ligatures w14:val="none"/>
        </w:rPr>
        <w:t>examinare multicriterială</w:t>
      </w:r>
      <w:r w:rsidRPr="0020102C">
        <w:rPr>
          <w:rFonts w:ascii="Times New Roman" w:eastAsia="Times New Roman" w:hAnsi="Times New Roman" w:cs="Times New Roman"/>
          <w:kern w:val="0"/>
          <w:sz w:val="24"/>
          <w:szCs w:val="24"/>
          <w:lang w:eastAsia="ro-MD"/>
          <w14:ligatures w14:val="none"/>
        </w:rPr>
        <w:t xml:space="preserve"> a gradului în care o instituție de învățământ și programele sale îndeplinesc standardele naționale de referință. Aceasta este definită ca un ansamblu de activități interdependente – </w:t>
      </w:r>
      <w:r w:rsidRPr="0020102C">
        <w:rPr>
          <w:rFonts w:ascii="Times New Roman" w:eastAsia="Times New Roman" w:hAnsi="Times New Roman" w:cs="Times New Roman"/>
          <w:b/>
          <w:bCs/>
          <w:kern w:val="0"/>
          <w:sz w:val="24"/>
          <w:szCs w:val="24"/>
          <w:lang w:eastAsia="ro-MD"/>
          <w14:ligatures w14:val="none"/>
        </w:rPr>
        <w:t>autoevaluare, evaluare internă și evaluare externă</w:t>
      </w:r>
      <w:r w:rsidRPr="0020102C">
        <w:rPr>
          <w:rFonts w:ascii="Times New Roman" w:eastAsia="Times New Roman" w:hAnsi="Times New Roman" w:cs="Times New Roman"/>
          <w:kern w:val="0"/>
          <w:sz w:val="24"/>
          <w:szCs w:val="24"/>
          <w:lang w:eastAsia="ro-MD"/>
          <w14:ligatures w14:val="none"/>
        </w:rPr>
        <w:t xml:space="preserve"> – realizate pe baza standardelor de acreditare, criteriilor și indicatorilor aprobați de Guvern și implementați prin ANACEC.</w:t>
      </w:r>
    </w:p>
    <w:p w14:paraId="19A459E1" w14:textId="77777777" w:rsidR="00F562E5" w:rsidRPr="0020102C" w:rsidRDefault="00F562E5" w:rsidP="005C4B7F">
      <w:pPr>
        <w:spacing w:before="120" w:after="120" w:line="276" w:lineRule="auto"/>
        <w:jc w:val="both"/>
        <w:outlineLvl w:val="3"/>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Cadrul normativ principal</w:t>
      </w:r>
    </w:p>
    <w:p w14:paraId="5118C7B5" w14:textId="20F512F6" w:rsidR="00F562E5" w:rsidRPr="0020102C" w:rsidRDefault="00F562E5" w:rsidP="005C4B7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Procesul </w:t>
      </w:r>
      <w:r w:rsidR="00A23E2A" w:rsidRPr="0020102C">
        <w:rPr>
          <w:rFonts w:ascii="Times New Roman" w:eastAsia="Times New Roman" w:hAnsi="Times New Roman" w:cs="Times New Roman"/>
          <w:kern w:val="0"/>
          <w:sz w:val="24"/>
          <w:szCs w:val="24"/>
          <w:lang w:eastAsia="ro-MD"/>
          <w14:ligatures w14:val="none"/>
        </w:rPr>
        <w:t xml:space="preserve">de evaluare </w:t>
      </w:r>
      <w:r w:rsidR="00F57AC5">
        <w:rPr>
          <w:rFonts w:ascii="Times New Roman" w:eastAsia="Times New Roman" w:hAnsi="Times New Roman" w:cs="Times New Roman"/>
          <w:kern w:val="0"/>
          <w:sz w:val="24"/>
          <w:szCs w:val="24"/>
          <w:lang w:eastAsia="ro-MD"/>
          <w14:ligatures w14:val="none"/>
        </w:rPr>
        <w:t xml:space="preserve">a </w:t>
      </w:r>
      <w:r w:rsidR="00A23E2A" w:rsidRPr="0020102C">
        <w:rPr>
          <w:rFonts w:ascii="Times New Roman" w:eastAsia="Times New Roman" w:hAnsi="Times New Roman" w:cs="Times New Roman"/>
          <w:kern w:val="0"/>
          <w:sz w:val="24"/>
          <w:szCs w:val="24"/>
          <w:lang w:eastAsia="ro-MD"/>
          <w14:ligatures w14:val="none"/>
        </w:rPr>
        <w:t xml:space="preserve">calității </w:t>
      </w:r>
      <w:r w:rsidRPr="0020102C">
        <w:rPr>
          <w:rFonts w:ascii="Times New Roman" w:eastAsia="Times New Roman" w:hAnsi="Times New Roman" w:cs="Times New Roman"/>
          <w:kern w:val="0"/>
          <w:sz w:val="24"/>
          <w:szCs w:val="24"/>
          <w:lang w:eastAsia="ro-MD"/>
          <w14:ligatures w14:val="none"/>
        </w:rPr>
        <w:t>este reglementat de un set amplu de acte legislative și sub-legislative:</w:t>
      </w:r>
    </w:p>
    <w:p w14:paraId="3EB242B8" w14:textId="68930891" w:rsidR="00F562E5" w:rsidRPr="0020102C" w:rsidRDefault="00F562E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 xml:space="preserve">Articolele </w:t>
      </w:r>
      <w:r w:rsidR="00533D06">
        <w:rPr>
          <w:rFonts w:ascii="Times New Roman" w:eastAsia="Times New Roman" w:hAnsi="Times New Roman" w:cs="Times New Roman"/>
          <w:kern w:val="0"/>
          <w:sz w:val="24"/>
          <w:szCs w:val="24"/>
          <w:lang w:eastAsia="ro-MD"/>
          <w14:ligatures w14:val="none"/>
        </w:rPr>
        <w:t xml:space="preserve">99, </w:t>
      </w:r>
      <w:r w:rsidR="00B97FF1">
        <w:rPr>
          <w:rFonts w:ascii="Times New Roman" w:eastAsia="Times New Roman" w:hAnsi="Times New Roman" w:cs="Times New Roman"/>
          <w:kern w:val="0"/>
          <w:sz w:val="24"/>
          <w:szCs w:val="24"/>
          <w:lang w:eastAsia="ro-MD"/>
          <w14:ligatures w14:val="none"/>
        </w:rPr>
        <w:t xml:space="preserve">112, </w:t>
      </w:r>
      <w:r w:rsidRPr="0020102C">
        <w:rPr>
          <w:rFonts w:ascii="Times New Roman" w:eastAsia="Times New Roman" w:hAnsi="Times New Roman" w:cs="Times New Roman"/>
          <w:kern w:val="0"/>
          <w:sz w:val="24"/>
          <w:szCs w:val="24"/>
          <w:lang w:eastAsia="ro-MD"/>
          <w14:ligatures w14:val="none"/>
        </w:rPr>
        <w:t>113 și 114 din Codul educației definesc structura și obiectivele evaluării. Ele stabilesc că:</w:t>
      </w:r>
    </w:p>
    <w:p w14:paraId="57B6701F" w14:textId="77777777" w:rsidR="00F562E5" w:rsidRPr="0020102C" w:rsidRDefault="00F562E5" w:rsidP="00A41843">
      <w:pPr>
        <w:numPr>
          <w:ilvl w:val="1"/>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vizează capacitatea instituțională, eficiența educațională, calitatea programelor, managementul calității, rezultatele cercetării și concordanța dintre evaluarea internă și situația reală;</w:t>
      </w:r>
    </w:p>
    <w:p w14:paraId="0CF848F4" w14:textId="55ADF8E4" w:rsidR="00F562E5" w:rsidRPr="0020102C" w:rsidRDefault="00F562E5" w:rsidP="00A41843">
      <w:pPr>
        <w:numPr>
          <w:ilvl w:val="1"/>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orice instituție sau program de studii trebuie să parcurgă evaluarea externă pentru a obține autorizare de funcționare provizorie (înainte de lansare) și ulterior acreditare</w:t>
      </w:r>
      <w:r w:rsidR="003E32E9">
        <w:rPr>
          <w:rFonts w:ascii="Times New Roman" w:eastAsia="Times New Roman" w:hAnsi="Times New Roman" w:cs="Times New Roman"/>
          <w:kern w:val="0"/>
          <w:sz w:val="24"/>
          <w:szCs w:val="24"/>
          <w:lang w:eastAsia="ro-MD"/>
          <w14:ligatures w14:val="none"/>
        </w:rPr>
        <w:t>/reacreditate</w:t>
      </w:r>
      <w:r w:rsidRPr="0020102C">
        <w:rPr>
          <w:rFonts w:ascii="Times New Roman" w:eastAsia="Times New Roman" w:hAnsi="Times New Roman" w:cs="Times New Roman"/>
          <w:kern w:val="0"/>
          <w:sz w:val="24"/>
          <w:szCs w:val="24"/>
          <w:lang w:eastAsia="ro-MD"/>
          <w14:ligatures w14:val="none"/>
        </w:rPr>
        <w:t>;</w:t>
      </w:r>
    </w:p>
    <w:p w14:paraId="2C137D80" w14:textId="77777777" w:rsidR="00F562E5" w:rsidRPr="0020102C" w:rsidRDefault="00F562E5" w:rsidP="00A41843">
      <w:pPr>
        <w:numPr>
          <w:ilvl w:val="1"/>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programele de licență (ciclul I) constituie baza pentru autorizarea și acreditarea programelor de master (ciclul II) și doctorat (ciclul III), asigurând coerența ciclurilor de studii;</w:t>
      </w:r>
    </w:p>
    <w:p w14:paraId="02C26E92" w14:textId="77777777" w:rsidR="00F562E5" w:rsidRPr="0020102C" w:rsidRDefault="00F562E5" w:rsidP="00A41843">
      <w:pPr>
        <w:numPr>
          <w:ilvl w:val="1"/>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externă se repetă periodic (cel puțin o dată la 5 ani), iar rezultatele negative pot duce la retragerea dreptului de organizare a programelor sau chiar a activității instituției.</w:t>
      </w:r>
    </w:p>
    <w:p w14:paraId="78188D0F" w14:textId="77777777" w:rsidR="00F562E5" w:rsidRDefault="00F562E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HG nr. 616/2016</w:t>
      </w:r>
      <w:r w:rsidRPr="0020102C">
        <w:rPr>
          <w:rFonts w:ascii="Times New Roman" w:eastAsia="Times New Roman" w:hAnsi="Times New Roman" w:cs="Times New Roman"/>
          <w:kern w:val="0"/>
          <w:sz w:val="24"/>
          <w:szCs w:val="24"/>
          <w:lang w:eastAsia="ro-MD"/>
          <w14:ligatures w14:val="none"/>
        </w:rPr>
        <w:t xml:space="preserve"> reglementează Metodologia de evaluare externă a calității în învățământul superior, profesional tehnic și în formarea profesională a adulților. Documentul detaliază pașii procedurali, criteriile aplicabile și mecanismul de calcul al taxelor pentru serviciile de evaluare.</w:t>
      </w:r>
    </w:p>
    <w:p w14:paraId="60E8773B" w14:textId="77777777" w:rsidR="00F562E5" w:rsidRPr="0020102C" w:rsidRDefault="00F562E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HG nr. 330/2023</w:t>
      </w:r>
      <w:r w:rsidRPr="0020102C">
        <w:rPr>
          <w:rFonts w:ascii="Times New Roman" w:eastAsia="Times New Roman" w:hAnsi="Times New Roman" w:cs="Times New Roman"/>
          <w:kern w:val="0"/>
          <w:sz w:val="24"/>
          <w:szCs w:val="24"/>
          <w:lang w:eastAsia="ro-MD"/>
          <w14:ligatures w14:val="none"/>
        </w:rPr>
        <w:t xml:space="preserve"> și „Foaia de parcurs 2023–2027” ancorează evaluarea calității în cadrul </w:t>
      </w:r>
      <w:r w:rsidRPr="0020102C">
        <w:rPr>
          <w:rFonts w:ascii="Times New Roman" w:eastAsia="Times New Roman" w:hAnsi="Times New Roman" w:cs="Times New Roman"/>
          <w:b/>
          <w:bCs/>
          <w:kern w:val="0"/>
          <w:sz w:val="24"/>
          <w:szCs w:val="24"/>
          <w:lang w:eastAsia="ro-MD"/>
          <w14:ligatures w14:val="none"/>
        </w:rPr>
        <w:t>CNC</w:t>
      </w:r>
      <w:r w:rsidRPr="0020102C">
        <w:rPr>
          <w:rFonts w:ascii="Times New Roman" w:eastAsia="Times New Roman" w:hAnsi="Times New Roman" w:cs="Times New Roman"/>
          <w:kern w:val="0"/>
          <w:sz w:val="24"/>
          <w:szCs w:val="24"/>
          <w:lang w:eastAsia="ro-MD"/>
          <w14:ligatures w14:val="none"/>
        </w:rPr>
        <w:t>, legând programele de studii de rezultatele învățării și corelând procesul de QA cu principiile ESG.</w:t>
      </w:r>
    </w:p>
    <w:p w14:paraId="5132E9E0" w14:textId="77777777" w:rsidR="00F562E5" w:rsidRPr="0020102C" w:rsidRDefault="00F562E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Ordinul MEC nr. 1175/2023</w:t>
      </w:r>
      <w:r w:rsidRPr="0020102C">
        <w:rPr>
          <w:rFonts w:ascii="Times New Roman" w:eastAsia="Times New Roman" w:hAnsi="Times New Roman" w:cs="Times New Roman"/>
          <w:kern w:val="0"/>
          <w:sz w:val="24"/>
          <w:szCs w:val="24"/>
          <w:lang w:eastAsia="ro-MD"/>
          <w14:ligatures w14:val="none"/>
        </w:rPr>
        <w:t xml:space="preserve"> aprobă Regulamentul-cadru privind evaluarea finală a studiilor superioare de licență (ciclul I) și a studiilor superioare integrate, asigurând uniformitatea și transparența examenelor de finalizare a studiilor.</w:t>
      </w:r>
    </w:p>
    <w:p w14:paraId="29430F3E" w14:textId="77777777" w:rsidR="00F562E5" w:rsidRPr="0020102C" w:rsidRDefault="00F562E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Ordinul MEC nr. 1020/2023</w:t>
      </w:r>
      <w:r w:rsidRPr="0020102C">
        <w:rPr>
          <w:rFonts w:ascii="Times New Roman" w:eastAsia="Times New Roman" w:hAnsi="Times New Roman" w:cs="Times New Roman"/>
          <w:kern w:val="0"/>
          <w:sz w:val="24"/>
          <w:szCs w:val="24"/>
          <w:lang w:eastAsia="ro-MD"/>
          <w14:ligatures w14:val="none"/>
        </w:rPr>
        <w:t xml:space="preserve"> reglementează aplicarea ECTS și în cadrul programelor de formare continuă, extinzând compatibilitatea internațională a rezultatelor învățării.</w:t>
      </w:r>
    </w:p>
    <w:p w14:paraId="0CAC8156" w14:textId="0C5B9566" w:rsidR="00F562E5" w:rsidRDefault="00F562E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Procedura ANACEC privind evaluarea programelor comune de studii superioare</w:t>
      </w:r>
      <w:r w:rsidRPr="0020102C">
        <w:rPr>
          <w:rFonts w:ascii="Times New Roman" w:eastAsia="Times New Roman" w:hAnsi="Times New Roman" w:cs="Times New Roman"/>
          <w:kern w:val="0"/>
          <w:sz w:val="24"/>
          <w:szCs w:val="24"/>
          <w:lang w:eastAsia="ro-MD"/>
          <w14:ligatures w14:val="none"/>
        </w:rPr>
        <w:t xml:space="preserve"> (</w:t>
      </w:r>
      <w:r w:rsidR="00FC07E5">
        <w:rPr>
          <w:rFonts w:ascii="Times New Roman" w:eastAsia="Times New Roman" w:hAnsi="Times New Roman" w:cs="Times New Roman"/>
          <w:kern w:val="0"/>
          <w:sz w:val="24"/>
          <w:szCs w:val="24"/>
          <w14:ligatures w14:val="none"/>
        </w:rPr>
        <w:t xml:space="preserve">aprobată de Consiliul de conducere al ANACEC, </w:t>
      </w:r>
      <w:r w:rsidRPr="0020102C">
        <w:rPr>
          <w:rFonts w:ascii="Times New Roman" w:eastAsia="Times New Roman" w:hAnsi="Times New Roman" w:cs="Times New Roman"/>
          <w:kern w:val="0"/>
          <w:sz w:val="24"/>
          <w:szCs w:val="24"/>
          <w:lang w:eastAsia="ro-MD"/>
          <w14:ligatures w14:val="none"/>
        </w:rPr>
        <w:t>Decizia nr. 75/2022) stabilește mecanismele de evaluare pentru programele organizate în consorții sau parteneriate internaționale.</w:t>
      </w:r>
    </w:p>
    <w:p w14:paraId="5AFE5DC3" w14:textId="77777777" w:rsidR="00774AEE" w:rsidRPr="0035284C" w:rsidRDefault="00B81475" w:rsidP="00A41843">
      <w:pPr>
        <w:pStyle w:val="af8"/>
        <w:numPr>
          <w:ilvl w:val="0"/>
          <w:numId w:val="130"/>
        </w:numPr>
        <w:shd w:val="clear" w:color="auto" w:fill="FFFFFF"/>
        <w:spacing w:before="0" w:beforeAutospacing="0" w:line="372" w:lineRule="atLeast"/>
      </w:pPr>
      <w:hyperlink r:id="rId24" w:tgtFrame="_blank" w:history="1">
        <w:r w:rsidR="00774AEE" w:rsidRPr="0035284C">
          <w:t>Ghid de evaluare extern</w:t>
        </w:r>
        <w:r w:rsidR="00774AEE" w:rsidRPr="0035284C">
          <w:rPr>
            <w:rFonts w:hint="eastAsia"/>
          </w:rPr>
          <w:t>ă</w:t>
        </w:r>
        <w:r w:rsidR="00774AEE" w:rsidRPr="0035284C">
          <w:t xml:space="preserve"> a programelor de studii superioare de licenț</w:t>
        </w:r>
        <w:r w:rsidR="00774AEE" w:rsidRPr="0035284C">
          <w:rPr>
            <w:rFonts w:hint="eastAsia"/>
          </w:rPr>
          <w:t>ă</w:t>
        </w:r>
        <w:r w:rsidR="00774AEE" w:rsidRPr="0035284C">
          <w:t xml:space="preserve"> (ciclul I) și studii superioare integrate, aprobat de Consiliul de conducere al ANACEC, decizia nr. 8 din 06.03.2025</w:t>
        </w:r>
      </w:hyperlink>
    </w:p>
    <w:p w14:paraId="2087ED7C" w14:textId="6B5FE6EA" w:rsidR="00774AEE" w:rsidRPr="0035284C" w:rsidRDefault="00B81475" w:rsidP="00A41843">
      <w:pPr>
        <w:numPr>
          <w:ilvl w:val="0"/>
          <w:numId w:val="130"/>
        </w:numPr>
        <w:spacing w:before="120" w:after="120" w:line="276" w:lineRule="auto"/>
        <w:jc w:val="both"/>
        <w:rPr>
          <w:rFonts w:ascii="Times New Roman" w:eastAsia="Times New Roman" w:hAnsi="Times New Roman" w:cs="Times New Roman"/>
          <w:kern w:val="0"/>
          <w:sz w:val="24"/>
          <w:szCs w:val="24"/>
          <w:lang w:eastAsia="ro-MD"/>
          <w14:ligatures w14:val="none"/>
        </w:rPr>
      </w:pPr>
      <w:hyperlink r:id="rId25" w:tgtFrame="_blank" w:history="1">
        <w:r w:rsidR="00774AEE" w:rsidRPr="0035284C">
          <w:rPr>
            <w:rFonts w:ascii="Times New Roman" w:eastAsia="Times New Roman" w:hAnsi="Times New Roman" w:cs="Times New Roman"/>
            <w:kern w:val="0"/>
            <w:sz w:val="24"/>
            <w:szCs w:val="24"/>
            <w:lang w:eastAsia="ro-MD"/>
            <w14:ligatures w14:val="none"/>
          </w:rPr>
          <w:t>Ghid de evaluare extern</w:t>
        </w:r>
        <w:r w:rsidR="00774AEE" w:rsidRPr="0035284C">
          <w:rPr>
            <w:rFonts w:ascii="Times New Roman" w:eastAsia="Times New Roman" w:hAnsi="Times New Roman" w:cs="Times New Roman" w:hint="eastAsia"/>
            <w:kern w:val="0"/>
            <w:sz w:val="24"/>
            <w:szCs w:val="24"/>
            <w:lang w:eastAsia="ro-MD"/>
            <w14:ligatures w14:val="none"/>
          </w:rPr>
          <w:t>ă</w:t>
        </w:r>
        <w:r w:rsidR="00774AEE" w:rsidRPr="0035284C">
          <w:rPr>
            <w:rFonts w:ascii="Times New Roman" w:eastAsia="Times New Roman" w:hAnsi="Times New Roman" w:cs="Times New Roman"/>
            <w:kern w:val="0"/>
            <w:sz w:val="24"/>
            <w:szCs w:val="24"/>
            <w:lang w:eastAsia="ro-MD"/>
            <w14:ligatures w14:val="none"/>
          </w:rPr>
          <w:t xml:space="preserve"> a programelor de studii superioare de master (ciclul II), aprobat de Consiliul de conducere al ANACEC, decizia nr. 8 din 06.03.2025</w:t>
        </w:r>
      </w:hyperlink>
    </w:p>
    <w:p w14:paraId="50EA827A" w14:textId="77777777" w:rsidR="00F562E5" w:rsidRPr="0020102C" w:rsidRDefault="00F562E5" w:rsidP="005C4B7F">
      <w:pPr>
        <w:spacing w:before="120" w:after="120" w:line="276" w:lineRule="auto"/>
        <w:jc w:val="both"/>
        <w:outlineLvl w:val="3"/>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Mecanismele de evaluare</w:t>
      </w:r>
    </w:p>
    <w:p w14:paraId="4F9C720A" w14:textId="77777777" w:rsidR="00F562E5" w:rsidRPr="0020102C" w:rsidRDefault="00F562E5" w:rsidP="005C4B7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Evaluarea calității în universități funcționează pe două niveluri:</w:t>
      </w:r>
    </w:p>
    <w:p w14:paraId="3FCFBCCE" w14:textId="77777777" w:rsidR="00F562E5" w:rsidRPr="0020102C" w:rsidRDefault="00F562E5" w:rsidP="00A41843">
      <w:pPr>
        <w:numPr>
          <w:ilvl w:val="0"/>
          <w:numId w:val="13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 internă</w:t>
      </w:r>
      <w:r w:rsidRPr="0020102C">
        <w:rPr>
          <w:rFonts w:ascii="Times New Roman" w:eastAsia="Times New Roman" w:hAnsi="Times New Roman" w:cs="Times New Roman"/>
          <w:kern w:val="0"/>
          <w:sz w:val="24"/>
          <w:szCs w:val="24"/>
          <w:lang w:eastAsia="ro-MD"/>
          <w14:ligatures w14:val="none"/>
        </w:rPr>
        <w:t xml:space="preserve"> – realizată de structurile instituționale de QA, prin activități de autoevaluare, monitorizare a proceselor educaționale, cercetării și serviciilor, utilizând mecanisme de feedback și planuri de îmbunătățire.</w:t>
      </w:r>
    </w:p>
    <w:p w14:paraId="1F8AF624" w14:textId="77777777" w:rsidR="00F562E5" w:rsidRPr="0020102C" w:rsidRDefault="00F562E5" w:rsidP="00A41843">
      <w:pPr>
        <w:numPr>
          <w:ilvl w:val="0"/>
          <w:numId w:val="13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b/>
          <w:bCs/>
          <w:kern w:val="0"/>
          <w:sz w:val="24"/>
          <w:szCs w:val="24"/>
          <w:lang w:eastAsia="ro-MD"/>
          <w14:ligatures w14:val="none"/>
        </w:rPr>
        <w:t>Evaluare externă</w:t>
      </w:r>
      <w:r w:rsidRPr="0020102C">
        <w:rPr>
          <w:rFonts w:ascii="Times New Roman" w:eastAsia="Times New Roman" w:hAnsi="Times New Roman" w:cs="Times New Roman"/>
          <w:kern w:val="0"/>
          <w:sz w:val="24"/>
          <w:szCs w:val="24"/>
          <w:lang w:eastAsia="ro-MD"/>
          <w14:ligatures w14:val="none"/>
        </w:rPr>
        <w:t xml:space="preserve"> – realizată de </w:t>
      </w:r>
      <w:r w:rsidRPr="0020102C">
        <w:rPr>
          <w:rFonts w:ascii="Times New Roman" w:eastAsia="Times New Roman" w:hAnsi="Times New Roman" w:cs="Times New Roman"/>
          <w:b/>
          <w:bCs/>
          <w:kern w:val="0"/>
          <w:sz w:val="24"/>
          <w:szCs w:val="24"/>
          <w:lang w:eastAsia="ro-MD"/>
          <w14:ligatures w14:val="none"/>
        </w:rPr>
        <w:t>ANACEC</w:t>
      </w:r>
      <w:r w:rsidRPr="0020102C">
        <w:rPr>
          <w:rFonts w:ascii="Times New Roman" w:eastAsia="Times New Roman" w:hAnsi="Times New Roman" w:cs="Times New Roman"/>
          <w:kern w:val="0"/>
          <w:sz w:val="24"/>
          <w:szCs w:val="24"/>
          <w:lang w:eastAsia="ro-MD"/>
          <w14:ligatures w14:val="none"/>
        </w:rPr>
        <w:t xml:space="preserve"> sau, după caz, de agenții înscrise în </w:t>
      </w:r>
      <w:r w:rsidRPr="0020102C">
        <w:rPr>
          <w:rFonts w:ascii="Times New Roman" w:eastAsia="Times New Roman" w:hAnsi="Times New Roman" w:cs="Times New Roman"/>
          <w:b/>
          <w:bCs/>
          <w:kern w:val="0"/>
          <w:sz w:val="24"/>
          <w:szCs w:val="24"/>
          <w:lang w:eastAsia="ro-MD"/>
          <w14:ligatures w14:val="none"/>
        </w:rPr>
        <w:t>EQAR</w:t>
      </w:r>
      <w:r w:rsidRPr="0020102C">
        <w:rPr>
          <w:rFonts w:ascii="Times New Roman" w:eastAsia="Times New Roman" w:hAnsi="Times New Roman" w:cs="Times New Roman"/>
          <w:kern w:val="0"/>
          <w:sz w:val="24"/>
          <w:szCs w:val="24"/>
          <w:lang w:eastAsia="ro-MD"/>
          <w14:ligatures w14:val="none"/>
        </w:rPr>
        <w:t>, prin proceduri standardizate ce includ analiza documentară, vizite instituționale și consultarea părților interesate. Rezultatele pot fi:</w:t>
      </w:r>
    </w:p>
    <w:p w14:paraId="31118B9C" w14:textId="77777777" w:rsidR="00F562E5" w:rsidRPr="0020102C" w:rsidRDefault="00F562E5" w:rsidP="00A41843">
      <w:pPr>
        <w:numPr>
          <w:ilvl w:val="1"/>
          <w:numId w:val="13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autorizarea de funcționare provizorie (valabilă până la prima promoție de absolvenți);</w:t>
      </w:r>
    </w:p>
    <w:p w14:paraId="0925B2EC" w14:textId="4864D35D" w:rsidR="00F562E5" w:rsidRPr="0020102C" w:rsidRDefault="00F562E5" w:rsidP="00A41843">
      <w:pPr>
        <w:numPr>
          <w:ilvl w:val="1"/>
          <w:numId w:val="13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acreditarea programelor și instituțiilor (valabilă 5</w:t>
      </w:r>
      <w:r w:rsidR="00F2667B">
        <w:rPr>
          <w:rFonts w:ascii="Times New Roman" w:eastAsia="Times New Roman" w:hAnsi="Times New Roman" w:cs="Times New Roman"/>
          <w:kern w:val="0"/>
          <w:sz w:val="24"/>
          <w:szCs w:val="24"/>
          <w:lang w:eastAsia="ro-MD"/>
          <w14:ligatures w14:val="none"/>
        </w:rPr>
        <w:t>/7</w:t>
      </w:r>
      <w:r w:rsidRPr="0020102C">
        <w:rPr>
          <w:rFonts w:ascii="Times New Roman" w:eastAsia="Times New Roman" w:hAnsi="Times New Roman" w:cs="Times New Roman"/>
          <w:kern w:val="0"/>
          <w:sz w:val="24"/>
          <w:szCs w:val="24"/>
          <w:lang w:eastAsia="ro-MD"/>
          <w14:ligatures w14:val="none"/>
        </w:rPr>
        <w:t xml:space="preserve"> ani);</w:t>
      </w:r>
    </w:p>
    <w:p w14:paraId="064DB3A5" w14:textId="77777777" w:rsidR="00F562E5" w:rsidRPr="0020102C" w:rsidRDefault="00F562E5" w:rsidP="00A41843">
      <w:pPr>
        <w:numPr>
          <w:ilvl w:val="1"/>
          <w:numId w:val="131"/>
        </w:num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lastRenderedPageBreak/>
        <w:t>reacreditarea sau retragerea dreptului de activitate, în caz de nerespectare a cerințelor de calitate.</w:t>
      </w:r>
    </w:p>
    <w:p w14:paraId="6DF18559" w14:textId="77777777" w:rsidR="00F562E5" w:rsidRPr="0020102C" w:rsidRDefault="00F562E5" w:rsidP="005C4B7F">
      <w:pPr>
        <w:spacing w:before="120" w:after="120" w:line="276" w:lineRule="auto"/>
        <w:jc w:val="both"/>
        <w:outlineLvl w:val="3"/>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Dimensiunea europeană: ESG și EQAR</w:t>
      </w:r>
    </w:p>
    <w:p w14:paraId="6595A150" w14:textId="3E88CEF7" w:rsidR="00F562E5" w:rsidRPr="0020102C" w:rsidRDefault="00F562E5" w:rsidP="005C4B7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 xml:space="preserve">Evaluarea calității universitare respectă </w:t>
      </w:r>
      <w:r w:rsidR="00951F11" w:rsidRPr="0020102C">
        <w:rPr>
          <w:rFonts w:ascii="Times New Roman" w:eastAsia="Times New Roman" w:hAnsi="Times New Roman" w:cs="Times New Roman"/>
          <w:b/>
          <w:bCs/>
          <w:kern w:val="0"/>
          <w:sz w:val="24"/>
          <w:szCs w:val="24"/>
          <w:lang w:eastAsia="ro-MD"/>
          <w14:ligatures w14:val="none"/>
        </w:rPr>
        <w:t>Standardele și liniile directoare pentru asigurarea calității în Spațiul European al Învățământului Superior</w:t>
      </w:r>
      <w:r w:rsidR="00A47666" w:rsidRPr="0020102C">
        <w:rPr>
          <w:rFonts w:ascii="Times New Roman" w:eastAsia="Times New Roman" w:hAnsi="Times New Roman" w:cs="Times New Roman"/>
          <w:b/>
          <w:bCs/>
          <w:kern w:val="0"/>
          <w:sz w:val="24"/>
          <w:szCs w:val="24"/>
          <w:lang w:eastAsia="ro-MD"/>
          <w14:ligatures w14:val="none"/>
        </w:rPr>
        <w:t xml:space="preserve"> </w:t>
      </w:r>
      <w:r w:rsidRPr="0020102C">
        <w:rPr>
          <w:rFonts w:ascii="Times New Roman" w:eastAsia="Times New Roman" w:hAnsi="Times New Roman" w:cs="Times New Roman"/>
          <w:b/>
          <w:bCs/>
          <w:kern w:val="0"/>
          <w:sz w:val="24"/>
          <w:szCs w:val="24"/>
          <w:lang w:eastAsia="ro-MD"/>
          <w14:ligatures w14:val="none"/>
        </w:rPr>
        <w:t>(ESG)</w:t>
      </w:r>
      <w:r w:rsidRPr="0020102C">
        <w:rPr>
          <w:rFonts w:ascii="Times New Roman" w:eastAsia="Times New Roman" w:hAnsi="Times New Roman" w:cs="Times New Roman"/>
          <w:kern w:val="0"/>
          <w:sz w:val="24"/>
          <w:szCs w:val="24"/>
          <w:lang w:eastAsia="ro-MD"/>
          <w14:ligatures w14:val="none"/>
        </w:rPr>
        <w:t xml:space="preserve"> și este conectată la rețelele europene prin ANACEC. Principiile ESG – centrarea pe rezultate ale învățării, implicarea părților interesate, transparența și îmbunătățirea continuă – sunt reflectate în reglementările naționale și în rapoartele publice de evaluare.</w:t>
      </w:r>
    </w:p>
    <w:p w14:paraId="385A6F2D" w14:textId="1C9D78C4" w:rsidR="00F562E5" w:rsidRPr="0020102C" w:rsidRDefault="00F562E5" w:rsidP="005C4B7F">
      <w:pPr>
        <w:spacing w:before="120" w:after="120" w:line="276" w:lineRule="auto"/>
        <w:jc w:val="both"/>
        <w:rPr>
          <w:rFonts w:ascii="Times New Roman" w:eastAsia="Times New Roman" w:hAnsi="Times New Roman" w:cs="Times New Roman"/>
          <w:kern w:val="0"/>
          <w:sz w:val="24"/>
          <w:szCs w:val="24"/>
          <w:lang w:eastAsia="ro-MD"/>
          <w14:ligatures w14:val="none"/>
        </w:rPr>
      </w:pPr>
      <w:r w:rsidRPr="0020102C">
        <w:rPr>
          <w:rFonts w:ascii="Times New Roman" w:eastAsia="Times New Roman" w:hAnsi="Times New Roman" w:cs="Times New Roman"/>
          <w:kern w:val="0"/>
          <w:sz w:val="24"/>
          <w:szCs w:val="24"/>
          <w:lang w:eastAsia="ro-MD"/>
          <w14:ligatures w14:val="none"/>
        </w:rPr>
        <w:t>În plus, implicarea agențiilor membre EQAR</w:t>
      </w:r>
      <w:r w:rsidR="00EA4F0B" w:rsidRPr="0020102C">
        <w:rPr>
          <w:rFonts w:ascii="Times New Roman" w:eastAsia="Times New Roman" w:hAnsi="Times New Roman" w:cs="Times New Roman"/>
          <w:kern w:val="0"/>
          <w:sz w:val="24"/>
          <w:szCs w:val="24"/>
          <w:lang w:eastAsia="ro-MD"/>
          <w14:ligatures w14:val="none"/>
        </w:rPr>
        <w:t xml:space="preserve"> (</w:t>
      </w:r>
      <w:r w:rsidR="00EA4F0B" w:rsidRPr="0020102C">
        <w:rPr>
          <w:rStyle w:val="af9"/>
          <w:rFonts w:ascii="Times New Roman" w:hAnsi="Times New Roman" w:cs="Times New Roman"/>
          <w:b w:val="0"/>
          <w:bCs w:val="0"/>
          <w:sz w:val="24"/>
          <w:szCs w:val="24"/>
        </w:rPr>
        <w:t>Registrul European pentru Asigurarea Calității în Învățământul Superior</w:t>
      </w:r>
      <w:r w:rsidR="00EA4F0B" w:rsidRPr="0020102C">
        <w:rPr>
          <w:rFonts w:ascii="Times New Roman" w:hAnsi="Times New Roman" w:cs="Times New Roman"/>
          <w:sz w:val="24"/>
          <w:szCs w:val="24"/>
        </w:rPr>
        <w:t>)</w:t>
      </w:r>
      <w:r w:rsidRPr="0020102C">
        <w:rPr>
          <w:rFonts w:ascii="Times New Roman" w:eastAsia="Times New Roman" w:hAnsi="Times New Roman" w:cs="Times New Roman"/>
          <w:kern w:val="0"/>
          <w:sz w:val="24"/>
          <w:szCs w:val="24"/>
          <w:lang w:eastAsia="ro-MD"/>
          <w14:ligatures w14:val="none"/>
        </w:rPr>
        <w:t xml:space="preserve"> în procesele de evaluare permite recunoașterea internațională a deciziilor de acreditare și facilitează mobilitatea studenților și academică.</w:t>
      </w:r>
    </w:p>
    <w:p w14:paraId="4CC61D5B" w14:textId="1A480CDE" w:rsidR="003105DC" w:rsidRPr="0020102C" w:rsidRDefault="00CF3A89" w:rsidP="00345BF2">
      <w:pPr>
        <w:spacing w:before="120" w:after="120" w:line="276" w:lineRule="auto"/>
        <w:jc w:val="both"/>
        <w:outlineLvl w:val="3"/>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Concluzie:</w:t>
      </w:r>
    </w:p>
    <w:p w14:paraId="257F4757" w14:textId="1DCFA13C" w:rsidR="000A5297" w:rsidRPr="0020102C" w:rsidRDefault="003105DC" w:rsidP="005C4B7F">
      <w:pPr>
        <w:spacing w:before="120" w:after="120" w:line="276" w:lineRule="auto"/>
        <w:jc w:val="both"/>
        <w:outlineLvl w:val="1"/>
        <w:rPr>
          <w:rFonts w:ascii="Times New Roman" w:hAnsi="Times New Roman" w:cs="Times New Roman"/>
          <w:sz w:val="24"/>
          <w:szCs w:val="24"/>
        </w:rPr>
      </w:pPr>
      <w:r w:rsidRPr="0020102C">
        <w:rPr>
          <w:rFonts w:ascii="Times New Roman" w:hAnsi="Times New Roman" w:cs="Times New Roman"/>
          <w:sz w:val="24"/>
          <w:szCs w:val="24"/>
        </w:rPr>
        <w:t>Evaluarea calității în învățământul superior din Republica Moldova nu se limitează la nivel instituțional sau național, ci se raportează direct la Spațiul European al Învățământului Superior (QF-</w:t>
      </w:r>
      <w:r w:rsidR="002513BE" w:rsidRPr="0020102C">
        <w:rPr>
          <w:rFonts w:ascii="Times New Roman" w:hAnsi="Times New Roman" w:cs="Times New Roman"/>
          <w:sz w:val="24"/>
          <w:szCs w:val="24"/>
        </w:rPr>
        <w:t>EHEA</w:t>
      </w:r>
      <w:r w:rsidRPr="0020102C">
        <w:rPr>
          <w:rFonts w:ascii="Times New Roman" w:hAnsi="Times New Roman" w:cs="Times New Roman"/>
          <w:sz w:val="24"/>
          <w:szCs w:val="24"/>
        </w:rPr>
        <w:t>). Universitățile sunt evaluate prin prisma compatibilității cu ciclurile Bologna și a procedurilor de autocertificare, ceea ce garantează recunoașterea și comparabilitatea diplomelor. Prin alinierea cadrului național – Codul educației (art. 113–114), HG nr. 616/2016, HG nr. 330/2023, ordinele MEC nr. 1175/2023 și nr. 1020/2023, precum și procedurile ANACEC – cu principiile ESG și standardele EQAR, Republica Moldova confirmă că diplomele sale universitare sunt pe deplin compatibile și credibile în Spațiul European al Învățământului Superior.</w:t>
      </w:r>
    </w:p>
    <w:p w14:paraId="43600038" w14:textId="77777777" w:rsidR="00651656" w:rsidRPr="0020102C" w:rsidRDefault="00651656" w:rsidP="005C4B7F">
      <w:pPr>
        <w:spacing w:before="120" w:after="120" w:line="276" w:lineRule="auto"/>
        <w:jc w:val="both"/>
        <w:outlineLvl w:val="1"/>
        <w:rPr>
          <w:rFonts w:ascii="Times New Roman" w:eastAsia="Times New Roman" w:hAnsi="Times New Roman" w:cs="Times New Roman"/>
          <w:b/>
          <w:bCs/>
          <w:color w:val="3494BA" w:themeColor="accent1"/>
          <w:kern w:val="0"/>
          <w:sz w:val="24"/>
          <w:szCs w:val="24"/>
          <w:lang w:eastAsia="ro-MD"/>
          <w14:ligatures w14:val="none"/>
        </w:rPr>
      </w:pPr>
    </w:p>
    <w:p w14:paraId="1C8A8372" w14:textId="7A71ACFD" w:rsidR="00651656" w:rsidRPr="001F6026" w:rsidRDefault="00651656" w:rsidP="00A41843">
      <w:pPr>
        <w:pStyle w:val="a7"/>
        <w:keepNext/>
        <w:keepLines/>
        <w:numPr>
          <w:ilvl w:val="0"/>
          <w:numId w:val="46"/>
        </w:numPr>
        <w:spacing w:before="120" w:after="120" w:line="276"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REFERENȚIEREA CNC CU EQF ȘI AUTOCERTIFICAREA CNC ÎN RAPORT CU QF-</w:t>
      </w:r>
      <w:r w:rsidR="002513BE" w:rsidRPr="001F6026">
        <w:rPr>
          <w:rFonts w:ascii="Times New Roman" w:eastAsia="MS Gothic" w:hAnsi="Times New Roman" w:cs="Times New Roman"/>
          <w:b/>
          <w:bCs/>
          <w:color w:val="3494BA" w:themeColor="accent1"/>
          <w:kern w:val="0"/>
          <w:sz w:val="24"/>
          <w:szCs w:val="24"/>
          <w14:ligatures w14:val="none"/>
        </w:rPr>
        <w:t>EHEA</w:t>
      </w:r>
    </w:p>
    <w:p w14:paraId="01CFC32E" w14:textId="57091C5B" w:rsidR="008118E6" w:rsidRPr="001F6026" w:rsidRDefault="008118E6" w:rsidP="0037093F">
      <w:pPr>
        <w:pStyle w:val="af8"/>
        <w:spacing w:before="120" w:beforeAutospacing="0" w:after="120" w:afterAutospacing="0" w:line="276" w:lineRule="auto"/>
        <w:jc w:val="both"/>
      </w:pPr>
      <w:r w:rsidRPr="0020102C">
        <w:t xml:space="preserve">Referințierea </w:t>
      </w:r>
      <w:r w:rsidRPr="001F6026">
        <w:t xml:space="preserve">Cadrului Național al Calificărilor </w:t>
      </w:r>
      <w:r w:rsidRPr="0020102C">
        <w:t xml:space="preserve">din Republica Moldova </w:t>
      </w:r>
      <w:r w:rsidRPr="001F6026">
        <w:t xml:space="preserve"> la EQF) și </w:t>
      </w:r>
      <w:r w:rsidR="0012237E" w:rsidRPr="001F6026">
        <w:t>autocertificarea în raport cu</w:t>
      </w:r>
      <w:r w:rsidRPr="001F6026">
        <w:t xml:space="preserve"> QF-</w:t>
      </w:r>
      <w:r w:rsidR="002513BE" w:rsidRPr="001F6026">
        <w:t>EHEA</w:t>
      </w:r>
      <w:r w:rsidRPr="001F6026">
        <w:t xml:space="preserve"> constituie un pas esențial pentru creșterea transparenței, comparabilității și recunoașterii internaționale a calificărilor moldovenești. Acest proces facilitează înțelegerea și compararea calificărilor în context european, sprijină mobilitatea academică și profesională și oferă părților interesate, inclusiv cursanților, angajatorilor și instituțiilor, informații clare și fiabile despre conținutul și nivelul calificărilor.</w:t>
      </w:r>
    </w:p>
    <w:p w14:paraId="1A7F6034" w14:textId="110F40FD" w:rsidR="008118E6" w:rsidRPr="001F6026" w:rsidRDefault="008118E6" w:rsidP="0037093F">
      <w:pPr>
        <w:pStyle w:val="af8"/>
        <w:spacing w:before="120" w:beforeAutospacing="0" w:after="120" w:afterAutospacing="0" w:line="276" w:lineRule="auto"/>
        <w:jc w:val="both"/>
      </w:pPr>
      <w:r w:rsidRPr="001F6026">
        <w:t xml:space="preserve">Procesele de referințiere și auto-certificare se desfășoară în contextul integrării </w:t>
      </w:r>
      <w:r w:rsidR="00E30E32">
        <w:t xml:space="preserve">Republicii </w:t>
      </w:r>
      <w:r w:rsidRPr="001F6026">
        <w:t>Moldov</w:t>
      </w:r>
      <w:r w:rsidR="00E30E32">
        <w:t>a</w:t>
      </w:r>
      <w:r w:rsidRPr="001F6026">
        <w:t xml:space="preserve"> în sistemele educaționale și ale pieței muncii europene. Obiectivele principale includ stabilirea unei relații credibile între nivelurile CNF și EQF, alinierea calificărilor din învățământul superior la ciclurile QF-</w:t>
      </w:r>
      <w:r w:rsidR="002513BE" w:rsidRPr="001F6026">
        <w:t>EHEA</w:t>
      </w:r>
      <w:r w:rsidRPr="001F6026">
        <w:t xml:space="preserve"> și asigurarea transparenței informațiilor privind calificările. Totodată, aceste procese consolidează încrederea reciprocă și facilitează mobilitatea și recunoașterea profesională între Moldova și alte state europene.</w:t>
      </w:r>
    </w:p>
    <w:p w14:paraId="239A6FFB" w14:textId="6E3E482B" w:rsidR="008118E6" w:rsidRPr="001F6026" w:rsidRDefault="008118E6" w:rsidP="0037093F">
      <w:pPr>
        <w:pStyle w:val="af8"/>
        <w:spacing w:before="120" w:beforeAutospacing="0" w:after="120" w:afterAutospacing="0" w:line="276" w:lineRule="auto"/>
        <w:jc w:val="both"/>
      </w:pPr>
      <w:r w:rsidRPr="001F6026">
        <w:t>Coordonarea procesului de referințiere este realizată de Ministerul Educației și Cercetării, în colaborare cu Agenția Națională pentru Asigurarea Calității în Educație și Cercetare (ANACEC), instituțiile de învățământ superior, furnizorii de formare profesională, angajatorii și partenerii sociali. Această colaborare interinstituțională și multipartenerială garantează respectarea criteriilor de referințiere și recomandărilor Procesului Bologna, asigurând astfel validitatea și credibilitatea calificărilor moldovenești în context european și internațional.</w:t>
      </w:r>
    </w:p>
    <w:p w14:paraId="1BF91F5F" w14:textId="5BCD7465" w:rsidR="001D3856" w:rsidRPr="001F6026" w:rsidRDefault="00651656" w:rsidP="00A41843">
      <w:pPr>
        <w:pStyle w:val="a7"/>
        <w:numPr>
          <w:ilvl w:val="1"/>
          <w:numId w:val="46"/>
        </w:numPr>
        <w:spacing w:before="120" w:after="120" w:line="276" w:lineRule="auto"/>
        <w:contextualSpacing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Obiective</w:t>
      </w:r>
      <w:r w:rsidR="009172BD">
        <w:rPr>
          <w:rFonts w:ascii="Times New Roman" w:eastAsia="MS Gothic" w:hAnsi="Times New Roman" w:cs="Times New Roman"/>
          <w:b/>
          <w:bCs/>
          <w:color w:val="3494BA" w:themeColor="accent1"/>
          <w:kern w:val="0"/>
          <w:sz w:val="24"/>
          <w:szCs w:val="24"/>
          <w14:ligatures w14:val="none"/>
        </w:rPr>
        <w:t>le</w:t>
      </w:r>
      <w:r w:rsidRPr="001F6026">
        <w:rPr>
          <w:rFonts w:ascii="Times New Roman" w:eastAsia="MS Gothic" w:hAnsi="Times New Roman" w:cs="Times New Roman"/>
          <w:b/>
          <w:bCs/>
          <w:color w:val="3494BA" w:themeColor="accent1"/>
          <w:kern w:val="0"/>
          <w:sz w:val="24"/>
          <w:szCs w:val="24"/>
          <w14:ligatures w14:val="none"/>
        </w:rPr>
        <w:t xml:space="preserve"> </w:t>
      </w:r>
      <w:r w:rsidR="001D3856" w:rsidRPr="001F6026">
        <w:rPr>
          <w:rFonts w:ascii="Times New Roman" w:eastAsia="MS Gothic" w:hAnsi="Times New Roman" w:cs="Times New Roman"/>
          <w:b/>
          <w:bCs/>
          <w:color w:val="3494BA" w:themeColor="accent1"/>
          <w:kern w:val="0"/>
          <w:sz w:val="24"/>
          <w:szCs w:val="24"/>
          <w14:ligatures w14:val="none"/>
        </w:rPr>
        <w:t>procesului de referențiere și autocertificare</w:t>
      </w:r>
    </w:p>
    <w:p w14:paraId="3F3537B5" w14:textId="7CBC8057" w:rsidR="001D3856" w:rsidRPr="001F6026" w:rsidRDefault="001D3856" w:rsidP="0027312A">
      <w:pPr>
        <w:pStyle w:val="af8"/>
        <w:spacing w:before="120" w:beforeAutospacing="0" w:after="120" w:afterAutospacing="0" w:line="276" w:lineRule="auto"/>
        <w:jc w:val="both"/>
      </w:pPr>
      <w:r w:rsidRPr="001F6026">
        <w:lastRenderedPageBreak/>
        <w:t>Procesul de referențiere a CNC din Republica Moldova la EQF și de autocertificare a acestuia în raport cu QF-</w:t>
      </w:r>
      <w:r w:rsidR="002513BE" w:rsidRPr="001F6026">
        <w:t>EHEA</w:t>
      </w:r>
      <w:r w:rsidRPr="001F6026">
        <w:t xml:space="preserve"> urmărește mai multe obiective majore:</w:t>
      </w:r>
    </w:p>
    <w:p w14:paraId="77A6FD6E" w14:textId="77777777" w:rsidR="001D3856" w:rsidRPr="001F6026" w:rsidRDefault="001D3856" w:rsidP="00A41843">
      <w:pPr>
        <w:pStyle w:val="af8"/>
        <w:numPr>
          <w:ilvl w:val="0"/>
          <w:numId w:val="132"/>
        </w:numPr>
        <w:spacing w:before="120" w:beforeAutospacing="0" w:after="120" w:afterAutospacing="0" w:line="276" w:lineRule="auto"/>
        <w:jc w:val="both"/>
      </w:pPr>
      <w:r w:rsidRPr="001F6026">
        <w:rPr>
          <w:rStyle w:val="af9"/>
          <w:rFonts w:eastAsiaTheme="majorEastAsia"/>
        </w:rPr>
        <w:t>Asigurarea transparenței și comparabilității</w:t>
      </w:r>
      <w:r w:rsidRPr="001F6026">
        <w:t xml:space="preserve"> calificărilor naționale cu cele europene, consolidând încrederea reciprocă între statele membre și parteneri.</w:t>
      </w:r>
    </w:p>
    <w:p w14:paraId="5C556DA1" w14:textId="77777777" w:rsidR="001D3856" w:rsidRPr="001F6026" w:rsidRDefault="001D3856" w:rsidP="00A41843">
      <w:pPr>
        <w:pStyle w:val="af8"/>
        <w:numPr>
          <w:ilvl w:val="0"/>
          <w:numId w:val="132"/>
        </w:numPr>
        <w:spacing w:before="120" w:beforeAutospacing="0" w:after="120" w:afterAutospacing="0" w:line="276" w:lineRule="auto"/>
        <w:jc w:val="both"/>
      </w:pPr>
      <w:r w:rsidRPr="001F6026">
        <w:rPr>
          <w:rStyle w:val="af9"/>
          <w:rFonts w:eastAsiaTheme="majorEastAsia"/>
        </w:rPr>
        <w:t>Facilitarea mobilității academice și profesionale</w:t>
      </w:r>
      <w:r w:rsidRPr="001F6026">
        <w:t>, prin integrarea diplomelor și certificatelor moldovenești într-un spațiu comun de recunoaștere.</w:t>
      </w:r>
    </w:p>
    <w:p w14:paraId="545B9F51" w14:textId="4B77A7F8" w:rsidR="001D3856" w:rsidRPr="001F6026" w:rsidRDefault="001D3856" w:rsidP="00A41843">
      <w:pPr>
        <w:pStyle w:val="af8"/>
        <w:numPr>
          <w:ilvl w:val="0"/>
          <w:numId w:val="132"/>
        </w:numPr>
        <w:spacing w:before="120" w:beforeAutospacing="0" w:after="120" w:afterAutospacing="0" w:line="276" w:lineRule="auto"/>
        <w:jc w:val="both"/>
      </w:pPr>
      <w:r w:rsidRPr="001F6026">
        <w:rPr>
          <w:rStyle w:val="af9"/>
          <w:rFonts w:eastAsiaTheme="majorEastAsia"/>
        </w:rPr>
        <w:t>Alinierea CNC la standardele europene</w:t>
      </w:r>
      <w:r w:rsidRPr="001F6026">
        <w:t>, în special la principiile EQF, la Descriitorii de la Dublin și la criteriile ESG/</w:t>
      </w:r>
      <w:r w:rsidR="00BB2A74" w:rsidRPr="001F6026">
        <w:t>EQAVET</w:t>
      </w:r>
      <w:r w:rsidRPr="001F6026">
        <w:t>, pentru a garanta coerența cu ciclurile Bologna și cu cerințele pieței muncii europene.</w:t>
      </w:r>
    </w:p>
    <w:p w14:paraId="59FBBA7E" w14:textId="77777777" w:rsidR="001D3856" w:rsidRPr="001F6026" w:rsidRDefault="001D3856" w:rsidP="00A41843">
      <w:pPr>
        <w:pStyle w:val="af8"/>
        <w:numPr>
          <w:ilvl w:val="0"/>
          <w:numId w:val="132"/>
        </w:numPr>
        <w:spacing w:before="120" w:beforeAutospacing="0" w:after="120" w:afterAutospacing="0" w:line="276" w:lineRule="auto"/>
        <w:jc w:val="both"/>
      </w:pPr>
      <w:r w:rsidRPr="001F6026">
        <w:rPr>
          <w:rStyle w:val="af9"/>
          <w:rFonts w:eastAsiaTheme="majorEastAsia"/>
        </w:rPr>
        <w:t>Promovarea unei culturi a calității și a învățării pe tot parcursul vieții</w:t>
      </w:r>
      <w:r w:rsidRPr="001F6026">
        <w:t>, prin consolidarea instrumentelor de evaluare, recunoaștere și validare a rezultatelor învățării dobândite în contexte formale, non-formale și informale.</w:t>
      </w:r>
    </w:p>
    <w:p w14:paraId="292E6C56" w14:textId="77777777" w:rsidR="001D3856" w:rsidRPr="001F6026" w:rsidRDefault="001D3856" w:rsidP="00A41843">
      <w:pPr>
        <w:pStyle w:val="af8"/>
        <w:numPr>
          <w:ilvl w:val="0"/>
          <w:numId w:val="132"/>
        </w:numPr>
        <w:spacing w:before="120" w:beforeAutospacing="0" w:after="120" w:afterAutospacing="0" w:line="276" w:lineRule="auto"/>
        <w:jc w:val="both"/>
      </w:pPr>
      <w:r w:rsidRPr="001F6026">
        <w:rPr>
          <w:rStyle w:val="af9"/>
          <w:rFonts w:eastAsiaTheme="majorEastAsia"/>
        </w:rPr>
        <w:t>Crearea unui cadru unitar de raportare și monitorizare</w:t>
      </w:r>
      <w:r w:rsidRPr="001F6026">
        <w:t>, care să integreze CNC în rețelele europene (EQF Portal, ENIC-NARIC, Europass, MICROBOL etc.) și să faciliteze actualizările periodice.</w:t>
      </w:r>
    </w:p>
    <w:p w14:paraId="08F0F286" w14:textId="7114CA46" w:rsidR="008466A7" w:rsidRPr="001F6026" w:rsidRDefault="008466A7" w:rsidP="0027312A">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 xml:space="preserve">Aceste obiective sunt complementare și converg cu </w:t>
      </w:r>
      <w:r w:rsidRPr="001F6026">
        <w:rPr>
          <w:rFonts w:ascii="Times New Roman" w:eastAsia="Times New Roman" w:hAnsi="Times New Roman" w:cs="Times New Roman"/>
          <w:b/>
          <w:bCs/>
          <w:kern w:val="0"/>
          <w:sz w:val="24"/>
          <w:szCs w:val="24"/>
          <w:lang w:eastAsia="ro-MD"/>
          <w14:ligatures w14:val="none"/>
        </w:rPr>
        <w:t>Strategia de dezvoltare „Educația 2030”</w:t>
      </w:r>
      <w:r w:rsidRPr="001F6026">
        <w:rPr>
          <w:rFonts w:ascii="Times New Roman" w:eastAsia="Times New Roman" w:hAnsi="Times New Roman" w:cs="Times New Roman"/>
          <w:kern w:val="0"/>
          <w:sz w:val="24"/>
          <w:szCs w:val="24"/>
          <w:lang w:eastAsia="ro-MD"/>
          <w14:ligatures w14:val="none"/>
        </w:rPr>
        <w:t xml:space="preserve"> aprobată prin HG nr. 114/2023. Strategia fixează drept obiectiv general nr. 1 </w:t>
      </w:r>
      <w:r w:rsidR="005A298E" w:rsidRPr="001F6026">
        <w:rPr>
          <w:rFonts w:ascii="Times New Roman" w:eastAsia="Times New Roman" w:hAnsi="Times New Roman" w:cs="Times New Roman"/>
          <w:kern w:val="0"/>
          <w:sz w:val="24"/>
          <w:szCs w:val="24"/>
          <w:lang w:eastAsia="ro-MD"/>
          <w14:ligatures w14:val="none"/>
        </w:rPr>
        <w:t>R</w:t>
      </w:r>
      <w:r w:rsidRPr="001F6026">
        <w:rPr>
          <w:rFonts w:ascii="Times New Roman" w:eastAsia="Times New Roman" w:hAnsi="Times New Roman" w:cs="Times New Roman"/>
          <w:kern w:val="0"/>
          <w:sz w:val="24"/>
          <w:szCs w:val="24"/>
          <w:lang w:eastAsia="ro-MD"/>
          <w14:ligatures w14:val="none"/>
        </w:rPr>
        <w:t>acordarea educației la cerințele și nevoile pieței muncii din perspectiva dezvoltării sustenabile, inclusiv prin racordarea cantitativă (numărul de absolvenți) și calitativă (conținutul calificărilor) la cerințele pieței muncii. Printre rezultatele așteptate până în 2030 se numără creșterea relevanței, portabilității și racordării calificărilor prin elaborarea/actualizarea a cel puțin 80% din standardele de calificare pentru toate nivelurile și domeniile de formare profesională din ÎPT și învățământul superior, în deplină concordanță cu CNC armonizat la EQF.</w:t>
      </w:r>
    </w:p>
    <w:p w14:paraId="6E157FF6" w14:textId="0D03BCA6" w:rsidR="000C573F" w:rsidRPr="001F6026" w:rsidRDefault="000C573F" w:rsidP="00A41843">
      <w:pPr>
        <w:pStyle w:val="a7"/>
        <w:numPr>
          <w:ilvl w:val="1"/>
          <w:numId w:val="46"/>
        </w:numPr>
        <w:spacing w:before="120" w:after="120" w:line="276" w:lineRule="auto"/>
        <w:contextualSpacing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Metodologia procesului</w:t>
      </w:r>
      <w:r w:rsidR="00F00081" w:rsidRPr="001F6026">
        <w:rPr>
          <w:rFonts w:ascii="Times New Roman" w:eastAsia="MS Gothic" w:hAnsi="Times New Roman" w:cs="Times New Roman"/>
          <w:b/>
          <w:bCs/>
          <w:color w:val="3494BA" w:themeColor="accent1"/>
          <w:kern w:val="0"/>
          <w:sz w:val="24"/>
          <w:szCs w:val="24"/>
          <w14:ligatures w14:val="none"/>
        </w:rPr>
        <w:t xml:space="preserve"> </w:t>
      </w:r>
      <w:r w:rsidRPr="001F6026">
        <w:rPr>
          <w:rFonts w:ascii="Times New Roman" w:eastAsia="MS Gothic" w:hAnsi="Times New Roman" w:cs="Times New Roman"/>
          <w:b/>
          <w:bCs/>
          <w:color w:val="3494BA" w:themeColor="accent1"/>
          <w:kern w:val="0"/>
          <w:sz w:val="24"/>
          <w:szCs w:val="24"/>
          <w14:ligatures w14:val="none"/>
        </w:rPr>
        <w:t xml:space="preserve">de referențiere și de autocertificare </w:t>
      </w:r>
    </w:p>
    <w:p w14:paraId="4CA29640" w14:textId="5CB797BE" w:rsidR="008466A7" w:rsidRPr="001F6026" w:rsidRDefault="008466A7" w:rsidP="0027312A">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 xml:space="preserve">Metodologia </w:t>
      </w:r>
      <w:r w:rsidR="0090289D" w:rsidRPr="001F6026">
        <w:rPr>
          <w:rFonts w:ascii="Times New Roman" w:eastAsia="Times New Roman" w:hAnsi="Times New Roman" w:cs="Times New Roman"/>
          <w:kern w:val="0"/>
          <w:sz w:val="24"/>
          <w:szCs w:val="24"/>
          <w:lang w:eastAsia="ro-MD"/>
          <w14:ligatures w14:val="none"/>
        </w:rPr>
        <w:t>aplicată</w:t>
      </w:r>
      <w:r w:rsidRPr="001F6026">
        <w:rPr>
          <w:rFonts w:ascii="Times New Roman" w:eastAsia="Times New Roman" w:hAnsi="Times New Roman" w:cs="Times New Roman"/>
          <w:kern w:val="0"/>
          <w:sz w:val="24"/>
          <w:szCs w:val="24"/>
          <w:lang w:eastAsia="ro-MD"/>
          <w14:ligatures w14:val="none"/>
        </w:rPr>
        <w:t xml:space="preserve"> respectă Recomandarea Consiliului UE din 22 mai 2017 privind EQF și documentele de referință adoptate în cadrul Procesului Bologna pentru autocertificare (criterii și proceduri QF-</w:t>
      </w:r>
      <w:r w:rsidR="002513BE" w:rsidRPr="001F6026">
        <w:rPr>
          <w:rFonts w:ascii="Times New Roman" w:eastAsia="Times New Roman" w:hAnsi="Times New Roman" w:cs="Times New Roman"/>
          <w:kern w:val="0"/>
          <w:sz w:val="24"/>
          <w:szCs w:val="24"/>
          <w:lang w:eastAsia="ro-MD"/>
          <w14:ligatures w14:val="none"/>
        </w:rPr>
        <w:t>EHEA</w:t>
      </w:r>
      <w:r w:rsidRPr="001F6026">
        <w:rPr>
          <w:rFonts w:ascii="Times New Roman" w:eastAsia="Times New Roman" w:hAnsi="Times New Roman" w:cs="Times New Roman"/>
          <w:kern w:val="0"/>
          <w:sz w:val="24"/>
          <w:szCs w:val="24"/>
          <w:lang w:eastAsia="ro-MD"/>
          <w14:ligatures w14:val="none"/>
        </w:rPr>
        <w:t>, Descriitorii de la Dublin, ESG 2015). În acest sens,</w:t>
      </w:r>
      <w:r w:rsidR="005A7551" w:rsidRPr="001F6026">
        <w:rPr>
          <w:rFonts w:ascii="Times New Roman" w:eastAsia="Times New Roman" w:hAnsi="Times New Roman" w:cs="Times New Roman"/>
          <w:kern w:val="0"/>
          <w:sz w:val="24"/>
          <w:szCs w:val="24"/>
          <w:lang w:eastAsia="ro-MD"/>
          <w14:ligatures w14:val="none"/>
        </w:rPr>
        <w:t xml:space="preserve"> procesul de </w:t>
      </w:r>
      <w:r w:rsidRPr="001F6026">
        <w:rPr>
          <w:rFonts w:ascii="Times New Roman" w:eastAsia="Times New Roman" w:hAnsi="Times New Roman" w:cs="Times New Roman"/>
          <w:kern w:val="0"/>
          <w:sz w:val="24"/>
          <w:szCs w:val="24"/>
          <w:lang w:eastAsia="ro-MD"/>
          <w14:ligatures w14:val="none"/>
        </w:rPr>
        <w:t>referențier</w:t>
      </w:r>
      <w:r w:rsidR="005A7551" w:rsidRPr="001F6026">
        <w:rPr>
          <w:rFonts w:ascii="Times New Roman" w:eastAsia="Times New Roman" w:hAnsi="Times New Roman" w:cs="Times New Roman"/>
          <w:kern w:val="0"/>
          <w:sz w:val="24"/>
          <w:szCs w:val="24"/>
          <w:lang w:eastAsia="ro-MD"/>
          <w14:ligatures w14:val="none"/>
        </w:rPr>
        <w:t>e</w:t>
      </w:r>
      <w:r w:rsidR="00752C88" w:rsidRPr="001F6026">
        <w:t xml:space="preserve"> </w:t>
      </w:r>
      <w:r w:rsidR="00752C88" w:rsidRPr="001F6026">
        <w:rPr>
          <w:rFonts w:ascii="Times New Roman" w:eastAsia="Times New Roman" w:hAnsi="Times New Roman" w:cs="Times New Roman"/>
          <w:kern w:val="0"/>
          <w:sz w:val="24"/>
          <w:szCs w:val="24"/>
          <w:lang w:eastAsia="ro-MD"/>
          <w14:ligatures w14:val="none"/>
        </w:rPr>
        <w:t>și de autocertificare</w:t>
      </w:r>
      <w:r w:rsidRPr="001F6026">
        <w:rPr>
          <w:rFonts w:ascii="Times New Roman" w:eastAsia="Times New Roman" w:hAnsi="Times New Roman" w:cs="Times New Roman"/>
          <w:kern w:val="0"/>
          <w:sz w:val="24"/>
          <w:szCs w:val="24"/>
          <w:lang w:eastAsia="ro-MD"/>
          <w14:ligatures w14:val="none"/>
        </w:rPr>
        <w:t>:</w:t>
      </w:r>
    </w:p>
    <w:p w14:paraId="146AF3E3" w14:textId="0970DC60" w:rsidR="008466A7" w:rsidRPr="001F6026" w:rsidRDefault="008466A7" w:rsidP="00A41843">
      <w:pPr>
        <w:numPr>
          <w:ilvl w:val="0"/>
          <w:numId w:val="133"/>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kern w:val="0"/>
          <w:sz w:val="24"/>
          <w:szCs w:val="24"/>
          <w:lang w:eastAsia="ro-MD"/>
          <w14:ligatures w14:val="none"/>
        </w:rPr>
        <w:t>se bazează</w:t>
      </w:r>
      <w:r w:rsidRPr="001F6026">
        <w:rPr>
          <w:rFonts w:ascii="Times New Roman" w:eastAsia="Times New Roman" w:hAnsi="Times New Roman" w:cs="Times New Roman"/>
          <w:kern w:val="0"/>
          <w:sz w:val="24"/>
          <w:szCs w:val="24"/>
          <w:lang w:eastAsia="ro-MD"/>
          <w14:ligatures w14:val="none"/>
        </w:rPr>
        <w:t xml:space="preserve"> pe </w:t>
      </w:r>
      <w:r w:rsidRPr="001F6026">
        <w:rPr>
          <w:rFonts w:ascii="Times New Roman" w:eastAsia="Times New Roman" w:hAnsi="Times New Roman" w:cs="Times New Roman"/>
          <w:b/>
          <w:bCs/>
          <w:kern w:val="0"/>
          <w:sz w:val="24"/>
          <w:szCs w:val="24"/>
          <w:lang w:eastAsia="ro-MD"/>
          <w14:ligatures w14:val="none"/>
        </w:rPr>
        <w:t>10 criterii EQF</w:t>
      </w:r>
      <w:r w:rsidRPr="001F6026">
        <w:rPr>
          <w:rFonts w:ascii="Times New Roman" w:eastAsia="Times New Roman" w:hAnsi="Times New Roman" w:cs="Times New Roman"/>
          <w:kern w:val="0"/>
          <w:sz w:val="24"/>
          <w:szCs w:val="24"/>
          <w:lang w:eastAsia="ro-MD"/>
          <w14:ligatures w14:val="none"/>
        </w:rPr>
        <w:t xml:space="preserve"> și pe </w:t>
      </w:r>
      <w:r w:rsidRPr="001F6026">
        <w:rPr>
          <w:rFonts w:ascii="Times New Roman" w:eastAsia="Times New Roman" w:hAnsi="Times New Roman" w:cs="Times New Roman"/>
          <w:b/>
          <w:bCs/>
          <w:kern w:val="0"/>
          <w:sz w:val="24"/>
          <w:szCs w:val="24"/>
          <w:lang w:eastAsia="ro-MD"/>
          <w14:ligatures w14:val="none"/>
        </w:rPr>
        <w:t>7 criterii + 6 proceduri QF-</w:t>
      </w:r>
      <w:r w:rsidR="002513BE" w:rsidRPr="001F6026">
        <w:rPr>
          <w:rFonts w:ascii="Times New Roman" w:eastAsia="Times New Roman" w:hAnsi="Times New Roman" w:cs="Times New Roman"/>
          <w:b/>
          <w:bCs/>
          <w:kern w:val="0"/>
          <w:sz w:val="24"/>
          <w:szCs w:val="24"/>
          <w:lang w:eastAsia="ro-MD"/>
          <w14:ligatures w14:val="none"/>
        </w:rPr>
        <w:t>EHEA</w:t>
      </w:r>
      <w:r w:rsidRPr="001F6026">
        <w:rPr>
          <w:rFonts w:ascii="Times New Roman" w:eastAsia="Times New Roman" w:hAnsi="Times New Roman" w:cs="Times New Roman"/>
          <w:kern w:val="0"/>
          <w:sz w:val="24"/>
          <w:szCs w:val="24"/>
          <w:lang w:eastAsia="ro-MD"/>
          <w14:ligatures w14:val="none"/>
        </w:rPr>
        <w:t>, care oferă cadrul de analiză și arhitectura de prezentare a dovezilor, asigurând comparabilitate europeană;</w:t>
      </w:r>
    </w:p>
    <w:p w14:paraId="661B0EC0" w14:textId="4120BBF1" w:rsidR="008466A7" w:rsidRPr="001F6026" w:rsidRDefault="008466A7" w:rsidP="00A41843">
      <w:pPr>
        <w:numPr>
          <w:ilvl w:val="0"/>
          <w:numId w:val="133"/>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kern w:val="0"/>
          <w:sz w:val="24"/>
          <w:szCs w:val="24"/>
          <w:lang w:eastAsia="ro-MD"/>
          <w14:ligatures w14:val="none"/>
        </w:rPr>
        <w:t>utilizează</w:t>
      </w:r>
      <w:r w:rsidRPr="001F6026">
        <w:rPr>
          <w:rFonts w:ascii="Times New Roman" w:eastAsia="Times New Roman" w:hAnsi="Times New Roman" w:cs="Times New Roman"/>
          <w:kern w:val="0"/>
          <w:sz w:val="24"/>
          <w:szCs w:val="24"/>
          <w:lang w:eastAsia="ro-MD"/>
          <w14:ligatures w14:val="none"/>
        </w:rPr>
        <w:t xml:space="preserve"> drept surse și instrumente </w:t>
      </w:r>
      <w:r w:rsidRPr="001F6026">
        <w:rPr>
          <w:rFonts w:ascii="Times New Roman" w:eastAsia="Times New Roman" w:hAnsi="Times New Roman" w:cs="Times New Roman"/>
          <w:b/>
          <w:bCs/>
          <w:kern w:val="0"/>
          <w:sz w:val="24"/>
          <w:szCs w:val="24"/>
          <w:lang w:eastAsia="ro-MD"/>
          <w14:ligatures w14:val="none"/>
        </w:rPr>
        <w:t>documente normative naționale</w:t>
      </w:r>
      <w:r w:rsidRPr="001F6026">
        <w:rPr>
          <w:rFonts w:ascii="Times New Roman" w:eastAsia="Times New Roman" w:hAnsi="Times New Roman" w:cs="Times New Roman"/>
          <w:kern w:val="0"/>
          <w:sz w:val="24"/>
          <w:szCs w:val="24"/>
          <w:lang w:eastAsia="ro-MD"/>
          <w14:ligatures w14:val="none"/>
        </w:rPr>
        <w:t xml:space="preserve"> (Codul educației</w:t>
      </w:r>
      <w:r w:rsidR="005A298E" w:rsidRPr="001F6026">
        <w:rPr>
          <w:rFonts w:ascii="Times New Roman" w:eastAsia="Times New Roman" w:hAnsi="Times New Roman" w:cs="Times New Roman"/>
          <w:kern w:val="0"/>
          <w:sz w:val="24"/>
          <w:szCs w:val="24"/>
          <w:lang w:eastAsia="ro-MD"/>
          <w14:ligatures w14:val="none"/>
        </w:rPr>
        <w:t xml:space="preserve"> nr. 152/2014</w:t>
      </w:r>
      <w:r w:rsidRPr="001F6026">
        <w:rPr>
          <w:rFonts w:ascii="Times New Roman" w:eastAsia="Times New Roman" w:hAnsi="Times New Roman" w:cs="Times New Roman"/>
          <w:kern w:val="0"/>
          <w:sz w:val="24"/>
          <w:szCs w:val="24"/>
          <w:lang w:eastAsia="ro-MD"/>
          <w14:ligatures w14:val="none"/>
        </w:rPr>
        <w:t>, HG nr. 330/2023 și anexele, HG nr. 616/2016, HG nr. 1199/2018</w:t>
      </w:r>
      <w:r w:rsidRPr="0020102C">
        <w:rPr>
          <w:rFonts w:ascii="Times New Roman" w:eastAsia="Times New Roman" w:hAnsi="Times New Roman" w:cs="Times New Roman"/>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 xml:space="preserve">ordine MEC/ANACEC, metodologii și ghiduri) și </w:t>
      </w:r>
      <w:r w:rsidRPr="001F6026">
        <w:rPr>
          <w:rFonts w:ascii="Times New Roman" w:eastAsia="Times New Roman" w:hAnsi="Times New Roman" w:cs="Times New Roman"/>
          <w:b/>
          <w:bCs/>
          <w:kern w:val="0"/>
          <w:sz w:val="24"/>
          <w:szCs w:val="24"/>
          <w:lang w:eastAsia="ro-MD"/>
          <w14:ligatures w14:val="none"/>
        </w:rPr>
        <w:t>infrastructuri instituționale</w:t>
      </w:r>
      <w:r w:rsidRPr="001F6026">
        <w:rPr>
          <w:rFonts w:ascii="Times New Roman" w:eastAsia="Times New Roman" w:hAnsi="Times New Roman" w:cs="Times New Roman"/>
          <w:kern w:val="0"/>
          <w:sz w:val="24"/>
          <w:szCs w:val="24"/>
          <w:lang w:eastAsia="ro-MD"/>
          <w14:ligatures w14:val="none"/>
        </w:rPr>
        <w:t xml:space="preserve"> (RNC, EMIS/</w:t>
      </w:r>
      <w:r w:rsidR="00B77FA5" w:rsidRPr="001F6026">
        <w:rPr>
          <w:rFonts w:ascii="Times New Roman" w:eastAsia="Times New Roman" w:hAnsi="Times New Roman" w:cs="Times New Roman"/>
          <w:kern w:val="0"/>
          <w:sz w:val="24"/>
          <w:szCs w:val="24"/>
          <w:lang w:eastAsia="ro-MD"/>
          <w14:ligatures w14:val="none"/>
        </w:rPr>
        <w:t>HEMIS</w:t>
      </w:r>
      <w:r w:rsidRPr="001F6026">
        <w:rPr>
          <w:rFonts w:ascii="Times New Roman" w:eastAsia="Times New Roman" w:hAnsi="Times New Roman" w:cs="Times New Roman"/>
          <w:kern w:val="0"/>
          <w:sz w:val="24"/>
          <w:szCs w:val="24"/>
          <w:lang w:eastAsia="ro-MD"/>
          <w14:ligatures w14:val="none"/>
        </w:rPr>
        <w:t>, proceduri de QA și evaluare externă, mecanisme digitale de trasabilitate a actelor de studii);</w:t>
      </w:r>
    </w:p>
    <w:p w14:paraId="3711B9F0" w14:textId="6AC42675" w:rsidR="008466A7" w:rsidRPr="001F6026" w:rsidRDefault="008466A7" w:rsidP="00A41843">
      <w:pPr>
        <w:numPr>
          <w:ilvl w:val="0"/>
          <w:numId w:val="133"/>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kern w:val="0"/>
          <w:sz w:val="24"/>
          <w:szCs w:val="24"/>
          <w:lang w:eastAsia="ro-MD"/>
          <w14:ligatures w14:val="none"/>
        </w:rPr>
        <w:t>implică toți actorii relevanți</w:t>
      </w:r>
      <w:r w:rsidRPr="001F6026">
        <w:rPr>
          <w:rFonts w:ascii="Times New Roman" w:eastAsia="Times New Roman" w:hAnsi="Times New Roman" w:cs="Times New Roman"/>
          <w:kern w:val="0"/>
          <w:sz w:val="24"/>
          <w:szCs w:val="24"/>
          <w:lang w:eastAsia="ro-MD"/>
          <w14:ligatures w14:val="none"/>
        </w:rPr>
        <w:t xml:space="preserve"> – autorități publice, furnizori de educație și formare, agenți economici și parteneri sociali, organizații internaționale și societatea civilă – într-un cadru clar de guvernanță și responsabilități;</w:t>
      </w:r>
    </w:p>
    <w:p w14:paraId="3E16EC07" w14:textId="38F2AE02" w:rsidR="008466A7" w:rsidRPr="001F6026" w:rsidRDefault="008466A7" w:rsidP="00A41843">
      <w:pPr>
        <w:numPr>
          <w:ilvl w:val="0"/>
          <w:numId w:val="133"/>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b/>
          <w:bCs/>
          <w:kern w:val="0"/>
          <w:sz w:val="24"/>
          <w:szCs w:val="24"/>
          <w:lang w:eastAsia="ro-MD"/>
          <w14:ligatures w14:val="none"/>
        </w:rPr>
        <w:t>este organizat</w:t>
      </w:r>
      <w:r w:rsidRPr="001F6026">
        <w:rPr>
          <w:rFonts w:ascii="Times New Roman" w:eastAsia="Times New Roman" w:hAnsi="Times New Roman" w:cs="Times New Roman"/>
          <w:kern w:val="0"/>
          <w:sz w:val="24"/>
          <w:szCs w:val="24"/>
          <w:lang w:eastAsia="ro-MD"/>
          <w14:ligatures w14:val="none"/>
        </w:rPr>
        <w:t xml:space="preserve"> ca un </w:t>
      </w:r>
      <w:r w:rsidRPr="001F6026">
        <w:rPr>
          <w:rFonts w:ascii="Times New Roman" w:eastAsia="Times New Roman" w:hAnsi="Times New Roman" w:cs="Times New Roman"/>
          <w:b/>
          <w:bCs/>
          <w:kern w:val="0"/>
          <w:sz w:val="24"/>
          <w:szCs w:val="24"/>
          <w:lang w:eastAsia="ro-MD"/>
          <w14:ligatures w14:val="none"/>
        </w:rPr>
        <w:t>proces participativ, transparent și documentat</w:t>
      </w:r>
      <w:r w:rsidRPr="001F6026">
        <w:rPr>
          <w:rFonts w:ascii="Times New Roman" w:eastAsia="Times New Roman" w:hAnsi="Times New Roman" w:cs="Times New Roman"/>
          <w:kern w:val="0"/>
          <w:sz w:val="24"/>
          <w:szCs w:val="24"/>
          <w:lang w:eastAsia="ro-MD"/>
          <w14:ligatures w14:val="none"/>
        </w:rPr>
        <w:t>, cu consultări largi, minute și materiale de lucru publicate, precum și cu publicarea raportului final și a anexelor tehnice (dovezi, tabele de corelare, liste de calificări exemplificative).</w:t>
      </w:r>
    </w:p>
    <w:p w14:paraId="675DFCEA" w14:textId="6C6BC026" w:rsidR="003258DD" w:rsidRPr="001F6026" w:rsidRDefault="00873A56" w:rsidP="0027312A">
      <w:pPr>
        <w:pStyle w:val="af8"/>
        <w:spacing w:before="120" w:beforeAutospacing="0" w:after="120" w:afterAutospacing="0" w:line="276" w:lineRule="auto"/>
        <w:jc w:val="both"/>
      </w:pPr>
      <w:r w:rsidRPr="001F6026">
        <w:lastRenderedPageBreak/>
        <w:t xml:space="preserve">Metodologia de elaborare a </w:t>
      </w:r>
      <w:r w:rsidR="00E84D45" w:rsidRPr="001F6026">
        <w:t>R</w:t>
      </w:r>
      <w:r w:rsidRPr="001F6026">
        <w:t xml:space="preserve">aportului </w:t>
      </w:r>
      <w:r w:rsidR="005E0E28" w:rsidRPr="001F6026">
        <w:t xml:space="preserve">are o dublă ancorare, având </w:t>
      </w:r>
      <w:r w:rsidR="00907F3D" w:rsidRPr="001F6026">
        <w:t>c</w:t>
      </w:r>
      <w:r w:rsidR="005E0E28" w:rsidRPr="001F6026">
        <w:t xml:space="preserve">a </w:t>
      </w:r>
      <w:r w:rsidR="00907F3D" w:rsidRPr="001F6026">
        <w:t xml:space="preserve">bază </w:t>
      </w:r>
      <w:r w:rsidRPr="001F6026">
        <w:t xml:space="preserve">un cadru normativ și procedural european și național, care garantează coerența procesului și comparabilitatea rezultatelor cu practicile altor state. </w:t>
      </w:r>
    </w:p>
    <w:p w14:paraId="52E9A87A" w14:textId="4B76A77B" w:rsidR="00873A56" w:rsidRPr="001F6026" w:rsidRDefault="00873A56" w:rsidP="0027312A">
      <w:pPr>
        <w:pStyle w:val="af8"/>
        <w:spacing w:before="120" w:beforeAutospacing="0" w:after="120" w:afterAutospacing="0" w:line="276" w:lineRule="auto"/>
        <w:jc w:val="both"/>
      </w:pPr>
      <w:r w:rsidRPr="001F6026">
        <w:rPr>
          <w:b/>
          <w:bCs/>
        </w:rPr>
        <w:t>La nivel european</w:t>
      </w:r>
      <w:r w:rsidRPr="001F6026">
        <w:t>, punctele de referință sunt Recomandarea Consiliului Uniunii Europene din 22 mai 2017 privind Cadrul European al Calificărilor (EQF), criteriile și procedurile de referențiere stabilite de Grupul consultativ EQF (2009/2017), precum și criteriile și procedurile de autocertificare a cadrelor naționale la Cadrul Calificărilor din Spațiul European al Învățământului Superior (QF-</w:t>
      </w:r>
      <w:r w:rsidR="002513BE" w:rsidRPr="001F6026">
        <w:t>EHEA</w:t>
      </w:r>
      <w:r w:rsidRPr="001F6026">
        <w:t>), aprobate în cadrul Conferinței miniștrilor de la Bergen (2005) și dezvoltate ulterior la Londra (2007) și Leuven (2009). În acest context</w:t>
      </w:r>
      <w:r w:rsidRPr="001F6026">
        <w:rPr>
          <w:b/>
          <w:bCs/>
        </w:rPr>
        <w:t xml:space="preserve">, </w:t>
      </w:r>
      <w:r w:rsidRPr="001F6026">
        <w:rPr>
          <w:rStyle w:val="af9"/>
          <w:rFonts w:eastAsiaTheme="majorEastAsia"/>
          <w:b w:val="0"/>
          <w:bCs w:val="0"/>
        </w:rPr>
        <w:t>Descri</w:t>
      </w:r>
      <w:r w:rsidR="00E20608">
        <w:rPr>
          <w:rStyle w:val="af9"/>
          <w:rFonts w:eastAsiaTheme="majorEastAsia"/>
          <w:b w:val="0"/>
          <w:bCs w:val="0"/>
        </w:rPr>
        <w:t>p</w:t>
      </w:r>
      <w:r w:rsidRPr="001F6026">
        <w:rPr>
          <w:rStyle w:val="af9"/>
          <w:rFonts w:eastAsiaTheme="majorEastAsia"/>
          <w:b w:val="0"/>
          <w:bCs w:val="0"/>
        </w:rPr>
        <w:t>torii de la Dublin (Dublin Descriptors</w:t>
      </w:r>
      <w:r w:rsidRPr="001F6026">
        <w:rPr>
          <w:rFonts w:eastAsiaTheme="majorEastAsia"/>
        </w:rPr>
        <w:t>)</w:t>
      </w:r>
      <w:r w:rsidRPr="001F6026">
        <w:t xml:space="preserve"> constituie punctul de reper esențial pentru definirea ciclurilor Bologna (licență, master, doctorat) și pentru asigurarea compatibilității CNC cu QF-</w:t>
      </w:r>
      <w:r w:rsidR="002513BE" w:rsidRPr="001F6026">
        <w:t>EHEA</w:t>
      </w:r>
      <w:r w:rsidRPr="001F6026">
        <w:t xml:space="preserve">. De asemenea, </w:t>
      </w:r>
      <w:r w:rsidRPr="001F6026">
        <w:rPr>
          <w:rFonts w:eastAsiaTheme="majorEastAsia"/>
        </w:rPr>
        <w:t xml:space="preserve">Standards and Guidelines for Quality Assurance in </w:t>
      </w:r>
      <w:r w:rsidR="001846AE" w:rsidRPr="001F6026">
        <w:rPr>
          <w:rFonts w:eastAsiaTheme="majorEastAsia"/>
        </w:rPr>
        <w:t>the</w:t>
      </w:r>
      <w:r w:rsidRPr="001F6026">
        <w:rPr>
          <w:rFonts w:eastAsiaTheme="majorEastAsia"/>
        </w:rPr>
        <w:t xml:space="preserve"> European </w:t>
      </w:r>
      <w:r w:rsidR="00246852" w:rsidRPr="001F6026">
        <w:rPr>
          <w:rFonts w:eastAsiaTheme="majorEastAsia"/>
        </w:rPr>
        <w:t>Higher</w:t>
      </w:r>
      <w:r w:rsidRPr="001F6026">
        <w:rPr>
          <w:rFonts w:eastAsiaTheme="majorEastAsia"/>
        </w:rPr>
        <w:t xml:space="preserve"> Education Area (ESG)</w:t>
      </w:r>
      <w:r w:rsidRPr="001F6026">
        <w:t xml:space="preserve"> și recomandările rețelei</w:t>
      </w:r>
      <w:r w:rsidRPr="001F6026">
        <w:rPr>
          <w:b/>
          <w:bCs/>
        </w:rPr>
        <w:t xml:space="preserve"> </w:t>
      </w:r>
      <w:r w:rsidR="00BB2A74" w:rsidRPr="001F6026">
        <w:rPr>
          <w:rStyle w:val="af9"/>
          <w:rFonts w:eastAsiaTheme="majorEastAsia"/>
          <w:b w:val="0"/>
          <w:bCs w:val="0"/>
        </w:rPr>
        <w:t>EQAVET</w:t>
      </w:r>
      <w:r w:rsidRPr="001F6026">
        <w:t xml:space="preserve"> oferă fundamentul metodologic pentru integrarea principiilor europene de asigurare a calității în procesul de evaluare.</w:t>
      </w:r>
    </w:p>
    <w:p w14:paraId="68F135FF" w14:textId="0D09140D" w:rsidR="00873A56" w:rsidRPr="001F6026" w:rsidRDefault="00873A56" w:rsidP="00552D77">
      <w:pPr>
        <w:pStyle w:val="af8"/>
        <w:spacing w:before="120" w:beforeAutospacing="0" w:after="120" w:afterAutospacing="0" w:line="276" w:lineRule="auto"/>
        <w:jc w:val="both"/>
      </w:pPr>
      <w:r w:rsidRPr="001F6026">
        <w:rPr>
          <w:b/>
          <w:bCs/>
        </w:rPr>
        <w:t>La nivel național</w:t>
      </w:r>
      <w:r w:rsidRPr="001F6026">
        <w:t xml:space="preserve">, baza metodologică este ancorată în Codul educației nr. 152/2014 </w:t>
      </w:r>
      <w:r w:rsidRPr="0020102C">
        <w:t xml:space="preserve">, în Hotărârea Guvernului nr. 330/2023 privind aprobarea CNC (cu anexele și Foaia de parcurs 2023–2027) și în Hotărârea Guvernului nr. 1199/2018 privind Registrul Național al Calificărilor. </w:t>
      </w:r>
      <w:r w:rsidRPr="001F6026">
        <w:t xml:space="preserve">Acestea sunt completate de reglementările și metodologiile adoptate de ANACEC pentru evaluarea externă </w:t>
      </w:r>
      <w:r w:rsidR="009602F8">
        <w:t>a calității</w:t>
      </w:r>
      <w:r w:rsidRPr="001F6026">
        <w:t>, precum și de ordinele MEC (nr. 885/2022, nr. 1175/2023, nr. 1020/2023, nr. 609/2017 ș.a.) care instituie proceduri concrete privind recunoașterea rezultatelor învățării, aplicarea ECTS și asigurarea calității la nivel instituțional și sectorial</w:t>
      </w:r>
      <w:r w:rsidR="00A37508" w:rsidRPr="001F6026">
        <w:t xml:space="preserve">, și, mai ales, </w:t>
      </w:r>
      <w:r w:rsidR="00A37508" w:rsidRPr="001F6026">
        <w:rPr>
          <w:rStyle w:val="af9"/>
          <w:rFonts w:eastAsiaTheme="majorEastAsia"/>
          <w:b w:val="0"/>
          <w:bCs w:val="0"/>
        </w:rPr>
        <w:t>Strategia „Educația 2030”</w:t>
      </w:r>
      <w:r w:rsidR="00A37508" w:rsidRPr="001F6026">
        <w:rPr>
          <w:b/>
          <w:bCs/>
        </w:rPr>
        <w:t>,</w:t>
      </w:r>
      <w:r w:rsidR="00A37508" w:rsidRPr="001F6026">
        <w:t xml:space="preserve"> care trasează direcțiile prioritare de acțiune privind racordarea calificărilor la piața muncii.</w:t>
      </w:r>
    </w:p>
    <w:p w14:paraId="2FBAFCD1" w14:textId="02A98E30" w:rsidR="00DC11EB" w:rsidRDefault="001538FE" w:rsidP="00552D77">
      <w:pPr>
        <w:spacing w:before="120" w:after="120" w:line="276" w:lineRule="auto"/>
        <w:jc w:val="both"/>
        <w:outlineLvl w:val="2"/>
        <w:rPr>
          <w:rFonts w:ascii="Times New Roman" w:hAnsi="Times New Roman" w:cs="Times New Roman"/>
          <w:sz w:val="24"/>
          <w:szCs w:val="24"/>
        </w:rPr>
      </w:pPr>
      <w:r w:rsidRPr="001F6026">
        <w:rPr>
          <w:rFonts w:ascii="Times New Roman" w:hAnsi="Times New Roman" w:cs="Times New Roman"/>
          <w:sz w:val="24"/>
          <w:szCs w:val="24"/>
        </w:rPr>
        <w:t>Astfel, p</w:t>
      </w:r>
      <w:r w:rsidR="00DC11EB" w:rsidRPr="001F6026">
        <w:rPr>
          <w:rFonts w:ascii="Times New Roman" w:hAnsi="Times New Roman" w:cs="Times New Roman"/>
          <w:sz w:val="24"/>
          <w:szCs w:val="24"/>
        </w:rPr>
        <w:t>rocesul de referențiere și autocertificare se bazează pe un set de documente europene și naționale, care stabilesc principiile, criteriile și procedurile obligatorii. Tabelul de mai jos sintetizează principalele documente de referință utilizate și relevanța acestora pentru raportul de referențiere</w:t>
      </w:r>
      <w:r w:rsidR="000C2AFE" w:rsidRPr="001F6026">
        <w:rPr>
          <w:rFonts w:ascii="Times New Roman" w:hAnsi="Times New Roman" w:cs="Times New Roman"/>
          <w:sz w:val="24"/>
          <w:szCs w:val="24"/>
        </w:rPr>
        <w:t>.</w:t>
      </w:r>
    </w:p>
    <w:p w14:paraId="52A8F6E4" w14:textId="52FE37E9" w:rsidR="008D16F6" w:rsidRDefault="008D16F6" w:rsidP="008D16F6">
      <w:pPr>
        <w:spacing w:before="120" w:after="120" w:line="276" w:lineRule="auto"/>
        <w:jc w:val="both"/>
        <w:outlineLvl w:val="2"/>
        <w:rPr>
          <w:rFonts w:ascii="Times New Roman" w:hAnsi="Times New Roman" w:cs="Times New Roman"/>
          <w:b/>
          <w:bCs/>
          <w:sz w:val="24"/>
          <w:szCs w:val="24"/>
          <w:lang w:val="ro-MD"/>
        </w:rPr>
      </w:pPr>
      <w:r w:rsidRPr="008D16F6">
        <w:rPr>
          <w:rFonts w:ascii="Times New Roman" w:hAnsi="Times New Roman" w:cs="Times New Roman"/>
          <w:b/>
          <w:bCs/>
          <w:sz w:val="24"/>
          <w:szCs w:val="24"/>
          <w:lang w:val="ro-MD"/>
        </w:rPr>
        <w:t>Documente de referință pentru raportul de referențiere CNC</w:t>
      </w:r>
      <w:r w:rsidR="003B2375">
        <w:rPr>
          <w:rFonts w:ascii="Times New Roman" w:hAnsi="Times New Roman" w:cs="Times New Roman"/>
          <w:b/>
          <w:bCs/>
          <w:sz w:val="24"/>
          <w:szCs w:val="24"/>
          <w:lang w:val="ro-MD"/>
        </w:rPr>
        <w:t>-</w:t>
      </w:r>
      <w:r w:rsidRPr="008D16F6">
        <w:rPr>
          <w:rFonts w:ascii="Times New Roman" w:hAnsi="Times New Roman" w:cs="Times New Roman"/>
          <w:b/>
          <w:bCs/>
          <w:sz w:val="24"/>
          <w:szCs w:val="24"/>
          <w:lang w:val="ro-MD"/>
        </w:rPr>
        <w:t>EQF și autocertificare QF-EHEA</w:t>
      </w:r>
    </w:p>
    <w:tbl>
      <w:tblPr>
        <w:tblStyle w:val="aff"/>
        <w:tblW w:w="10343" w:type="dxa"/>
        <w:tblLook w:val="04A0" w:firstRow="1" w:lastRow="0" w:firstColumn="1" w:lastColumn="0" w:noHBand="0" w:noVBand="1"/>
      </w:tblPr>
      <w:tblGrid>
        <w:gridCol w:w="562"/>
        <w:gridCol w:w="2977"/>
        <w:gridCol w:w="2394"/>
        <w:gridCol w:w="4410"/>
      </w:tblGrid>
      <w:tr w:rsidR="003B2375" w:rsidRPr="00D35803" w14:paraId="37E204A4" w14:textId="77777777" w:rsidTr="00C5520C">
        <w:tc>
          <w:tcPr>
            <w:tcW w:w="562" w:type="dxa"/>
            <w:shd w:val="clear" w:color="auto" w:fill="A9D5E7" w:themeFill="accent1" w:themeFillTint="66"/>
          </w:tcPr>
          <w:p w14:paraId="6673326A" w14:textId="77777777" w:rsidR="003B2375" w:rsidRPr="00D35803" w:rsidRDefault="003B2375" w:rsidP="00D35803">
            <w:pPr>
              <w:jc w:val="center"/>
              <w:outlineLvl w:val="2"/>
              <w:rPr>
                <w:rFonts w:ascii="Times New Roman" w:hAnsi="Times New Roman" w:cs="Times New Roman"/>
                <w:b/>
                <w:bCs/>
                <w:sz w:val="20"/>
                <w:szCs w:val="20"/>
                <w:lang w:val="ro-MD"/>
              </w:rPr>
            </w:pPr>
          </w:p>
        </w:tc>
        <w:tc>
          <w:tcPr>
            <w:tcW w:w="2977" w:type="dxa"/>
            <w:shd w:val="clear" w:color="auto" w:fill="A9D5E7" w:themeFill="accent1" w:themeFillTint="66"/>
            <w:vAlign w:val="center"/>
          </w:tcPr>
          <w:p w14:paraId="36DBF705" w14:textId="0C1D9895" w:rsidR="003B2375" w:rsidRPr="00D35803" w:rsidRDefault="003B2375"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Nivel european</w:t>
            </w:r>
          </w:p>
        </w:tc>
        <w:tc>
          <w:tcPr>
            <w:tcW w:w="2394" w:type="dxa"/>
            <w:shd w:val="clear" w:color="auto" w:fill="A9D5E7" w:themeFill="accent1" w:themeFillTint="66"/>
            <w:vAlign w:val="center"/>
          </w:tcPr>
          <w:p w14:paraId="2FA05362" w14:textId="543EBE8A" w:rsidR="003B2375" w:rsidRPr="00D35803" w:rsidRDefault="003B2375"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 xml:space="preserve">Nivel național </w:t>
            </w:r>
          </w:p>
        </w:tc>
        <w:tc>
          <w:tcPr>
            <w:tcW w:w="4410" w:type="dxa"/>
            <w:shd w:val="clear" w:color="auto" w:fill="A9D5E7" w:themeFill="accent1" w:themeFillTint="66"/>
            <w:vAlign w:val="center"/>
          </w:tcPr>
          <w:p w14:paraId="34ABA4E7" w14:textId="0BC623FB" w:rsidR="003B2375" w:rsidRPr="00D35803" w:rsidRDefault="003B2375"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 xml:space="preserve">Relevanță pentru </w:t>
            </w:r>
            <w:r w:rsidR="007F6BF5" w:rsidRPr="00D35803">
              <w:rPr>
                <w:rFonts w:ascii="Times New Roman" w:hAnsi="Times New Roman" w:cs="Times New Roman"/>
                <w:b/>
                <w:bCs/>
                <w:sz w:val="20"/>
                <w:szCs w:val="20"/>
                <w:lang w:val="ro-MD"/>
              </w:rPr>
              <w:t>R</w:t>
            </w:r>
            <w:r w:rsidRPr="00D35803">
              <w:rPr>
                <w:rFonts w:ascii="Times New Roman" w:hAnsi="Times New Roman" w:cs="Times New Roman"/>
                <w:b/>
                <w:bCs/>
                <w:sz w:val="20"/>
                <w:szCs w:val="20"/>
                <w:lang w:val="ro-MD"/>
              </w:rPr>
              <w:t xml:space="preserve">aport </w:t>
            </w:r>
          </w:p>
        </w:tc>
      </w:tr>
      <w:tr w:rsidR="00DA768F" w:rsidRPr="00D35803" w14:paraId="7119388D" w14:textId="77777777" w:rsidTr="00C5520C">
        <w:tc>
          <w:tcPr>
            <w:tcW w:w="10343" w:type="dxa"/>
            <w:gridSpan w:val="4"/>
            <w:shd w:val="clear" w:color="auto" w:fill="D4EAF3" w:themeFill="accent1" w:themeFillTint="33"/>
          </w:tcPr>
          <w:p w14:paraId="6099387F" w14:textId="55494B03" w:rsidR="00DA768F" w:rsidRPr="00D35803" w:rsidRDefault="00DA768F"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Strategie, metodologie, structură</w:t>
            </w:r>
            <w:r w:rsidR="003E7182" w:rsidRPr="00D35803">
              <w:rPr>
                <w:rFonts w:ascii="Times New Roman" w:hAnsi="Times New Roman" w:cs="Times New Roman"/>
                <w:b/>
                <w:bCs/>
                <w:sz w:val="20"/>
                <w:szCs w:val="20"/>
                <w:lang w:val="ro-MD"/>
              </w:rPr>
              <w:t xml:space="preserve"> </w:t>
            </w:r>
            <w:r w:rsidR="00B41363" w:rsidRPr="00D35803">
              <w:rPr>
                <w:rFonts w:ascii="Times New Roman" w:hAnsi="Times New Roman" w:cs="Times New Roman"/>
                <w:b/>
                <w:bCs/>
                <w:sz w:val="20"/>
                <w:szCs w:val="20"/>
                <w:lang w:val="ro-MD"/>
              </w:rPr>
              <w:t>CNC - EQF</w:t>
            </w:r>
          </w:p>
        </w:tc>
      </w:tr>
      <w:tr w:rsidR="003B2375" w:rsidRPr="00D35803" w14:paraId="4630C9C4" w14:textId="77777777" w:rsidTr="00C5520C">
        <w:tc>
          <w:tcPr>
            <w:tcW w:w="562" w:type="dxa"/>
          </w:tcPr>
          <w:p w14:paraId="5D51682B" w14:textId="5D65CE43" w:rsidR="003B2375" w:rsidRPr="00D35803" w:rsidRDefault="003B2375"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74D8CF6E" w14:textId="3C72E629" w:rsidR="003B2375"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Recomandarea Consiliului UE din 22 mai 2017 privind Cadrul European al Calificărilor (EQF)</w:t>
            </w:r>
            <w:r w:rsidR="00C21E4A" w:rsidRPr="00D35803">
              <w:rPr>
                <w:rFonts w:ascii="Times New Roman" w:hAnsi="Times New Roman" w:cs="Times New Roman"/>
                <w:sz w:val="20"/>
                <w:szCs w:val="20"/>
                <w:lang w:val="ro-MD"/>
              </w:rPr>
              <w:t xml:space="preserve"> (</w:t>
            </w:r>
            <w:hyperlink r:id="rId26" w:history="1">
              <w:r w:rsidR="00C21E4A" w:rsidRPr="00D35803">
                <w:rPr>
                  <w:rStyle w:val="aff0"/>
                  <w:rFonts w:ascii="Times New Roman" w:hAnsi="Times New Roman" w:cs="Times New Roman"/>
                  <w:sz w:val="20"/>
                  <w:szCs w:val="20"/>
                  <w:lang w:val="ro-MD"/>
                </w:rPr>
                <w:t>link</w:t>
              </w:r>
            </w:hyperlink>
            <w:r w:rsidR="00C21E4A" w:rsidRPr="00D35803">
              <w:rPr>
                <w:rFonts w:ascii="Times New Roman" w:hAnsi="Times New Roman" w:cs="Times New Roman"/>
                <w:sz w:val="20"/>
                <w:szCs w:val="20"/>
                <w:lang w:val="ro-MD"/>
              </w:rPr>
              <w:t>)</w:t>
            </w:r>
          </w:p>
        </w:tc>
        <w:tc>
          <w:tcPr>
            <w:tcW w:w="2394" w:type="dxa"/>
            <w:vAlign w:val="center"/>
          </w:tcPr>
          <w:p w14:paraId="3C9AB695" w14:textId="0111F37B" w:rsidR="003B2375"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Codul educației al Republicii Moldova nr. 152/2014 </w:t>
            </w:r>
            <w:r w:rsidR="0090272B" w:rsidRPr="00D35803">
              <w:rPr>
                <w:rFonts w:ascii="Times New Roman" w:hAnsi="Times New Roman" w:cs="Times New Roman"/>
                <w:sz w:val="20"/>
                <w:szCs w:val="20"/>
                <w:lang w:val="ro-MD"/>
              </w:rPr>
              <w:t>(</w:t>
            </w:r>
            <w:hyperlink r:id="rId27" w:history="1">
              <w:r w:rsidR="0090272B" w:rsidRPr="00D35803">
                <w:rPr>
                  <w:rStyle w:val="aff0"/>
                  <w:rFonts w:ascii="Times New Roman" w:hAnsi="Times New Roman" w:cs="Times New Roman"/>
                  <w:sz w:val="20"/>
                  <w:szCs w:val="20"/>
                  <w:lang w:val="ro-MD"/>
                </w:rPr>
                <w:t>link</w:t>
              </w:r>
            </w:hyperlink>
            <w:r w:rsidR="0090272B" w:rsidRPr="00D35803">
              <w:rPr>
                <w:rFonts w:ascii="Times New Roman" w:hAnsi="Times New Roman" w:cs="Times New Roman"/>
                <w:sz w:val="20"/>
                <w:szCs w:val="20"/>
                <w:lang w:val="ro-MD"/>
              </w:rPr>
              <w:t>)</w:t>
            </w:r>
          </w:p>
        </w:tc>
        <w:tc>
          <w:tcPr>
            <w:tcW w:w="4410" w:type="dxa"/>
            <w:vAlign w:val="center"/>
          </w:tcPr>
          <w:p w14:paraId="4818C108" w14:textId="77777777" w:rsidR="00CA22E0"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Definește scopul și principiile EQF, oferind cadrul comun de referință pentru alinierea cadrelor naționale la EQF. </w:t>
            </w:r>
          </w:p>
          <w:p w14:paraId="165B4347" w14:textId="319F51FA" w:rsidR="003B2375" w:rsidRPr="00D35803" w:rsidRDefault="003B2375" w:rsidP="00D35803">
            <w:pPr>
              <w:jc w:val="both"/>
              <w:outlineLvl w:val="2"/>
              <w:rPr>
                <w:rFonts w:ascii="Times New Roman" w:hAnsi="Times New Roman" w:cs="Times New Roman"/>
                <w:b/>
                <w:bCs/>
                <w:sz w:val="20"/>
                <w:szCs w:val="20"/>
                <w:lang w:val="ro-MD"/>
              </w:rPr>
            </w:pPr>
            <w:r w:rsidRPr="00D35803">
              <w:rPr>
                <w:rFonts w:ascii="Times New Roman" w:hAnsi="Times New Roman" w:cs="Times New Roman"/>
                <w:sz w:val="20"/>
                <w:szCs w:val="20"/>
                <w:lang w:val="ro-MD"/>
              </w:rPr>
              <w:t>Codul educației stabilește cadrul legal general al CNC, al calității și al guvernanței sistemului educațional.</w:t>
            </w:r>
          </w:p>
        </w:tc>
      </w:tr>
      <w:tr w:rsidR="008B1AB8" w:rsidRPr="00D35803" w14:paraId="63F27277" w14:textId="77777777" w:rsidTr="00C5520C">
        <w:tc>
          <w:tcPr>
            <w:tcW w:w="562" w:type="dxa"/>
          </w:tcPr>
          <w:p w14:paraId="12BF8F5B" w14:textId="77777777" w:rsidR="008B1AB8" w:rsidRPr="00D35803" w:rsidRDefault="008B1AB8"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59EB493C" w14:textId="77777777" w:rsidR="008B1AB8" w:rsidRPr="00D35803" w:rsidRDefault="008B1AB8" w:rsidP="00D35803">
            <w:pPr>
              <w:jc w:val="both"/>
              <w:outlineLvl w:val="2"/>
              <w:rPr>
                <w:rFonts w:ascii="Times New Roman" w:hAnsi="Times New Roman" w:cs="Times New Roman"/>
                <w:sz w:val="20"/>
                <w:szCs w:val="20"/>
                <w:lang w:val="ro-MD"/>
              </w:rPr>
            </w:pPr>
          </w:p>
        </w:tc>
        <w:tc>
          <w:tcPr>
            <w:tcW w:w="2394" w:type="dxa"/>
            <w:vAlign w:val="center"/>
          </w:tcPr>
          <w:p w14:paraId="32655EF6" w14:textId="7E6D52DD" w:rsidR="008B1AB8" w:rsidRPr="00D35803" w:rsidRDefault="00CA249C"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Strategia de dezvoltare „Educația 2030”, aprobată prin HG nr. 114/2023 (</w:t>
            </w:r>
            <w:hyperlink r:id="rId28" w:history="1">
              <w:r w:rsidRPr="00D35803">
                <w:rPr>
                  <w:rStyle w:val="aff0"/>
                  <w:rFonts w:ascii="Times New Roman" w:hAnsi="Times New Roman" w:cs="Times New Roman"/>
                  <w:sz w:val="20"/>
                  <w:szCs w:val="20"/>
                  <w:lang w:val="ro-MD"/>
                </w:rPr>
                <w:t>link</w:t>
              </w:r>
            </w:hyperlink>
            <w:r w:rsidRPr="00D35803">
              <w:rPr>
                <w:rFonts w:ascii="Times New Roman" w:hAnsi="Times New Roman" w:cs="Times New Roman"/>
                <w:sz w:val="20"/>
                <w:szCs w:val="20"/>
                <w:lang w:val="ro-MD"/>
              </w:rPr>
              <w:t>)</w:t>
            </w:r>
          </w:p>
        </w:tc>
        <w:tc>
          <w:tcPr>
            <w:tcW w:w="4410" w:type="dxa"/>
            <w:vAlign w:val="center"/>
          </w:tcPr>
          <w:p w14:paraId="75F8C6E0" w14:textId="2DD2F5ED" w:rsidR="008B1AB8" w:rsidRPr="00D35803" w:rsidRDefault="00BB6C9C" w:rsidP="00D35803">
            <w:pPr>
              <w:jc w:val="both"/>
              <w:outlineLvl w:val="2"/>
              <w:rPr>
                <w:rFonts w:ascii="Times New Roman" w:eastAsia="Times New Roman" w:hAnsi="Times New Roman" w:cs="Times New Roman"/>
                <w:b/>
                <w:i/>
                <w:kern w:val="0"/>
                <w:sz w:val="20"/>
                <w:szCs w:val="20"/>
                <w14:ligatures w14:val="none"/>
              </w:rPr>
            </w:pPr>
            <w:r w:rsidRPr="00D35803">
              <w:rPr>
                <w:rFonts w:ascii="Times New Roman" w:hAnsi="Times New Roman" w:cs="Times New Roman"/>
                <w:sz w:val="20"/>
                <w:szCs w:val="20"/>
                <w:lang w:val="ro-MD"/>
              </w:rPr>
              <w:t>D</w:t>
            </w:r>
            <w:r w:rsidR="0006102C" w:rsidRPr="00D35803">
              <w:rPr>
                <w:rFonts w:ascii="Times New Roman" w:hAnsi="Times New Roman" w:cs="Times New Roman"/>
                <w:sz w:val="20"/>
                <w:szCs w:val="20"/>
                <w:lang w:val="ro-MD"/>
              </w:rPr>
              <w:t xml:space="preserve">efinește direcțiile strategice </w:t>
            </w:r>
            <w:r w:rsidR="00AE4921" w:rsidRPr="00D35803">
              <w:rPr>
                <w:rFonts w:ascii="Times New Roman" w:hAnsi="Times New Roman" w:cs="Times New Roman"/>
                <w:sz w:val="20"/>
                <w:szCs w:val="20"/>
                <w:lang w:val="ro-MD"/>
              </w:rPr>
              <w:t>de</w:t>
            </w:r>
            <w:r w:rsidR="00AE4921" w:rsidRPr="00D35803">
              <w:rPr>
                <w:rFonts w:ascii="Times New Roman" w:eastAsia="Times New Roman" w:hAnsi="Times New Roman" w:cs="Times New Roman"/>
                <w:kern w:val="0"/>
                <w:sz w:val="20"/>
                <w:szCs w:val="20"/>
                <w14:ligatures w14:val="none"/>
              </w:rPr>
              <w:t xml:space="preserve"> dezvoltare și operaționalizare a</w:t>
            </w:r>
            <w:r w:rsidR="00AE4921" w:rsidRPr="00D35803">
              <w:rPr>
                <w:rFonts w:ascii="Times New Roman" w:hAnsi="Times New Roman" w:cs="Times New Roman"/>
                <w:sz w:val="20"/>
                <w:szCs w:val="20"/>
                <w:lang w:val="ro-MD"/>
              </w:rPr>
              <w:t xml:space="preserve"> CNC, precum </w:t>
            </w:r>
            <w:r w:rsidR="0006102C" w:rsidRPr="00D35803">
              <w:rPr>
                <w:rFonts w:ascii="Times New Roman" w:hAnsi="Times New Roman" w:cs="Times New Roman"/>
                <w:sz w:val="20"/>
                <w:szCs w:val="20"/>
                <w:lang w:val="ro-MD"/>
              </w:rPr>
              <w:t xml:space="preserve">și rezultatele </w:t>
            </w:r>
            <w:r w:rsidRPr="00D35803">
              <w:rPr>
                <w:rFonts w:ascii="Times New Roman" w:hAnsi="Times New Roman" w:cs="Times New Roman"/>
                <w:sz w:val="20"/>
                <w:szCs w:val="20"/>
                <w:lang w:val="ro-MD"/>
              </w:rPr>
              <w:t>scontate</w:t>
            </w:r>
            <w:r w:rsidR="0006102C" w:rsidRPr="00D35803">
              <w:rPr>
                <w:rFonts w:ascii="Times New Roman" w:hAnsi="Times New Roman" w:cs="Times New Roman"/>
                <w:sz w:val="20"/>
                <w:szCs w:val="20"/>
                <w:lang w:val="ro-MD"/>
              </w:rPr>
              <w:t xml:space="preserve"> privind modernizarea calificărilor și convergența </w:t>
            </w:r>
            <w:r w:rsidR="00E12A8C" w:rsidRPr="00D35803">
              <w:rPr>
                <w:rFonts w:ascii="Times New Roman" w:hAnsi="Times New Roman" w:cs="Times New Roman"/>
                <w:sz w:val="20"/>
                <w:szCs w:val="20"/>
                <w:lang w:val="ro-MD"/>
              </w:rPr>
              <w:t xml:space="preserve">CNC </w:t>
            </w:r>
            <w:r w:rsidR="0006102C" w:rsidRPr="00D35803">
              <w:rPr>
                <w:rFonts w:ascii="Times New Roman" w:hAnsi="Times New Roman" w:cs="Times New Roman"/>
                <w:sz w:val="20"/>
                <w:szCs w:val="20"/>
                <w:lang w:val="ro-MD"/>
              </w:rPr>
              <w:t>cu EQF</w:t>
            </w:r>
            <w:r w:rsidR="000F1C3B" w:rsidRPr="00D35803">
              <w:rPr>
                <w:rFonts w:ascii="Times New Roman" w:hAnsi="Times New Roman" w:cs="Times New Roman"/>
                <w:sz w:val="20"/>
                <w:szCs w:val="20"/>
                <w:lang w:val="ro-MD"/>
              </w:rPr>
              <w:t xml:space="preserve"> (</w:t>
            </w:r>
            <w:r w:rsidR="0006102C" w:rsidRPr="00D35803">
              <w:rPr>
                <w:rFonts w:ascii="Times New Roman" w:eastAsia="Times New Roman" w:hAnsi="Times New Roman" w:cs="Times New Roman"/>
                <w:b/>
                <w:i/>
                <w:kern w:val="0"/>
                <w:sz w:val="20"/>
                <w:szCs w:val="20"/>
                <w14:ligatures w14:val="none"/>
              </w:rPr>
              <w:t>Obiectivul specific 1.2.</w:t>
            </w:r>
            <w:r w:rsidR="000F1C3B" w:rsidRPr="00D35803">
              <w:rPr>
                <w:rFonts w:ascii="Times New Roman" w:eastAsia="Times New Roman" w:hAnsi="Times New Roman" w:cs="Times New Roman"/>
                <w:b/>
                <w:i/>
                <w:kern w:val="0"/>
                <w:sz w:val="20"/>
                <w:szCs w:val="20"/>
                <w14:ligatures w14:val="none"/>
              </w:rPr>
              <w:t>)</w:t>
            </w:r>
            <w:r w:rsidR="0006102C" w:rsidRPr="00D35803">
              <w:rPr>
                <w:rFonts w:ascii="Times New Roman" w:eastAsia="Times New Roman" w:hAnsi="Times New Roman" w:cs="Times New Roman"/>
                <w:b/>
                <w:i/>
                <w:kern w:val="0"/>
                <w:sz w:val="20"/>
                <w:szCs w:val="20"/>
                <w14:ligatures w14:val="none"/>
              </w:rPr>
              <w:t xml:space="preserve"> </w:t>
            </w:r>
          </w:p>
        </w:tc>
      </w:tr>
      <w:tr w:rsidR="003B2375" w:rsidRPr="00D35803" w14:paraId="67E51873" w14:textId="77777777" w:rsidTr="00C5520C">
        <w:tc>
          <w:tcPr>
            <w:tcW w:w="562" w:type="dxa"/>
          </w:tcPr>
          <w:p w14:paraId="049BD366" w14:textId="77777777" w:rsidR="003B2375" w:rsidRPr="00D35803" w:rsidRDefault="003B2375"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43D20DE2" w14:textId="79CCC9C1" w:rsidR="0027144C" w:rsidRPr="00D35803" w:rsidRDefault="0027144C"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lang w:val="en-GB"/>
              </w:rPr>
              <w:t>Referencing National Qualifications Levels to the EQF</w:t>
            </w:r>
            <w:r w:rsidR="00A660F2" w:rsidRPr="00D35803">
              <w:rPr>
                <w:rFonts w:ascii="Times New Roman" w:hAnsi="Times New Roman" w:cs="Times New Roman"/>
                <w:sz w:val="20"/>
                <w:szCs w:val="20"/>
                <w:lang w:val="en-GB"/>
              </w:rPr>
              <w:t>, 2013 (</w:t>
            </w:r>
            <w:hyperlink r:id="rId29" w:history="1">
              <w:r w:rsidR="00A660F2" w:rsidRPr="00D35803">
                <w:rPr>
                  <w:rStyle w:val="aff0"/>
                  <w:rFonts w:ascii="Times New Roman" w:hAnsi="Times New Roman" w:cs="Times New Roman"/>
                  <w:sz w:val="20"/>
                  <w:szCs w:val="20"/>
                  <w:lang w:val="en-GB"/>
                </w:rPr>
                <w:t>link</w:t>
              </w:r>
            </w:hyperlink>
            <w:r w:rsidR="00A660F2" w:rsidRPr="00D35803">
              <w:rPr>
                <w:rFonts w:ascii="Times New Roman" w:hAnsi="Times New Roman" w:cs="Times New Roman"/>
                <w:sz w:val="20"/>
                <w:szCs w:val="20"/>
                <w:lang w:val="en-GB"/>
              </w:rPr>
              <w:t>)</w:t>
            </w:r>
          </w:p>
          <w:p w14:paraId="46A90276" w14:textId="77777777" w:rsidR="00E01D1C" w:rsidRPr="00D35803" w:rsidRDefault="003B2375"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lang w:val="en-GB"/>
              </w:rPr>
              <w:t xml:space="preserve">Criteria and Procedures for Referencing National Qualifications Levels to the EQF </w:t>
            </w:r>
            <w:r w:rsidR="00A35EB7" w:rsidRPr="00D35803">
              <w:rPr>
                <w:rFonts w:ascii="Times New Roman" w:hAnsi="Times New Roman" w:cs="Times New Roman"/>
                <w:sz w:val="20"/>
                <w:szCs w:val="20"/>
                <w:lang w:val="en-GB"/>
              </w:rPr>
              <w:t>(</w:t>
            </w:r>
            <w:hyperlink r:id="rId30" w:history="1">
              <w:r w:rsidR="00A35EB7" w:rsidRPr="00D35803">
                <w:rPr>
                  <w:rStyle w:val="aff0"/>
                  <w:rFonts w:ascii="Times New Roman" w:hAnsi="Times New Roman" w:cs="Times New Roman"/>
                  <w:sz w:val="20"/>
                  <w:szCs w:val="20"/>
                  <w:lang w:val="en-GB"/>
                </w:rPr>
                <w:t>link</w:t>
              </w:r>
            </w:hyperlink>
            <w:r w:rsidR="00A35EB7" w:rsidRPr="00D35803">
              <w:rPr>
                <w:rFonts w:ascii="Times New Roman" w:hAnsi="Times New Roman" w:cs="Times New Roman"/>
                <w:sz w:val="20"/>
                <w:szCs w:val="20"/>
                <w:lang w:val="en-GB"/>
              </w:rPr>
              <w:t>)</w:t>
            </w:r>
            <w:r w:rsidR="00277068" w:rsidRPr="00D35803">
              <w:rPr>
                <w:rFonts w:ascii="Times New Roman" w:hAnsi="Times New Roman" w:cs="Times New Roman"/>
                <w:sz w:val="20"/>
                <w:szCs w:val="20"/>
                <w:lang w:val="en-GB"/>
              </w:rPr>
              <w:t xml:space="preserve">; </w:t>
            </w:r>
          </w:p>
          <w:p w14:paraId="58B94F46" w14:textId="600F5126" w:rsidR="003B2375" w:rsidRPr="00D35803" w:rsidRDefault="0071155B"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lang w:val="en-GB"/>
              </w:rPr>
              <w:t xml:space="preserve">Referencing criteria, </w:t>
            </w:r>
            <w:r w:rsidR="00687517" w:rsidRPr="00D35803">
              <w:rPr>
                <w:rFonts w:ascii="Times New Roman" w:hAnsi="Times New Roman" w:cs="Times New Roman"/>
                <w:sz w:val="20"/>
                <w:szCs w:val="20"/>
                <w:lang w:val="en-GB"/>
              </w:rPr>
              <w:t xml:space="preserve">Department of VET and Qualifications, </w:t>
            </w:r>
            <w:proofErr w:type="spellStart"/>
            <w:r w:rsidR="00687517" w:rsidRPr="00D35803">
              <w:rPr>
                <w:rFonts w:ascii="Times New Roman" w:hAnsi="Times New Roman" w:cs="Times New Roman"/>
                <w:sz w:val="20"/>
                <w:szCs w:val="20"/>
                <w:lang w:val="en-GB"/>
              </w:rPr>
              <w:t>Cedefop</w:t>
            </w:r>
            <w:proofErr w:type="spellEnd"/>
            <w:r w:rsidR="00A35EB7" w:rsidRPr="00D35803">
              <w:rPr>
                <w:rFonts w:ascii="Times New Roman" w:hAnsi="Times New Roman" w:cs="Times New Roman"/>
                <w:sz w:val="20"/>
                <w:szCs w:val="20"/>
                <w:lang w:val="en-GB"/>
              </w:rPr>
              <w:t xml:space="preserve"> </w:t>
            </w:r>
            <w:r w:rsidR="00687517" w:rsidRPr="00D35803">
              <w:rPr>
                <w:rFonts w:ascii="Times New Roman" w:hAnsi="Times New Roman" w:cs="Times New Roman"/>
                <w:sz w:val="20"/>
                <w:szCs w:val="20"/>
                <w:lang w:val="en-GB"/>
              </w:rPr>
              <w:t>2024 (</w:t>
            </w:r>
            <w:hyperlink r:id="rId31" w:history="1">
              <w:r w:rsidR="00687517" w:rsidRPr="00D35803">
                <w:rPr>
                  <w:rStyle w:val="aff0"/>
                  <w:rFonts w:ascii="Times New Roman" w:hAnsi="Times New Roman" w:cs="Times New Roman"/>
                  <w:sz w:val="20"/>
                  <w:szCs w:val="20"/>
                  <w:lang w:val="en-GB"/>
                </w:rPr>
                <w:t>link</w:t>
              </w:r>
            </w:hyperlink>
            <w:r w:rsidR="00687517" w:rsidRPr="00D35803">
              <w:rPr>
                <w:rFonts w:ascii="Times New Roman" w:hAnsi="Times New Roman" w:cs="Times New Roman"/>
                <w:sz w:val="20"/>
                <w:szCs w:val="20"/>
                <w:lang w:val="en-GB"/>
              </w:rPr>
              <w:t>)</w:t>
            </w:r>
            <w:r w:rsidR="00494696" w:rsidRPr="00D35803">
              <w:rPr>
                <w:rFonts w:ascii="Times New Roman" w:hAnsi="Times New Roman" w:cs="Times New Roman"/>
                <w:sz w:val="20"/>
                <w:szCs w:val="20"/>
                <w:lang w:val="en-GB"/>
              </w:rPr>
              <w:t xml:space="preserve"> </w:t>
            </w:r>
          </w:p>
        </w:tc>
        <w:tc>
          <w:tcPr>
            <w:tcW w:w="2394" w:type="dxa"/>
            <w:vAlign w:val="center"/>
          </w:tcPr>
          <w:p w14:paraId="58231FEC" w14:textId="7F8BE3AB" w:rsidR="003B2375"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HG nr. 330/2023 privind Cadrul Național al Calificărilor</w:t>
            </w:r>
            <w:r w:rsidR="0001704A" w:rsidRPr="00D35803">
              <w:rPr>
                <w:rFonts w:ascii="Times New Roman" w:hAnsi="Times New Roman" w:cs="Times New Roman"/>
                <w:sz w:val="20"/>
                <w:szCs w:val="20"/>
                <w:lang w:val="ro-MD"/>
              </w:rPr>
              <w:t>, A</w:t>
            </w:r>
            <w:r w:rsidRPr="00D35803">
              <w:rPr>
                <w:rFonts w:ascii="Times New Roman" w:hAnsi="Times New Roman" w:cs="Times New Roman"/>
                <w:sz w:val="20"/>
                <w:szCs w:val="20"/>
                <w:lang w:val="ro-MD"/>
              </w:rPr>
              <w:t>nexele</w:t>
            </w:r>
            <w:r w:rsidR="0001704A" w:rsidRPr="00D35803">
              <w:rPr>
                <w:rFonts w:ascii="Times New Roman" w:hAnsi="Times New Roman" w:cs="Times New Roman"/>
                <w:sz w:val="20"/>
                <w:szCs w:val="20"/>
                <w:lang w:val="ro-MD"/>
              </w:rPr>
              <w:t>1,2,3</w:t>
            </w:r>
            <w:r w:rsidR="00563A29" w:rsidRPr="00D35803">
              <w:rPr>
                <w:rFonts w:ascii="Times New Roman" w:hAnsi="Times New Roman" w:cs="Times New Roman"/>
                <w:sz w:val="20"/>
                <w:szCs w:val="20"/>
                <w:lang w:val="ro-MD"/>
              </w:rPr>
              <w:t xml:space="preserve"> (</w:t>
            </w:r>
            <w:hyperlink r:id="rId32" w:history="1">
              <w:r w:rsidR="00FF584B" w:rsidRPr="00D35803">
                <w:rPr>
                  <w:rStyle w:val="aff0"/>
                  <w:rFonts w:ascii="Times New Roman" w:hAnsi="Times New Roman" w:cs="Times New Roman"/>
                  <w:sz w:val="20"/>
                  <w:szCs w:val="20"/>
                  <w:lang w:val="ro-MD"/>
                </w:rPr>
                <w:t>link</w:t>
              </w:r>
            </w:hyperlink>
            <w:r w:rsidR="00FF584B" w:rsidRPr="00D35803">
              <w:rPr>
                <w:rFonts w:ascii="Times New Roman" w:hAnsi="Times New Roman" w:cs="Times New Roman"/>
                <w:sz w:val="20"/>
                <w:szCs w:val="20"/>
                <w:lang w:val="ro-MD"/>
              </w:rPr>
              <w:t>)</w:t>
            </w:r>
          </w:p>
        </w:tc>
        <w:tc>
          <w:tcPr>
            <w:tcW w:w="4410" w:type="dxa"/>
            <w:vAlign w:val="center"/>
          </w:tcPr>
          <w:p w14:paraId="3813BAC1" w14:textId="77777777" w:rsidR="0034731E"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Oferă metodologia unitară de elaborare a rapoartelor naționale de referențiere la EQF. </w:t>
            </w:r>
          </w:p>
          <w:p w14:paraId="568C855D" w14:textId="17A88C1C" w:rsidR="003B2375" w:rsidRPr="00D35803" w:rsidRDefault="003B2375" w:rsidP="00D35803">
            <w:pPr>
              <w:jc w:val="both"/>
              <w:outlineLvl w:val="2"/>
              <w:rPr>
                <w:rFonts w:ascii="Times New Roman" w:hAnsi="Times New Roman" w:cs="Times New Roman"/>
                <w:b/>
                <w:bCs/>
                <w:sz w:val="20"/>
                <w:szCs w:val="20"/>
                <w:lang w:val="ro-MD"/>
              </w:rPr>
            </w:pPr>
            <w:r w:rsidRPr="00D35803">
              <w:rPr>
                <w:rFonts w:ascii="Times New Roman" w:hAnsi="Times New Roman" w:cs="Times New Roman"/>
                <w:sz w:val="20"/>
                <w:szCs w:val="20"/>
                <w:lang w:val="ro-MD"/>
              </w:rPr>
              <w:t>HG 330/2023 reglementează structura, nivelurile, mecanismele de guvernanță și asigurarea calității ale CNC.</w:t>
            </w:r>
          </w:p>
        </w:tc>
      </w:tr>
      <w:tr w:rsidR="00B41363" w:rsidRPr="00D35803" w14:paraId="028D35B6" w14:textId="77777777" w:rsidTr="00C5520C">
        <w:tc>
          <w:tcPr>
            <w:tcW w:w="10343" w:type="dxa"/>
            <w:gridSpan w:val="4"/>
            <w:shd w:val="clear" w:color="auto" w:fill="D4EAF3" w:themeFill="accent1" w:themeFillTint="33"/>
          </w:tcPr>
          <w:p w14:paraId="4EAA9E71" w14:textId="1DAC27B6" w:rsidR="00B41363" w:rsidRPr="00D35803" w:rsidRDefault="001A4542"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Standarde, metodologie</w:t>
            </w:r>
            <w:r w:rsidR="00C0579E" w:rsidRPr="00D35803">
              <w:rPr>
                <w:rFonts w:ascii="Times New Roman" w:hAnsi="Times New Roman" w:cs="Times New Roman"/>
                <w:b/>
                <w:bCs/>
                <w:sz w:val="20"/>
                <w:szCs w:val="20"/>
                <w:lang w:val="ro-MD"/>
              </w:rPr>
              <w:t>, structură CNC-QF-EHEA</w:t>
            </w:r>
          </w:p>
        </w:tc>
      </w:tr>
      <w:tr w:rsidR="003B2375" w:rsidRPr="00D35803" w14:paraId="03DD05A0" w14:textId="77777777" w:rsidTr="00C5520C">
        <w:tc>
          <w:tcPr>
            <w:tcW w:w="562" w:type="dxa"/>
          </w:tcPr>
          <w:p w14:paraId="11B6CDA1" w14:textId="77777777" w:rsidR="003B2375" w:rsidRPr="00D35803" w:rsidRDefault="003B2375"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5AE7E18C" w14:textId="7F2B31DC" w:rsidR="00223980" w:rsidRPr="00D35803" w:rsidRDefault="000A57E9" w:rsidP="00D35803">
            <w:pPr>
              <w:jc w:val="both"/>
              <w:outlineLvl w:val="2"/>
              <w:rPr>
                <w:rFonts w:ascii="Times New Roman" w:hAnsi="Times New Roman" w:cs="Times New Roman"/>
                <w:sz w:val="20"/>
                <w:szCs w:val="20"/>
                <w:shd w:val="clear" w:color="auto" w:fill="FFFFFF"/>
                <w:lang w:val="en-GB"/>
              </w:rPr>
            </w:pPr>
            <w:proofErr w:type="spellStart"/>
            <w:r w:rsidRPr="00D35803">
              <w:rPr>
                <w:rFonts w:ascii="Times New Roman" w:hAnsi="Times New Roman" w:cs="Times New Roman"/>
                <w:sz w:val="20"/>
                <w:szCs w:val="20"/>
                <w:shd w:val="clear" w:color="auto" w:fill="FFFFFF"/>
                <w:lang w:val="en-GB"/>
              </w:rPr>
              <w:t>Procesul</w:t>
            </w:r>
            <w:proofErr w:type="spellEnd"/>
            <w:r w:rsidRPr="00D35803">
              <w:rPr>
                <w:rFonts w:ascii="Times New Roman" w:hAnsi="Times New Roman" w:cs="Times New Roman"/>
                <w:sz w:val="20"/>
                <w:szCs w:val="20"/>
                <w:shd w:val="clear" w:color="auto" w:fill="FFFFFF"/>
                <w:lang w:val="en-GB"/>
              </w:rPr>
              <w:t xml:space="preserve"> de la Bologna: </w:t>
            </w:r>
            <w:proofErr w:type="spellStart"/>
            <w:r w:rsidRPr="00D35803">
              <w:rPr>
                <w:rFonts w:ascii="Times New Roman" w:hAnsi="Times New Roman" w:cs="Times New Roman"/>
                <w:sz w:val="20"/>
                <w:szCs w:val="20"/>
                <w:shd w:val="clear" w:color="auto" w:fill="FFFFFF"/>
                <w:lang w:val="en-GB"/>
              </w:rPr>
              <w:t>crearea</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Spațiului</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european</w:t>
            </w:r>
            <w:proofErr w:type="spellEnd"/>
            <w:r w:rsidRPr="00D35803">
              <w:rPr>
                <w:rFonts w:ascii="Times New Roman" w:hAnsi="Times New Roman" w:cs="Times New Roman"/>
                <w:sz w:val="20"/>
                <w:szCs w:val="20"/>
                <w:shd w:val="clear" w:color="auto" w:fill="FFFFFF"/>
                <w:lang w:val="en-GB"/>
              </w:rPr>
              <w:t xml:space="preserve"> al </w:t>
            </w:r>
            <w:proofErr w:type="spellStart"/>
            <w:r w:rsidRPr="00D35803">
              <w:rPr>
                <w:rFonts w:ascii="Times New Roman" w:hAnsi="Times New Roman" w:cs="Times New Roman"/>
                <w:sz w:val="20"/>
                <w:szCs w:val="20"/>
                <w:shd w:val="clear" w:color="auto" w:fill="FFFFFF"/>
                <w:lang w:val="en-GB"/>
              </w:rPr>
              <w:t>învățământului</w:t>
            </w:r>
            <w:proofErr w:type="spellEnd"/>
            <w:r w:rsidRPr="00D35803">
              <w:rPr>
                <w:rFonts w:ascii="Times New Roman" w:hAnsi="Times New Roman" w:cs="Times New Roman"/>
                <w:sz w:val="20"/>
                <w:szCs w:val="20"/>
                <w:shd w:val="clear" w:color="auto" w:fill="FFFFFF"/>
                <w:lang w:val="en-GB"/>
              </w:rPr>
              <w:t xml:space="preserve"> superior </w:t>
            </w:r>
            <w:r w:rsidR="00357AB2" w:rsidRPr="00D35803">
              <w:rPr>
                <w:rFonts w:ascii="Times New Roman" w:hAnsi="Times New Roman" w:cs="Times New Roman"/>
                <w:sz w:val="20"/>
                <w:szCs w:val="20"/>
                <w:shd w:val="clear" w:color="auto" w:fill="FFFFFF"/>
                <w:lang w:val="en-GB"/>
              </w:rPr>
              <w:t>(</w:t>
            </w:r>
            <w:hyperlink r:id="rId33" w:history="1">
              <w:r w:rsidR="00357AB2" w:rsidRPr="00D35803">
                <w:rPr>
                  <w:rStyle w:val="aff0"/>
                  <w:rFonts w:ascii="Times New Roman" w:hAnsi="Times New Roman" w:cs="Times New Roman"/>
                  <w:sz w:val="20"/>
                  <w:szCs w:val="20"/>
                  <w:shd w:val="clear" w:color="auto" w:fill="FFFFFF"/>
                  <w:lang w:val="en-GB"/>
                </w:rPr>
                <w:t>link</w:t>
              </w:r>
            </w:hyperlink>
            <w:r w:rsidR="00357AB2" w:rsidRPr="00D35803">
              <w:rPr>
                <w:rFonts w:ascii="Times New Roman" w:hAnsi="Times New Roman" w:cs="Times New Roman"/>
                <w:sz w:val="20"/>
                <w:szCs w:val="20"/>
                <w:shd w:val="clear" w:color="auto" w:fill="FFFFFF"/>
                <w:lang w:val="en-GB"/>
              </w:rPr>
              <w:t xml:space="preserve">) </w:t>
            </w:r>
          </w:p>
        </w:tc>
        <w:tc>
          <w:tcPr>
            <w:tcW w:w="2394" w:type="dxa"/>
            <w:vAlign w:val="center"/>
          </w:tcPr>
          <w:p w14:paraId="0CC495AC" w14:textId="2AC44501" w:rsidR="003B2375" w:rsidRPr="00D35803" w:rsidRDefault="00E04192"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Codul educației 1</w:t>
            </w:r>
            <w:r w:rsidR="00813C3A" w:rsidRPr="00D35803">
              <w:rPr>
                <w:rFonts w:ascii="Times New Roman" w:hAnsi="Times New Roman" w:cs="Times New Roman"/>
                <w:sz w:val="20"/>
                <w:szCs w:val="20"/>
                <w:lang w:val="ro-MD"/>
              </w:rPr>
              <w:t>5</w:t>
            </w:r>
            <w:r w:rsidRPr="00D35803">
              <w:rPr>
                <w:rFonts w:ascii="Times New Roman" w:hAnsi="Times New Roman" w:cs="Times New Roman"/>
                <w:sz w:val="20"/>
                <w:szCs w:val="20"/>
                <w:lang w:val="ro-MD"/>
              </w:rPr>
              <w:t>2/2014, Art. 2</w:t>
            </w:r>
            <w:r w:rsidR="0018553E" w:rsidRPr="00D35803">
              <w:rPr>
                <w:rFonts w:ascii="Times New Roman" w:hAnsi="Times New Roman" w:cs="Times New Roman"/>
                <w:sz w:val="20"/>
                <w:szCs w:val="20"/>
                <w:lang w:val="ro-MD"/>
              </w:rPr>
              <w:t xml:space="preserve"> (2)</w:t>
            </w:r>
          </w:p>
        </w:tc>
        <w:tc>
          <w:tcPr>
            <w:tcW w:w="4410" w:type="dxa"/>
            <w:vAlign w:val="center"/>
          </w:tcPr>
          <w:p w14:paraId="6D2D9AA4" w14:textId="73C9EC2F" w:rsidR="006B5FF5" w:rsidRPr="00D35803" w:rsidRDefault="006B2C8B" w:rsidP="00D35803">
            <w:pPr>
              <w:rPr>
                <w:rFonts w:ascii="Times New Roman" w:hAnsi="Times New Roman" w:cs="Times New Roman"/>
                <w:sz w:val="20"/>
                <w:szCs w:val="20"/>
                <w:shd w:val="clear" w:color="auto" w:fill="FFFFFF"/>
                <w:lang w:val="en-GB"/>
              </w:rPr>
            </w:pPr>
            <w:proofErr w:type="spellStart"/>
            <w:r w:rsidRPr="00D35803">
              <w:rPr>
                <w:rFonts w:ascii="Times New Roman" w:hAnsi="Times New Roman" w:cs="Times New Roman"/>
                <w:sz w:val="20"/>
                <w:szCs w:val="20"/>
                <w:shd w:val="clear" w:color="auto" w:fill="FFFFFF"/>
                <w:lang w:val="en-GB"/>
              </w:rPr>
              <w:t>Stabilesc</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cadrul</w:t>
            </w:r>
            <w:proofErr w:type="spellEnd"/>
            <w:r w:rsidRPr="00D35803">
              <w:rPr>
                <w:rFonts w:ascii="Times New Roman" w:hAnsi="Times New Roman" w:cs="Times New Roman"/>
                <w:sz w:val="20"/>
                <w:szCs w:val="20"/>
                <w:shd w:val="clear" w:color="auto" w:fill="FFFFFF"/>
                <w:lang w:val="en-GB"/>
              </w:rPr>
              <w:t xml:space="preserve"> politic </w:t>
            </w:r>
            <w:proofErr w:type="spellStart"/>
            <w:r w:rsidRPr="00D35803">
              <w:rPr>
                <w:rFonts w:ascii="Times New Roman" w:hAnsi="Times New Roman" w:cs="Times New Roman"/>
                <w:sz w:val="20"/>
                <w:szCs w:val="20"/>
                <w:shd w:val="clear" w:color="auto" w:fill="FFFFFF"/>
                <w:lang w:val="en-GB"/>
              </w:rPr>
              <w:t>internațional</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și</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temeiul</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juridic</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național</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pentru</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integrarea</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Republicii</w:t>
            </w:r>
            <w:proofErr w:type="spellEnd"/>
            <w:r w:rsidRPr="00D35803">
              <w:rPr>
                <w:rFonts w:ascii="Times New Roman" w:hAnsi="Times New Roman" w:cs="Times New Roman"/>
                <w:sz w:val="20"/>
                <w:szCs w:val="20"/>
                <w:shd w:val="clear" w:color="auto" w:fill="FFFFFF"/>
                <w:lang w:val="en-GB"/>
              </w:rPr>
              <w:t xml:space="preserve"> Moldova </w:t>
            </w:r>
            <w:proofErr w:type="spellStart"/>
            <w:r w:rsidRPr="00D35803">
              <w:rPr>
                <w:rFonts w:ascii="Times New Roman" w:hAnsi="Times New Roman" w:cs="Times New Roman"/>
                <w:sz w:val="20"/>
                <w:szCs w:val="20"/>
                <w:shd w:val="clear" w:color="auto" w:fill="FFFFFF"/>
                <w:lang w:val="en-GB"/>
              </w:rPr>
              <w:t>în</w:t>
            </w:r>
            <w:proofErr w:type="spellEnd"/>
            <w:r w:rsidRPr="00D35803">
              <w:rPr>
                <w:rFonts w:ascii="Times New Roman" w:hAnsi="Times New Roman" w:cs="Times New Roman"/>
                <w:sz w:val="20"/>
                <w:szCs w:val="20"/>
                <w:shd w:val="clear" w:color="auto" w:fill="FFFFFF"/>
                <w:lang w:val="en-GB"/>
              </w:rPr>
              <w:t xml:space="preserve"> EHEA. </w:t>
            </w:r>
          </w:p>
          <w:p w14:paraId="6CAEAAD8" w14:textId="43CF00BD" w:rsidR="004B1F9C" w:rsidRPr="00D35803" w:rsidRDefault="006B2C8B" w:rsidP="00D35803">
            <w:pPr>
              <w:rPr>
                <w:rFonts w:ascii="Times New Roman" w:hAnsi="Times New Roman" w:cs="Times New Roman"/>
                <w:sz w:val="20"/>
                <w:szCs w:val="20"/>
              </w:rPr>
            </w:pPr>
            <w:proofErr w:type="spellStart"/>
            <w:r w:rsidRPr="00D35803">
              <w:rPr>
                <w:rFonts w:ascii="Times New Roman" w:hAnsi="Times New Roman" w:cs="Times New Roman"/>
                <w:sz w:val="20"/>
                <w:szCs w:val="20"/>
                <w:shd w:val="clear" w:color="auto" w:fill="FFFFFF"/>
                <w:lang w:val="en-GB"/>
              </w:rPr>
              <w:t>Asigură</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angajamentul</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Republicii</w:t>
            </w:r>
            <w:proofErr w:type="spellEnd"/>
            <w:r w:rsidRPr="00D35803">
              <w:rPr>
                <w:rFonts w:ascii="Times New Roman" w:hAnsi="Times New Roman" w:cs="Times New Roman"/>
                <w:sz w:val="20"/>
                <w:szCs w:val="20"/>
                <w:shd w:val="clear" w:color="auto" w:fill="FFFFFF"/>
                <w:lang w:val="en-GB"/>
              </w:rPr>
              <w:t xml:space="preserve"> Moldova </w:t>
            </w:r>
            <w:proofErr w:type="spellStart"/>
            <w:r w:rsidRPr="00D35803">
              <w:rPr>
                <w:rFonts w:ascii="Times New Roman" w:hAnsi="Times New Roman" w:cs="Times New Roman"/>
                <w:sz w:val="20"/>
                <w:szCs w:val="20"/>
                <w:shd w:val="clear" w:color="auto" w:fill="FFFFFF"/>
                <w:lang w:val="en-GB"/>
              </w:rPr>
              <w:t>față</w:t>
            </w:r>
            <w:proofErr w:type="spellEnd"/>
            <w:r w:rsidRPr="00D35803">
              <w:rPr>
                <w:rFonts w:ascii="Times New Roman" w:hAnsi="Times New Roman" w:cs="Times New Roman"/>
                <w:sz w:val="20"/>
                <w:szCs w:val="20"/>
                <w:shd w:val="clear" w:color="auto" w:fill="FFFFFF"/>
                <w:lang w:val="en-GB"/>
              </w:rPr>
              <w:t xml:space="preserve"> de </w:t>
            </w:r>
            <w:proofErr w:type="spellStart"/>
            <w:r w:rsidRPr="00D35803">
              <w:rPr>
                <w:rFonts w:ascii="Times New Roman" w:hAnsi="Times New Roman" w:cs="Times New Roman"/>
                <w:sz w:val="20"/>
                <w:szCs w:val="20"/>
                <w:shd w:val="clear" w:color="auto" w:fill="FFFFFF"/>
                <w:lang w:val="en-GB"/>
              </w:rPr>
              <w:t>principiile</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Procesului</w:t>
            </w:r>
            <w:proofErr w:type="spellEnd"/>
            <w:r w:rsidRPr="00D35803">
              <w:rPr>
                <w:rFonts w:ascii="Times New Roman" w:hAnsi="Times New Roman" w:cs="Times New Roman"/>
                <w:sz w:val="20"/>
                <w:szCs w:val="20"/>
                <w:shd w:val="clear" w:color="auto" w:fill="FFFFFF"/>
                <w:lang w:val="en-GB"/>
              </w:rPr>
              <w:t xml:space="preserve"> de la Bologna </w:t>
            </w:r>
            <w:proofErr w:type="spellStart"/>
            <w:r w:rsidRPr="00D35803">
              <w:rPr>
                <w:rFonts w:ascii="Times New Roman" w:hAnsi="Times New Roman" w:cs="Times New Roman"/>
                <w:sz w:val="20"/>
                <w:szCs w:val="20"/>
                <w:shd w:val="clear" w:color="auto" w:fill="FFFFFF"/>
                <w:lang w:val="en-GB"/>
              </w:rPr>
              <w:t>și</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oferă</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baza</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legală</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pentru</w:t>
            </w:r>
            <w:proofErr w:type="spellEnd"/>
            <w:r w:rsidRPr="00D35803">
              <w:rPr>
                <w:rFonts w:ascii="Times New Roman" w:hAnsi="Times New Roman" w:cs="Times New Roman"/>
                <w:sz w:val="20"/>
                <w:szCs w:val="20"/>
                <w:shd w:val="clear" w:color="auto" w:fill="FFFFFF"/>
                <w:lang w:val="en-GB"/>
              </w:rPr>
              <w:t xml:space="preserve"> </w:t>
            </w:r>
            <w:proofErr w:type="spellStart"/>
            <w:r w:rsidRPr="00D35803">
              <w:rPr>
                <w:rFonts w:ascii="Times New Roman" w:hAnsi="Times New Roman" w:cs="Times New Roman"/>
                <w:sz w:val="20"/>
                <w:szCs w:val="20"/>
                <w:shd w:val="clear" w:color="auto" w:fill="FFFFFF"/>
                <w:lang w:val="en-GB"/>
              </w:rPr>
              <w:t>participarea</w:t>
            </w:r>
            <w:proofErr w:type="spellEnd"/>
            <w:r w:rsidRPr="00D35803">
              <w:rPr>
                <w:rFonts w:ascii="Times New Roman" w:hAnsi="Times New Roman" w:cs="Times New Roman"/>
                <w:sz w:val="20"/>
                <w:szCs w:val="20"/>
                <w:shd w:val="clear" w:color="auto" w:fill="FFFFFF"/>
                <w:lang w:val="en-GB"/>
              </w:rPr>
              <w:t xml:space="preserve"> la </w:t>
            </w:r>
            <w:proofErr w:type="spellStart"/>
            <w:r w:rsidRPr="00D35803">
              <w:rPr>
                <w:rFonts w:ascii="Times New Roman" w:hAnsi="Times New Roman" w:cs="Times New Roman"/>
                <w:sz w:val="20"/>
                <w:szCs w:val="20"/>
                <w:shd w:val="clear" w:color="auto" w:fill="FFFFFF"/>
                <w:lang w:val="en-GB"/>
              </w:rPr>
              <w:t>procesul</w:t>
            </w:r>
            <w:proofErr w:type="spellEnd"/>
            <w:r w:rsidRPr="00D35803">
              <w:rPr>
                <w:rFonts w:ascii="Times New Roman" w:hAnsi="Times New Roman" w:cs="Times New Roman"/>
                <w:sz w:val="20"/>
                <w:szCs w:val="20"/>
                <w:shd w:val="clear" w:color="auto" w:fill="FFFFFF"/>
                <w:lang w:val="en-GB"/>
              </w:rPr>
              <w:t xml:space="preserve"> de </w:t>
            </w:r>
            <w:proofErr w:type="spellStart"/>
            <w:r w:rsidRPr="00D35803">
              <w:rPr>
                <w:rFonts w:ascii="Times New Roman" w:hAnsi="Times New Roman" w:cs="Times New Roman"/>
                <w:sz w:val="20"/>
                <w:szCs w:val="20"/>
                <w:shd w:val="clear" w:color="auto" w:fill="FFFFFF"/>
                <w:lang w:val="en-GB"/>
              </w:rPr>
              <w:t>autocertificare</w:t>
            </w:r>
            <w:proofErr w:type="spellEnd"/>
            <w:r w:rsidRPr="00D35803">
              <w:rPr>
                <w:rFonts w:ascii="Times New Roman" w:hAnsi="Times New Roman" w:cs="Times New Roman"/>
                <w:sz w:val="20"/>
                <w:szCs w:val="20"/>
                <w:shd w:val="clear" w:color="auto" w:fill="FFFFFF"/>
                <w:lang w:val="en-GB"/>
              </w:rPr>
              <w:t xml:space="preserve"> CNC–QF-EHEA.</w:t>
            </w:r>
          </w:p>
        </w:tc>
      </w:tr>
      <w:tr w:rsidR="003B2375" w:rsidRPr="00D35803" w14:paraId="794A1B51" w14:textId="77777777" w:rsidTr="00C5520C">
        <w:tc>
          <w:tcPr>
            <w:tcW w:w="562" w:type="dxa"/>
          </w:tcPr>
          <w:p w14:paraId="3FA42F8F" w14:textId="77777777" w:rsidR="003B2375" w:rsidRPr="00D35803" w:rsidRDefault="003B2375"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0066593E" w14:textId="77777777" w:rsidR="006B5FF5" w:rsidRPr="00D35803" w:rsidRDefault="006B5FF5" w:rsidP="00D35803">
            <w:pPr>
              <w:jc w:val="both"/>
              <w:outlineLvl w:val="2"/>
              <w:rPr>
                <w:rFonts w:ascii="Times New Roman" w:hAnsi="Times New Roman" w:cs="Times New Roman"/>
                <w:sz w:val="20"/>
                <w:szCs w:val="20"/>
              </w:rPr>
            </w:pPr>
            <w:r w:rsidRPr="00D35803">
              <w:rPr>
                <w:rFonts w:ascii="Times New Roman" w:hAnsi="Times New Roman" w:cs="Times New Roman"/>
                <w:sz w:val="20"/>
                <w:szCs w:val="20"/>
              </w:rPr>
              <w:t>A Framework for Qualifications of the European Higher Education Area (</w:t>
            </w:r>
            <w:hyperlink r:id="rId34" w:history="1">
              <w:r w:rsidRPr="00D35803">
                <w:rPr>
                  <w:rStyle w:val="aff0"/>
                  <w:rFonts w:ascii="Times New Roman" w:hAnsi="Times New Roman" w:cs="Times New Roman"/>
                  <w:sz w:val="20"/>
                  <w:szCs w:val="20"/>
                </w:rPr>
                <w:t>link</w:t>
              </w:r>
            </w:hyperlink>
            <w:r w:rsidRPr="00D35803">
              <w:rPr>
                <w:rFonts w:ascii="Times New Roman" w:hAnsi="Times New Roman" w:cs="Times New Roman"/>
                <w:sz w:val="20"/>
                <w:szCs w:val="20"/>
              </w:rPr>
              <w:t>)</w:t>
            </w:r>
          </w:p>
          <w:p w14:paraId="56E6E5D8" w14:textId="16ACDB50" w:rsidR="00E80163" w:rsidRPr="00D35803" w:rsidRDefault="00E80163"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shd w:val="clear" w:color="auto" w:fill="FFFFFF"/>
                <w:lang w:val="en-GB"/>
              </w:rPr>
              <w:t>Overarching Framework of Qualifications of the European Higher Education Area, 2018 (</w:t>
            </w:r>
            <w:hyperlink r:id="rId35" w:history="1">
              <w:r w:rsidRPr="00D35803">
                <w:rPr>
                  <w:rStyle w:val="aff0"/>
                  <w:rFonts w:ascii="Times New Roman" w:hAnsi="Times New Roman" w:cs="Times New Roman"/>
                  <w:sz w:val="20"/>
                  <w:szCs w:val="20"/>
                  <w:shd w:val="clear" w:color="auto" w:fill="FFFFFF"/>
                  <w:lang w:val="en-GB"/>
                </w:rPr>
                <w:t>link</w:t>
              </w:r>
            </w:hyperlink>
            <w:r w:rsidRPr="00D35803">
              <w:rPr>
                <w:rFonts w:ascii="Times New Roman" w:hAnsi="Times New Roman" w:cs="Times New Roman"/>
                <w:sz w:val="20"/>
                <w:szCs w:val="20"/>
                <w:shd w:val="clear" w:color="auto" w:fill="FFFFFF"/>
                <w:lang w:val="en-GB"/>
              </w:rPr>
              <w:t>)</w:t>
            </w:r>
          </w:p>
          <w:p w14:paraId="0F394298" w14:textId="77777777" w:rsidR="00E80163" w:rsidRPr="00D35803" w:rsidRDefault="00E80163"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lang w:val="en-GB"/>
              </w:rPr>
              <w:t>Preparation of self-certification reports within the Bologna Process Guidelines, observations, and recommendations, 2024 (</w:t>
            </w:r>
            <w:hyperlink r:id="rId36" w:history="1">
              <w:r w:rsidRPr="00D35803">
                <w:rPr>
                  <w:rStyle w:val="aff0"/>
                  <w:rFonts w:ascii="Times New Roman" w:hAnsi="Times New Roman" w:cs="Times New Roman"/>
                  <w:sz w:val="20"/>
                  <w:szCs w:val="20"/>
                  <w:lang w:val="en-GB"/>
                </w:rPr>
                <w:t>link</w:t>
              </w:r>
            </w:hyperlink>
            <w:r w:rsidRPr="00D35803">
              <w:rPr>
                <w:rFonts w:ascii="Times New Roman" w:hAnsi="Times New Roman" w:cs="Times New Roman"/>
                <w:sz w:val="20"/>
                <w:szCs w:val="20"/>
                <w:lang w:val="en-GB"/>
              </w:rPr>
              <w:t xml:space="preserve">) </w:t>
            </w:r>
          </w:p>
          <w:p w14:paraId="512D86FE" w14:textId="54043B8E" w:rsidR="006779E4" w:rsidRPr="00D35803" w:rsidRDefault="006779E4"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lang w:val="en-GB"/>
              </w:rPr>
              <w:t>A Framework for Qualifications of The European Higher Education Area (</w:t>
            </w:r>
            <w:hyperlink r:id="rId37" w:history="1">
              <w:r w:rsidRPr="00D35803">
                <w:rPr>
                  <w:rStyle w:val="aff0"/>
                  <w:rFonts w:ascii="Times New Roman" w:hAnsi="Times New Roman" w:cs="Times New Roman"/>
                  <w:sz w:val="20"/>
                  <w:szCs w:val="20"/>
                  <w:lang w:val="en-GB"/>
                </w:rPr>
                <w:t>link</w:t>
              </w:r>
            </w:hyperlink>
            <w:r w:rsidRPr="00D35803">
              <w:rPr>
                <w:rFonts w:ascii="Times New Roman" w:hAnsi="Times New Roman" w:cs="Times New Roman"/>
                <w:sz w:val="20"/>
                <w:szCs w:val="20"/>
                <w:lang w:val="en-GB"/>
              </w:rPr>
              <w:t>)</w:t>
            </w:r>
          </w:p>
        </w:tc>
        <w:tc>
          <w:tcPr>
            <w:tcW w:w="2394" w:type="dxa"/>
            <w:vAlign w:val="center"/>
          </w:tcPr>
          <w:p w14:paraId="5AA09D22" w14:textId="1F17C9DF" w:rsidR="003B2375"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HG nr. 330/2023 – Anexa 1</w:t>
            </w:r>
            <w:r w:rsidR="007D7943" w:rsidRPr="00D35803">
              <w:rPr>
                <w:rFonts w:ascii="Times New Roman" w:hAnsi="Times New Roman" w:cs="Times New Roman"/>
                <w:sz w:val="20"/>
                <w:szCs w:val="20"/>
                <w:lang w:val="ro-MD"/>
              </w:rPr>
              <w:t xml:space="preserve">, p. </w:t>
            </w:r>
            <w:r w:rsidR="00432D3D" w:rsidRPr="00D35803">
              <w:rPr>
                <w:rFonts w:ascii="Times New Roman" w:hAnsi="Times New Roman" w:cs="Times New Roman"/>
                <w:sz w:val="20"/>
                <w:szCs w:val="20"/>
                <w:lang w:val="ro-MD"/>
              </w:rPr>
              <w:t>53</w:t>
            </w:r>
            <w:r w:rsidRPr="00D35803">
              <w:rPr>
                <w:rFonts w:ascii="Times New Roman" w:hAnsi="Times New Roman" w:cs="Times New Roman"/>
                <w:sz w:val="20"/>
                <w:szCs w:val="20"/>
                <w:lang w:val="ro-MD"/>
              </w:rPr>
              <w:t xml:space="preserve"> (Corelarea nivelurilor 6–8 CNC cu ciclurile </w:t>
            </w:r>
            <w:r w:rsidR="003B24EF" w:rsidRPr="00D35803">
              <w:rPr>
                <w:rFonts w:ascii="Times New Roman" w:hAnsi="Times New Roman" w:cs="Times New Roman"/>
                <w:sz w:val="20"/>
                <w:szCs w:val="20"/>
                <w:lang w:val="ro-MD"/>
              </w:rPr>
              <w:t>Bologna</w:t>
            </w:r>
            <w:r w:rsidRPr="00D35803">
              <w:rPr>
                <w:rFonts w:ascii="Times New Roman" w:hAnsi="Times New Roman" w:cs="Times New Roman"/>
                <w:sz w:val="20"/>
                <w:szCs w:val="20"/>
                <w:lang w:val="ro-MD"/>
              </w:rPr>
              <w:t>)</w:t>
            </w:r>
            <w:r w:rsidR="00465690" w:rsidRPr="00D35803">
              <w:rPr>
                <w:rFonts w:ascii="Times New Roman" w:hAnsi="Times New Roman" w:cs="Times New Roman"/>
                <w:sz w:val="20"/>
                <w:szCs w:val="20"/>
                <w:lang w:val="ro-MD"/>
              </w:rPr>
              <w:t xml:space="preserve"> (</w:t>
            </w:r>
            <w:hyperlink r:id="rId38" w:history="1">
              <w:r w:rsidR="00465690" w:rsidRPr="00D35803">
                <w:rPr>
                  <w:rStyle w:val="aff0"/>
                  <w:rFonts w:ascii="Times New Roman" w:hAnsi="Times New Roman" w:cs="Times New Roman"/>
                  <w:sz w:val="20"/>
                  <w:szCs w:val="20"/>
                  <w:lang w:val="ro-MD"/>
                </w:rPr>
                <w:t>link</w:t>
              </w:r>
            </w:hyperlink>
            <w:r w:rsidR="00465690" w:rsidRPr="00D35803">
              <w:rPr>
                <w:rFonts w:ascii="Times New Roman" w:hAnsi="Times New Roman" w:cs="Times New Roman"/>
                <w:sz w:val="20"/>
                <w:szCs w:val="20"/>
                <w:lang w:val="ro-MD"/>
              </w:rPr>
              <w:t>)</w:t>
            </w:r>
          </w:p>
        </w:tc>
        <w:tc>
          <w:tcPr>
            <w:tcW w:w="4410" w:type="dxa"/>
            <w:vAlign w:val="center"/>
          </w:tcPr>
          <w:p w14:paraId="42589140" w14:textId="77777777" w:rsidR="00680381" w:rsidRPr="00D35803" w:rsidRDefault="00680381" w:rsidP="00D35803">
            <w:pPr>
              <w:rPr>
                <w:rFonts w:ascii="Times New Roman" w:hAnsi="Times New Roman" w:cs="Times New Roman"/>
                <w:sz w:val="20"/>
                <w:szCs w:val="20"/>
              </w:rPr>
            </w:pPr>
            <w:r w:rsidRPr="00D35803">
              <w:rPr>
                <w:rFonts w:ascii="Times New Roman" w:hAnsi="Times New Roman" w:cs="Times New Roman"/>
                <w:sz w:val="20"/>
                <w:szCs w:val="20"/>
              </w:rPr>
              <w:t>Stabilesc standardele și procedurile pentru autocertificarea cadrelor naționale de calificări (CNC) față de QF-EHEA.</w:t>
            </w:r>
          </w:p>
          <w:p w14:paraId="2F03E608" w14:textId="77777777" w:rsidR="00062BF6" w:rsidRPr="00D35803" w:rsidRDefault="00C95292" w:rsidP="00D35803">
            <w:pPr>
              <w:jc w:val="both"/>
              <w:outlineLvl w:val="2"/>
              <w:rPr>
                <w:rFonts w:ascii="Times New Roman" w:hAnsi="Times New Roman" w:cs="Times New Roman"/>
                <w:sz w:val="20"/>
                <w:szCs w:val="20"/>
              </w:rPr>
            </w:pPr>
            <w:r w:rsidRPr="00D35803">
              <w:rPr>
                <w:rFonts w:ascii="Times New Roman" w:hAnsi="Times New Roman" w:cs="Times New Roman"/>
                <w:sz w:val="20"/>
                <w:szCs w:val="20"/>
              </w:rPr>
              <w:t xml:space="preserve">Definește structura celor trei cicluri ale învățământului superior și descriptorii generici ai nivelurilor, bazate pe rezultate ale învățării. </w:t>
            </w:r>
          </w:p>
          <w:p w14:paraId="03A430F0" w14:textId="35F5BA96" w:rsidR="00C95292" w:rsidRPr="00D35803" w:rsidRDefault="00C95292"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rPr>
              <w:t>Constituie fundamentul metodologic pentru corelarea nivelurilor 6–8 CNC cu QF-EHEA și pentru procesul de autocertificare.</w:t>
            </w:r>
          </w:p>
          <w:p w14:paraId="5EB8F98A" w14:textId="057E2B61" w:rsidR="003B2375" w:rsidRPr="00D35803" w:rsidRDefault="003B237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HG 330/2023 preia </w:t>
            </w:r>
            <w:r w:rsidR="00827F74" w:rsidRPr="00D35803">
              <w:rPr>
                <w:rFonts w:ascii="Times New Roman" w:hAnsi="Times New Roman" w:cs="Times New Roman"/>
                <w:sz w:val="20"/>
                <w:szCs w:val="20"/>
                <w:lang w:val="ro-MD"/>
              </w:rPr>
              <w:t xml:space="preserve">descriptorii generali de nivel pentru ciclurile Bologna (licență, master, doctorat), utilizați ca bază pentru corelarea nivelurilor 6–8 CNC cu QF-EHEA </w:t>
            </w:r>
          </w:p>
        </w:tc>
      </w:tr>
      <w:tr w:rsidR="00C0579E" w:rsidRPr="00D35803" w14:paraId="4C35FB1C" w14:textId="77777777" w:rsidTr="00C5520C">
        <w:tc>
          <w:tcPr>
            <w:tcW w:w="10343" w:type="dxa"/>
            <w:gridSpan w:val="4"/>
            <w:shd w:val="clear" w:color="auto" w:fill="D4EAF3" w:themeFill="accent1" w:themeFillTint="33"/>
          </w:tcPr>
          <w:p w14:paraId="43DB3967" w14:textId="633257FE" w:rsidR="00C0579E" w:rsidRPr="00D35803" w:rsidRDefault="00C0579E"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Asigurarea calității</w:t>
            </w:r>
            <w:r w:rsidR="00093746" w:rsidRPr="00D35803">
              <w:rPr>
                <w:rFonts w:ascii="Times New Roman" w:hAnsi="Times New Roman" w:cs="Times New Roman"/>
                <w:b/>
                <w:bCs/>
                <w:sz w:val="20"/>
                <w:szCs w:val="20"/>
                <w:lang w:val="ro-MD"/>
              </w:rPr>
              <w:t xml:space="preserve"> (Criteri</w:t>
            </w:r>
            <w:r w:rsidR="00730A6F" w:rsidRPr="00D35803">
              <w:rPr>
                <w:rFonts w:ascii="Times New Roman" w:hAnsi="Times New Roman" w:cs="Times New Roman"/>
                <w:b/>
                <w:bCs/>
                <w:sz w:val="20"/>
                <w:szCs w:val="20"/>
                <w:lang w:val="ro-MD"/>
              </w:rPr>
              <w:t>ile</w:t>
            </w:r>
            <w:r w:rsidR="00093746" w:rsidRPr="00D35803">
              <w:rPr>
                <w:rFonts w:ascii="Times New Roman" w:hAnsi="Times New Roman" w:cs="Times New Roman"/>
                <w:b/>
                <w:bCs/>
                <w:sz w:val="20"/>
                <w:szCs w:val="20"/>
                <w:lang w:val="ro-MD"/>
              </w:rPr>
              <w:t xml:space="preserve"> 5</w:t>
            </w:r>
            <w:r w:rsidR="00730A6F" w:rsidRPr="00D35803">
              <w:rPr>
                <w:rFonts w:ascii="Times New Roman" w:hAnsi="Times New Roman" w:cs="Times New Roman"/>
                <w:b/>
                <w:bCs/>
                <w:sz w:val="20"/>
                <w:szCs w:val="20"/>
                <w:lang w:val="ro-MD"/>
              </w:rPr>
              <w:t>, 6)</w:t>
            </w:r>
          </w:p>
        </w:tc>
      </w:tr>
      <w:tr w:rsidR="009C2B06" w:rsidRPr="00D35803" w14:paraId="2F5F78CB" w14:textId="77777777" w:rsidTr="00C5520C">
        <w:tc>
          <w:tcPr>
            <w:tcW w:w="562" w:type="dxa"/>
          </w:tcPr>
          <w:p w14:paraId="4D871A67" w14:textId="77777777" w:rsidR="009C2B06" w:rsidRPr="00D35803" w:rsidRDefault="009C2B06"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530CC8E5" w14:textId="1E8CA94A" w:rsidR="009C2B06" w:rsidRPr="00D35803" w:rsidRDefault="009C2B06"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rPr>
              <w:t>Recomandarea Parlamentului European și a Consiliului din 18 iunie 2009 privind stabilirea unui cadru european de referință pentru asigurarea calității în educație și formare profesională</w:t>
            </w:r>
            <w:r w:rsidR="0026488C" w:rsidRPr="00D35803">
              <w:rPr>
                <w:rFonts w:ascii="Times New Roman" w:hAnsi="Times New Roman" w:cs="Times New Roman"/>
                <w:sz w:val="20"/>
                <w:szCs w:val="20"/>
              </w:rPr>
              <w:t xml:space="preserve"> (EQAVET)</w:t>
            </w:r>
            <w:r w:rsidRPr="00D35803">
              <w:rPr>
                <w:rFonts w:ascii="Times New Roman" w:hAnsi="Times New Roman" w:cs="Times New Roman"/>
                <w:sz w:val="20"/>
                <w:szCs w:val="20"/>
              </w:rPr>
              <w:t xml:space="preserve"> (</w:t>
            </w:r>
            <w:hyperlink r:id="rId39" w:history="1">
              <w:r w:rsidRPr="00D35803">
                <w:rPr>
                  <w:rStyle w:val="aff0"/>
                  <w:rFonts w:ascii="Times New Roman" w:hAnsi="Times New Roman" w:cs="Times New Roman"/>
                  <w:sz w:val="20"/>
                  <w:szCs w:val="20"/>
                </w:rPr>
                <w:t>link</w:t>
              </w:r>
            </w:hyperlink>
            <w:r w:rsidRPr="00D35803">
              <w:rPr>
                <w:rFonts w:ascii="Times New Roman" w:hAnsi="Times New Roman" w:cs="Times New Roman"/>
                <w:sz w:val="20"/>
                <w:szCs w:val="20"/>
              </w:rPr>
              <w:t>)</w:t>
            </w:r>
          </w:p>
        </w:tc>
        <w:tc>
          <w:tcPr>
            <w:tcW w:w="2394" w:type="dxa"/>
            <w:vAlign w:val="center"/>
          </w:tcPr>
          <w:p w14:paraId="2C83CD1D" w14:textId="766ED735" w:rsidR="009C2B06" w:rsidRPr="00D35803" w:rsidRDefault="00221E69"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Codul educației, art</w:t>
            </w:r>
            <w:r w:rsidR="00A51E6C" w:rsidRPr="00D35803">
              <w:rPr>
                <w:rFonts w:ascii="Times New Roman" w:hAnsi="Times New Roman" w:cs="Times New Roman"/>
                <w:sz w:val="20"/>
                <w:szCs w:val="20"/>
                <w:lang w:val="ro-MD"/>
              </w:rPr>
              <w:t>. 65, 112, 115</w:t>
            </w:r>
          </w:p>
        </w:tc>
        <w:tc>
          <w:tcPr>
            <w:tcW w:w="4410" w:type="dxa"/>
            <w:vAlign w:val="center"/>
          </w:tcPr>
          <w:p w14:paraId="12F8C6CF" w14:textId="77777777" w:rsidR="009979D2" w:rsidRPr="00D35803" w:rsidRDefault="009979D2"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Stabilește cadrul european de referință pentru asigurarea calității în educație și formare profesională, bazat pe principiile de monitorizare, evaluare și îmbunătățire continuă. </w:t>
            </w:r>
          </w:p>
          <w:p w14:paraId="576095CB" w14:textId="61E9FDA3" w:rsidR="009C2B06" w:rsidRPr="00D35803" w:rsidRDefault="009979D2"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susține – Asigurarea calității procesului de referențiere și a calificărilor din CNC, în concordanță cu principiile EQAVET și EQF.</w:t>
            </w:r>
          </w:p>
        </w:tc>
      </w:tr>
      <w:tr w:rsidR="009C2B06" w:rsidRPr="00D35803" w14:paraId="36B23F27" w14:textId="77777777" w:rsidTr="00C5520C">
        <w:tc>
          <w:tcPr>
            <w:tcW w:w="562" w:type="dxa"/>
          </w:tcPr>
          <w:p w14:paraId="3B2AC125" w14:textId="77777777" w:rsidR="009C2B06" w:rsidRPr="00D35803" w:rsidRDefault="009C2B06"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72407983" w14:textId="58664536" w:rsidR="009C2B06" w:rsidRPr="00D35803" w:rsidRDefault="009C2B06" w:rsidP="00D35803">
            <w:pPr>
              <w:jc w:val="both"/>
              <w:outlineLvl w:val="2"/>
              <w:rPr>
                <w:rFonts w:ascii="Times New Roman" w:hAnsi="Times New Roman" w:cs="Times New Roman"/>
                <w:sz w:val="20"/>
                <w:szCs w:val="20"/>
                <w:lang w:val="en-GB"/>
              </w:rPr>
            </w:pPr>
            <w:r w:rsidRPr="00D35803">
              <w:rPr>
                <w:rFonts w:ascii="Times New Roman" w:hAnsi="Times New Roman" w:cs="Times New Roman"/>
                <w:sz w:val="20"/>
                <w:szCs w:val="20"/>
                <w:lang w:val="en-GB"/>
              </w:rPr>
              <w:t>Standards and Guidelines for Quality Assurance in the European Higher Education Area (ESG) (</w:t>
            </w:r>
            <w:hyperlink r:id="rId40" w:history="1">
              <w:r w:rsidRPr="00D35803">
                <w:rPr>
                  <w:rStyle w:val="aff0"/>
                  <w:rFonts w:ascii="Times New Roman" w:hAnsi="Times New Roman" w:cs="Times New Roman"/>
                  <w:sz w:val="20"/>
                  <w:szCs w:val="20"/>
                  <w:lang w:val="en-GB"/>
                </w:rPr>
                <w:t>link</w:t>
              </w:r>
            </w:hyperlink>
            <w:r w:rsidRPr="00D35803">
              <w:rPr>
                <w:rFonts w:ascii="Times New Roman" w:hAnsi="Times New Roman" w:cs="Times New Roman"/>
                <w:sz w:val="20"/>
                <w:szCs w:val="20"/>
                <w:lang w:val="en-GB"/>
              </w:rPr>
              <w:t>)</w:t>
            </w:r>
          </w:p>
        </w:tc>
        <w:tc>
          <w:tcPr>
            <w:tcW w:w="2394" w:type="dxa"/>
            <w:vAlign w:val="center"/>
          </w:tcPr>
          <w:p w14:paraId="2E8284F6" w14:textId="6679FF29" w:rsidR="009C2B06" w:rsidRPr="00D35803" w:rsidRDefault="009C2B06"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Reglementări ANACEC: metodologii, proceduri, decizii (</w:t>
            </w:r>
            <w:hyperlink r:id="rId41" w:history="1">
              <w:r w:rsidRPr="00D35803">
                <w:rPr>
                  <w:rStyle w:val="aff0"/>
                  <w:rFonts w:ascii="Times New Roman" w:hAnsi="Times New Roman" w:cs="Times New Roman"/>
                  <w:sz w:val="20"/>
                  <w:szCs w:val="20"/>
                  <w:lang w:val="ro-MD"/>
                </w:rPr>
                <w:t>link</w:t>
              </w:r>
            </w:hyperlink>
            <w:r w:rsidRPr="00D35803">
              <w:rPr>
                <w:rFonts w:ascii="Times New Roman" w:hAnsi="Times New Roman" w:cs="Times New Roman"/>
                <w:sz w:val="20"/>
                <w:szCs w:val="20"/>
                <w:lang w:val="ro-MD"/>
              </w:rPr>
              <w:t>)</w:t>
            </w:r>
          </w:p>
        </w:tc>
        <w:tc>
          <w:tcPr>
            <w:tcW w:w="4410" w:type="dxa"/>
            <w:vAlign w:val="center"/>
          </w:tcPr>
          <w:p w14:paraId="713EA554" w14:textId="77777777" w:rsidR="009C2B06" w:rsidRPr="00D35803" w:rsidRDefault="009C2B06"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Fundamentează mecanismele europene de asigurare a calității în ÎS.</w:t>
            </w:r>
          </w:p>
          <w:p w14:paraId="60339A45" w14:textId="0B5974C4" w:rsidR="009C2B06" w:rsidRPr="00D35803" w:rsidRDefault="009C2B06"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Reglementările ANACEC operaționalizează evaluarea externă și acreditarea, în conformitate cu principiile ESG și EQAVET.</w:t>
            </w:r>
          </w:p>
        </w:tc>
      </w:tr>
      <w:tr w:rsidR="009C2B06" w:rsidRPr="00D35803" w14:paraId="1F936E64" w14:textId="77777777" w:rsidTr="00B81475">
        <w:tc>
          <w:tcPr>
            <w:tcW w:w="10343" w:type="dxa"/>
            <w:gridSpan w:val="4"/>
            <w:shd w:val="clear" w:color="auto" w:fill="D4EAF3" w:themeFill="accent1" w:themeFillTint="33"/>
          </w:tcPr>
          <w:p w14:paraId="23020556" w14:textId="260A7013" w:rsidR="009C2B06" w:rsidRPr="00D35803" w:rsidRDefault="00813F27" w:rsidP="00D35803">
            <w:pPr>
              <w:jc w:val="center"/>
              <w:outlineLvl w:val="2"/>
              <w:rPr>
                <w:rFonts w:ascii="Times New Roman" w:hAnsi="Times New Roman" w:cs="Times New Roman"/>
                <w:b/>
                <w:bCs/>
                <w:sz w:val="20"/>
                <w:szCs w:val="20"/>
                <w:lang w:val="ro-MD"/>
              </w:rPr>
            </w:pPr>
            <w:r w:rsidRPr="00D35803">
              <w:rPr>
                <w:rFonts w:ascii="Times New Roman" w:hAnsi="Times New Roman" w:cs="Times New Roman"/>
                <w:b/>
                <w:bCs/>
                <w:sz w:val="20"/>
                <w:szCs w:val="20"/>
                <w:lang w:val="ro-MD"/>
              </w:rPr>
              <w:t xml:space="preserve">Validarea învățământului </w:t>
            </w:r>
            <w:r w:rsidR="004261A6" w:rsidRPr="00D35803">
              <w:rPr>
                <w:rFonts w:ascii="Times New Roman" w:hAnsi="Times New Roman" w:cs="Times New Roman"/>
                <w:b/>
                <w:bCs/>
                <w:sz w:val="20"/>
                <w:szCs w:val="20"/>
                <w:lang w:val="ro-MD"/>
              </w:rPr>
              <w:t>nonformal și informal</w:t>
            </w:r>
          </w:p>
        </w:tc>
      </w:tr>
      <w:tr w:rsidR="009C2B06" w:rsidRPr="00D35803" w14:paraId="30C81116" w14:textId="77777777" w:rsidTr="00C5520C">
        <w:tc>
          <w:tcPr>
            <w:tcW w:w="562" w:type="dxa"/>
          </w:tcPr>
          <w:p w14:paraId="7B3DA1E4" w14:textId="77777777" w:rsidR="009C2B06" w:rsidRPr="00D35803" w:rsidRDefault="009C2B06" w:rsidP="00A41843">
            <w:pPr>
              <w:pStyle w:val="a7"/>
              <w:numPr>
                <w:ilvl w:val="1"/>
                <w:numId w:val="132"/>
              </w:numPr>
              <w:ind w:left="311" w:right="464" w:hanging="311"/>
              <w:jc w:val="both"/>
              <w:outlineLvl w:val="2"/>
              <w:rPr>
                <w:rFonts w:ascii="Times New Roman" w:hAnsi="Times New Roman" w:cs="Times New Roman"/>
                <w:sz w:val="20"/>
                <w:szCs w:val="20"/>
                <w:lang w:val="ro-MD"/>
              </w:rPr>
            </w:pPr>
          </w:p>
        </w:tc>
        <w:tc>
          <w:tcPr>
            <w:tcW w:w="2977" w:type="dxa"/>
            <w:vAlign w:val="center"/>
          </w:tcPr>
          <w:p w14:paraId="38562B0C" w14:textId="39250711" w:rsidR="009C2B06" w:rsidRPr="00D35803" w:rsidRDefault="0079784D" w:rsidP="00D35803">
            <w:pPr>
              <w:jc w:val="both"/>
              <w:outlineLvl w:val="2"/>
              <w:rPr>
                <w:rFonts w:ascii="Times New Roman" w:hAnsi="Times New Roman" w:cs="Times New Roman"/>
                <w:sz w:val="20"/>
                <w:szCs w:val="20"/>
                <w:lang w:val="ro-MD"/>
              </w:rPr>
            </w:pPr>
            <w:r w:rsidRPr="00D35803">
              <w:rPr>
                <w:rFonts w:ascii="Times New Roman" w:hAnsi="Times New Roman" w:cs="Times New Roman"/>
                <w:color w:val="333333"/>
                <w:sz w:val="20"/>
                <w:szCs w:val="20"/>
                <w:shd w:val="clear" w:color="auto" w:fill="FFFFFF"/>
              </w:rPr>
              <w:t>Recomandarea Consiliului din 20 decembrie 2012 privind validarea învățării non-formale și informale (</w:t>
            </w:r>
            <w:hyperlink r:id="rId42" w:history="1">
              <w:r w:rsidRPr="00D35803">
                <w:rPr>
                  <w:rStyle w:val="aff0"/>
                  <w:rFonts w:ascii="Times New Roman" w:hAnsi="Times New Roman" w:cs="Times New Roman"/>
                  <w:sz w:val="20"/>
                  <w:szCs w:val="20"/>
                  <w:shd w:val="clear" w:color="auto" w:fill="FFFFFF"/>
                </w:rPr>
                <w:t>link</w:t>
              </w:r>
            </w:hyperlink>
            <w:r w:rsidRPr="00D35803">
              <w:rPr>
                <w:rFonts w:ascii="Times New Roman" w:hAnsi="Times New Roman" w:cs="Times New Roman"/>
                <w:color w:val="333333"/>
                <w:sz w:val="20"/>
                <w:szCs w:val="20"/>
                <w:shd w:val="clear" w:color="auto" w:fill="FFFFFF"/>
              </w:rPr>
              <w:t xml:space="preserve">) </w:t>
            </w:r>
          </w:p>
        </w:tc>
        <w:tc>
          <w:tcPr>
            <w:tcW w:w="2394" w:type="dxa"/>
            <w:vAlign w:val="center"/>
          </w:tcPr>
          <w:p w14:paraId="734DDB59" w14:textId="362CE3F3" w:rsidR="009C2B06" w:rsidRPr="00D35803" w:rsidRDefault="00206ED5"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Codul educației, Art. </w:t>
            </w:r>
            <w:r w:rsidR="00AA365E" w:rsidRPr="00D35803">
              <w:rPr>
                <w:rFonts w:ascii="Times New Roman" w:hAnsi="Times New Roman" w:cs="Times New Roman"/>
                <w:sz w:val="20"/>
                <w:szCs w:val="20"/>
                <w:lang w:val="ro-MD"/>
              </w:rPr>
              <w:t>123, 124</w:t>
            </w:r>
            <w:r w:rsidR="002076BE">
              <w:rPr>
                <w:rFonts w:ascii="Times New Roman" w:hAnsi="Times New Roman" w:cs="Times New Roman"/>
                <w:sz w:val="20"/>
                <w:szCs w:val="20"/>
                <w:lang w:val="ro-MD"/>
              </w:rPr>
              <w:t xml:space="preserve">, </w:t>
            </w:r>
            <w:r w:rsidR="009C2B06" w:rsidRPr="00D35803">
              <w:rPr>
                <w:rFonts w:ascii="Times New Roman" w:hAnsi="Times New Roman" w:cs="Times New Roman"/>
                <w:sz w:val="20"/>
                <w:szCs w:val="20"/>
                <w:lang w:val="ro-MD"/>
              </w:rPr>
              <w:t>HG nr. 330/2023</w:t>
            </w:r>
            <w:r w:rsidR="005118DF" w:rsidRPr="00D35803">
              <w:rPr>
                <w:rFonts w:ascii="Times New Roman" w:hAnsi="Times New Roman" w:cs="Times New Roman"/>
                <w:sz w:val="20"/>
                <w:szCs w:val="20"/>
                <w:lang w:val="ro-MD"/>
              </w:rPr>
              <w:t>, Anexa 1, Capitolul VI</w:t>
            </w:r>
            <w:r w:rsidR="009C2B06" w:rsidRPr="00D35803">
              <w:rPr>
                <w:rFonts w:ascii="Times New Roman" w:hAnsi="Times New Roman" w:cs="Times New Roman"/>
                <w:sz w:val="20"/>
                <w:szCs w:val="20"/>
                <w:lang w:val="ro-MD"/>
              </w:rPr>
              <w:t xml:space="preserve"> </w:t>
            </w:r>
            <w:r w:rsidR="005118DF" w:rsidRPr="00D35803">
              <w:rPr>
                <w:rFonts w:ascii="Times New Roman" w:hAnsi="Times New Roman" w:cs="Times New Roman"/>
                <w:sz w:val="20"/>
                <w:szCs w:val="20"/>
                <w:lang w:val="ro-MD"/>
              </w:rPr>
              <w:t>R</w:t>
            </w:r>
            <w:r w:rsidR="009C2B06" w:rsidRPr="00D35803">
              <w:rPr>
                <w:rFonts w:ascii="Times New Roman" w:hAnsi="Times New Roman" w:cs="Times New Roman"/>
                <w:sz w:val="20"/>
                <w:szCs w:val="20"/>
                <w:lang w:val="ro-MD"/>
              </w:rPr>
              <w:t>ecunoașterea și validarea rezultatelor învățării anterioare</w:t>
            </w:r>
          </w:p>
          <w:p w14:paraId="0E35BAFC" w14:textId="56E2720F" w:rsidR="00094DA5" w:rsidRPr="00D35803" w:rsidRDefault="00EF7449" w:rsidP="00D35803">
            <w:pPr>
              <w:pStyle w:val="af8"/>
              <w:shd w:val="clear" w:color="auto" w:fill="FFFFFF"/>
              <w:spacing w:before="0" w:beforeAutospacing="0" w:after="0" w:afterAutospacing="0"/>
              <w:rPr>
                <w:b/>
                <w:bCs/>
                <w:color w:val="333333"/>
                <w:sz w:val="20"/>
                <w:szCs w:val="20"/>
              </w:rPr>
            </w:pPr>
            <w:r w:rsidRPr="00D35803">
              <w:rPr>
                <w:sz w:val="20"/>
                <w:szCs w:val="20"/>
                <w:lang w:val="ro-MD"/>
              </w:rPr>
              <w:t>HG 222/2024</w:t>
            </w:r>
            <w:r w:rsidR="00094DA5" w:rsidRPr="00D35803">
              <w:rPr>
                <w:sz w:val="20"/>
                <w:szCs w:val="20"/>
                <w:lang w:val="ro-MD"/>
              </w:rPr>
              <w:t xml:space="preserve">, </w:t>
            </w:r>
            <w:r w:rsidR="00094DA5" w:rsidRPr="00D35803">
              <w:rPr>
                <w:rStyle w:val="af9"/>
                <w:rFonts w:eastAsiaTheme="majorEastAsia"/>
                <w:b w:val="0"/>
                <w:bCs w:val="0"/>
                <w:color w:val="333333"/>
                <w:sz w:val="20"/>
                <w:szCs w:val="20"/>
              </w:rPr>
              <w:t>Regulament cu privire la educația adulților</w:t>
            </w:r>
            <w:r w:rsidR="00016572" w:rsidRPr="00D35803">
              <w:rPr>
                <w:rStyle w:val="af9"/>
                <w:rFonts w:eastAsiaTheme="majorEastAsia"/>
                <w:b w:val="0"/>
                <w:bCs w:val="0"/>
                <w:color w:val="333333"/>
                <w:sz w:val="20"/>
                <w:szCs w:val="20"/>
              </w:rPr>
              <w:t xml:space="preserve"> </w:t>
            </w:r>
            <w:r w:rsidR="00016572" w:rsidRPr="00D35803">
              <w:rPr>
                <w:rStyle w:val="af9"/>
                <w:rFonts w:eastAsiaTheme="majorEastAsia"/>
                <w:b w:val="0"/>
                <w:bCs w:val="0"/>
                <w:sz w:val="20"/>
                <w:szCs w:val="20"/>
              </w:rPr>
              <w:t>(</w:t>
            </w:r>
            <w:hyperlink r:id="rId43" w:history="1">
              <w:r w:rsidR="00016572" w:rsidRPr="00D35803">
                <w:rPr>
                  <w:rStyle w:val="aff0"/>
                  <w:rFonts w:eastAsiaTheme="majorEastAsia"/>
                  <w:sz w:val="20"/>
                  <w:szCs w:val="20"/>
                </w:rPr>
                <w:t>link</w:t>
              </w:r>
            </w:hyperlink>
            <w:r w:rsidR="00016572" w:rsidRPr="00D35803">
              <w:rPr>
                <w:rStyle w:val="af9"/>
                <w:rFonts w:eastAsiaTheme="majorEastAsia"/>
                <w:b w:val="0"/>
                <w:bCs w:val="0"/>
                <w:sz w:val="20"/>
                <w:szCs w:val="20"/>
              </w:rPr>
              <w:t>)</w:t>
            </w:r>
          </w:p>
          <w:p w14:paraId="5CBE3E3B" w14:textId="732165D8" w:rsidR="00EF7449" w:rsidRPr="00D35803" w:rsidRDefault="00A94C2F"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Ordin 785</w:t>
            </w:r>
            <w:r w:rsidR="00016572" w:rsidRPr="00D35803">
              <w:rPr>
                <w:rFonts w:ascii="Times New Roman" w:hAnsi="Times New Roman" w:cs="Times New Roman"/>
                <w:sz w:val="20"/>
                <w:szCs w:val="20"/>
                <w:lang w:val="ro-MD"/>
              </w:rPr>
              <w:t>/2024</w:t>
            </w:r>
            <w:r w:rsidR="00982407" w:rsidRPr="00D35803">
              <w:rPr>
                <w:rFonts w:ascii="Times New Roman" w:hAnsi="Times New Roman" w:cs="Times New Roman"/>
                <w:sz w:val="20"/>
                <w:szCs w:val="20"/>
                <w:lang w:val="ro-MD"/>
              </w:rPr>
              <w:t xml:space="preserve"> Metodologia de elaborare a programelor </w:t>
            </w:r>
            <w:r w:rsidR="00CD03D5" w:rsidRPr="00D35803">
              <w:rPr>
                <w:rFonts w:ascii="Times New Roman" w:hAnsi="Times New Roman" w:cs="Times New Roman"/>
                <w:sz w:val="20"/>
                <w:szCs w:val="20"/>
                <w:lang w:val="ro-MD"/>
              </w:rPr>
              <w:t xml:space="preserve">de formare profesională </w:t>
            </w:r>
            <w:r w:rsidR="004644B8" w:rsidRPr="00D35803">
              <w:rPr>
                <w:rFonts w:ascii="Times New Roman" w:hAnsi="Times New Roman" w:cs="Times New Roman"/>
                <w:sz w:val="20"/>
                <w:szCs w:val="20"/>
                <w:lang w:val="ro-MD"/>
              </w:rPr>
              <w:t xml:space="preserve">a </w:t>
            </w:r>
            <w:r w:rsidR="00982407" w:rsidRPr="00D35803">
              <w:rPr>
                <w:rFonts w:ascii="Times New Roman" w:hAnsi="Times New Roman" w:cs="Times New Roman"/>
                <w:sz w:val="20"/>
                <w:szCs w:val="20"/>
                <w:lang w:val="ro-MD"/>
              </w:rPr>
              <w:t>adulților</w:t>
            </w:r>
            <w:r w:rsidR="004644B8" w:rsidRPr="00D35803">
              <w:rPr>
                <w:rFonts w:ascii="Times New Roman" w:hAnsi="Times New Roman" w:cs="Times New Roman"/>
                <w:sz w:val="20"/>
                <w:szCs w:val="20"/>
                <w:lang w:val="ro-MD"/>
              </w:rPr>
              <w:t xml:space="preserve"> și a curriculumului în cadrul învățării pe tot parcursul vieții.</w:t>
            </w:r>
            <w:r w:rsidR="00982407" w:rsidRPr="00D35803">
              <w:rPr>
                <w:rFonts w:ascii="Times New Roman" w:hAnsi="Times New Roman" w:cs="Times New Roman"/>
                <w:sz w:val="20"/>
                <w:szCs w:val="20"/>
                <w:lang w:val="ro-MD"/>
              </w:rPr>
              <w:t xml:space="preserve"> </w:t>
            </w:r>
            <w:r w:rsidR="00016572" w:rsidRPr="00D35803">
              <w:rPr>
                <w:rFonts w:ascii="Times New Roman" w:hAnsi="Times New Roman" w:cs="Times New Roman"/>
                <w:sz w:val="20"/>
                <w:szCs w:val="20"/>
                <w:lang w:val="ro-MD"/>
              </w:rPr>
              <w:t xml:space="preserve"> </w:t>
            </w:r>
          </w:p>
        </w:tc>
        <w:tc>
          <w:tcPr>
            <w:tcW w:w="4410" w:type="dxa"/>
            <w:vAlign w:val="center"/>
          </w:tcPr>
          <w:p w14:paraId="788B18CC" w14:textId="77777777" w:rsidR="00E46D15" w:rsidRPr="00D35803" w:rsidRDefault="009C2B06" w:rsidP="00D35803">
            <w:pPr>
              <w:jc w:val="both"/>
              <w:outlineLvl w:val="2"/>
              <w:rPr>
                <w:rFonts w:ascii="Times New Roman" w:hAnsi="Times New Roman" w:cs="Times New Roman"/>
                <w:sz w:val="20"/>
                <w:szCs w:val="20"/>
                <w:lang w:val="ro-MD"/>
              </w:rPr>
            </w:pPr>
            <w:r w:rsidRPr="00D35803">
              <w:rPr>
                <w:rFonts w:ascii="Times New Roman" w:hAnsi="Times New Roman" w:cs="Times New Roman"/>
                <w:sz w:val="20"/>
                <w:szCs w:val="20"/>
                <w:lang w:val="ro-MD"/>
              </w:rPr>
              <w:t xml:space="preserve">Stabilește principiile europene de validare a învățării nonformale și informale. </w:t>
            </w:r>
          </w:p>
          <w:p w14:paraId="0966333B" w14:textId="1C7CBDD3" w:rsidR="009C2B06" w:rsidRPr="00D35803" w:rsidRDefault="009C2B06" w:rsidP="00D35803">
            <w:pPr>
              <w:jc w:val="both"/>
              <w:outlineLvl w:val="2"/>
              <w:rPr>
                <w:rFonts w:ascii="Times New Roman" w:hAnsi="Times New Roman" w:cs="Times New Roman"/>
                <w:b/>
                <w:bCs/>
                <w:sz w:val="20"/>
                <w:szCs w:val="20"/>
                <w:lang w:val="ro-MD"/>
              </w:rPr>
            </w:pPr>
            <w:r w:rsidRPr="00D35803">
              <w:rPr>
                <w:rFonts w:ascii="Times New Roman" w:hAnsi="Times New Roman" w:cs="Times New Roman"/>
                <w:sz w:val="20"/>
                <w:szCs w:val="20"/>
                <w:lang w:val="ro-MD"/>
              </w:rPr>
              <w:t>HG 330/2023 transpune aceste prevederi în sistemul național de calificări.</w:t>
            </w:r>
          </w:p>
        </w:tc>
      </w:tr>
    </w:tbl>
    <w:p w14:paraId="726E844B" w14:textId="77777777" w:rsidR="008D16F6" w:rsidRDefault="008D16F6" w:rsidP="008D16F6">
      <w:pPr>
        <w:spacing w:before="120" w:after="120" w:line="276" w:lineRule="auto"/>
        <w:jc w:val="both"/>
        <w:outlineLvl w:val="2"/>
        <w:rPr>
          <w:rFonts w:ascii="Times New Roman" w:hAnsi="Times New Roman" w:cs="Times New Roman"/>
          <w:b/>
          <w:bCs/>
          <w:sz w:val="24"/>
          <w:szCs w:val="24"/>
          <w:lang w:val="ro-MD"/>
        </w:rPr>
      </w:pPr>
    </w:p>
    <w:p w14:paraId="6AF2CF7C" w14:textId="43334B4F" w:rsidR="008466A7" w:rsidRPr="001F6026" w:rsidRDefault="00850B71" w:rsidP="00CD7FDC">
      <w:pPr>
        <w:spacing w:before="120" w:after="120" w:line="276" w:lineRule="auto"/>
        <w:jc w:val="both"/>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Mesaj-</w:t>
      </w:r>
      <w:r w:rsidR="00071CAF" w:rsidRPr="001F6026">
        <w:rPr>
          <w:rFonts w:ascii="Times New Roman" w:eastAsia="MS Gothic" w:hAnsi="Times New Roman" w:cs="Times New Roman"/>
          <w:b/>
          <w:bCs/>
          <w:color w:val="3494BA" w:themeColor="accent1"/>
          <w:kern w:val="0"/>
          <w:sz w:val="24"/>
          <w:szCs w:val="24"/>
          <w14:ligatures w14:val="none"/>
        </w:rPr>
        <w:t>cheie</w:t>
      </w:r>
      <w:r w:rsidRPr="001F6026">
        <w:rPr>
          <w:rFonts w:ascii="Times New Roman" w:eastAsia="MS Gothic" w:hAnsi="Times New Roman" w:cs="Times New Roman"/>
          <w:b/>
          <w:bCs/>
          <w:color w:val="3494BA" w:themeColor="accent1"/>
          <w:kern w:val="0"/>
          <w:sz w:val="24"/>
          <w:szCs w:val="24"/>
          <w14:ligatures w14:val="none"/>
        </w:rPr>
        <w:t>:</w:t>
      </w:r>
      <w:r w:rsidRPr="001F6026">
        <w:rPr>
          <w:rFonts w:ascii="Times New Roman" w:hAnsi="Times New Roman" w:cs="Times New Roman"/>
          <w:sz w:val="24"/>
          <w:szCs w:val="24"/>
        </w:rPr>
        <w:t xml:space="preserve"> Republica Moldova abordează referențierea și autocertificarea ca pe un </w:t>
      </w:r>
      <w:r w:rsidRPr="001F6026">
        <w:rPr>
          <w:rStyle w:val="af9"/>
          <w:rFonts w:ascii="Times New Roman" w:hAnsi="Times New Roman" w:cs="Times New Roman"/>
          <w:sz w:val="24"/>
          <w:szCs w:val="24"/>
        </w:rPr>
        <w:t>proces robust, participativ și orientat pe dovezi</w:t>
      </w:r>
      <w:r w:rsidRPr="001F6026">
        <w:rPr>
          <w:rFonts w:ascii="Times New Roman" w:hAnsi="Times New Roman" w:cs="Times New Roman"/>
          <w:sz w:val="24"/>
          <w:szCs w:val="24"/>
        </w:rPr>
        <w:t>, în care criteriile europene (EQF și QF-</w:t>
      </w:r>
      <w:r w:rsidR="002513BE" w:rsidRPr="001F6026">
        <w:rPr>
          <w:rFonts w:ascii="Times New Roman" w:hAnsi="Times New Roman" w:cs="Times New Roman"/>
          <w:sz w:val="24"/>
          <w:szCs w:val="24"/>
        </w:rPr>
        <w:t>EHEA</w:t>
      </w:r>
      <w:r w:rsidRPr="001F6026">
        <w:rPr>
          <w:rFonts w:ascii="Times New Roman" w:hAnsi="Times New Roman" w:cs="Times New Roman"/>
          <w:sz w:val="24"/>
          <w:szCs w:val="24"/>
        </w:rPr>
        <w:t xml:space="preserve">) sunt „traduse” prin instrumente naționale (CNC, RNC, QA) și susținute de </w:t>
      </w:r>
      <w:r w:rsidRPr="001F6026">
        <w:rPr>
          <w:rStyle w:val="af9"/>
          <w:rFonts w:ascii="Times New Roman" w:hAnsi="Times New Roman" w:cs="Times New Roman"/>
          <w:sz w:val="24"/>
          <w:szCs w:val="24"/>
        </w:rPr>
        <w:t>Strategia Educația 2030</w:t>
      </w:r>
      <w:r w:rsidRPr="001F6026">
        <w:rPr>
          <w:rFonts w:ascii="Times New Roman" w:hAnsi="Times New Roman" w:cs="Times New Roman"/>
          <w:sz w:val="24"/>
          <w:szCs w:val="24"/>
        </w:rPr>
        <w:t xml:space="preserve"> și de o infrastructură digitală și instituțională care garantează </w:t>
      </w:r>
      <w:r w:rsidRPr="001F6026">
        <w:rPr>
          <w:rStyle w:val="af9"/>
          <w:rFonts w:ascii="Times New Roman" w:hAnsi="Times New Roman" w:cs="Times New Roman"/>
          <w:sz w:val="24"/>
          <w:szCs w:val="24"/>
        </w:rPr>
        <w:t>actualizări periodice</w:t>
      </w:r>
      <w:r w:rsidRPr="001F6026">
        <w:rPr>
          <w:rFonts w:ascii="Times New Roman" w:hAnsi="Times New Roman" w:cs="Times New Roman"/>
          <w:sz w:val="24"/>
          <w:szCs w:val="24"/>
        </w:rPr>
        <w:t xml:space="preserve">, </w:t>
      </w:r>
      <w:r w:rsidRPr="001F6026">
        <w:rPr>
          <w:rStyle w:val="af9"/>
          <w:rFonts w:ascii="Times New Roman" w:hAnsi="Times New Roman" w:cs="Times New Roman"/>
          <w:sz w:val="24"/>
          <w:szCs w:val="24"/>
        </w:rPr>
        <w:t>transparență publică</w:t>
      </w:r>
      <w:r w:rsidRPr="001F6026">
        <w:rPr>
          <w:rFonts w:ascii="Times New Roman" w:hAnsi="Times New Roman" w:cs="Times New Roman"/>
          <w:sz w:val="24"/>
          <w:szCs w:val="24"/>
        </w:rPr>
        <w:t xml:space="preserve"> și </w:t>
      </w:r>
      <w:r w:rsidRPr="001F6026">
        <w:rPr>
          <w:rStyle w:val="af9"/>
          <w:rFonts w:ascii="Times New Roman" w:hAnsi="Times New Roman" w:cs="Times New Roman"/>
          <w:sz w:val="24"/>
          <w:szCs w:val="24"/>
        </w:rPr>
        <w:t>încredere reciprocă</w:t>
      </w:r>
      <w:r w:rsidRPr="001F6026">
        <w:rPr>
          <w:rFonts w:ascii="Times New Roman" w:hAnsi="Times New Roman" w:cs="Times New Roman"/>
          <w:sz w:val="24"/>
          <w:szCs w:val="24"/>
        </w:rPr>
        <w:t>.</w:t>
      </w:r>
    </w:p>
    <w:p w14:paraId="563460C8" w14:textId="77777777" w:rsidR="008466A7" w:rsidRPr="001F6026" w:rsidRDefault="008466A7" w:rsidP="001D3856">
      <w:pPr>
        <w:spacing w:before="120" w:after="120" w:line="276" w:lineRule="auto"/>
        <w:rPr>
          <w:rFonts w:ascii="Times New Roman" w:eastAsia="MS Gothic" w:hAnsi="Times New Roman" w:cs="Times New Roman"/>
          <w:b/>
          <w:bCs/>
          <w:color w:val="3494BA" w:themeColor="accent1"/>
          <w:kern w:val="0"/>
          <w:sz w:val="24"/>
          <w:szCs w:val="24"/>
          <w14:ligatures w14:val="none"/>
        </w:rPr>
      </w:pPr>
    </w:p>
    <w:p w14:paraId="4884A6DF" w14:textId="77777777" w:rsidR="00651656" w:rsidRPr="001F6026" w:rsidRDefault="00651656" w:rsidP="00A41843">
      <w:pPr>
        <w:pStyle w:val="a7"/>
        <w:numPr>
          <w:ilvl w:val="1"/>
          <w:numId w:val="46"/>
        </w:numPr>
        <w:spacing w:before="120" w:after="120" w:line="276" w:lineRule="auto"/>
        <w:contextualSpacing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lastRenderedPageBreak/>
        <w:t>Criterii de referențiere a CNC la EQF</w:t>
      </w:r>
    </w:p>
    <w:p w14:paraId="1B84AB54" w14:textId="62652974" w:rsidR="00DE230D" w:rsidRPr="001F6026" w:rsidRDefault="00DE230D" w:rsidP="00DE230D">
      <w:pPr>
        <w:pStyle w:val="af8"/>
        <w:spacing w:before="120" w:beforeAutospacing="0" w:after="120" w:afterAutospacing="0" w:line="276" w:lineRule="auto"/>
        <w:jc w:val="both"/>
        <w:rPr>
          <w:b/>
          <w:bCs/>
        </w:rPr>
      </w:pPr>
      <w:r w:rsidRPr="001F6026">
        <w:rPr>
          <w:rStyle w:val="af9"/>
          <w:rFonts w:eastAsiaTheme="majorEastAsia"/>
          <w:b w:val="0"/>
          <w:bCs w:val="0"/>
        </w:rPr>
        <w:t>Procesul de referențiere a CNC la EQF este ghidat de un set de zece criterii și proceduri unitare, elaborate de Grupul Consultativ EQF și aprobate de Consiliul Uniunii Europene. Aceste criterii au rolul de a asigura coerența și credibilitatea procesului de comparare între nivelurile naționale și cele europene, precum și de a garanta transparența și recunoașterea calificărilor la nivel internațional.</w:t>
      </w:r>
    </w:p>
    <w:p w14:paraId="4BAD8072" w14:textId="77777777" w:rsidR="00DE230D" w:rsidRPr="001F6026" w:rsidRDefault="00DE230D" w:rsidP="00DE230D">
      <w:pPr>
        <w:pStyle w:val="af8"/>
        <w:spacing w:before="120" w:beforeAutospacing="0" w:after="120" w:afterAutospacing="0" w:line="276" w:lineRule="auto"/>
        <w:jc w:val="both"/>
        <w:rPr>
          <w:b/>
          <w:bCs/>
        </w:rPr>
      </w:pPr>
      <w:r w:rsidRPr="001F6026">
        <w:rPr>
          <w:rStyle w:val="af9"/>
          <w:rFonts w:eastAsiaTheme="majorEastAsia"/>
          <w:b w:val="0"/>
          <w:bCs w:val="0"/>
        </w:rPr>
        <w:t>Cele zece criterii stabilesc standardele metodologice și de calitate pentru descrierea nivelurilor de calificare prin prisma rezultatelor învățării, pentru implicarea părților interesate, pentru funcționarea mecanismelor de asigurare a calității și pentru vizibilitatea internațională a registrelor de calificări. Ele oferă o bază comună pentru dialogul dintre Republica Moldova și statele europene și consolidează încrederea reciprocă în calificările oferite de sistemul național de educație și formare.</w:t>
      </w:r>
    </w:p>
    <w:p w14:paraId="5A256177" w14:textId="6F86CAB9" w:rsidR="00DE230D" w:rsidRPr="001F6026" w:rsidRDefault="00DE230D" w:rsidP="00DE230D">
      <w:pPr>
        <w:pStyle w:val="af8"/>
        <w:spacing w:before="120" w:beforeAutospacing="0" w:after="120" w:afterAutospacing="0" w:line="276" w:lineRule="auto"/>
        <w:jc w:val="both"/>
        <w:rPr>
          <w:rStyle w:val="af9"/>
          <w:rFonts w:eastAsiaTheme="majorEastAsia"/>
          <w:b w:val="0"/>
          <w:bCs w:val="0"/>
        </w:rPr>
      </w:pPr>
      <w:r w:rsidRPr="001F6026">
        <w:rPr>
          <w:rStyle w:val="af9"/>
          <w:rFonts w:eastAsiaTheme="majorEastAsia"/>
          <w:b w:val="0"/>
          <w:bCs w:val="0"/>
        </w:rPr>
        <w:t xml:space="preserve">În acest context, Republica Moldova trebuie să demonstreze și să explice, pentru fiecare criteriu în parte, în ce măsură CNC respectă cerințele EQF. Acest exercițiu nu este doar o cerință tehnică, ci și o dovadă a angajamentului țării de a integra sistemul național de calificări în Spațiul European al Învățării pe </w:t>
      </w:r>
      <w:r w:rsidR="00D630FE" w:rsidRPr="001F6026">
        <w:rPr>
          <w:rStyle w:val="af9"/>
          <w:rFonts w:eastAsiaTheme="majorEastAsia"/>
          <w:b w:val="0"/>
          <w:bCs w:val="0"/>
        </w:rPr>
        <w:t>t</w:t>
      </w:r>
      <w:r w:rsidRPr="001F6026">
        <w:rPr>
          <w:rStyle w:val="af9"/>
          <w:rFonts w:eastAsiaTheme="majorEastAsia"/>
          <w:b w:val="0"/>
          <w:bCs w:val="0"/>
        </w:rPr>
        <w:t xml:space="preserve">ot </w:t>
      </w:r>
      <w:r w:rsidR="00D630FE" w:rsidRPr="001F6026">
        <w:rPr>
          <w:rStyle w:val="af9"/>
          <w:rFonts w:eastAsiaTheme="majorEastAsia"/>
          <w:b w:val="0"/>
          <w:bCs w:val="0"/>
        </w:rPr>
        <w:t>p</w:t>
      </w:r>
      <w:r w:rsidRPr="001F6026">
        <w:rPr>
          <w:rStyle w:val="af9"/>
          <w:rFonts w:eastAsiaTheme="majorEastAsia"/>
          <w:b w:val="0"/>
          <w:bCs w:val="0"/>
        </w:rPr>
        <w:t xml:space="preserve">arcursul </w:t>
      </w:r>
      <w:r w:rsidR="00D630FE" w:rsidRPr="001F6026">
        <w:rPr>
          <w:rStyle w:val="af9"/>
          <w:rFonts w:eastAsiaTheme="majorEastAsia"/>
          <w:b w:val="0"/>
          <w:bCs w:val="0"/>
        </w:rPr>
        <w:t>v</w:t>
      </w:r>
      <w:r w:rsidRPr="001F6026">
        <w:rPr>
          <w:rStyle w:val="af9"/>
          <w:rFonts w:eastAsiaTheme="majorEastAsia"/>
          <w:b w:val="0"/>
          <w:bCs w:val="0"/>
        </w:rPr>
        <w:t>ieții, asigurând transparența, comparabilitatea și recunoașterea calificărilor sale.</w:t>
      </w:r>
    </w:p>
    <w:p w14:paraId="490CF318" w14:textId="10646661" w:rsidR="007779CC" w:rsidRPr="001F6026" w:rsidRDefault="00CD0E9D" w:rsidP="00DE230D">
      <w:pPr>
        <w:pStyle w:val="af8"/>
        <w:spacing w:before="120" w:beforeAutospacing="0" w:after="120" w:afterAutospacing="0" w:line="276" w:lineRule="auto"/>
        <w:jc w:val="both"/>
      </w:pPr>
      <w:r w:rsidRPr="001F6026">
        <w:t>În continuare sunt prezentate cele zece criterii stabilite la nivel european, față de care Republica Moldova demonstrează conformitatea și prin care se validează referențierea CNC la EQF, aprobate de Consiliul Uniunii Europene și prevăzute în Recomandarea Consiliului din 22 mai 2017 privind Cadrul European al Calificărilor pentru învățarea pe tot parcursul vieții (2017/C 189/03)</w:t>
      </w:r>
      <w:r w:rsidR="000374E7" w:rsidRPr="001F6026">
        <w:t xml:space="preserve"> </w:t>
      </w:r>
      <w:r w:rsidR="00CF4F2D" w:rsidRPr="001F6026">
        <w:t>(</w:t>
      </w:r>
      <w:hyperlink r:id="rId44" w:history="1">
        <w:r w:rsidR="00CF4F2D" w:rsidRPr="001F6026">
          <w:rPr>
            <w:rStyle w:val="aff0"/>
          </w:rPr>
          <w:t>link</w:t>
        </w:r>
      </w:hyperlink>
      <w:r w:rsidR="00CF4F2D" w:rsidRPr="001F6026">
        <w:t>)</w:t>
      </w:r>
      <w:r w:rsidR="00914D1E" w:rsidRPr="001F6026">
        <w:t>.</w:t>
      </w:r>
    </w:p>
    <w:tbl>
      <w:tblPr>
        <w:tblStyle w:val="aff"/>
        <w:tblW w:w="0" w:type="auto"/>
        <w:tblBorders>
          <w:top w:val="single" w:sz="8" w:space="0" w:color="7FC0DB" w:themeColor="accent1" w:themeTint="99"/>
          <w:left w:val="single" w:sz="8" w:space="0" w:color="7FC0DB" w:themeColor="accent1" w:themeTint="99"/>
          <w:bottom w:val="single" w:sz="8" w:space="0" w:color="7FC0DB" w:themeColor="accent1" w:themeTint="99"/>
          <w:right w:val="single" w:sz="8" w:space="0" w:color="7FC0DB" w:themeColor="accent1" w:themeTint="99"/>
          <w:insideH w:val="single" w:sz="8" w:space="0" w:color="7FC0DB" w:themeColor="accent1" w:themeTint="99"/>
          <w:insideV w:val="single" w:sz="8" w:space="0" w:color="7FC0DB" w:themeColor="accent1" w:themeTint="99"/>
        </w:tblBorders>
        <w:tblLook w:val="04A0" w:firstRow="1" w:lastRow="0" w:firstColumn="1" w:lastColumn="0" w:noHBand="0" w:noVBand="1"/>
      </w:tblPr>
      <w:tblGrid>
        <w:gridCol w:w="10184"/>
      </w:tblGrid>
      <w:tr w:rsidR="000F056C" w:rsidRPr="001F6026" w14:paraId="7195B30B" w14:textId="77777777" w:rsidTr="000F056C">
        <w:tc>
          <w:tcPr>
            <w:tcW w:w="10194" w:type="dxa"/>
          </w:tcPr>
          <w:p w14:paraId="7E103AFC" w14:textId="77777777" w:rsidR="000F056C" w:rsidRPr="001F6026" w:rsidRDefault="000F056C" w:rsidP="00A41843">
            <w:pPr>
              <w:pStyle w:val="af8"/>
              <w:numPr>
                <w:ilvl w:val="1"/>
                <w:numId w:val="170"/>
              </w:numPr>
              <w:spacing w:before="120" w:after="120" w:line="276" w:lineRule="auto"/>
              <w:ind w:left="451" w:hanging="425"/>
              <w:jc w:val="both"/>
            </w:pPr>
            <w:r w:rsidRPr="001F6026">
              <w:t xml:space="preserve">Autoritățile competente stabilesc în mod clar și fac publice responsabilitățile și/sau competențele legale ale tuturor organismelor naționale relevante implicate în procesul de corelare. </w:t>
            </w:r>
          </w:p>
          <w:p w14:paraId="4FB3D4A0" w14:textId="77777777" w:rsidR="000F056C" w:rsidRPr="001F6026" w:rsidRDefault="000F056C" w:rsidP="00A41843">
            <w:pPr>
              <w:pStyle w:val="af8"/>
              <w:numPr>
                <w:ilvl w:val="1"/>
                <w:numId w:val="170"/>
              </w:numPr>
              <w:spacing w:before="120" w:after="120" w:line="276" w:lineRule="auto"/>
              <w:ind w:left="426" w:hanging="426"/>
              <w:jc w:val="both"/>
            </w:pPr>
            <w:r w:rsidRPr="001F6026">
              <w:t xml:space="preserve">Există o legătură clară și demonstrabilă între nivelurile calificărilor din cadrele sau sistemele naționale ale calificărilor și descriptorii nivelurilor CEC/EQF. </w:t>
            </w:r>
          </w:p>
          <w:p w14:paraId="40F0DA5D" w14:textId="77777777" w:rsidR="000F056C" w:rsidRPr="001F6026" w:rsidRDefault="000F056C" w:rsidP="00A41843">
            <w:pPr>
              <w:pStyle w:val="af8"/>
              <w:numPr>
                <w:ilvl w:val="1"/>
                <w:numId w:val="170"/>
              </w:numPr>
              <w:spacing w:before="120" w:after="120" w:line="276" w:lineRule="auto"/>
              <w:ind w:left="426" w:hanging="426"/>
              <w:jc w:val="both"/>
            </w:pPr>
            <w:r w:rsidRPr="001F6026">
              <w:t xml:space="preserve">Cadrele sau sistemele naționale ale calificărilor și calificările acestora sunt bazate pe principiul și obiectivul rezultatelor învățării și sunt legate de mecanisme de validare a învățării nonformale și informale, precum și de sisteme de credite, după caz. </w:t>
            </w:r>
          </w:p>
          <w:p w14:paraId="72F5EC43" w14:textId="77777777" w:rsidR="000F056C" w:rsidRPr="001F6026" w:rsidRDefault="000F056C" w:rsidP="00A41843">
            <w:pPr>
              <w:pStyle w:val="af8"/>
              <w:numPr>
                <w:ilvl w:val="1"/>
                <w:numId w:val="170"/>
              </w:numPr>
              <w:spacing w:before="120" w:after="120" w:line="276" w:lineRule="auto"/>
              <w:ind w:left="426" w:hanging="426"/>
              <w:jc w:val="both"/>
            </w:pPr>
            <w:r w:rsidRPr="001F6026">
              <w:t xml:space="preserve">Procedurile pentru includerea calificărilor în cadrul național al calificărilor sau pentru descrierea poziției calificărilor în sistemul național al calificărilor sunt transparente. </w:t>
            </w:r>
          </w:p>
          <w:p w14:paraId="5F75B54F" w14:textId="77777777" w:rsidR="000F056C" w:rsidRPr="001F6026" w:rsidRDefault="000F056C" w:rsidP="00A41843">
            <w:pPr>
              <w:pStyle w:val="af8"/>
              <w:numPr>
                <w:ilvl w:val="1"/>
                <w:numId w:val="170"/>
              </w:numPr>
              <w:spacing w:before="120" w:after="120" w:line="276" w:lineRule="auto"/>
              <w:ind w:left="426" w:hanging="426"/>
              <w:jc w:val="both"/>
            </w:pPr>
            <w:r w:rsidRPr="001F6026">
              <w:t xml:space="preserve">Sistemul (sistemele) național(e) de asigurare a calității în domeniul educației și formării profesionale se referă la cadrele sau sistemele naționale ale calificărilor și este (sunt) conform(e) cu principiile de asigurare a calității specificate în anexa IV a Recomandării Consiliului UE din 22 mai 2017. </w:t>
            </w:r>
          </w:p>
          <w:p w14:paraId="41B971FD" w14:textId="77777777" w:rsidR="000F056C" w:rsidRPr="001F6026" w:rsidRDefault="000F056C" w:rsidP="00A41843">
            <w:pPr>
              <w:pStyle w:val="af8"/>
              <w:numPr>
                <w:ilvl w:val="1"/>
                <w:numId w:val="170"/>
              </w:numPr>
              <w:spacing w:before="120" w:after="120" w:line="276" w:lineRule="auto"/>
              <w:ind w:left="426" w:hanging="426"/>
              <w:jc w:val="both"/>
            </w:pPr>
            <w:r w:rsidRPr="001F6026">
              <w:t xml:space="preserve">Procesul de corelare include confirmarea explicită a organismelor relevante de asigurare a calității privind conformitatea raportului de corelare cu mecanismele, dispozițiile și practicile naționale relevante de asigurare a calității. </w:t>
            </w:r>
          </w:p>
          <w:p w14:paraId="0256CC08" w14:textId="77777777" w:rsidR="000F056C" w:rsidRPr="001F6026" w:rsidRDefault="000F056C" w:rsidP="00A41843">
            <w:pPr>
              <w:pStyle w:val="af8"/>
              <w:numPr>
                <w:ilvl w:val="1"/>
                <w:numId w:val="170"/>
              </w:numPr>
              <w:spacing w:before="120" w:after="120" w:line="276" w:lineRule="auto"/>
              <w:ind w:left="426" w:hanging="426"/>
              <w:jc w:val="both"/>
            </w:pPr>
            <w:r w:rsidRPr="001F6026">
              <w:t xml:space="preserve">Procesul de corelare implică experți internaționali, iar rapoartele de corelare conțin o declarație scrisă referitoare la procesul de corelare, semnată de cel puțin doi experți internaționali din două țări diferite. </w:t>
            </w:r>
          </w:p>
          <w:p w14:paraId="56DE0F91" w14:textId="77777777" w:rsidR="000F056C" w:rsidRPr="001F6026" w:rsidRDefault="000F056C" w:rsidP="00A41843">
            <w:pPr>
              <w:pStyle w:val="af8"/>
              <w:numPr>
                <w:ilvl w:val="1"/>
                <w:numId w:val="170"/>
              </w:numPr>
              <w:spacing w:before="120" w:after="120" w:line="276" w:lineRule="auto"/>
              <w:ind w:left="426" w:hanging="426"/>
              <w:jc w:val="both"/>
            </w:pPr>
            <w:r w:rsidRPr="001F6026">
              <w:t>Autoritatea (autoritățile) competentă(e) certifică respectiva corelare a cadrelor sau sistemelor naționale ale calificărilor cu CEC. Autoritățile competente, inclusiv centrele naționale de coordonare pentru CEC, publică un raport detaliat care descrie procesul de corelare, precum și elementele care stau la baza acestuia, și analizează separat fiecare dintre criterii. Același raport poate fi utilizat pentru autocertificarea în temeiul Cadrului calificărilor pentru Spațiul european al învățământului superior, în conformitate cu criteriile de autocertificare ale acestuia din urmă.</w:t>
            </w:r>
          </w:p>
          <w:p w14:paraId="20082484" w14:textId="77777777" w:rsidR="000F056C" w:rsidRPr="001F6026" w:rsidRDefault="000F056C" w:rsidP="00A41843">
            <w:pPr>
              <w:pStyle w:val="af8"/>
              <w:numPr>
                <w:ilvl w:val="1"/>
                <w:numId w:val="170"/>
              </w:numPr>
              <w:spacing w:before="120" w:after="120" w:line="276" w:lineRule="auto"/>
              <w:ind w:left="426" w:hanging="426"/>
              <w:jc w:val="both"/>
            </w:pPr>
            <w:r w:rsidRPr="001F6026">
              <w:lastRenderedPageBreak/>
              <w:t>În termen de 6 luni de la corelare sau de la actualizarea raportului de corelare, statele membre și alte țări participante publică raportul de corelare și furnizează pe portalul european relevant informații relevante în scopul comparării.</w:t>
            </w:r>
          </w:p>
          <w:p w14:paraId="1EC473A8" w14:textId="4435AB37" w:rsidR="000F056C" w:rsidRPr="001F6026" w:rsidRDefault="000F056C" w:rsidP="00A41843">
            <w:pPr>
              <w:pStyle w:val="af8"/>
              <w:numPr>
                <w:ilvl w:val="1"/>
                <w:numId w:val="170"/>
              </w:numPr>
              <w:spacing w:before="120" w:after="120" w:line="276" w:lineRule="auto"/>
              <w:ind w:left="426" w:hanging="426"/>
              <w:jc w:val="both"/>
            </w:pPr>
            <w:r w:rsidRPr="001F6026">
              <w:t>După încheierea procesului de corelare, toate documentele nou eliberate în legătură cu calificări care fac parte din cadrele sau sistemele naționale ale calificărilor (de exemplu, certificate, diplome, suplimente la certificate, suplimente la diplome) și/sau cu registre ale calificărilor, eliberate de autoritățile competente, ar trebui să conțină o trimitere clară la nivelul CEC corespunzător, prin intermediul cadrelor sau sistemelor naționale ale calificărilor.</w:t>
            </w:r>
          </w:p>
        </w:tc>
      </w:tr>
    </w:tbl>
    <w:p w14:paraId="662D0C33" w14:textId="75BCE4CA" w:rsidR="00914D1E" w:rsidRPr="001F6026" w:rsidRDefault="00D630FE" w:rsidP="00486401">
      <w:pPr>
        <w:pStyle w:val="af8"/>
        <w:spacing w:before="120" w:beforeAutospacing="0" w:after="120" w:afterAutospacing="0" w:line="276" w:lineRule="auto"/>
        <w:jc w:val="both"/>
      </w:pPr>
      <w:r w:rsidRPr="001F6026">
        <w:lastRenderedPageBreak/>
        <w:t>Respectarea celor zece criterii constituie fundamentul credibilității și transparenței raportului de referențiere, oferind garanția că CNC al Republicii Moldova este pe deplin compatibil cu principiile europene și poate fi recunoscut ca parte integrantă a Spațiului European al Învățării pe tot parcursul vieții.</w:t>
      </w:r>
    </w:p>
    <w:p w14:paraId="6BB00BCC" w14:textId="380BA96C" w:rsidR="00AF20C5" w:rsidRPr="001F6026" w:rsidRDefault="00AF20C5" w:rsidP="00486401">
      <w:pPr>
        <w:pStyle w:val="af8"/>
        <w:spacing w:before="120" w:beforeAutospacing="0" w:after="120" w:afterAutospacing="0" w:line="276" w:lineRule="auto"/>
        <w:jc w:val="both"/>
        <w:rPr>
          <w:rFonts w:eastAsia="MS Gothic"/>
          <w:b/>
          <w:bCs/>
          <w:color w:val="3494BA" w:themeColor="accent1"/>
          <w:lang w:eastAsia="en-US"/>
        </w:rPr>
      </w:pPr>
      <w:r w:rsidRPr="001F6026">
        <w:rPr>
          <w:rFonts w:eastAsia="MS Gothic"/>
          <w:b/>
          <w:bCs/>
          <w:color w:val="3494BA" w:themeColor="accent1"/>
          <w:lang w:eastAsia="en-US"/>
        </w:rPr>
        <w:t>5.1.</w:t>
      </w:r>
      <w:r w:rsidRPr="001F6026">
        <w:rPr>
          <w:rFonts w:eastAsia="MS Gothic"/>
          <w:b/>
          <w:bCs/>
          <w:color w:val="3494BA" w:themeColor="accent1"/>
          <w:lang w:eastAsia="en-US"/>
        </w:rPr>
        <w:tab/>
        <w:t>Dovezi privind respectarea criteriilor de corelare a CNC la EQF</w:t>
      </w:r>
    </w:p>
    <w:p w14:paraId="34421171" w14:textId="68B840FA" w:rsidR="00486401" w:rsidRPr="001F6026" w:rsidRDefault="00486401" w:rsidP="00486401">
      <w:pPr>
        <w:pStyle w:val="af8"/>
        <w:spacing w:before="120" w:beforeAutospacing="0" w:after="120" w:afterAutospacing="0" w:line="276" w:lineRule="auto"/>
        <w:jc w:val="both"/>
      </w:pPr>
      <w:r w:rsidRPr="001F6026">
        <w:t>Prezenta secțiune prezintă, pentru fiecare dintre cele zece criterii stabilite la nivel european, dovezile care demonstrează conformitatea CNC al Republicii Moldova cu Recomandarea Consiliului din 22 mai 2017 privind EQF (2017/C 189/03). Evidențele includ baza legală și metodologică, descrierile nivelurilor în termeni de rezultate ale învățării, mecanismele de asigurare a calității, funcționarea RNC, implicarea părților interesate, precum și corespondența CNC–EQF/QF-EHEA, astfel încât să fie asigurate transparența, comparabilitatea și credibilitatea procesului de referențiere.”</w:t>
      </w:r>
    </w:p>
    <w:p w14:paraId="65A3FD15" w14:textId="5A10ED5F" w:rsidR="00486401" w:rsidRPr="001F6026" w:rsidRDefault="00486401" w:rsidP="00486401">
      <w:pPr>
        <w:pStyle w:val="af8"/>
        <w:spacing w:before="120" w:beforeAutospacing="0" w:after="120" w:afterAutospacing="0" w:line="276" w:lineRule="auto"/>
        <w:jc w:val="both"/>
      </w:pPr>
      <w:r w:rsidRPr="001F6026">
        <w:t>Pentru fiecare criteriu sunt prezentate: (a) descrierea cerinței, (b) dovezile principale, (c) trimiterea la documente/Anexe (acte normative, metodologii, rapoarte ANACEC, extrase RNC, tabele de corespondentă niveluri), precum și (d) concluzia privind gradul de îndeplinire</w:t>
      </w:r>
      <w:r w:rsidR="00F0333E" w:rsidRPr="001F6026">
        <w:t xml:space="preserve"> a criteriului</w:t>
      </w:r>
      <w:r w:rsidRPr="001F6026">
        <w:t>.</w:t>
      </w:r>
    </w:p>
    <w:p w14:paraId="26040D0F" w14:textId="77777777" w:rsidR="00A615DE" w:rsidRPr="001F6026" w:rsidRDefault="00A615DE" w:rsidP="00486401">
      <w:pPr>
        <w:pStyle w:val="af8"/>
        <w:spacing w:before="120" w:beforeAutospacing="0" w:after="120" w:afterAutospacing="0" w:line="276" w:lineRule="auto"/>
        <w:jc w:val="both"/>
      </w:pPr>
    </w:p>
    <w:p w14:paraId="7026A7E0" w14:textId="0A477A28" w:rsidR="00A615DE" w:rsidRPr="001F6026" w:rsidRDefault="00B4626F" w:rsidP="002D660C">
      <w:pPr>
        <w:spacing w:before="120" w:after="120" w:line="276" w:lineRule="auto"/>
        <w:outlineLvl w:val="2"/>
        <w:rPr>
          <w:rFonts w:ascii="Times New Roman" w:eastAsia="Times New Roman" w:hAnsi="Times New Roman" w:cs="Times New Roman"/>
          <w:b/>
          <w:bCs/>
          <w:kern w:val="0"/>
          <w:sz w:val="24"/>
          <w:szCs w:val="24"/>
          <w:lang w:eastAsia="ro-MD"/>
          <w14:ligatures w14:val="none"/>
        </w:rPr>
      </w:pPr>
      <w:r w:rsidRPr="001F6026">
        <w:rPr>
          <w:rFonts w:ascii="Times New Roman" w:hAnsi="Times New Roman" w:cs="Times New Roman"/>
          <w:b/>
          <w:bCs/>
          <w:color w:val="3494BA" w:themeColor="accent1"/>
          <w:sz w:val="24"/>
          <w:szCs w:val="24"/>
        </w:rPr>
        <w:t xml:space="preserve">CRITERIUL 1 </w:t>
      </w:r>
      <w:r w:rsidR="00A615DE" w:rsidRPr="001F6026">
        <w:rPr>
          <w:rFonts w:ascii="Times New Roman" w:hAnsi="Times New Roman" w:cs="Times New Roman"/>
          <w:b/>
          <w:bCs/>
          <w:color w:val="3494BA" w:themeColor="accent1"/>
          <w:sz w:val="24"/>
          <w:szCs w:val="24"/>
        </w:rPr>
        <w:t>- Responsabilitățile și rolurile actorilor implicați</w:t>
      </w:r>
      <w:r w:rsidR="00A615DE" w:rsidRPr="001F6026">
        <w:rPr>
          <w:rFonts w:ascii="Times New Roman" w:eastAsia="Times New Roman" w:hAnsi="Times New Roman" w:cs="Times New Roman"/>
          <w:b/>
          <w:bCs/>
          <w:kern w:val="0"/>
          <w:sz w:val="24"/>
          <w:szCs w:val="24"/>
          <w:lang w:eastAsia="ro-MD"/>
          <w14:ligatures w14:val="none"/>
        </w:rPr>
        <w:t xml:space="preserve"> </w:t>
      </w:r>
    </w:p>
    <w:tbl>
      <w:tblPr>
        <w:tblStyle w:val="aff"/>
        <w:tblW w:w="10204" w:type="dxa"/>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10204"/>
      </w:tblGrid>
      <w:tr w:rsidR="00A615DE" w:rsidRPr="001F6026" w14:paraId="14D0502C" w14:textId="77777777" w:rsidTr="001909DE">
        <w:trPr>
          <w:trHeight w:val="908"/>
        </w:trPr>
        <w:tc>
          <w:tcPr>
            <w:tcW w:w="10204" w:type="dxa"/>
          </w:tcPr>
          <w:p w14:paraId="160339E2" w14:textId="3935FD31" w:rsidR="00A615DE" w:rsidRPr="001F6026" w:rsidRDefault="00181F1F" w:rsidP="002D660C">
            <w:pPr>
              <w:spacing w:before="120" w:after="120" w:line="276" w:lineRule="auto"/>
              <w:jc w:val="both"/>
              <w:rPr>
                <w:rFonts w:ascii="Times New Roman" w:hAnsi="Times New Roman" w:cs="Times New Roman"/>
                <w:sz w:val="24"/>
                <w:szCs w:val="24"/>
              </w:rPr>
            </w:pPr>
            <w:bookmarkStart w:id="12" w:name="_Hlk208858776"/>
            <w:r w:rsidRPr="001F6026">
              <w:rPr>
                <w:rFonts w:ascii="Times New Roman" w:hAnsi="Times New Roman" w:cs="Times New Roman"/>
                <w:i/>
                <w:iCs/>
                <w:color w:val="3494BA" w:themeColor="accent1"/>
                <w:sz w:val="24"/>
                <w:szCs w:val="24"/>
              </w:rPr>
              <w:t>Definiție:</w:t>
            </w:r>
            <w:r w:rsidRPr="001F6026">
              <w:rPr>
                <w:rFonts w:ascii="Times New Roman" w:hAnsi="Times New Roman" w:cs="Times New Roman"/>
                <w:sz w:val="24"/>
                <w:szCs w:val="24"/>
              </w:rPr>
              <w:t xml:space="preserve"> </w:t>
            </w:r>
            <w:r w:rsidR="00A615DE" w:rsidRPr="001F6026">
              <w:rPr>
                <w:rFonts w:ascii="Times New Roman" w:hAnsi="Times New Roman" w:cs="Times New Roman"/>
                <w:sz w:val="24"/>
                <w:szCs w:val="24"/>
              </w:rPr>
              <w:t>Autoritățile competente stabilesc în mod clar și fac publice responsabilitățile și/sau competențele legale ale tuturor organismelor naționale relevante implicate în procesul de corelare.</w:t>
            </w:r>
          </w:p>
        </w:tc>
      </w:tr>
    </w:tbl>
    <w:bookmarkEnd w:id="12"/>
    <w:p w14:paraId="36F6C452" w14:textId="77777777" w:rsidR="00CE2C35" w:rsidRPr="001F6026" w:rsidRDefault="00CE2C35" w:rsidP="00CE2C35">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Aspecte cheie pentru Criteriul 1:</w:t>
      </w:r>
    </w:p>
    <w:p w14:paraId="33D65395" w14:textId="77777777" w:rsidR="00CE2C35" w:rsidRPr="001F6026" w:rsidRDefault="00CE2C35" w:rsidP="00CE2C35">
      <w:pPr>
        <w:spacing w:before="120" w:after="120" w:line="276" w:lineRule="auto"/>
        <w:jc w:val="both"/>
        <w:rPr>
          <w:rFonts w:ascii="Times New Roman" w:eastAsia="Times New Roman" w:hAnsi="Times New Roman" w:cs="Times New Roman"/>
          <w:color w:val="3494BA" w:themeColor="accent1"/>
          <w:kern w:val="0"/>
          <w:sz w:val="24"/>
          <w:szCs w:val="24"/>
          <w:lang w:eastAsia="ro-MD"/>
          <w14:ligatures w14:val="none"/>
        </w:rPr>
      </w:pPr>
      <w:r w:rsidRPr="001F6026">
        <w:rPr>
          <w:rFonts w:ascii="Times New Roman" w:eastAsia="Times New Roman" w:hAnsi="Times New Roman" w:cs="Times New Roman"/>
          <w:color w:val="3494BA" w:themeColor="accent1"/>
          <w:kern w:val="0"/>
          <w:sz w:val="24"/>
          <w:szCs w:val="24"/>
          <w:lang w:eastAsia="ro-MD"/>
          <w14:ligatures w14:val="none"/>
        </w:rPr>
        <w:t>•</w:t>
      </w:r>
      <w:r w:rsidRPr="001F6026">
        <w:rPr>
          <w:rFonts w:ascii="Times New Roman" w:eastAsia="Times New Roman" w:hAnsi="Times New Roman" w:cs="Times New Roman"/>
          <w:color w:val="3494BA" w:themeColor="accent1"/>
          <w:kern w:val="0"/>
          <w:sz w:val="24"/>
          <w:szCs w:val="24"/>
          <w:lang w:eastAsia="ro-MD"/>
          <w14:ligatures w14:val="none"/>
        </w:rPr>
        <w:tab/>
        <w:t>Responsabilitatea generală privind coordonarea CNC și implementarea de zi cu zi a acestuia;</w:t>
      </w:r>
    </w:p>
    <w:p w14:paraId="14AE47A7" w14:textId="40515425" w:rsidR="006F6FD7" w:rsidRPr="001F6026" w:rsidRDefault="00CE2C35" w:rsidP="00CE2C35">
      <w:pPr>
        <w:spacing w:before="120" w:after="120" w:line="276" w:lineRule="auto"/>
        <w:jc w:val="both"/>
        <w:rPr>
          <w:rFonts w:ascii="Times New Roman" w:eastAsia="Times New Roman" w:hAnsi="Times New Roman" w:cs="Times New Roman"/>
          <w:color w:val="3494BA" w:themeColor="accent1"/>
          <w:kern w:val="0"/>
          <w:sz w:val="24"/>
          <w:szCs w:val="24"/>
          <w:lang w:eastAsia="ro-MD"/>
          <w14:ligatures w14:val="none"/>
        </w:rPr>
      </w:pPr>
      <w:r w:rsidRPr="001F6026">
        <w:rPr>
          <w:rFonts w:ascii="Times New Roman" w:eastAsia="Times New Roman" w:hAnsi="Times New Roman" w:cs="Times New Roman"/>
          <w:color w:val="3494BA" w:themeColor="accent1"/>
          <w:kern w:val="0"/>
          <w:sz w:val="24"/>
          <w:szCs w:val="24"/>
          <w:lang w:eastAsia="ro-MD"/>
          <w14:ligatures w14:val="none"/>
        </w:rPr>
        <w:t>•</w:t>
      </w:r>
      <w:r w:rsidRPr="001F6026">
        <w:rPr>
          <w:rFonts w:ascii="Times New Roman" w:eastAsia="Times New Roman" w:hAnsi="Times New Roman" w:cs="Times New Roman"/>
          <w:color w:val="3494BA" w:themeColor="accent1"/>
          <w:kern w:val="0"/>
          <w:sz w:val="24"/>
          <w:szCs w:val="24"/>
          <w:lang w:eastAsia="ro-MD"/>
          <w14:ligatures w14:val="none"/>
        </w:rPr>
        <w:tab/>
        <w:t>Lista părților interesate implicate în procesul de referențiere și în implementarea CNC.</w:t>
      </w:r>
    </w:p>
    <w:p w14:paraId="05CE7A52" w14:textId="1C7AD2D6" w:rsidR="00CB632D" w:rsidRDefault="00CB632D" w:rsidP="00C40433">
      <w:pPr>
        <w:spacing w:before="120" w:after="120" w:line="276" w:lineRule="auto"/>
        <w:jc w:val="both"/>
        <w:rPr>
          <w:rFonts w:ascii="Times New Roman" w:eastAsia="Times New Roman" w:hAnsi="Times New Roman" w:cs="Times New Roman"/>
          <w:kern w:val="0"/>
          <w:sz w:val="24"/>
          <w:szCs w:val="24"/>
          <w:lang w:eastAsia="ro-MD"/>
          <w14:ligatures w14:val="none"/>
        </w:rPr>
      </w:pPr>
      <w:r w:rsidRPr="00CB632D">
        <w:rPr>
          <w:rFonts w:ascii="Times New Roman" w:eastAsia="Times New Roman" w:hAnsi="Times New Roman" w:cs="Times New Roman"/>
          <w:b/>
          <w:bCs/>
          <w:kern w:val="0"/>
          <w:sz w:val="24"/>
          <w:szCs w:val="24"/>
          <w:lang w:eastAsia="ro-MD"/>
          <w14:ligatures w14:val="none"/>
        </w:rPr>
        <w:t>Criteriul 1</w:t>
      </w:r>
      <w:r w:rsidRPr="00CB632D">
        <w:rPr>
          <w:rFonts w:ascii="Times New Roman" w:eastAsia="Times New Roman" w:hAnsi="Times New Roman" w:cs="Times New Roman"/>
          <w:kern w:val="0"/>
          <w:sz w:val="24"/>
          <w:szCs w:val="24"/>
          <w:lang w:eastAsia="ro-MD"/>
          <w14:ligatures w14:val="none"/>
        </w:rPr>
        <w:t xml:space="preserve"> demonstrează existența unui cadru instituțional clar, participativ și transparent de guvernanță a Cadrului Național al Calificărilor, în conformitate cu principiile stabilite de EQF Advisory Group și cu Recomandarea Consiliului Uniunii Europene din 22 mai 2017 privind Cadrul European al Calificărilor.</w:t>
      </w:r>
    </w:p>
    <w:p w14:paraId="187C55C7" w14:textId="4D27AAC1" w:rsidR="00612F08" w:rsidRPr="001267B5" w:rsidRDefault="00612F08" w:rsidP="00C40433">
      <w:pPr>
        <w:spacing w:before="120" w:after="120" w:line="276" w:lineRule="auto"/>
        <w:jc w:val="both"/>
        <w:rPr>
          <w:rFonts w:ascii="Times New Roman" w:eastAsia="Times New Roman" w:hAnsi="Times New Roman" w:cs="Times New Roman"/>
          <w:kern w:val="0"/>
          <w:sz w:val="24"/>
          <w:szCs w:val="24"/>
          <w:lang w:eastAsia="ro-MD"/>
          <w14:ligatures w14:val="none"/>
        </w:rPr>
      </w:pPr>
      <w:r w:rsidRPr="001267B5">
        <w:rPr>
          <w:rFonts w:ascii="Times New Roman" w:eastAsia="Times New Roman" w:hAnsi="Times New Roman" w:cs="Times New Roman"/>
          <w:kern w:val="0"/>
          <w:sz w:val="24"/>
          <w:szCs w:val="24"/>
          <w:lang w:eastAsia="ro-MD"/>
          <w14:ligatures w14:val="none"/>
        </w:rPr>
        <w:t xml:space="preserve">Procesul de dezvoltare și </w:t>
      </w:r>
      <w:r w:rsidR="001909DE" w:rsidRPr="001267B5">
        <w:rPr>
          <w:rFonts w:ascii="Times New Roman" w:eastAsia="Times New Roman" w:hAnsi="Times New Roman" w:cs="Times New Roman"/>
          <w:kern w:val="0"/>
          <w:sz w:val="24"/>
          <w:szCs w:val="24"/>
          <w:lang w:eastAsia="ro-MD"/>
          <w14:ligatures w14:val="none"/>
        </w:rPr>
        <w:t xml:space="preserve">de </w:t>
      </w:r>
      <w:r w:rsidRPr="001267B5">
        <w:rPr>
          <w:rFonts w:ascii="Times New Roman" w:eastAsia="Times New Roman" w:hAnsi="Times New Roman" w:cs="Times New Roman"/>
          <w:kern w:val="0"/>
          <w:sz w:val="24"/>
          <w:szCs w:val="24"/>
          <w:lang w:eastAsia="ro-MD"/>
          <w14:ligatures w14:val="none"/>
        </w:rPr>
        <w:t xml:space="preserve">referențiere a CNC la EQF este fundamentat juridic printr-un set de acte normative care stabilesc o </w:t>
      </w:r>
      <w:r w:rsidRPr="001267B5">
        <w:rPr>
          <w:rFonts w:ascii="Times New Roman" w:eastAsia="Times New Roman" w:hAnsi="Times New Roman" w:cs="Times New Roman"/>
          <w:b/>
          <w:bCs/>
          <w:kern w:val="0"/>
          <w:sz w:val="24"/>
          <w:szCs w:val="24"/>
          <w:lang w:eastAsia="ro-MD"/>
          <w14:ligatures w14:val="none"/>
        </w:rPr>
        <w:t>abordare participativă și transparentă</w:t>
      </w:r>
      <w:r w:rsidRPr="001267B5">
        <w:rPr>
          <w:rFonts w:ascii="Times New Roman" w:eastAsia="Times New Roman" w:hAnsi="Times New Roman" w:cs="Times New Roman"/>
          <w:kern w:val="0"/>
          <w:sz w:val="24"/>
          <w:szCs w:val="24"/>
          <w:lang w:eastAsia="ro-MD"/>
          <w14:ligatures w14:val="none"/>
        </w:rPr>
        <w:t>.</w:t>
      </w:r>
    </w:p>
    <w:p w14:paraId="490E9C99" w14:textId="2BA5CA8B" w:rsidR="00A57D47" w:rsidRDefault="00A57D47" w:rsidP="00C40433">
      <w:pPr>
        <w:spacing w:before="120" w:after="120" w:line="276" w:lineRule="auto"/>
        <w:jc w:val="both"/>
        <w:rPr>
          <w:rFonts w:ascii="Times New Roman" w:hAnsi="Times New Roman" w:cs="Times New Roman"/>
          <w:color w:val="333333"/>
          <w:sz w:val="24"/>
          <w:szCs w:val="24"/>
          <w:shd w:val="clear" w:color="auto" w:fill="FFFFFF"/>
        </w:rPr>
      </w:pPr>
      <w:r w:rsidRPr="001267B5">
        <w:rPr>
          <w:rFonts w:ascii="Times New Roman" w:hAnsi="Times New Roman" w:cs="Times New Roman"/>
          <w:color w:val="333333"/>
          <w:sz w:val="24"/>
          <w:szCs w:val="24"/>
          <w:shd w:val="clear" w:color="auto" w:fill="FFFFFF"/>
        </w:rPr>
        <w:t xml:space="preserve">Conform Codului Edicației </w:t>
      </w:r>
      <w:r w:rsidR="00805081" w:rsidRPr="001267B5">
        <w:rPr>
          <w:rFonts w:ascii="Times New Roman" w:hAnsi="Times New Roman" w:cs="Times New Roman"/>
          <w:color w:val="333333"/>
          <w:sz w:val="24"/>
          <w:szCs w:val="24"/>
          <w:shd w:val="clear" w:color="auto" w:fill="FFFFFF"/>
        </w:rPr>
        <w:t>512/2014, Art. 11</w:t>
      </w:r>
      <w:r w:rsidR="00805081" w:rsidRPr="001267B5">
        <w:rPr>
          <w:rFonts w:ascii="Times New Roman" w:hAnsi="Times New Roman" w:cs="Times New Roman"/>
          <w:color w:val="333333"/>
          <w:sz w:val="24"/>
          <w:szCs w:val="24"/>
          <w:shd w:val="clear" w:color="auto" w:fill="FFFFFF"/>
          <w:vertAlign w:val="superscript"/>
        </w:rPr>
        <w:t>1</w:t>
      </w:r>
      <w:r w:rsidR="00805081" w:rsidRPr="001267B5">
        <w:rPr>
          <w:rFonts w:ascii="Times New Roman" w:hAnsi="Times New Roman" w:cs="Times New Roman"/>
          <w:color w:val="333333"/>
          <w:sz w:val="24"/>
          <w:szCs w:val="24"/>
          <w:shd w:val="clear" w:color="auto" w:fill="FFFFFF"/>
        </w:rPr>
        <w:t>, (2), CNC</w:t>
      </w:r>
      <w:r w:rsidRPr="001267B5">
        <w:rPr>
          <w:rFonts w:ascii="Times New Roman" w:hAnsi="Times New Roman" w:cs="Times New Roman"/>
          <w:color w:val="333333"/>
          <w:sz w:val="24"/>
          <w:szCs w:val="24"/>
          <w:shd w:val="clear" w:color="auto" w:fill="FFFFFF"/>
        </w:rPr>
        <w:t xml:space="preserve"> se elaborează și se implementează de Ministerul Educației și Cercetării, în colaborare cu autoritățile administrației publice centrale, instituțiile de învățământ, agenții economici, alți parteneri sociali, și se aprobă de Guvern.</w:t>
      </w:r>
    </w:p>
    <w:p w14:paraId="7C054609" w14:textId="77777777" w:rsidR="00C04190" w:rsidRPr="00C04190" w:rsidRDefault="00C04190" w:rsidP="00C40433">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C04190">
        <w:rPr>
          <w:rFonts w:ascii="Times New Roman" w:eastAsia="Times New Roman" w:hAnsi="Times New Roman" w:cs="Times New Roman"/>
          <w:b/>
          <w:bCs/>
          <w:color w:val="3494BA" w:themeColor="accent1"/>
          <w:kern w:val="0"/>
          <w:sz w:val="24"/>
          <w:szCs w:val="24"/>
          <w:lang w:val="ro-MD" w:eastAsia="ro-MD"/>
          <w14:ligatures w14:val="none"/>
        </w:rPr>
        <w:t>Ministerul Educației și Cercetării (MEC)</w:t>
      </w:r>
    </w:p>
    <w:p w14:paraId="715CC0A7" w14:textId="3D0FD468" w:rsidR="00C04190" w:rsidRPr="00C04190" w:rsidRDefault="00767809" w:rsidP="00C40433">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lastRenderedPageBreak/>
        <w:t>MEC</w:t>
      </w:r>
      <w:r w:rsidR="00C04190" w:rsidRPr="00C04190">
        <w:rPr>
          <w:rFonts w:ascii="Times New Roman" w:eastAsia="Times New Roman" w:hAnsi="Times New Roman" w:cs="Times New Roman"/>
          <w:kern w:val="0"/>
          <w:sz w:val="24"/>
          <w:szCs w:val="24"/>
          <w:lang w:val="ro-MD" w:eastAsia="ro-MD"/>
          <w14:ligatures w14:val="none"/>
        </w:rPr>
        <w:t xml:space="preserve"> este autoritatea publică centrală responsabilă de elaborarea, implementarea și monitorizarea politicilor în domeniul calificărilor, exercitând rolul principal în coordonarea procesului de dezvoltare și referențiere a CNC.</w:t>
      </w:r>
    </w:p>
    <w:p w14:paraId="0E57AA67" w14:textId="36F08C0B" w:rsidR="00C04190" w:rsidRPr="00C04190" w:rsidRDefault="00C04190" w:rsidP="00C40433">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C04190">
        <w:rPr>
          <w:rFonts w:ascii="Times New Roman" w:eastAsia="Times New Roman" w:hAnsi="Times New Roman" w:cs="Times New Roman"/>
          <w:kern w:val="0"/>
          <w:sz w:val="24"/>
          <w:szCs w:val="24"/>
          <w:lang w:val="ro-MD" w:eastAsia="ro-MD"/>
          <w14:ligatures w14:val="none"/>
        </w:rPr>
        <w:t>În conformitate cu Codul educației nr. 152/2014</w:t>
      </w:r>
      <w:r w:rsidR="00DB6428">
        <w:rPr>
          <w:rFonts w:ascii="Times New Roman" w:eastAsia="Times New Roman" w:hAnsi="Times New Roman" w:cs="Times New Roman"/>
          <w:kern w:val="0"/>
          <w:sz w:val="24"/>
          <w:szCs w:val="24"/>
          <w:lang w:val="ro-MD" w:eastAsia="ro-MD"/>
          <w14:ligatures w14:val="none"/>
        </w:rPr>
        <w:t>, Art. 11</w:t>
      </w:r>
      <w:r w:rsidR="00DB6428" w:rsidRPr="00DB6428">
        <w:rPr>
          <w:rFonts w:ascii="Times New Roman" w:eastAsia="Times New Roman" w:hAnsi="Times New Roman" w:cs="Times New Roman"/>
          <w:kern w:val="0"/>
          <w:sz w:val="24"/>
          <w:szCs w:val="24"/>
          <w:vertAlign w:val="superscript"/>
          <w:lang w:val="ro-MD" w:eastAsia="ro-MD"/>
          <w14:ligatures w14:val="none"/>
        </w:rPr>
        <w:t>1</w:t>
      </w:r>
      <w:r w:rsidRPr="00C04190">
        <w:rPr>
          <w:rFonts w:ascii="Times New Roman" w:eastAsia="Times New Roman" w:hAnsi="Times New Roman" w:cs="Times New Roman"/>
          <w:kern w:val="0"/>
          <w:sz w:val="24"/>
          <w:szCs w:val="24"/>
          <w:lang w:val="ro-MD" w:eastAsia="ro-MD"/>
          <w14:ligatures w14:val="none"/>
        </w:rPr>
        <w:t>, M</w:t>
      </w:r>
      <w:r w:rsidR="00767809">
        <w:rPr>
          <w:rFonts w:ascii="Times New Roman" w:eastAsia="Times New Roman" w:hAnsi="Times New Roman" w:cs="Times New Roman"/>
          <w:kern w:val="0"/>
          <w:sz w:val="24"/>
          <w:szCs w:val="24"/>
          <w:lang w:val="ro-MD" w:eastAsia="ro-MD"/>
          <w14:ligatures w14:val="none"/>
        </w:rPr>
        <w:t>EC</w:t>
      </w:r>
      <w:r w:rsidRPr="00C04190">
        <w:rPr>
          <w:rFonts w:ascii="Times New Roman" w:eastAsia="Times New Roman" w:hAnsi="Times New Roman" w:cs="Times New Roman"/>
          <w:kern w:val="0"/>
          <w:sz w:val="24"/>
          <w:szCs w:val="24"/>
          <w:lang w:val="ro-MD" w:eastAsia="ro-MD"/>
          <w14:ligatures w14:val="none"/>
        </w:rPr>
        <w:t xml:space="preserve"> are următoarele responsabilități-cheie relevante pentru procesul de referențiere:</w:t>
      </w:r>
    </w:p>
    <w:p w14:paraId="5430DBE7" w14:textId="77777777" w:rsidR="00C04190" w:rsidRPr="00C04190" w:rsidRDefault="00C04190" w:rsidP="00A41843">
      <w:pPr>
        <w:numPr>
          <w:ilvl w:val="0"/>
          <w:numId w:val="16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C04190">
        <w:rPr>
          <w:rFonts w:ascii="Times New Roman" w:eastAsia="Times New Roman" w:hAnsi="Times New Roman" w:cs="Times New Roman"/>
          <w:kern w:val="0"/>
          <w:sz w:val="24"/>
          <w:szCs w:val="24"/>
          <w:lang w:val="ro-MD" w:eastAsia="ro-MD"/>
          <w14:ligatures w14:val="none"/>
        </w:rPr>
        <w:t>Elaborează și aprobă procedurile privind evaluarea, recunoașterea, validarea și certificarea calificărilor obținute în sistemul educațional național și în străinătate, asigurând coerența acestora cu principiile EQF și QF-EHEA;</w:t>
      </w:r>
    </w:p>
    <w:p w14:paraId="71710661" w14:textId="263E33E2" w:rsidR="00C04190" w:rsidRPr="00C04190" w:rsidRDefault="00C04190" w:rsidP="00A41843">
      <w:pPr>
        <w:numPr>
          <w:ilvl w:val="0"/>
          <w:numId w:val="16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C04190">
        <w:rPr>
          <w:rFonts w:ascii="Times New Roman" w:eastAsia="Times New Roman" w:hAnsi="Times New Roman" w:cs="Times New Roman"/>
          <w:kern w:val="0"/>
          <w:sz w:val="24"/>
          <w:szCs w:val="24"/>
          <w:lang w:val="ro-MD" w:eastAsia="ro-MD"/>
          <w14:ligatures w14:val="none"/>
        </w:rPr>
        <w:t xml:space="preserve">Elaborează Raportul de referențiere a </w:t>
      </w:r>
      <w:r w:rsidR="0014409B">
        <w:rPr>
          <w:rFonts w:ascii="Times New Roman" w:eastAsia="Times New Roman" w:hAnsi="Times New Roman" w:cs="Times New Roman"/>
          <w:kern w:val="0"/>
          <w:sz w:val="24"/>
          <w:szCs w:val="24"/>
          <w:lang w:val="ro-MD" w:eastAsia="ro-MD"/>
          <w14:ligatures w14:val="none"/>
        </w:rPr>
        <w:t>CNC</w:t>
      </w:r>
      <w:r w:rsidRPr="00C04190">
        <w:rPr>
          <w:rFonts w:ascii="Times New Roman" w:eastAsia="Times New Roman" w:hAnsi="Times New Roman" w:cs="Times New Roman"/>
          <w:kern w:val="0"/>
          <w:sz w:val="24"/>
          <w:szCs w:val="24"/>
          <w:lang w:val="ro-MD" w:eastAsia="ro-MD"/>
          <w14:ligatures w14:val="none"/>
        </w:rPr>
        <w:t xml:space="preserve"> la EQF și, respectiv, Raportul de autocertificare față de QF-EHEA, în conformitate cu procedurile și criteriile stabilite la nivel european;</w:t>
      </w:r>
    </w:p>
    <w:p w14:paraId="180EB2CC" w14:textId="6A4F0ADC" w:rsidR="00C04190" w:rsidRPr="00C04190" w:rsidRDefault="00C04190" w:rsidP="00A41843">
      <w:pPr>
        <w:numPr>
          <w:ilvl w:val="0"/>
          <w:numId w:val="16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C04190">
        <w:rPr>
          <w:rFonts w:ascii="Times New Roman" w:eastAsia="Times New Roman" w:hAnsi="Times New Roman" w:cs="Times New Roman"/>
          <w:kern w:val="0"/>
          <w:sz w:val="24"/>
          <w:szCs w:val="24"/>
          <w:lang w:val="ro-MD" w:eastAsia="ro-MD"/>
          <w14:ligatures w14:val="none"/>
        </w:rPr>
        <w:t>Elaborează și aprobă procedurile de înscriere a calificărilor în RNC, asigurând trasabilitatea, transparența și actualizarea permanentă a informațiilor privind calificările recunoscute oficial.</w:t>
      </w:r>
    </w:p>
    <w:p w14:paraId="5CC63C3D" w14:textId="77777777" w:rsidR="004B664D" w:rsidRPr="004B664D" w:rsidRDefault="004B664D" w:rsidP="004B664D">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4B664D">
        <w:rPr>
          <w:rFonts w:ascii="Times New Roman" w:eastAsia="Times New Roman" w:hAnsi="Times New Roman" w:cs="Times New Roman"/>
          <w:kern w:val="0"/>
          <w:sz w:val="24"/>
          <w:szCs w:val="24"/>
          <w:lang w:val="ro-MD" w:eastAsia="ro-MD"/>
          <w14:ligatures w14:val="none"/>
        </w:rPr>
        <w:t>Astfel, potrivit Codului educației, Ministerul Educației și Cercetării (MEC) are rolul de a asigura guvernanța strategică a sistemului național al calificărilor și de a garanta alinierea acestuia la principiile europene de transparență, comparabilitate și asigurare a calității.</w:t>
      </w:r>
    </w:p>
    <w:p w14:paraId="3CEF43CA" w14:textId="3F038DE3" w:rsidR="004B664D" w:rsidRDefault="004B664D" w:rsidP="004B664D">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4B664D">
        <w:rPr>
          <w:rFonts w:ascii="Times New Roman" w:eastAsia="Times New Roman" w:hAnsi="Times New Roman" w:cs="Times New Roman"/>
          <w:kern w:val="0"/>
          <w:sz w:val="24"/>
          <w:szCs w:val="24"/>
          <w:lang w:val="ro-MD" w:eastAsia="ro-MD"/>
          <w14:ligatures w14:val="none"/>
        </w:rPr>
        <w:t xml:space="preserve">În conformitate cu </w:t>
      </w:r>
      <w:r w:rsidR="00FF6190">
        <w:rPr>
          <w:rFonts w:ascii="Times New Roman" w:eastAsia="Times New Roman" w:hAnsi="Times New Roman" w:cs="Times New Roman"/>
          <w:kern w:val="0"/>
          <w:sz w:val="24"/>
          <w:szCs w:val="24"/>
          <w:lang w:val="ro-MD" w:eastAsia="ro-MD"/>
          <w14:ligatures w14:val="none"/>
        </w:rPr>
        <w:t>HG</w:t>
      </w:r>
      <w:r w:rsidRPr="004B664D">
        <w:rPr>
          <w:rFonts w:ascii="Times New Roman" w:eastAsia="Times New Roman" w:hAnsi="Times New Roman" w:cs="Times New Roman"/>
          <w:kern w:val="0"/>
          <w:sz w:val="24"/>
          <w:szCs w:val="24"/>
          <w:lang w:val="ro-MD" w:eastAsia="ro-MD"/>
          <w14:ligatures w14:val="none"/>
        </w:rPr>
        <w:t xml:space="preserve"> nr. 330/2023 privind Cadrul Național al Calificărilor</w:t>
      </w:r>
      <w:r w:rsidR="008510B3">
        <w:rPr>
          <w:rFonts w:ascii="Times New Roman" w:eastAsia="Times New Roman" w:hAnsi="Times New Roman" w:cs="Times New Roman"/>
          <w:kern w:val="0"/>
          <w:sz w:val="24"/>
          <w:szCs w:val="24"/>
          <w:lang w:val="ro-MD" w:eastAsia="ro-MD"/>
          <w14:ligatures w14:val="none"/>
        </w:rPr>
        <w:t xml:space="preserve"> </w:t>
      </w:r>
      <w:hyperlink r:id="rId45" w:history="1">
        <w:r w:rsidR="008510B3" w:rsidRPr="008510B3">
          <w:rPr>
            <w:rStyle w:val="aff0"/>
            <w:rFonts w:ascii="Times New Roman" w:eastAsia="Times New Roman" w:hAnsi="Times New Roman" w:cs="Times New Roman"/>
            <w:kern w:val="0"/>
            <w:sz w:val="24"/>
            <w:szCs w:val="24"/>
            <w:lang w:val="ro-MD" w:eastAsia="ro-MD"/>
            <w14:ligatures w14:val="none"/>
          </w:rPr>
          <w:t>link</w:t>
        </w:r>
      </w:hyperlink>
      <w:r w:rsidRPr="004B664D">
        <w:rPr>
          <w:rFonts w:ascii="Times New Roman" w:eastAsia="Times New Roman" w:hAnsi="Times New Roman" w:cs="Times New Roman"/>
          <w:kern w:val="0"/>
          <w:sz w:val="24"/>
          <w:szCs w:val="24"/>
          <w:lang w:val="ro-MD" w:eastAsia="ro-MD"/>
          <w14:ligatures w14:val="none"/>
        </w:rPr>
        <w:t xml:space="preserve"> (Anexa 1, Capitolul IX – Coordonarea și administrarea CNC, Secțiunea 1 – Distribuția responsabilităților), MEC exercită aceste funcții printr-un ansamblu de responsabilități complexe ce vizează coordonarea interinstituțională, dezvoltarea operațională, cooperarea internațională și reprezentarea europeană în domeniul calificărilor.</w:t>
      </w:r>
    </w:p>
    <w:p w14:paraId="583A1606" w14:textId="5B5A9411" w:rsidR="000F7257" w:rsidRPr="00D84510" w:rsidRDefault="000F7257" w:rsidP="004B664D">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84510">
        <w:rPr>
          <w:rFonts w:ascii="Times New Roman" w:eastAsia="Times New Roman" w:hAnsi="Times New Roman" w:cs="Times New Roman"/>
          <w:color w:val="3494BA" w:themeColor="accent1"/>
          <w:kern w:val="0"/>
          <w:sz w:val="24"/>
          <w:szCs w:val="24"/>
          <w:lang w:val="ro-MD" w:eastAsia="ro-MD"/>
          <w14:ligatures w14:val="none"/>
        </w:rPr>
        <w:t>Coordonare și guvernanță instituțională</w:t>
      </w:r>
      <w:r w:rsidR="00CB39B4" w:rsidRPr="00D84510">
        <w:rPr>
          <w:rFonts w:ascii="Times New Roman" w:eastAsia="Times New Roman" w:hAnsi="Times New Roman" w:cs="Times New Roman"/>
          <w:color w:val="3494BA" w:themeColor="accent1"/>
          <w:kern w:val="0"/>
          <w:sz w:val="24"/>
          <w:szCs w:val="24"/>
          <w:lang w:val="ro-MD" w:eastAsia="ro-MD"/>
          <w14:ligatures w14:val="none"/>
        </w:rPr>
        <w:t xml:space="preserve">: </w:t>
      </w:r>
      <w:r w:rsidR="00E20602">
        <w:rPr>
          <w:rFonts w:ascii="Times New Roman" w:eastAsia="Times New Roman" w:hAnsi="Times New Roman" w:cs="Times New Roman"/>
          <w:kern w:val="0"/>
          <w:sz w:val="24"/>
          <w:szCs w:val="24"/>
          <w:lang w:val="ro-MD" w:eastAsia="ro-MD"/>
          <w14:ligatures w14:val="none"/>
        </w:rPr>
        <w:t>MEC</w:t>
      </w:r>
      <w:r w:rsidRPr="00D84510">
        <w:rPr>
          <w:rFonts w:ascii="Times New Roman" w:eastAsia="Times New Roman" w:hAnsi="Times New Roman" w:cs="Times New Roman"/>
          <w:kern w:val="0"/>
          <w:sz w:val="24"/>
          <w:szCs w:val="24"/>
          <w:lang w:val="ro-MD" w:eastAsia="ro-MD"/>
          <w14:ligatures w14:val="none"/>
        </w:rPr>
        <w:t xml:space="preserve"> are responsabilitatea de a coordona activitatea tuturor instituțiilor și părților interesate implicate în implementarea și actualizarea </w:t>
      </w:r>
      <w:r w:rsidR="00E20602">
        <w:rPr>
          <w:rFonts w:ascii="Times New Roman" w:eastAsia="Times New Roman" w:hAnsi="Times New Roman" w:cs="Times New Roman"/>
          <w:kern w:val="0"/>
          <w:sz w:val="24"/>
          <w:szCs w:val="24"/>
          <w:lang w:val="ro-MD" w:eastAsia="ro-MD"/>
          <w14:ligatures w14:val="none"/>
        </w:rPr>
        <w:t>CNC</w:t>
      </w:r>
      <w:r w:rsidRPr="00D84510">
        <w:rPr>
          <w:rFonts w:ascii="Times New Roman" w:eastAsia="Times New Roman" w:hAnsi="Times New Roman" w:cs="Times New Roman"/>
          <w:kern w:val="0"/>
          <w:sz w:val="24"/>
          <w:szCs w:val="24"/>
          <w:lang w:val="ro-MD" w:eastAsia="ro-MD"/>
          <w14:ligatures w14:val="none"/>
        </w:rPr>
        <w:t>. Această coordonare se realizează prin cooperarea cu structurile naționale relevante – Consiliul Național pentru Calificări, ANACE</w:t>
      </w:r>
      <w:r w:rsidR="00CC4CBF">
        <w:rPr>
          <w:rFonts w:ascii="Times New Roman" w:eastAsia="Times New Roman" w:hAnsi="Times New Roman" w:cs="Times New Roman"/>
          <w:kern w:val="0"/>
          <w:sz w:val="24"/>
          <w:szCs w:val="24"/>
          <w:lang w:val="ro-MD" w:eastAsia="ro-MD"/>
          <w14:ligatures w14:val="none"/>
        </w:rPr>
        <w:t>C</w:t>
      </w:r>
      <w:r w:rsidRPr="00D84510">
        <w:rPr>
          <w:rFonts w:ascii="Times New Roman" w:eastAsia="Times New Roman" w:hAnsi="Times New Roman" w:cs="Times New Roman"/>
          <w:kern w:val="0"/>
          <w:sz w:val="24"/>
          <w:szCs w:val="24"/>
          <w:lang w:val="ro-MD" w:eastAsia="ro-MD"/>
          <w14:ligatures w14:val="none"/>
        </w:rPr>
        <w:t xml:space="preserve">, ANOFM, </w:t>
      </w:r>
      <w:r w:rsidR="00CC4CBF">
        <w:rPr>
          <w:rFonts w:ascii="Times New Roman" w:eastAsia="Times New Roman" w:hAnsi="Times New Roman" w:cs="Times New Roman"/>
          <w:kern w:val="0"/>
          <w:sz w:val="24"/>
          <w:szCs w:val="24"/>
          <w:lang w:val="ro-MD" w:eastAsia="ro-MD"/>
          <w14:ligatures w14:val="none"/>
        </w:rPr>
        <w:t>CCI</w:t>
      </w:r>
      <w:r w:rsidRPr="00D84510">
        <w:rPr>
          <w:rFonts w:ascii="Times New Roman" w:eastAsia="Times New Roman" w:hAnsi="Times New Roman" w:cs="Times New Roman"/>
          <w:kern w:val="0"/>
          <w:sz w:val="24"/>
          <w:szCs w:val="24"/>
          <w:lang w:val="ro-MD" w:eastAsia="ro-MD"/>
          <w14:ligatures w14:val="none"/>
        </w:rPr>
        <w:t>, comitetele sectoriale pentru formare profesională, furnizorii de educație și formare și alți parteneri sociali.</w:t>
      </w:r>
    </w:p>
    <w:p w14:paraId="0B6E371B" w14:textId="4708262A" w:rsidR="000F7257" w:rsidRPr="000F7257" w:rsidRDefault="000F7257"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MEC este responsabil și de elaborarea programului operațional și a bugetului aferent dezvoltării și implementării CNC, asigurând astfel planificarea strategică a resurselor și activităților la nivel național. În același timp, M</w:t>
      </w:r>
      <w:r w:rsidR="00F824DD">
        <w:rPr>
          <w:rFonts w:ascii="Times New Roman" w:eastAsia="Times New Roman" w:hAnsi="Times New Roman" w:cs="Times New Roman"/>
          <w:kern w:val="0"/>
          <w:sz w:val="24"/>
          <w:szCs w:val="24"/>
          <w:lang w:val="ro-MD" w:eastAsia="ro-MD"/>
          <w14:ligatures w14:val="none"/>
        </w:rPr>
        <w:t>EC</w:t>
      </w:r>
      <w:r w:rsidRPr="000F7257">
        <w:rPr>
          <w:rFonts w:ascii="Times New Roman" w:eastAsia="Times New Roman" w:hAnsi="Times New Roman" w:cs="Times New Roman"/>
          <w:kern w:val="0"/>
          <w:sz w:val="24"/>
          <w:szCs w:val="24"/>
          <w:lang w:val="ro-MD" w:eastAsia="ro-MD"/>
          <w14:ligatures w14:val="none"/>
        </w:rPr>
        <w:t xml:space="preserve"> facilitează dialogul permanent între actorii publici și privați prin crearea unei platforme instituționale de cooperare, contribuind la consolidarea parteneriatului dintre educație, economie și piața muncii.</w:t>
      </w:r>
    </w:p>
    <w:p w14:paraId="4BBFCA4E" w14:textId="3A5EA9B5" w:rsidR="000F7257" w:rsidRPr="000F7257" w:rsidRDefault="000F7257" w:rsidP="00CB39B4">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color w:val="3494BA" w:themeColor="accent1"/>
          <w:kern w:val="0"/>
          <w:sz w:val="24"/>
          <w:szCs w:val="24"/>
          <w:lang w:val="ro-MD" w:eastAsia="ro-MD"/>
          <w14:ligatures w14:val="none"/>
        </w:rPr>
        <w:t>Administrare și dezvoltare operațională</w:t>
      </w:r>
      <w:r w:rsidR="00CB39B4" w:rsidRPr="00CB39B4">
        <w:rPr>
          <w:rFonts w:ascii="Times New Roman" w:eastAsia="Times New Roman" w:hAnsi="Times New Roman" w:cs="Times New Roman"/>
          <w:color w:val="3494BA" w:themeColor="accent1"/>
          <w:kern w:val="0"/>
          <w:sz w:val="24"/>
          <w:szCs w:val="24"/>
          <w:lang w:val="ro-MD" w:eastAsia="ro-MD"/>
          <w14:ligatures w14:val="none"/>
        </w:rPr>
        <w:t xml:space="preserve">: </w:t>
      </w:r>
      <w:r w:rsidRPr="000F7257">
        <w:rPr>
          <w:rFonts w:ascii="Times New Roman" w:eastAsia="Times New Roman" w:hAnsi="Times New Roman" w:cs="Times New Roman"/>
          <w:kern w:val="0"/>
          <w:sz w:val="24"/>
          <w:szCs w:val="24"/>
          <w:lang w:val="ro-MD" w:eastAsia="ro-MD"/>
          <w14:ligatures w14:val="none"/>
        </w:rPr>
        <w:t>M</w:t>
      </w:r>
      <w:r w:rsidR="00F824DD">
        <w:rPr>
          <w:rFonts w:ascii="Times New Roman" w:eastAsia="Times New Roman" w:hAnsi="Times New Roman" w:cs="Times New Roman"/>
          <w:kern w:val="0"/>
          <w:sz w:val="24"/>
          <w:szCs w:val="24"/>
          <w:lang w:val="ro-MD" w:eastAsia="ro-MD"/>
          <w14:ligatures w14:val="none"/>
        </w:rPr>
        <w:t>EC</w:t>
      </w:r>
      <w:r w:rsidRPr="000F7257">
        <w:rPr>
          <w:rFonts w:ascii="Times New Roman" w:eastAsia="Times New Roman" w:hAnsi="Times New Roman" w:cs="Times New Roman"/>
          <w:kern w:val="0"/>
          <w:sz w:val="24"/>
          <w:szCs w:val="24"/>
          <w:lang w:val="ro-MD" w:eastAsia="ro-MD"/>
          <w14:ligatures w14:val="none"/>
        </w:rPr>
        <w:t xml:space="preserve"> exercită funcția de administrator al sistemului național al calificărilor, fiind responsabil de dezvoltarea, actualizarea, înscrierea și radierea calificărilor în/din CNC. În acest scop, MEC creează și menține RNC, care reprezintă baza oficială de date a calificărilor recunoscute în Republica Moldova. M</w:t>
      </w:r>
      <w:r w:rsidR="00D64526">
        <w:rPr>
          <w:rFonts w:ascii="Times New Roman" w:eastAsia="Times New Roman" w:hAnsi="Times New Roman" w:cs="Times New Roman"/>
          <w:kern w:val="0"/>
          <w:sz w:val="24"/>
          <w:szCs w:val="24"/>
          <w:lang w:val="ro-MD" w:eastAsia="ro-MD"/>
          <w14:ligatures w14:val="none"/>
        </w:rPr>
        <w:t>EC</w:t>
      </w:r>
      <w:r w:rsidRPr="000F7257">
        <w:rPr>
          <w:rFonts w:ascii="Times New Roman" w:eastAsia="Times New Roman" w:hAnsi="Times New Roman" w:cs="Times New Roman"/>
          <w:kern w:val="0"/>
          <w:sz w:val="24"/>
          <w:szCs w:val="24"/>
          <w:lang w:val="ro-MD" w:eastAsia="ro-MD"/>
          <w14:ligatures w14:val="none"/>
        </w:rPr>
        <w:t xml:space="preserve"> asigură inclusiv arhivarea calificărilor radiate, garantând trasabilitatea și istoricul acestora.</w:t>
      </w:r>
    </w:p>
    <w:p w14:paraId="17C0F9E4" w14:textId="77777777" w:rsidR="000F7257" w:rsidRPr="000F7257" w:rsidRDefault="000F7257"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Totodată, MEC elaborează și actualizează Nomenclatoarele domeniilor de formare profesională pentru toate nivelurile CNC, în corelare cu standardele ocupaționale, evoluțiile pieței muncii și prioritățile de dezvoltare economică. În exercitarea acestor atribuții, Ministerul oferă suport metodologic instituțiilor și părților implicate, asigurând aplicarea unitară a metodologiilor și procedurilor referitoare la calificări.</w:t>
      </w:r>
    </w:p>
    <w:p w14:paraId="552487B4" w14:textId="0F72AF7D" w:rsidR="00077A10" w:rsidRDefault="000F7257"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color w:val="3494BA" w:themeColor="accent1"/>
          <w:kern w:val="0"/>
          <w:sz w:val="24"/>
          <w:szCs w:val="24"/>
          <w:lang w:val="ro-MD" w:eastAsia="ro-MD"/>
          <w14:ligatures w14:val="none"/>
        </w:rPr>
        <w:t>Elaborare, analiză și cooperare internațională</w:t>
      </w:r>
      <w:r w:rsidR="00D84510" w:rsidRPr="00D84510">
        <w:rPr>
          <w:rFonts w:ascii="Times New Roman" w:eastAsia="Times New Roman" w:hAnsi="Times New Roman" w:cs="Times New Roman"/>
          <w:color w:val="3494BA" w:themeColor="accent1"/>
          <w:kern w:val="0"/>
          <w:sz w:val="24"/>
          <w:szCs w:val="24"/>
          <w:lang w:val="ro-MD" w:eastAsia="ro-MD"/>
          <w14:ligatures w14:val="none"/>
        </w:rPr>
        <w:t xml:space="preserve">: </w:t>
      </w:r>
      <w:r w:rsidRPr="000F7257">
        <w:rPr>
          <w:rFonts w:ascii="Times New Roman" w:eastAsia="Times New Roman" w:hAnsi="Times New Roman" w:cs="Times New Roman"/>
          <w:kern w:val="0"/>
          <w:sz w:val="24"/>
          <w:szCs w:val="24"/>
          <w:lang w:val="ro-MD" w:eastAsia="ro-MD"/>
          <w14:ligatures w14:val="none"/>
        </w:rPr>
        <w:t>Un rol central al MEC</w:t>
      </w:r>
      <w:r w:rsidR="00401979">
        <w:rPr>
          <w:rFonts w:ascii="Times New Roman" w:eastAsia="Times New Roman" w:hAnsi="Times New Roman" w:cs="Times New Roman"/>
          <w:kern w:val="0"/>
          <w:sz w:val="24"/>
          <w:szCs w:val="24"/>
          <w:lang w:val="ro-MD" w:eastAsia="ro-MD"/>
          <w14:ligatures w14:val="none"/>
        </w:rPr>
        <w:t xml:space="preserve"> </w:t>
      </w:r>
      <w:r w:rsidRPr="000F7257">
        <w:rPr>
          <w:rFonts w:ascii="Times New Roman" w:eastAsia="Times New Roman" w:hAnsi="Times New Roman" w:cs="Times New Roman"/>
          <w:kern w:val="0"/>
          <w:sz w:val="24"/>
          <w:szCs w:val="24"/>
          <w:lang w:val="ro-MD" w:eastAsia="ro-MD"/>
          <w14:ligatures w14:val="none"/>
        </w:rPr>
        <w:t>este elaborarea Raportului de referențiere a CNC la EQF, realizat de subdiviziunea responsabilă de dezvoltarea CNC din cadrul ministerului, în strânsă colaborare cu toate instituțiile și părțile implicate în proces.</w:t>
      </w:r>
    </w:p>
    <w:p w14:paraId="34F52EF7" w14:textId="3EBEBADF" w:rsidR="000F7257" w:rsidRPr="000F7257" w:rsidRDefault="000F7257"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lastRenderedPageBreak/>
        <w:t xml:space="preserve">De asemenea, MEC participă activ la proiecte și programe internaționale privind dezvoltarea sistemelor de calificări, recunoașterea competențelor și mobilitatea profesională. Prin aceste acțiuni, </w:t>
      </w:r>
      <w:r w:rsidR="00704EC8">
        <w:rPr>
          <w:rFonts w:ascii="Times New Roman" w:eastAsia="Times New Roman" w:hAnsi="Times New Roman" w:cs="Times New Roman"/>
          <w:kern w:val="0"/>
          <w:sz w:val="24"/>
          <w:szCs w:val="24"/>
          <w:lang w:val="ro-MD" w:eastAsia="ro-MD"/>
          <w14:ligatures w14:val="none"/>
        </w:rPr>
        <w:t>MEC</w:t>
      </w:r>
      <w:r w:rsidRPr="000F7257">
        <w:rPr>
          <w:rFonts w:ascii="Times New Roman" w:eastAsia="Times New Roman" w:hAnsi="Times New Roman" w:cs="Times New Roman"/>
          <w:kern w:val="0"/>
          <w:sz w:val="24"/>
          <w:szCs w:val="24"/>
          <w:lang w:val="ro-MD" w:eastAsia="ro-MD"/>
          <w14:ligatures w14:val="none"/>
        </w:rPr>
        <w:t xml:space="preserve"> contribuie la consolidarea parteneriatelor internaționale și la schimbul de bune practici în domeniul calificărilor, asigurând o aliniere constantă la tendințele europene în materie de transparență, calitate și recunoaștere a rezultatelor învățării.</w:t>
      </w:r>
    </w:p>
    <w:p w14:paraId="48C504E8" w14:textId="06BE5D4D" w:rsidR="000F7257" w:rsidRPr="000F7257" w:rsidRDefault="000F7257" w:rsidP="00D84510">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color w:val="3494BA" w:themeColor="accent1"/>
          <w:kern w:val="0"/>
          <w:sz w:val="24"/>
          <w:szCs w:val="24"/>
          <w:lang w:val="ro-MD" w:eastAsia="ro-MD"/>
          <w14:ligatures w14:val="none"/>
        </w:rPr>
        <w:t>Puncte naționale de contact și reprezentare europeană</w:t>
      </w:r>
      <w:r w:rsidR="00D84510" w:rsidRPr="00D84510">
        <w:rPr>
          <w:rFonts w:ascii="Times New Roman" w:eastAsia="Times New Roman" w:hAnsi="Times New Roman" w:cs="Times New Roman"/>
          <w:color w:val="3494BA" w:themeColor="accent1"/>
          <w:kern w:val="0"/>
          <w:sz w:val="24"/>
          <w:szCs w:val="24"/>
          <w:lang w:val="ro-MD" w:eastAsia="ro-MD"/>
          <w14:ligatures w14:val="none"/>
        </w:rPr>
        <w:t xml:space="preserve">: </w:t>
      </w:r>
      <w:r w:rsidRPr="000F7257">
        <w:rPr>
          <w:rFonts w:ascii="Times New Roman" w:eastAsia="Times New Roman" w:hAnsi="Times New Roman" w:cs="Times New Roman"/>
          <w:kern w:val="0"/>
          <w:sz w:val="24"/>
          <w:szCs w:val="24"/>
          <w:lang w:val="ro-MD" w:eastAsia="ro-MD"/>
          <w14:ligatures w14:val="none"/>
        </w:rPr>
        <w:t xml:space="preserve">Pentru a garanta vizibilitatea și interoperabilitatea CNC în context european, </w:t>
      </w:r>
      <w:r w:rsidR="00817BE3">
        <w:rPr>
          <w:rFonts w:ascii="Times New Roman" w:eastAsia="Times New Roman" w:hAnsi="Times New Roman" w:cs="Times New Roman"/>
          <w:kern w:val="0"/>
          <w:sz w:val="24"/>
          <w:szCs w:val="24"/>
          <w:lang w:val="ro-MD" w:eastAsia="ro-MD"/>
          <w14:ligatures w14:val="none"/>
        </w:rPr>
        <w:t>MEC</w:t>
      </w:r>
      <w:r w:rsidRPr="000F7257">
        <w:rPr>
          <w:rFonts w:ascii="Times New Roman" w:eastAsia="Times New Roman" w:hAnsi="Times New Roman" w:cs="Times New Roman"/>
          <w:kern w:val="0"/>
          <w:sz w:val="24"/>
          <w:szCs w:val="24"/>
          <w:lang w:val="ro-MD" w:eastAsia="ro-MD"/>
          <w14:ligatures w14:val="none"/>
        </w:rPr>
        <w:t xml:space="preserve"> este desemnat să exercite roluri de reprezentare și coordonare în rețelele europene relevante:</w:t>
      </w:r>
    </w:p>
    <w:p w14:paraId="495A0D06" w14:textId="0639002B" w:rsidR="000F7257" w:rsidRPr="000F7257" w:rsidRDefault="000F7257" w:rsidP="00A41843">
      <w:pPr>
        <w:numPr>
          <w:ilvl w:val="0"/>
          <w:numId w:val="16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 xml:space="preserve">Punct Național de Coordonare pentru </w:t>
      </w:r>
      <w:r w:rsidR="00E23503">
        <w:rPr>
          <w:rFonts w:ascii="Times New Roman" w:eastAsia="Times New Roman" w:hAnsi="Times New Roman" w:cs="Times New Roman"/>
          <w:kern w:val="0"/>
          <w:sz w:val="24"/>
          <w:szCs w:val="24"/>
          <w:lang w:val="ro-MD" w:eastAsia="ro-MD"/>
          <w14:ligatures w14:val="none"/>
        </w:rPr>
        <w:t>EQF</w:t>
      </w:r>
      <w:r w:rsidRPr="000F7257">
        <w:rPr>
          <w:rFonts w:ascii="Times New Roman" w:eastAsia="Times New Roman" w:hAnsi="Times New Roman" w:cs="Times New Roman"/>
          <w:kern w:val="0"/>
          <w:sz w:val="24"/>
          <w:szCs w:val="24"/>
          <w:lang w:val="ro-MD" w:eastAsia="ro-MD"/>
          <w14:ligatures w14:val="none"/>
        </w:rPr>
        <w:t xml:space="preserve"> (EQF NCP) – responsabil de comunicarea și corelarea permanentă dintre CNC și EQF;</w:t>
      </w:r>
    </w:p>
    <w:p w14:paraId="1EB289BB" w14:textId="77777777" w:rsidR="000F7257" w:rsidRPr="000F7257" w:rsidRDefault="000F7257" w:rsidP="00A41843">
      <w:pPr>
        <w:numPr>
          <w:ilvl w:val="0"/>
          <w:numId w:val="16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Punct Național de Informare și Coordonare pentru Rețeaua ENIC-NARIC – asigurând informarea și cooperarea internațională privind recunoașterea academică a calificărilor;</w:t>
      </w:r>
    </w:p>
    <w:p w14:paraId="425A89A6" w14:textId="77777777" w:rsidR="000F7257" w:rsidRPr="000F7257" w:rsidRDefault="000F7257" w:rsidP="00A41843">
      <w:pPr>
        <w:numPr>
          <w:ilvl w:val="0"/>
          <w:numId w:val="16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Centru Național Europass – care promovează transparența competențelor și mobilitatea educațională și profesională;</w:t>
      </w:r>
    </w:p>
    <w:p w14:paraId="265F806B" w14:textId="77777777" w:rsidR="000F7257" w:rsidRPr="000F7257" w:rsidRDefault="000F7257" w:rsidP="00A41843">
      <w:pPr>
        <w:numPr>
          <w:ilvl w:val="0"/>
          <w:numId w:val="16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Punct Național de Contact pentru recunoașterea calificărilor – facilitând accesul la informații privind echivalarea și validarea calificărilor în spațiul european.</w:t>
      </w:r>
    </w:p>
    <w:p w14:paraId="5FF5BA10" w14:textId="64C764D4" w:rsidR="000F7257" w:rsidRPr="000F7257" w:rsidRDefault="000F7257"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Prin aceste funcții, MEC devine principalul garant al compatibilității sistemului național cu instrumentele europene, asigurând participarea activă a Republicii Moldova în rețelele internaționale de cooperare în domeniul calificărilor.</w:t>
      </w:r>
    </w:p>
    <w:p w14:paraId="40414C2E" w14:textId="3353082F" w:rsidR="000F7257" w:rsidRPr="000F7257" w:rsidRDefault="000F7257"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 xml:space="preserve">În ansamblu, </w:t>
      </w:r>
      <w:r w:rsidR="00A849AA" w:rsidRPr="00077A10">
        <w:rPr>
          <w:rFonts w:ascii="Times New Roman" w:eastAsia="Times New Roman" w:hAnsi="Times New Roman" w:cs="Times New Roman"/>
          <w:kern w:val="0"/>
          <w:sz w:val="24"/>
          <w:szCs w:val="24"/>
          <w:lang w:val="ro-MD" w:eastAsia="ro-MD"/>
          <w14:ligatures w14:val="none"/>
        </w:rPr>
        <w:t>HG</w:t>
      </w:r>
      <w:r w:rsidRPr="000F7257">
        <w:rPr>
          <w:rFonts w:ascii="Times New Roman" w:eastAsia="Times New Roman" w:hAnsi="Times New Roman" w:cs="Times New Roman"/>
          <w:kern w:val="0"/>
          <w:sz w:val="24"/>
          <w:szCs w:val="24"/>
          <w:lang w:val="ro-MD" w:eastAsia="ro-MD"/>
          <w14:ligatures w14:val="none"/>
        </w:rPr>
        <w:t xml:space="preserve"> nr. 330/2023 conferă </w:t>
      </w:r>
      <w:r w:rsidR="007D48A5">
        <w:rPr>
          <w:rFonts w:ascii="Times New Roman" w:eastAsia="Times New Roman" w:hAnsi="Times New Roman" w:cs="Times New Roman"/>
          <w:kern w:val="0"/>
          <w:sz w:val="24"/>
          <w:szCs w:val="24"/>
          <w:lang w:val="ro-MD" w:eastAsia="ro-MD"/>
          <w14:ligatures w14:val="none"/>
        </w:rPr>
        <w:t>MEC</w:t>
      </w:r>
      <w:r w:rsidRPr="000F7257">
        <w:rPr>
          <w:rFonts w:ascii="Times New Roman" w:eastAsia="Times New Roman" w:hAnsi="Times New Roman" w:cs="Times New Roman"/>
          <w:kern w:val="0"/>
          <w:sz w:val="24"/>
          <w:szCs w:val="24"/>
          <w:lang w:val="ro-MD" w:eastAsia="ro-MD"/>
          <w14:ligatures w14:val="none"/>
        </w:rPr>
        <w:t xml:space="preserve"> un rol integrator, de coordonare strategică, tehnică și internațională a procesului de dezvoltare și implementare a CNC.</w:t>
      </w:r>
      <w:r w:rsidR="00BE5032">
        <w:rPr>
          <w:rFonts w:ascii="Times New Roman" w:eastAsia="Times New Roman" w:hAnsi="Times New Roman" w:cs="Times New Roman"/>
          <w:kern w:val="0"/>
          <w:sz w:val="24"/>
          <w:szCs w:val="24"/>
          <w:lang w:val="ro-MD" w:eastAsia="ro-MD"/>
          <w14:ligatures w14:val="none"/>
        </w:rPr>
        <w:t xml:space="preserve"> </w:t>
      </w:r>
      <w:r w:rsidRPr="000F7257">
        <w:rPr>
          <w:rFonts w:ascii="Times New Roman" w:eastAsia="Times New Roman" w:hAnsi="Times New Roman" w:cs="Times New Roman"/>
          <w:kern w:val="0"/>
          <w:sz w:val="24"/>
          <w:szCs w:val="24"/>
          <w:lang w:val="ro-MD" w:eastAsia="ro-MD"/>
          <w14:ligatures w14:val="none"/>
        </w:rPr>
        <w:t>MEC devine astfel instituția-pivot care asigură:</w:t>
      </w:r>
    </w:p>
    <w:p w14:paraId="241447AC" w14:textId="77777777" w:rsidR="000F7257" w:rsidRPr="000F7257" w:rsidRDefault="000F7257" w:rsidP="00A41843">
      <w:pPr>
        <w:numPr>
          <w:ilvl w:val="0"/>
          <w:numId w:val="16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coerența politicilor și a cadrului normativ;</w:t>
      </w:r>
    </w:p>
    <w:p w14:paraId="390E457C" w14:textId="6F70B57A" w:rsidR="000F7257" w:rsidRPr="000F7257" w:rsidRDefault="000F7257" w:rsidP="00A41843">
      <w:pPr>
        <w:numPr>
          <w:ilvl w:val="0"/>
          <w:numId w:val="16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 xml:space="preserve">funcționalitatea operațională a </w:t>
      </w:r>
      <w:r w:rsidR="00BE5032">
        <w:rPr>
          <w:rFonts w:ascii="Times New Roman" w:eastAsia="Times New Roman" w:hAnsi="Times New Roman" w:cs="Times New Roman"/>
          <w:kern w:val="0"/>
          <w:sz w:val="24"/>
          <w:szCs w:val="24"/>
          <w:lang w:val="ro-MD" w:eastAsia="ro-MD"/>
          <w14:ligatures w14:val="none"/>
        </w:rPr>
        <w:t>RNC</w:t>
      </w:r>
      <w:r w:rsidRPr="000F7257">
        <w:rPr>
          <w:rFonts w:ascii="Times New Roman" w:eastAsia="Times New Roman" w:hAnsi="Times New Roman" w:cs="Times New Roman"/>
          <w:kern w:val="0"/>
          <w:sz w:val="24"/>
          <w:szCs w:val="24"/>
          <w:lang w:val="ro-MD" w:eastAsia="ro-MD"/>
          <w14:ligatures w14:val="none"/>
        </w:rPr>
        <w:t>;</w:t>
      </w:r>
    </w:p>
    <w:p w14:paraId="738C8222" w14:textId="77777777" w:rsidR="000F7257" w:rsidRPr="000F7257" w:rsidRDefault="000F7257" w:rsidP="00A41843">
      <w:pPr>
        <w:numPr>
          <w:ilvl w:val="0"/>
          <w:numId w:val="16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implicarea partenerilor sociali în elaborarea și actualizarea calificărilor;</w:t>
      </w:r>
    </w:p>
    <w:p w14:paraId="70693541" w14:textId="41CA9ECC" w:rsidR="000F7257" w:rsidRPr="000F7257" w:rsidRDefault="000F7257" w:rsidP="00A41843">
      <w:pPr>
        <w:numPr>
          <w:ilvl w:val="0"/>
          <w:numId w:val="16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7257">
        <w:rPr>
          <w:rFonts w:ascii="Times New Roman" w:eastAsia="Times New Roman" w:hAnsi="Times New Roman" w:cs="Times New Roman"/>
          <w:kern w:val="0"/>
          <w:sz w:val="24"/>
          <w:szCs w:val="24"/>
          <w:lang w:val="ro-MD" w:eastAsia="ro-MD"/>
          <w14:ligatures w14:val="none"/>
        </w:rPr>
        <w:t>vizibilitatea și compatibilitatea internațională a CNC, prin corelarea cu EQF, QF-EHEA și instrumentele europene asociate (Europass, ENIC-NARIC, EQAVET).</w:t>
      </w:r>
    </w:p>
    <w:p w14:paraId="06EE03D2" w14:textId="4F72AC03" w:rsidR="00C04190" w:rsidRPr="00C04190" w:rsidRDefault="00C04190" w:rsidP="00F436F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C04190">
        <w:rPr>
          <w:rFonts w:ascii="Times New Roman" w:eastAsia="Times New Roman" w:hAnsi="Times New Roman" w:cs="Times New Roman"/>
          <w:kern w:val="0"/>
          <w:sz w:val="24"/>
          <w:szCs w:val="24"/>
          <w:lang w:val="ro-MD" w:eastAsia="ro-MD"/>
          <w14:ligatures w14:val="none"/>
        </w:rPr>
        <w:t>Prin aceste atribuții, MEC garantează alinierea cadrului național la principiile europene ale transparenței, comparabilității și asigurării calității, asigurând, totodată, baza legală și instituțională pentru recunoașterea internațională a calificărilor obținute în Republica Moldova.</w:t>
      </w:r>
    </w:p>
    <w:p w14:paraId="296E0DD8" w14:textId="77777777" w:rsidR="008858FF" w:rsidRPr="008858FF" w:rsidRDefault="008858FF" w:rsidP="00C02A1D">
      <w:pPr>
        <w:spacing w:before="120" w:after="120" w:line="276" w:lineRule="auto"/>
        <w:outlineLvl w:val="2"/>
        <w:rPr>
          <w:rFonts w:ascii="Times New Roman" w:eastAsia="Times New Roman" w:hAnsi="Times New Roman" w:cs="Times New Roman"/>
          <w:b/>
          <w:bCs/>
          <w:color w:val="3494BA" w:themeColor="accent1"/>
          <w:kern w:val="0"/>
          <w:sz w:val="24"/>
          <w:szCs w:val="24"/>
          <w:lang w:val="ro-MD" w:eastAsia="ro-MD"/>
          <w14:ligatures w14:val="none"/>
        </w:rPr>
      </w:pPr>
      <w:r w:rsidRPr="008858FF">
        <w:rPr>
          <w:rFonts w:ascii="Times New Roman" w:eastAsia="Times New Roman" w:hAnsi="Times New Roman" w:cs="Times New Roman"/>
          <w:b/>
          <w:bCs/>
          <w:color w:val="3494BA" w:themeColor="accent1"/>
          <w:kern w:val="0"/>
          <w:sz w:val="24"/>
          <w:szCs w:val="24"/>
          <w:lang w:val="ro-MD" w:eastAsia="ro-MD"/>
          <w14:ligatures w14:val="none"/>
        </w:rPr>
        <w:t>Consiliul Național pentru Calificări</w:t>
      </w:r>
    </w:p>
    <w:p w14:paraId="7E15E850" w14:textId="1BC4A4CB" w:rsidR="008858FF" w:rsidRPr="008858FF" w:rsidRDefault="008858FF" w:rsidP="0008580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t>Consiliul Național pentru Calificări (</w:t>
      </w:r>
      <w:r w:rsidR="00915BF4">
        <w:rPr>
          <w:rFonts w:ascii="Times New Roman" w:eastAsia="Times New Roman" w:hAnsi="Times New Roman" w:cs="Times New Roman"/>
          <w:kern w:val="0"/>
          <w:sz w:val="24"/>
          <w:szCs w:val="24"/>
          <w:lang w:val="ro-MD" w:eastAsia="ro-MD"/>
          <w14:ligatures w14:val="none"/>
        </w:rPr>
        <w:t xml:space="preserve">în continuare </w:t>
      </w:r>
      <w:r w:rsidRPr="008858FF">
        <w:rPr>
          <w:rFonts w:ascii="Times New Roman" w:eastAsia="Times New Roman" w:hAnsi="Times New Roman" w:cs="Times New Roman"/>
          <w:kern w:val="0"/>
          <w:sz w:val="24"/>
          <w:szCs w:val="24"/>
          <w:lang w:val="ro-MD" w:eastAsia="ro-MD"/>
          <w14:ligatures w14:val="none"/>
        </w:rPr>
        <w:t>C</w:t>
      </w:r>
      <w:r w:rsidR="00915BF4">
        <w:rPr>
          <w:rFonts w:ascii="Times New Roman" w:eastAsia="Times New Roman" w:hAnsi="Times New Roman" w:cs="Times New Roman"/>
          <w:kern w:val="0"/>
          <w:sz w:val="24"/>
          <w:szCs w:val="24"/>
          <w:lang w:val="ro-MD" w:eastAsia="ro-MD"/>
          <w14:ligatures w14:val="none"/>
        </w:rPr>
        <w:t>onsiliul</w:t>
      </w:r>
      <w:r w:rsidRPr="008858FF">
        <w:rPr>
          <w:rFonts w:ascii="Times New Roman" w:eastAsia="Times New Roman" w:hAnsi="Times New Roman" w:cs="Times New Roman"/>
          <w:kern w:val="0"/>
          <w:sz w:val="24"/>
          <w:szCs w:val="24"/>
          <w:lang w:val="ro-MD" w:eastAsia="ro-MD"/>
          <w14:ligatures w14:val="none"/>
        </w:rPr>
        <w:t>) este un organ consultativ al Ministerului Educației și Cercetării, responsabil de dezvoltarea CNC și de politicile publice privind dezvoltarea potențialului uman. Consiliul asistă M</w:t>
      </w:r>
      <w:r w:rsidR="00915BF4">
        <w:rPr>
          <w:rFonts w:ascii="Times New Roman" w:eastAsia="Times New Roman" w:hAnsi="Times New Roman" w:cs="Times New Roman"/>
          <w:kern w:val="0"/>
          <w:sz w:val="24"/>
          <w:szCs w:val="24"/>
          <w:lang w:val="ro-MD" w:eastAsia="ro-MD"/>
          <w14:ligatures w14:val="none"/>
        </w:rPr>
        <w:t>EC</w:t>
      </w:r>
      <w:r w:rsidRPr="008858FF">
        <w:rPr>
          <w:rFonts w:ascii="Times New Roman" w:eastAsia="Times New Roman" w:hAnsi="Times New Roman" w:cs="Times New Roman"/>
          <w:kern w:val="0"/>
          <w:sz w:val="24"/>
          <w:szCs w:val="24"/>
          <w:lang w:val="ro-MD" w:eastAsia="ro-MD"/>
          <w14:ligatures w14:val="none"/>
        </w:rPr>
        <w:t xml:space="preserve"> în stabilirea direcțiilor strategice și a planurilor de acțiuni pentru dezvoltarea, actualizarea, validarea și certificarea calificărilor cu nivel CNC.</w:t>
      </w:r>
    </w:p>
    <w:p w14:paraId="297E44E4" w14:textId="767B154B" w:rsidR="008858FF" w:rsidRPr="008858FF" w:rsidRDefault="007A1FF1" w:rsidP="007A1FF1">
      <w:pPr>
        <w:spacing w:after="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t>C</w:t>
      </w:r>
      <w:r>
        <w:rPr>
          <w:rFonts w:ascii="Times New Roman" w:eastAsia="Times New Roman" w:hAnsi="Times New Roman" w:cs="Times New Roman"/>
          <w:kern w:val="0"/>
          <w:sz w:val="24"/>
          <w:szCs w:val="24"/>
          <w:lang w:val="ro-MD" w:eastAsia="ro-MD"/>
          <w14:ligatures w14:val="none"/>
        </w:rPr>
        <w:t>onsiliul</w:t>
      </w:r>
      <w:r w:rsidR="008858FF" w:rsidRPr="008858FF">
        <w:rPr>
          <w:rFonts w:ascii="Times New Roman" w:eastAsia="Times New Roman" w:hAnsi="Times New Roman" w:cs="Times New Roman"/>
          <w:kern w:val="0"/>
          <w:sz w:val="24"/>
          <w:szCs w:val="24"/>
          <w:lang w:val="ro-MD" w:eastAsia="ro-MD"/>
          <w14:ligatures w14:val="none"/>
        </w:rPr>
        <w:t xml:space="preserve"> are un rol strategic triplu:</w:t>
      </w:r>
    </w:p>
    <w:p w14:paraId="6C25B42B" w14:textId="77777777" w:rsidR="008858FF" w:rsidRPr="008858FF" w:rsidRDefault="008858FF" w:rsidP="00A41843">
      <w:pPr>
        <w:numPr>
          <w:ilvl w:val="0"/>
          <w:numId w:val="164"/>
        </w:numPr>
        <w:spacing w:after="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t>Consultativ, prin dialogul și implicarea părților interesate în procesul de elaborare și actualizare a calificărilor;</w:t>
      </w:r>
    </w:p>
    <w:p w14:paraId="7D7DD18D" w14:textId="77777777" w:rsidR="008858FF" w:rsidRPr="008858FF" w:rsidRDefault="008858FF" w:rsidP="00A41843">
      <w:pPr>
        <w:numPr>
          <w:ilvl w:val="0"/>
          <w:numId w:val="164"/>
        </w:numPr>
        <w:spacing w:after="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t>Tehnic, prin avizarea și expertizarea standardelor de calificare, precum și a atribuirii nivelurilor CNC;</w:t>
      </w:r>
    </w:p>
    <w:p w14:paraId="5EDCF8D8" w14:textId="77777777" w:rsidR="008858FF" w:rsidRPr="008858FF" w:rsidRDefault="008858FF" w:rsidP="00A41843">
      <w:pPr>
        <w:numPr>
          <w:ilvl w:val="0"/>
          <w:numId w:val="164"/>
        </w:numPr>
        <w:spacing w:after="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lastRenderedPageBreak/>
        <w:t>Strategic, prin orientarea dezvoltării sistemului calificărilor și integrarea acestuia în spațiul european al învățării pe tot parcursul vieții.</w:t>
      </w:r>
    </w:p>
    <w:p w14:paraId="5E436297" w14:textId="77777777" w:rsidR="008858FF" w:rsidRPr="008858FF" w:rsidRDefault="008858FF" w:rsidP="0008580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t>În exercitarea mandatului său, Consiliul asigură coordonarea și cooperarea interinstituțională între ministere, instituții de formare profesională, autorități de asigurare a calității, mediul economic și partenerii sociali, contribuind la alinierea sistemului național de calificări la EQF și QF-EHEA. Printre atribuțiile sale principale se numără: avizarea standardelor de calificare noi și revizuite, evaluarea compatibilității calificărilor CNC cu EQF, participarea la elaborarea cadrului normativ și metodologic, monitorizarea implementării CNC și valorificarea bunelor practici europene.</w:t>
      </w:r>
    </w:p>
    <w:p w14:paraId="5A2A18D0" w14:textId="698F90F9" w:rsidR="008858FF" w:rsidRPr="008858FF" w:rsidRDefault="008858FF" w:rsidP="00C12298">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858FF">
        <w:rPr>
          <w:rFonts w:ascii="Times New Roman" w:eastAsia="Times New Roman" w:hAnsi="Times New Roman" w:cs="Times New Roman"/>
          <w:kern w:val="0"/>
          <w:sz w:val="24"/>
          <w:szCs w:val="24"/>
          <w:lang w:val="ro-MD" w:eastAsia="ro-MD"/>
          <w14:ligatures w14:val="none"/>
        </w:rPr>
        <w:t>Consiliul este constituit din 15 membri reprezentând principalele instituții și organizații relevante: trei autorități publice (</w:t>
      </w:r>
      <w:r w:rsidR="00B33A04">
        <w:rPr>
          <w:rFonts w:ascii="Times New Roman" w:eastAsia="Times New Roman" w:hAnsi="Times New Roman" w:cs="Times New Roman"/>
          <w:kern w:val="0"/>
          <w:sz w:val="24"/>
          <w:szCs w:val="24"/>
          <w:lang w:val="ro-MD" w:eastAsia="ro-MD"/>
          <w14:ligatures w14:val="none"/>
        </w:rPr>
        <w:t>MEC</w:t>
      </w:r>
      <w:r w:rsidRPr="008858FF">
        <w:rPr>
          <w:rFonts w:ascii="Times New Roman" w:eastAsia="Times New Roman" w:hAnsi="Times New Roman" w:cs="Times New Roman"/>
          <w:kern w:val="0"/>
          <w:sz w:val="24"/>
          <w:szCs w:val="24"/>
          <w:lang w:val="ro-MD" w:eastAsia="ro-MD"/>
          <w14:ligatures w14:val="none"/>
        </w:rPr>
        <w:t xml:space="preserve">, </w:t>
      </w:r>
      <w:r w:rsidR="00B33A04">
        <w:rPr>
          <w:rFonts w:ascii="Times New Roman" w:eastAsia="Times New Roman" w:hAnsi="Times New Roman" w:cs="Times New Roman"/>
          <w:kern w:val="0"/>
          <w:sz w:val="24"/>
          <w:szCs w:val="24"/>
          <w:lang w:val="ro-MD" w:eastAsia="ro-MD"/>
          <w14:ligatures w14:val="none"/>
        </w:rPr>
        <w:t>MMPS</w:t>
      </w:r>
      <w:r w:rsidRPr="008858FF">
        <w:rPr>
          <w:rFonts w:ascii="Times New Roman" w:eastAsia="Times New Roman" w:hAnsi="Times New Roman" w:cs="Times New Roman"/>
          <w:kern w:val="0"/>
          <w:sz w:val="24"/>
          <w:szCs w:val="24"/>
          <w:lang w:val="ro-MD" w:eastAsia="ro-MD"/>
          <w14:ligatures w14:val="none"/>
        </w:rPr>
        <w:t xml:space="preserve">, </w:t>
      </w:r>
      <w:r w:rsidR="000628DC">
        <w:rPr>
          <w:rFonts w:ascii="Times New Roman" w:eastAsia="Times New Roman" w:hAnsi="Times New Roman" w:cs="Times New Roman"/>
          <w:kern w:val="0"/>
          <w:sz w:val="24"/>
          <w:szCs w:val="24"/>
          <w:lang w:val="ro-MD" w:eastAsia="ro-MD"/>
          <w14:ligatures w14:val="none"/>
        </w:rPr>
        <w:t>MDED</w:t>
      </w:r>
      <w:r w:rsidRPr="008858FF">
        <w:rPr>
          <w:rFonts w:ascii="Times New Roman" w:eastAsia="Times New Roman" w:hAnsi="Times New Roman" w:cs="Times New Roman"/>
          <w:kern w:val="0"/>
          <w:sz w:val="24"/>
          <w:szCs w:val="24"/>
          <w:lang w:val="ro-MD" w:eastAsia="ro-MD"/>
          <w14:ligatures w14:val="none"/>
        </w:rPr>
        <w:t xml:space="preserve">), trei furnizori de educație și formare, ANACEC, ANCE, </w:t>
      </w:r>
      <w:r w:rsidR="000628DC">
        <w:rPr>
          <w:rFonts w:ascii="Times New Roman" w:eastAsia="Times New Roman" w:hAnsi="Times New Roman" w:cs="Times New Roman"/>
          <w:kern w:val="0"/>
          <w:sz w:val="24"/>
          <w:szCs w:val="24"/>
          <w:lang w:val="ro-MD" w:eastAsia="ro-MD"/>
          <w14:ligatures w14:val="none"/>
        </w:rPr>
        <w:t>CCI</w:t>
      </w:r>
      <w:r w:rsidRPr="008858FF">
        <w:rPr>
          <w:rFonts w:ascii="Times New Roman" w:eastAsia="Times New Roman" w:hAnsi="Times New Roman" w:cs="Times New Roman"/>
          <w:kern w:val="0"/>
          <w:sz w:val="24"/>
          <w:szCs w:val="24"/>
          <w:lang w:val="ro-MD" w:eastAsia="ro-MD"/>
          <w14:ligatures w14:val="none"/>
        </w:rPr>
        <w:t xml:space="preserve">, Alianța Comitetelor Sectoriale, </w:t>
      </w:r>
      <w:r w:rsidR="000628DC">
        <w:rPr>
          <w:rFonts w:ascii="Times New Roman" w:eastAsia="Times New Roman" w:hAnsi="Times New Roman" w:cs="Times New Roman"/>
          <w:kern w:val="0"/>
          <w:sz w:val="24"/>
          <w:szCs w:val="24"/>
          <w:lang w:val="ro-MD" w:eastAsia="ro-MD"/>
          <w14:ligatures w14:val="none"/>
        </w:rPr>
        <w:t>ANOFM</w:t>
      </w:r>
      <w:r w:rsidRPr="008858FF">
        <w:rPr>
          <w:rFonts w:ascii="Times New Roman" w:eastAsia="Times New Roman" w:hAnsi="Times New Roman" w:cs="Times New Roman"/>
          <w:kern w:val="0"/>
          <w:sz w:val="24"/>
          <w:szCs w:val="24"/>
          <w:lang w:val="ro-MD" w:eastAsia="ro-MD"/>
          <w14:ligatures w14:val="none"/>
        </w:rPr>
        <w:t>, Consiliul Economic pe lângă Prim-ministru, Asociația Întreprinderilor Mici și Mijlocii, Asociația Investitorilor Străini / parteneri de dezvoltare și Consiliul Național al Tineretului.</w:t>
      </w:r>
    </w:p>
    <w:p w14:paraId="1C06DB3A" w14:textId="62699D08" w:rsidR="008858FF" w:rsidRPr="00722866" w:rsidRDefault="008858FF" w:rsidP="00722866">
      <w:pPr>
        <w:tabs>
          <w:tab w:val="left" w:pos="426"/>
          <w:tab w:val="left" w:pos="993"/>
          <w:tab w:val="left" w:pos="1134"/>
        </w:tabs>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22866">
        <w:rPr>
          <w:rFonts w:ascii="Times New Roman" w:eastAsia="Times New Roman" w:hAnsi="Times New Roman" w:cs="Times New Roman"/>
          <w:kern w:val="0"/>
          <w:sz w:val="24"/>
          <w:szCs w:val="24"/>
          <w:lang w:val="ro-MD" w:eastAsia="ro-MD"/>
          <w14:ligatures w14:val="none"/>
        </w:rPr>
        <w:t>Componența nominală este aprobată de ministrul educației și cercetării pentru un mandat de cinci ani, la propunerea autorităților publice și entităților reprezentate</w:t>
      </w:r>
      <w:r w:rsidR="00C02A1D" w:rsidRPr="00722866">
        <w:rPr>
          <w:rFonts w:ascii="Times New Roman" w:eastAsia="Times New Roman" w:hAnsi="Times New Roman" w:cs="Times New Roman"/>
          <w:kern w:val="0"/>
          <w:sz w:val="24"/>
          <w:szCs w:val="24"/>
          <w:lang w:val="ro-MD" w:eastAsia="ro-MD"/>
          <w14:ligatures w14:val="none"/>
        </w:rPr>
        <w:t xml:space="preserve"> (</w:t>
      </w:r>
      <w:r w:rsidR="00C02A1D" w:rsidRPr="00722866">
        <w:rPr>
          <w:rFonts w:ascii="Times New Roman" w:eastAsia="Times New Roman" w:hAnsi="Times New Roman" w:cs="Times New Roman"/>
          <w:b/>
          <w:bCs/>
          <w:kern w:val="0"/>
          <w:sz w:val="24"/>
          <w:szCs w:val="24"/>
          <w:lang w:val="ro-MD" w:eastAsia="ro-MD"/>
          <w14:ligatures w14:val="none"/>
        </w:rPr>
        <w:t>HG 330/2024</w:t>
      </w:r>
      <w:r w:rsidR="00085807" w:rsidRPr="00722866">
        <w:rPr>
          <w:rFonts w:ascii="Times New Roman" w:eastAsia="Times New Roman" w:hAnsi="Times New Roman" w:cs="Times New Roman"/>
          <w:b/>
          <w:bCs/>
          <w:kern w:val="0"/>
          <w:sz w:val="24"/>
          <w:szCs w:val="24"/>
          <w:lang w:val="ro-MD" w:eastAsia="ro-MD"/>
          <w14:ligatures w14:val="none"/>
        </w:rPr>
        <w:t xml:space="preserve">, Anexa 1, </w:t>
      </w:r>
      <w:r w:rsidR="00F063F8" w:rsidRPr="00722866">
        <w:rPr>
          <w:rFonts w:ascii="Times New Roman" w:eastAsia="Times New Roman" w:hAnsi="Times New Roman" w:cs="Times New Roman"/>
          <w:b/>
          <w:bCs/>
          <w:kern w:val="0"/>
          <w:sz w:val="24"/>
          <w:szCs w:val="24"/>
          <w:lang w:val="ro-MD" w:eastAsia="ro-MD"/>
          <w14:ligatures w14:val="none"/>
        </w:rPr>
        <w:t xml:space="preserve">p. </w:t>
      </w:r>
      <w:r w:rsidR="00C12298" w:rsidRPr="00722866">
        <w:rPr>
          <w:rFonts w:ascii="Times New Roman" w:eastAsia="Times New Roman" w:hAnsi="Times New Roman" w:cs="Times New Roman"/>
          <w:b/>
          <w:bCs/>
          <w:kern w:val="0"/>
          <w:sz w:val="24"/>
          <w:szCs w:val="24"/>
          <w:lang w:val="ro-MD" w:eastAsia="ro-MD"/>
          <w14:ligatures w14:val="none"/>
        </w:rPr>
        <w:t>155-</w:t>
      </w:r>
      <w:r w:rsidR="008B3C9B" w:rsidRPr="00722866">
        <w:rPr>
          <w:rFonts w:ascii="Times New Roman" w:eastAsia="Times New Roman" w:hAnsi="Times New Roman" w:cs="Times New Roman"/>
          <w:b/>
          <w:bCs/>
          <w:kern w:val="0"/>
          <w:sz w:val="24"/>
          <w:szCs w:val="24"/>
          <w:lang w:val="ro-MD" w:eastAsia="ro-MD"/>
          <w14:ligatures w14:val="none"/>
        </w:rPr>
        <w:t>164</w:t>
      </w:r>
      <w:r w:rsidR="00C12298" w:rsidRPr="00722866">
        <w:rPr>
          <w:rFonts w:ascii="Times New Roman" w:eastAsia="Times New Roman" w:hAnsi="Times New Roman" w:cs="Times New Roman"/>
          <w:kern w:val="0"/>
          <w:sz w:val="24"/>
          <w:szCs w:val="24"/>
          <w:lang w:val="ro-MD" w:eastAsia="ro-MD"/>
          <w14:ligatures w14:val="none"/>
        </w:rPr>
        <w:t xml:space="preserve"> (</w:t>
      </w:r>
      <w:hyperlink r:id="rId46" w:history="1">
        <w:r w:rsidR="00C12298" w:rsidRPr="00722866">
          <w:rPr>
            <w:rStyle w:val="aff0"/>
            <w:rFonts w:ascii="Times New Roman" w:eastAsia="Times New Roman" w:hAnsi="Times New Roman" w:cs="Times New Roman"/>
            <w:kern w:val="0"/>
            <w:sz w:val="24"/>
            <w:szCs w:val="24"/>
            <w:lang w:val="ro-MD" w:eastAsia="ro-MD"/>
            <w14:ligatures w14:val="none"/>
          </w:rPr>
          <w:t>link</w:t>
        </w:r>
      </w:hyperlink>
      <w:r w:rsidR="00C12298" w:rsidRPr="00722866">
        <w:rPr>
          <w:rFonts w:ascii="Times New Roman" w:eastAsia="Times New Roman" w:hAnsi="Times New Roman" w:cs="Times New Roman"/>
          <w:kern w:val="0"/>
          <w:sz w:val="24"/>
          <w:szCs w:val="24"/>
          <w:lang w:val="ro-MD" w:eastAsia="ro-MD"/>
          <w14:ligatures w14:val="none"/>
        </w:rPr>
        <w:t xml:space="preserve">). </w:t>
      </w:r>
    </w:p>
    <w:p w14:paraId="0AE3005B" w14:textId="77777777" w:rsidR="00FC4462" w:rsidRPr="00722866" w:rsidRDefault="00FC4462" w:rsidP="0072286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722866">
        <w:rPr>
          <w:rFonts w:ascii="Times New Roman" w:eastAsia="Times New Roman" w:hAnsi="Times New Roman" w:cs="Times New Roman"/>
          <w:b/>
          <w:bCs/>
          <w:color w:val="3494BA" w:themeColor="accent1"/>
          <w:kern w:val="0"/>
          <w:sz w:val="24"/>
          <w:szCs w:val="24"/>
          <w:lang w:eastAsia="ro-MD"/>
          <w14:ligatures w14:val="none"/>
        </w:rPr>
        <w:t>Agenția Națională pentru Asigurarea Calității în Educație și Cercetare (ANACEC)</w:t>
      </w:r>
    </w:p>
    <w:p w14:paraId="585C31E1" w14:textId="77777777" w:rsidR="00044BF3" w:rsidRDefault="00FC4462" w:rsidP="00722866">
      <w:pPr>
        <w:pStyle w:val="af8"/>
        <w:spacing w:before="120" w:beforeAutospacing="0" w:after="120" w:afterAutospacing="0" w:line="276" w:lineRule="auto"/>
        <w:jc w:val="both"/>
      </w:pPr>
      <w:r w:rsidRPr="00722866">
        <w:t xml:space="preserve">ANACEC, conform Codului educației </w:t>
      </w:r>
      <w:r w:rsidR="00A52A30" w:rsidRPr="00722866">
        <w:t>512/2023</w:t>
      </w:r>
      <w:r w:rsidR="004E1099" w:rsidRPr="00722866">
        <w:t>, Art. 115</w:t>
      </w:r>
      <w:r w:rsidR="00576C5E" w:rsidRPr="00722866">
        <w:t>,</w:t>
      </w:r>
      <w:r w:rsidR="004E1099" w:rsidRPr="00722866">
        <w:t xml:space="preserve"> </w:t>
      </w:r>
      <w:r w:rsidR="00576C5E" w:rsidRPr="00722866">
        <w:rPr>
          <w:rFonts w:eastAsia="Aptos"/>
        </w:rPr>
        <w:t>HG nr. 330/2023,</w:t>
      </w:r>
      <w:r w:rsidR="00F30762" w:rsidRPr="00722866">
        <w:rPr>
          <w:rFonts w:eastAsia="Aptos"/>
        </w:rPr>
        <w:t xml:space="preserve"> </w:t>
      </w:r>
      <w:r w:rsidR="00576C5E" w:rsidRPr="00722866">
        <w:rPr>
          <w:rFonts w:eastAsia="Aptos"/>
        </w:rPr>
        <w:t>Anexa 1,</w:t>
      </w:r>
      <w:r w:rsidR="00CE777E" w:rsidRPr="00722866">
        <w:rPr>
          <w:rFonts w:eastAsia="Aptos"/>
        </w:rPr>
        <w:t xml:space="preserve"> p. </w:t>
      </w:r>
      <w:r w:rsidR="00846267" w:rsidRPr="00722866">
        <w:rPr>
          <w:rFonts w:eastAsia="Aptos"/>
        </w:rPr>
        <w:t>153</w:t>
      </w:r>
      <w:r w:rsidR="005341DE" w:rsidRPr="00722866">
        <w:rPr>
          <w:rFonts w:eastAsia="Aptos"/>
        </w:rPr>
        <w:t xml:space="preserve"> (</w:t>
      </w:r>
      <w:r w:rsidR="00B60B0C" w:rsidRPr="00722866">
        <w:rPr>
          <w:rFonts w:eastAsia="Aptos"/>
        </w:rPr>
        <w:t xml:space="preserve">5), </w:t>
      </w:r>
      <w:r w:rsidR="00386F57" w:rsidRPr="00722866">
        <w:rPr>
          <w:rFonts w:eastAsia="Aptos"/>
        </w:rPr>
        <w:t>(15), (17)</w:t>
      </w:r>
      <w:r w:rsidR="00F30762" w:rsidRPr="00722866">
        <w:rPr>
          <w:rFonts w:eastAsia="Aptos"/>
        </w:rPr>
        <w:t>, precum</w:t>
      </w:r>
      <w:r w:rsidR="00576C5E" w:rsidRPr="00722866">
        <w:rPr>
          <w:rFonts w:eastAsia="Aptos"/>
        </w:rPr>
        <w:t xml:space="preserve"> </w:t>
      </w:r>
      <w:r w:rsidRPr="00722866">
        <w:t>și Regulamentului de organizare și funcționare</w:t>
      </w:r>
      <w:r w:rsidRPr="00722866">
        <w:rPr>
          <w:b/>
          <w:bCs/>
        </w:rPr>
        <w:t xml:space="preserve"> </w:t>
      </w:r>
      <w:r w:rsidRPr="00722866">
        <w:t>aprobat prin HG nr. 201/2018</w:t>
      </w:r>
      <w:r w:rsidR="004E1099" w:rsidRPr="00722866">
        <w:t xml:space="preserve"> </w:t>
      </w:r>
      <w:r w:rsidR="00BA69F7" w:rsidRPr="00722866">
        <w:t>(</w:t>
      </w:r>
      <w:hyperlink r:id="rId47" w:history="1">
        <w:r w:rsidR="00BA69F7" w:rsidRPr="00722866">
          <w:rPr>
            <w:rStyle w:val="aff0"/>
          </w:rPr>
          <w:t>link</w:t>
        </w:r>
      </w:hyperlink>
      <w:r w:rsidR="00BA69F7" w:rsidRPr="00722866">
        <w:t>)</w:t>
      </w:r>
      <w:r w:rsidRPr="00722866">
        <w:t xml:space="preserve">, are rolul de garant al calității calificărilor, prin </w:t>
      </w:r>
      <w:r w:rsidR="00914EA2" w:rsidRPr="00722866">
        <w:t>evaluarea externă și monitorizarea calității programelor ce duc la acordarea calificării complete sau parțiale și a furnizorilor acestora</w:t>
      </w:r>
      <w:r w:rsidR="009F2B2C" w:rsidRPr="00722866">
        <w:t>, precum și evaluarea relevanței și comparabilității calificărilor naționale complete și parțiale cu cele internaționale</w:t>
      </w:r>
      <w:r w:rsidRPr="00722866">
        <w:t>.</w:t>
      </w:r>
      <w:r w:rsidR="00A00F94" w:rsidRPr="00722866">
        <w:t xml:space="preserve"> </w:t>
      </w:r>
    </w:p>
    <w:p w14:paraId="19319B91" w14:textId="22C3F7A8" w:rsidR="00A00F94" w:rsidRPr="00044BF3" w:rsidRDefault="00044BF3" w:rsidP="00722866">
      <w:pPr>
        <w:pStyle w:val="af8"/>
        <w:spacing w:before="120" w:beforeAutospacing="0" w:after="120" w:afterAutospacing="0" w:line="276" w:lineRule="auto"/>
        <w:jc w:val="both"/>
      </w:pPr>
      <w:r>
        <w:t>C</w:t>
      </w:r>
      <w:r w:rsidRPr="00722866">
        <w:t xml:space="preserve">onform prevederilor </w:t>
      </w:r>
      <w:r w:rsidRPr="00722866">
        <w:rPr>
          <w:rFonts w:eastAsiaTheme="majorEastAsia"/>
        </w:rPr>
        <w:t>HG nr. 330/2023, p. 6</w:t>
      </w:r>
      <w:r w:rsidRPr="00722866">
        <w:t>.</w:t>
      </w:r>
      <w:r>
        <w:t>,</w:t>
      </w:r>
      <w:r w:rsidRPr="00722866">
        <w:t xml:space="preserve"> </w:t>
      </w:r>
      <w:r w:rsidR="00A00F94" w:rsidRPr="00722866">
        <w:rPr>
          <w:rFonts w:eastAsiaTheme="majorEastAsia"/>
        </w:rPr>
        <w:t>ANACEC</w:t>
      </w:r>
      <w:r w:rsidR="00A00F94" w:rsidRPr="00722866">
        <w:t xml:space="preserve"> are responsabilitatea de a </w:t>
      </w:r>
      <w:r w:rsidR="00A00F94" w:rsidRPr="00722866">
        <w:rPr>
          <w:rFonts w:eastAsiaTheme="majorEastAsia"/>
        </w:rPr>
        <w:t>ajusta standardele de acreditare, criteriile de evaluare și indicatorii de performanță</w:t>
      </w:r>
      <w:r w:rsidR="00A00F94" w:rsidRPr="00722866">
        <w:t xml:space="preserve"> utilizați în evaluarea externă, în conformitate cu </w:t>
      </w:r>
      <w:r w:rsidR="00A00F94" w:rsidRPr="00722866">
        <w:rPr>
          <w:rFonts w:eastAsiaTheme="majorEastAsia"/>
        </w:rPr>
        <w:t>principiile de asigurare a calității calificărilor prevăzute de EQF</w:t>
      </w:r>
      <w:r w:rsidR="007E0814">
        <w:t>.</w:t>
      </w:r>
      <w:r w:rsidR="00A00F94" w:rsidRPr="00722866">
        <w:t xml:space="preserve"> Această aliniere urmărește </w:t>
      </w:r>
      <w:r w:rsidR="00A00F94" w:rsidRPr="00722866">
        <w:rPr>
          <w:rFonts w:eastAsiaTheme="majorEastAsia"/>
        </w:rPr>
        <w:t>armonizarea procedurilor naționale de autorizare provizorie și de acreditare</w:t>
      </w:r>
      <w:r w:rsidR="00A00F94" w:rsidRPr="00722866">
        <w:t xml:space="preserve"> a programelor de studii și a instituțiilor educaționale cu </w:t>
      </w:r>
      <w:r w:rsidR="00A00F94" w:rsidRPr="00722866">
        <w:rPr>
          <w:rFonts w:eastAsiaTheme="majorEastAsia"/>
        </w:rPr>
        <w:t>standardele europene de calitate</w:t>
      </w:r>
      <w:r w:rsidR="00A00F94" w:rsidRPr="00722866">
        <w:t>, asigurând transparența, comparabilitatea și încrederea reciprocă în calificările obținute în Republica Moldova.</w:t>
      </w:r>
    </w:p>
    <w:p w14:paraId="4191490C" w14:textId="492290A8" w:rsidR="00FC4462" w:rsidRPr="00722866" w:rsidRDefault="00FC4462" w:rsidP="00722866">
      <w:pPr>
        <w:spacing w:before="120" w:after="120" w:line="276" w:lineRule="auto"/>
        <w:jc w:val="both"/>
        <w:rPr>
          <w:rFonts w:ascii="Times New Roman" w:eastAsia="Times New Roman" w:hAnsi="Times New Roman" w:cs="Times New Roman"/>
          <w:kern w:val="0"/>
          <w:sz w:val="24"/>
          <w:szCs w:val="24"/>
          <w14:ligatures w14:val="none"/>
        </w:rPr>
      </w:pPr>
      <w:r w:rsidRPr="00722866">
        <w:rPr>
          <w:rFonts w:ascii="Times New Roman" w:eastAsia="Times New Roman" w:hAnsi="Times New Roman" w:cs="Times New Roman"/>
          <w:kern w:val="0"/>
          <w:sz w:val="24"/>
          <w:szCs w:val="24"/>
          <w14:ligatures w14:val="none"/>
        </w:rPr>
        <w:t xml:space="preserve">În </w:t>
      </w:r>
      <w:hyperlink r:id="rId48" w:history="1">
        <w:r w:rsidRPr="00722866">
          <w:rPr>
            <w:rStyle w:val="aff0"/>
            <w:rFonts w:ascii="Times New Roman" w:eastAsia="Times New Roman" w:hAnsi="Times New Roman" w:cs="Times New Roman"/>
            <w:color w:val="auto"/>
            <w:kern w:val="0"/>
            <w:sz w:val="24"/>
            <w:szCs w:val="24"/>
            <w:u w:val="none"/>
            <w14:ligatures w14:val="none"/>
          </w:rPr>
          <w:t>Raportul anual 2024</w:t>
        </w:r>
      </w:hyperlink>
      <w:r w:rsidRPr="00722866">
        <w:rPr>
          <w:rStyle w:val="afc"/>
          <w:rFonts w:ascii="Times New Roman" w:eastAsia="Times New Roman" w:hAnsi="Times New Roman" w:cs="Times New Roman"/>
          <w:kern w:val="0"/>
          <w:sz w:val="24"/>
          <w:szCs w:val="24"/>
          <w14:ligatures w14:val="none"/>
        </w:rPr>
        <w:footnoteReference w:id="35"/>
      </w:r>
      <w:r w:rsidRPr="00722866">
        <w:rPr>
          <w:rFonts w:ascii="Times New Roman" w:eastAsia="Times New Roman" w:hAnsi="Times New Roman" w:cs="Times New Roman"/>
          <w:kern w:val="0"/>
          <w:sz w:val="24"/>
          <w:szCs w:val="24"/>
          <w14:ligatures w14:val="none"/>
        </w:rPr>
        <w:t xml:space="preserve">, ANACEC prezintă evaluarea și acreditarea a peste </w:t>
      </w:r>
      <w:r w:rsidRPr="00722866">
        <w:rPr>
          <w:rFonts w:ascii="Times New Roman" w:eastAsia="Times New Roman" w:hAnsi="Times New Roman" w:cs="Times New Roman"/>
          <w:b/>
          <w:bCs/>
          <w:kern w:val="0"/>
          <w:sz w:val="24"/>
          <w:szCs w:val="24"/>
          <w14:ligatures w14:val="none"/>
        </w:rPr>
        <w:t>250 de programe de studii</w:t>
      </w:r>
      <w:r w:rsidRPr="00722866">
        <w:rPr>
          <w:rFonts w:ascii="Times New Roman" w:eastAsia="Times New Roman" w:hAnsi="Times New Roman" w:cs="Times New Roman"/>
          <w:kern w:val="0"/>
          <w:sz w:val="24"/>
          <w:szCs w:val="24"/>
          <w14:ligatures w14:val="none"/>
        </w:rPr>
        <w:t xml:space="preserve"> pe diverse nivele și forme de învățământ (în învățământul profesional tehnic, superior și de formare profesională a adulților), demonstrând coerența CNC cu standardele europene.</w:t>
      </w:r>
    </w:p>
    <w:p w14:paraId="2E2877D8" w14:textId="6D46BA42" w:rsidR="00356D7C" w:rsidRPr="001F6026" w:rsidRDefault="00356D7C" w:rsidP="00722866">
      <w:pPr>
        <w:spacing w:before="120" w:after="120" w:line="276" w:lineRule="auto"/>
        <w:jc w:val="both"/>
        <w:rPr>
          <w:rFonts w:ascii="Times New Roman" w:eastAsia="Aptos" w:hAnsi="Times New Roman" w:cs="Times New Roman"/>
          <w:kern w:val="0"/>
          <w:sz w:val="24"/>
          <w:szCs w:val="24"/>
          <w:lang w:eastAsia="ro-MD"/>
          <w14:ligatures w14:val="none"/>
        </w:rPr>
      </w:pPr>
      <w:r w:rsidRPr="001F6026">
        <w:rPr>
          <w:rFonts w:ascii="Times New Roman" w:eastAsia="Aptos" w:hAnsi="Times New Roman" w:cs="Times New Roman"/>
          <w:kern w:val="0"/>
          <w:sz w:val="24"/>
          <w:szCs w:val="24"/>
          <w:lang w:eastAsia="ro-MD"/>
          <w14:ligatures w14:val="none"/>
        </w:rPr>
        <w:t xml:space="preserve">Potrivit </w:t>
      </w:r>
      <w:r w:rsidR="00C11341" w:rsidRPr="001F6026">
        <w:rPr>
          <w:rFonts w:ascii="Times New Roman" w:eastAsia="Aptos" w:hAnsi="Times New Roman" w:cs="Times New Roman"/>
          <w:kern w:val="0"/>
          <w:sz w:val="24"/>
          <w:szCs w:val="24"/>
          <w:lang w:eastAsia="ro-MD"/>
          <w14:ligatures w14:val="none"/>
        </w:rPr>
        <w:t>HG nr. 330/2023</w:t>
      </w:r>
      <w:r w:rsidR="00722866">
        <w:rPr>
          <w:rFonts w:ascii="Times New Roman" w:eastAsia="Aptos" w:hAnsi="Times New Roman" w:cs="Times New Roman"/>
          <w:kern w:val="0"/>
          <w:sz w:val="24"/>
          <w:szCs w:val="24"/>
          <w:lang w:eastAsia="ro-MD"/>
          <w14:ligatures w14:val="none"/>
        </w:rPr>
        <w:t xml:space="preserve"> și</w:t>
      </w:r>
      <w:r w:rsidR="00C11341">
        <w:rPr>
          <w:rFonts w:ascii="Times New Roman" w:eastAsia="Aptos" w:hAnsi="Times New Roman" w:cs="Times New Roman"/>
          <w:kern w:val="0"/>
          <w:sz w:val="24"/>
          <w:szCs w:val="24"/>
          <w:lang w:eastAsia="ro-MD"/>
          <w14:ligatures w14:val="none"/>
        </w:rPr>
        <w:t xml:space="preserve"> </w:t>
      </w:r>
      <w:r w:rsidRPr="001F6026">
        <w:rPr>
          <w:rFonts w:ascii="Times New Roman" w:eastAsia="Aptos" w:hAnsi="Times New Roman" w:cs="Times New Roman"/>
          <w:kern w:val="0"/>
          <w:sz w:val="24"/>
          <w:szCs w:val="24"/>
          <w:lang w:eastAsia="ro-MD"/>
          <w14:ligatures w14:val="none"/>
        </w:rPr>
        <w:t>Anex</w:t>
      </w:r>
      <w:r w:rsidR="00722866">
        <w:rPr>
          <w:rFonts w:ascii="Times New Roman" w:eastAsia="Aptos" w:hAnsi="Times New Roman" w:cs="Times New Roman"/>
          <w:kern w:val="0"/>
          <w:sz w:val="24"/>
          <w:szCs w:val="24"/>
          <w:lang w:eastAsia="ro-MD"/>
          <w14:ligatures w14:val="none"/>
        </w:rPr>
        <w:t>a</w:t>
      </w:r>
      <w:r w:rsidRPr="001F6026">
        <w:rPr>
          <w:rFonts w:ascii="Times New Roman" w:eastAsia="Aptos" w:hAnsi="Times New Roman" w:cs="Times New Roman"/>
          <w:kern w:val="0"/>
          <w:sz w:val="24"/>
          <w:szCs w:val="24"/>
          <w:lang w:eastAsia="ro-MD"/>
          <w14:ligatures w14:val="none"/>
        </w:rPr>
        <w:t xml:space="preserve"> 1, procesul este sprijinit și de o serie de structuri consultative și de coordonare:</w:t>
      </w:r>
    </w:p>
    <w:p w14:paraId="51892F1F" w14:textId="77777777" w:rsidR="00FC4462" w:rsidRPr="00307502" w:rsidRDefault="00FC4462" w:rsidP="00FC4462">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307502">
        <w:rPr>
          <w:rFonts w:ascii="Times New Roman" w:eastAsia="Times New Roman" w:hAnsi="Times New Roman" w:cs="Times New Roman"/>
          <w:b/>
          <w:bCs/>
          <w:color w:val="3494BA" w:themeColor="accent1"/>
          <w:kern w:val="0"/>
          <w:sz w:val="24"/>
          <w:szCs w:val="24"/>
          <w:lang w:eastAsia="ro-MD"/>
          <w14:ligatures w14:val="none"/>
        </w:rPr>
        <w:t>Ministerul Muncii și Protecției Sociale (MMPS)</w:t>
      </w:r>
    </w:p>
    <w:p w14:paraId="55398A41" w14:textId="77777777" w:rsidR="006B1F0E" w:rsidRDefault="003F1492" w:rsidP="00FC4462">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MMPS </w:t>
      </w:r>
      <w:r w:rsidR="005C3887" w:rsidRPr="003F1492">
        <w:rPr>
          <w:rFonts w:ascii="Times New Roman" w:hAnsi="Times New Roman" w:cs="Times New Roman"/>
          <w:sz w:val="24"/>
          <w:szCs w:val="24"/>
        </w:rPr>
        <w:t>exercită rolul de Punct Național de Informare și Comunicare pentru Clasificarea Europeană a Aptitudinilor, Competențelor, Calificărilor și Ocupațiilor (ESCO</w:t>
      </w:r>
      <w:r w:rsidR="00E00B27">
        <w:rPr>
          <w:rFonts w:ascii="Times New Roman" w:hAnsi="Times New Roman" w:cs="Times New Roman"/>
          <w:sz w:val="24"/>
          <w:szCs w:val="24"/>
        </w:rPr>
        <w:t>)</w:t>
      </w:r>
      <w:r w:rsidR="005C3887" w:rsidRPr="003F1492">
        <w:rPr>
          <w:rFonts w:ascii="Times New Roman" w:hAnsi="Times New Roman" w:cs="Times New Roman"/>
          <w:sz w:val="24"/>
          <w:szCs w:val="24"/>
        </w:rPr>
        <w:t xml:space="preserve">, conform </w:t>
      </w:r>
      <w:r w:rsidR="00E00B27">
        <w:rPr>
          <w:rFonts w:ascii="Times New Roman" w:hAnsi="Times New Roman" w:cs="Times New Roman"/>
          <w:sz w:val="24"/>
          <w:szCs w:val="24"/>
        </w:rPr>
        <w:t>HG</w:t>
      </w:r>
      <w:r w:rsidR="005C3887" w:rsidRPr="003F1492">
        <w:rPr>
          <w:rFonts w:ascii="Times New Roman" w:hAnsi="Times New Roman" w:cs="Times New Roman"/>
          <w:sz w:val="24"/>
          <w:szCs w:val="24"/>
        </w:rPr>
        <w:t xml:space="preserve"> nr. 330/2023</w:t>
      </w:r>
      <w:r w:rsidR="00E00B27">
        <w:rPr>
          <w:rFonts w:ascii="Times New Roman" w:hAnsi="Times New Roman" w:cs="Times New Roman"/>
          <w:sz w:val="24"/>
          <w:szCs w:val="24"/>
        </w:rPr>
        <w:t>, p. 5 (</w:t>
      </w:r>
      <w:hyperlink r:id="rId49" w:history="1">
        <w:r w:rsidR="00E00B27" w:rsidRPr="00110E6F">
          <w:rPr>
            <w:rStyle w:val="aff0"/>
            <w:rFonts w:ascii="Times New Roman" w:hAnsi="Times New Roman" w:cs="Times New Roman"/>
            <w:sz w:val="24"/>
            <w:szCs w:val="24"/>
          </w:rPr>
          <w:t>link</w:t>
        </w:r>
      </w:hyperlink>
      <w:r w:rsidR="00E00B27">
        <w:rPr>
          <w:rFonts w:ascii="Times New Roman" w:hAnsi="Times New Roman" w:cs="Times New Roman"/>
          <w:sz w:val="24"/>
          <w:szCs w:val="24"/>
        </w:rPr>
        <w:t>)</w:t>
      </w:r>
      <w:r w:rsidR="005C3887" w:rsidRPr="003F1492">
        <w:rPr>
          <w:rFonts w:ascii="Times New Roman" w:hAnsi="Times New Roman" w:cs="Times New Roman"/>
          <w:sz w:val="24"/>
          <w:szCs w:val="24"/>
        </w:rPr>
        <w:t xml:space="preserve">. În această calitate, </w:t>
      </w:r>
      <w:r w:rsidR="00110E6F">
        <w:rPr>
          <w:rFonts w:ascii="Times New Roman" w:hAnsi="Times New Roman" w:cs="Times New Roman"/>
          <w:sz w:val="24"/>
          <w:szCs w:val="24"/>
        </w:rPr>
        <w:t>MMPS</w:t>
      </w:r>
      <w:r w:rsidR="005C3887" w:rsidRPr="003F1492">
        <w:rPr>
          <w:rFonts w:ascii="Times New Roman" w:hAnsi="Times New Roman" w:cs="Times New Roman"/>
          <w:sz w:val="24"/>
          <w:szCs w:val="24"/>
        </w:rPr>
        <w:t xml:space="preserve"> este responsabil de corelarea și actualizarea clasificărilor naționale ale ocupațiilor și competențelor cu structura și terminologia europeană ESCO, facilitând comparabilitatea și interoperabilitatea datelor despre calificări și profesii între Republica Moldova și statele Uniunii Europene. </w:t>
      </w:r>
      <w:r w:rsidR="005C3887" w:rsidRPr="003F1492">
        <w:rPr>
          <w:rFonts w:ascii="Times New Roman" w:hAnsi="Times New Roman" w:cs="Times New Roman"/>
          <w:sz w:val="24"/>
          <w:szCs w:val="24"/>
        </w:rPr>
        <w:lastRenderedPageBreak/>
        <w:t>Rolul său contribuie la asigurarea coerenței dintre sistemul de calificări și piața muncii, precum și la transparența competențelor și mobilitatea forței de muncă la nivel european.</w:t>
      </w:r>
      <w:r w:rsidRPr="003F1492">
        <w:rPr>
          <w:rFonts w:ascii="Times New Roman" w:hAnsi="Times New Roman" w:cs="Times New Roman"/>
          <w:sz w:val="24"/>
          <w:szCs w:val="24"/>
        </w:rPr>
        <w:t xml:space="preserve"> </w:t>
      </w:r>
    </w:p>
    <w:p w14:paraId="665884FF" w14:textId="01EBFC45" w:rsidR="00FC4462" w:rsidRPr="001F6026" w:rsidRDefault="003F1492" w:rsidP="00FC4462">
      <w:pPr>
        <w:spacing w:before="120" w:after="120" w:line="276" w:lineRule="auto"/>
        <w:jc w:val="both"/>
        <w:rPr>
          <w:rFonts w:ascii="Times New Roman" w:eastAsia="Times New Roman" w:hAnsi="Times New Roman" w:cs="Times New Roman"/>
          <w:kern w:val="0"/>
          <w:sz w:val="24"/>
          <w:szCs w:val="24"/>
          <w:lang w:eastAsia="ro-MD"/>
          <w14:ligatures w14:val="none"/>
        </w:rPr>
      </w:pPr>
      <w:r w:rsidRPr="003F1492">
        <w:rPr>
          <w:rFonts w:ascii="Times New Roman" w:hAnsi="Times New Roman" w:cs="Times New Roman"/>
          <w:sz w:val="24"/>
          <w:szCs w:val="24"/>
        </w:rPr>
        <w:t>Totodată</w:t>
      </w:r>
      <w:r>
        <w:t xml:space="preserve">, </w:t>
      </w:r>
      <w:r w:rsidR="00FC4462" w:rsidRPr="001F6026">
        <w:rPr>
          <w:rFonts w:ascii="Times New Roman" w:eastAsia="Times New Roman" w:hAnsi="Times New Roman" w:cs="Times New Roman"/>
          <w:kern w:val="0"/>
          <w:sz w:val="24"/>
          <w:szCs w:val="24"/>
          <w:lang w:eastAsia="ro-MD"/>
          <w14:ligatures w14:val="none"/>
        </w:rPr>
        <w:t xml:space="preserve">MMPS, în baza Hotărârii Guvernului nr. 678/2020 </w:t>
      </w:r>
      <w:r w:rsidR="00932E9F">
        <w:rPr>
          <w:rFonts w:ascii="Times New Roman" w:eastAsia="Times New Roman" w:hAnsi="Times New Roman" w:cs="Times New Roman"/>
          <w:kern w:val="0"/>
          <w:sz w:val="24"/>
          <w:szCs w:val="24"/>
          <w:lang w:eastAsia="ro-MD"/>
          <w14:ligatures w14:val="none"/>
        </w:rPr>
        <w:t>(</w:t>
      </w:r>
      <w:hyperlink r:id="rId50" w:history="1">
        <w:r w:rsidR="00932E9F" w:rsidRPr="00D62A43">
          <w:rPr>
            <w:rStyle w:val="aff0"/>
            <w:rFonts w:ascii="Times New Roman" w:eastAsia="Times New Roman" w:hAnsi="Times New Roman" w:cs="Times New Roman"/>
            <w:kern w:val="0"/>
            <w:sz w:val="24"/>
            <w:szCs w:val="24"/>
            <w:lang w:eastAsia="ro-MD"/>
            <w14:ligatures w14:val="none"/>
          </w:rPr>
          <w:t>link</w:t>
        </w:r>
      </w:hyperlink>
      <w:r w:rsidR="00932E9F">
        <w:rPr>
          <w:rFonts w:ascii="Times New Roman" w:eastAsia="Times New Roman" w:hAnsi="Times New Roman" w:cs="Times New Roman"/>
          <w:kern w:val="0"/>
          <w:sz w:val="24"/>
          <w:szCs w:val="24"/>
          <w:lang w:eastAsia="ro-MD"/>
          <w14:ligatures w14:val="none"/>
        </w:rPr>
        <w:t xml:space="preserve">) </w:t>
      </w:r>
      <w:r w:rsidR="00FC4462" w:rsidRPr="001F6026">
        <w:rPr>
          <w:rFonts w:ascii="Times New Roman" w:eastAsia="Times New Roman" w:hAnsi="Times New Roman" w:cs="Times New Roman"/>
          <w:kern w:val="0"/>
          <w:sz w:val="24"/>
          <w:szCs w:val="24"/>
          <w:lang w:eastAsia="ro-MD"/>
          <w14:ligatures w14:val="none"/>
        </w:rPr>
        <w:t>privind aprobarea Metodologie de elaborare a standardelor ocupaționale și a legislației conexe, are responsabilitatea de a corela CNC cu piața muncii și de a coordona procesul de elaborare a standardelor ocupaționale. Acestea sunt dezvoltate de piața muncii (comitete sectoriale și alte entității) și aprobate de ministerele de resort și constituie fundamentul calificărilor din CNC.</w:t>
      </w:r>
      <w:r w:rsidR="00B71021">
        <w:rPr>
          <w:rFonts w:ascii="Times New Roman" w:eastAsia="Times New Roman" w:hAnsi="Times New Roman" w:cs="Times New Roman"/>
          <w:kern w:val="0"/>
          <w:sz w:val="24"/>
          <w:szCs w:val="24"/>
          <w:lang w:eastAsia="ro-MD"/>
          <w14:ligatures w14:val="none"/>
        </w:rPr>
        <w:t xml:space="preserve"> </w:t>
      </w:r>
      <w:r w:rsidR="00FC4462" w:rsidRPr="001F6026">
        <w:rPr>
          <w:rFonts w:ascii="Times New Roman" w:eastAsia="Times New Roman" w:hAnsi="Times New Roman" w:cs="Times New Roman"/>
          <w:kern w:val="0"/>
          <w:sz w:val="24"/>
          <w:szCs w:val="24"/>
          <w:lang w:eastAsia="ro-MD"/>
          <w14:ligatures w14:val="none"/>
        </w:rPr>
        <w:t xml:space="preserve">În perioada 2020–2025 au fost elaborate și validate peste </w:t>
      </w:r>
      <w:r w:rsidR="00FC4462" w:rsidRPr="001F6026">
        <w:rPr>
          <w:rFonts w:ascii="Times New Roman" w:eastAsia="Times New Roman" w:hAnsi="Times New Roman" w:cs="Times New Roman"/>
          <w:b/>
          <w:bCs/>
          <w:kern w:val="0"/>
          <w:sz w:val="24"/>
          <w:szCs w:val="24"/>
          <w:lang w:eastAsia="ro-MD"/>
          <w14:ligatures w14:val="none"/>
        </w:rPr>
        <w:t>112 de standarde ocupaționale</w:t>
      </w:r>
      <w:r w:rsidR="00FC4462" w:rsidRPr="001F6026">
        <w:rPr>
          <w:rFonts w:ascii="Times New Roman" w:eastAsia="Times New Roman" w:hAnsi="Times New Roman" w:cs="Times New Roman"/>
          <w:kern w:val="0"/>
          <w:sz w:val="24"/>
          <w:szCs w:val="24"/>
          <w:lang w:eastAsia="ro-MD"/>
          <w14:ligatures w14:val="none"/>
        </w:rPr>
        <w:t xml:space="preserve"> în diverse domenii economice </w:t>
      </w:r>
      <w:r w:rsidR="00FC4462" w:rsidRPr="002E32D4">
        <w:rPr>
          <w:rFonts w:ascii="Times New Roman" w:eastAsia="Times New Roman" w:hAnsi="Times New Roman" w:cs="Times New Roman"/>
          <w:kern w:val="0"/>
          <w:sz w:val="24"/>
          <w:szCs w:val="24"/>
          <w:lang w:eastAsia="ro-MD"/>
          <w14:ligatures w14:val="none"/>
        </w:rPr>
        <w:t>(Anexa SO).</w:t>
      </w:r>
    </w:p>
    <w:p w14:paraId="5D5C4F1F" w14:textId="73B3382A" w:rsidR="00CD4C85" w:rsidRDefault="00BE7294" w:rsidP="00A129BC">
      <w:pPr>
        <w:spacing w:before="120" w:after="120" w:line="276" w:lineRule="auto"/>
        <w:jc w:val="both"/>
        <w:rPr>
          <w:rFonts w:ascii="Times New Roman" w:eastAsia="Times New Roman" w:hAnsi="Times New Roman" w:cs="Times New Roman"/>
          <w:b/>
          <w:bCs/>
          <w:color w:val="3494BA" w:themeColor="accent1"/>
          <w:kern w:val="0"/>
          <w:sz w:val="24"/>
          <w:szCs w:val="24"/>
          <w:lang w:val="ro-MD" w:eastAsia="ro-MD"/>
          <w14:ligatures w14:val="none"/>
        </w:rPr>
      </w:pPr>
      <w:r w:rsidRPr="00BE7294">
        <w:rPr>
          <w:rFonts w:ascii="Times New Roman" w:eastAsia="Times New Roman" w:hAnsi="Times New Roman" w:cs="Times New Roman"/>
          <w:b/>
          <w:bCs/>
          <w:color w:val="3494BA" w:themeColor="accent1"/>
          <w:kern w:val="0"/>
          <w:sz w:val="24"/>
          <w:szCs w:val="24"/>
          <w:lang w:val="ro-MD" w:eastAsia="ro-MD"/>
          <w14:ligatures w14:val="none"/>
        </w:rPr>
        <w:t xml:space="preserve">Comitetele sectoriale pentru formare profesională </w:t>
      </w:r>
      <w:r w:rsidR="00CD4C85" w:rsidRPr="00BE7294">
        <w:rPr>
          <w:rFonts w:ascii="Times New Roman" w:eastAsia="Times New Roman" w:hAnsi="Times New Roman" w:cs="Times New Roman"/>
          <w:b/>
          <w:bCs/>
          <w:color w:val="3494BA" w:themeColor="accent1"/>
          <w:kern w:val="0"/>
          <w:sz w:val="24"/>
          <w:szCs w:val="24"/>
          <w:lang w:val="ro-MD" w:eastAsia="ro-MD"/>
          <w14:ligatures w14:val="none"/>
        </w:rPr>
        <w:t>(CSFP)</w:t>
      </w:r>
    </w:p>
    <w:p w14:paraId="3D0CE5F6" w14:textId="3A2D0769" w:rsidR="00BE7294" w:rsidRPr="00BE7294" w:rsidRDefault="00BE7294" w:rsidP="00A129BC">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CD4C85">
        <w:rPr>
          <w:rFonts w:ascii="Times New Roman" w:eastAsia="Times New Roman" w:hAnsi="Times New Roman" w:cs="Times New Roman"/>
          <w:kern w:val="0"/>
          <w:sz w:val="24"/>
          <w:szCs w:val="24"/>
          <w:lang w:val="ro-MD" w:eastAsia="ro-MD"/>
          <w14:ligatures w14:val="none"/>
        </w:rPr>
        <w:t xml:space="preserve">CSFP </w:t>
      </w:r>
      <w:r w:rsidRPr="00BE7294">
        <w:rPr>
          <w:rFonts w:ascii="Times New Roman" w:eastAsia="Times New Roman" w:hAnsi="Times New Roman" w:cs="Times New Roman"/>
          <w:kern w:val="0"/>
          <w:sz w:val="24"/>
          <w:szCs w:val="24"/>
          <w:lang w:val="ro-MD" w:eastAsia="ro-MD"/>
          <w14:ligatures w14:val="none"/>
        </w:rPr>
        <w:t>sunt structuri consultative de parteneriat social, instituite prin Legea nr. 244/2017</w:t>
      </w:r>
      <w:r w:rsidR="00256807">
        <w:rPr>
          <w:rFonts w:ascii="Times New Roman" w:eastAsia="Times New Roman" w:hAnsi="Times New Roman" w:cs="Times New Roman"/>
          <w:kern w:val="0"/>
          <w:sz w:val="24"/>
          <w:szCs w:val="24"/>
          <w:lang w:val="ro-MD" w:eastAsia="ro-MD"/>
          <w14:ligatures w14:val="none"/>
        </w:rPr>
        <w:t xml:space="preserve"> </w:t>
      </w:r>
      <w:r w:rsidR="00B013E0">
        <w:rPr>
          <w:rFonts w:ascii="Times New Roman" w:eastAsia="Times New Roman" w:hAnsi="Times New Roman" w:cs="Times New Roman"/>
          <w:kern w:val="0"/>
          <w:sz w:val="24"/>
          <w:szCs w:val="24"/>
          <w:lang w:eastAsia="ro-MD"/>
          <w14:ligatures w14:val="none"/>
        </w:rPr>
        <w:t>(</w:t>
      </w:r>
      <w:hyperlink r:id="rId51" w:history="1">
        <w:r w:rsidR="00B013E0" w:rsidRPr="00AA7A7B">
          <w:rPr>
            <w:rStyle w:val="aff0"/>
            <w:rFonts w:ascii="Times New Roman" w:eastAsia="Times New Roman" w:hAnsi="Times New Roman" w:cs="Times New Roman"/>
            <w:kern w:val="0"/>
            <w:sz w:val="24"/>
            <w:szCs w:val="24"/>
            <w:lang w:eastAsia="ro-MD"/>
            <w14:ligatures w14:val="none"/>
          </w:rPr>
          <w:t>link</w:t>
        </w:r>
      </w:hyperlink>
      <w:r w:rsidR="00B013E0">
        <w:rPr>
          <w:rFonts w:ascii="Times New Roman" w:eastAsia="Times New Roman" w:hAnsi="Times New Roman" w:cs="Times New Roman"/>
          <w:kern w:val="0"/>
          <w:sz w:val="24"/>
          <w:szCs w:val="24"/>
          <w:lang w:eastAsia="ro-MD"/>
          <w14:ligatures w14:val="none"/>
        </w:rPr>
        <w:t>)</w:t>
      </w:r>
      <w:r w:rsidR="00B013E0" w:rsidRPr="001F6026">
        <w:rPr>
          <w:rFonts w:ascii="Times New Roman" w:eastAsia="Times New Roman" w:hAnsi="Times New Roman" w:cs="Times New Roman"/>
          <w:kern w:val="0"/>
          <w:sz w:val="24"/>
          <w:szCs w:val="24"/>
          <w:lang w:eastAsia="ro-MD"/>
          <w14:ligatures w14:val="none"/>
        </w:rPr>
        <w:t>,</w:t>
      </w:r>
      <w:r w:rsidRPr="00BE7294">
        <w:rPr>
          <w:rFonts w:ascii="Times New Roman" w:eastAsia="Times New Roman" w:hAnsi="Times New Roman" w:cs="Times New Roman"/>
          <w:kern w:val="0"/>
          <w:sz w:val="24"/>
          <w:szCs w:val="24"/>
          <w:lang w:val="ro-MD" w:eastAsia="ro-MD"/>
          <w14:ligatures w14:val="none"/>
        </w:rPr>
        <w:t xml:space="preserve"> având rolul de a asigura cooperarea dintre mediul economic, autoritățile publice și furnizorii de educație și formare profesională. Aceste comitete sprijină implementarea politicilor publice în domeniul dezvoltării competențelor și contribuie la alinierea sistemului de formare profesională la necesitățile reale ale economiei.</w:t>
      </w:r>
      <w:r w:rsidR="003638C6" w:rsidRPr="003638C6">
        <w:t xml:space="preserve"> </w:t>
      </w:r>
      <w:r w:rsidR="00C550AD" w:rsidRPr="00A129BC">
        <w:rPr>
          <w:rFonts w:ascii="Times New Roman" w:eastAsia="Times New Roman" w:hAnsi="Times New Roman" w:cs="Times New Roman"/>
          <w:kern w:val="0"/>
          <w:sz w:val="24"/>
          <w:szCs w:val="24"/>
          <w:lang w:val="ro-MD" w:eastAsia="ro-MD"/>
          <w14:ligatures w14:val="none"/>
        </w:rPr>
        <w:t xml:space="preserve">Totodată, </w:t>
      </w:r>
      <w:r w:rsidR="00C550AD" w:rsidRPr="00BE7294">
        <w:rPr>
          <w:rFonts w:ascii="Times New Roman" w:eastAsia="Times New Roman" w:hAnsi="Times New Roman" w:cs="Times New Roman"/>
          <w:kern w:val="0"/>
          <w:sz w:val="24"/>
          <w:szCs w:val="24"/>
          <w:lang w:val="ro-MD" w:eastAsia="ro-MD"/>
          <w14:ligatures w14:val="none"/>
        </w:rPr>
        <w:t>CSFP</w:t>
      </w:r>
      <w:r w:rsidR="00A167AF">
        <w:rPr>
          <w:rFonts w:ascii="Times New Roman" w:eastAsia="Times New Roman" w:hAnsi="Times New Roman" w:cs="Times New Roman"/>
          <w:kern w:val="0"/>
          <w:sz w:val="24"/>
          <w:szCs w:val="24"/>
          <w:lang w:val="ro-MD" w:eastAsia="ro-MD"/>
          <w14:ligatures w14:val="none"/>
        </w:rPr>
        <w:t xml:space="preserve"> </w:t>
      </w:r>
      <w:r w:rsidR="00A167AF" w:rsidRPr="003638C6">
        <w:rPr>
          <w:rFonts w:ascii="Times New Roman" w:eastAsia="Times New Roman" w:hAnsi="Times New Roman" w:cs="Times New Roman"/>
          <w:kern w:val="0"/>
          <w:sz w:val="24"/>
          <w:szCs w:val="24"/>
          <w:lang w:val="ro-MD" w:eastAsia="ro-MD"/>
          <w14:ligatures w14:val="none"/>
        </w:rPr>
        <w:t xml:space="preserve">participă la elaborarea </w:t>
      </w:r>
      <w:r w:rsidR="00A167AF">
        <w:rPr>
          <w:rFonts w:ascii="Times New Roman" w:eastAsia="Times New Roman" w:hAnsi="Times New Roman" w:cs="Times New Roman"/>
          <w:kern w:val="0"/>
          <w:sz w:val="24"/>
          <w:szCs w:val="24"/>
          <w:lang w:val="ro-MD" w:eastAsia="ro-MD"/>
          <w14:ligatures w14:val="none"/>
        </w:rPr>
        <w:t xml:space="preserve">CNC, precum și </w:t>
      </w:r>
      <w:r w:rsidR="003638C6" w:rsidRPr="003638C6">
        <w:rPr>
          <w:rFonts w:ascii="Times New Roman" w:eastAsia="Times New Roman" w:hAnsi="Times New Roman" w:cs="Times New Roman"/>
          <w:kern w:val="0"/>
          <w:sz w:val="24"/>
          <w:szCs w:val="24"/>
          <w:lang w:val="ro-MD" w:eastAsia="ro-MD"/>
          <w14:ligatures w14:val="none"/>
        </w:rPr>
        <w:t>la elaborarea, dezvoltarea şi actualizarea calificărilor aferente ramurii economice pe care o reprezintă</w:t>
      </w:r>
      <w:r w:rsidR="00A129BC">
        <w:rPr>
          <w:rFonts w:ascii="Times New Roman" w:eastAsia="Times New Roman" w:hAnsi="Times New Roman" w:cs="Times New Roman"/>
          <w:kern w:val="0"/>
          <w:sz w:val="24"/>
          <w:szCs w:val="24"/>
          <w:lang w:val="ro-MD" w:eastAsia="ro-MD"/>
          <w14:ligatures w14:val="none"/>
        </w:rPr>
        <w:t>.</w:t>
      </w:r>
    </w:p>
    <w:p w14:paraId="32DEEE6D" w14:textId="04B382ED" w:rsidR="00BE7294" w:rsidRPr="00BE7294" w:rsidRDefault="00BE7294" w:rsidP="0025680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 xml:space="preserve">Conform Hotărârii Guvernului nr. 678/2020 </w:t>
      </w:r>
      <w:r w:rsidR="0069683A">
        <w:rPr>
          <w:rFonts w:ascii="Times New Roman" w:eastAsia="Times New Roman" w:hAnsi="Times New Roman" w:cs="Times New Roman"/>
          <w:kern w:val="0"/>
          <w:sz w:val="24"/>
          <w:szCs w:val="24"/>
          <w:lang w:eastAsia="ro-MD"/>
          <w14:ligatures w14:val="none"/>
        </w:rPr>
        <w:t>(</w:t>
      </w:r>
      <w:hyperlink r:id="rId52" w:history="1">
        <w:r w:rsidR="0069683A" w:rsidRPr="00D62A43">
          <w:rPr>
            <w:rStyle w:val="aff0"/>
            <w:rFonts w:ascii="Times New Roman" w:eastAsia="Times New Roman" w:hAnsi="Times New Roman" w:cs="Times New Roman"/>
            <w:kern w:val="0"/>
            <w:sz w:val="24"/>
            <w:szCs w:val="24"/>
            <w:lang w:eastAsia="ro-MD"/>
            <w14:ligatures w14:val="none"/>
          </w:rPr>
          <w:t>link</w:t>
        </w:r>
      </w:hyperlink>
      <w:r w:rsidR="0069683A">
        <w:rPr>
          <w:rFonts w:ascii="Times New Roman" w:eastAsia="Times New Roman" w:hAnsi="Times New Roman" w:cs="Times New Roman"/>
          <w:kern w:val="0"/>
          <w:sz w:val="24"/>
          <w:szCs w:val="24"/>
          <w:lang w:eastAsia="ro-MD"/>
          <w14:ligatures w14:val="none"/>
        </w:rPr>
        <w:t xml:space="preserve">) </w:t>
      </w:r>
      <w:r w:rsidRPr="00BE7294">
        <w:rPr>
          <w:rFonts w:ascii="Times New Roman" w:eastAsia="Times New Roman" w:hAnsi="Times New Roman" w:cs="Times New Roman"/>
          <w:kern w:val="0"/>
          <w:sz w:val="24"/>
          <w:szCs w:val="24"/>
          <w:lang w:val="ro-MD" w:eastAsia="ro-MD"/>
          <w14:ligatures w14:val="none"/>
        </w:rPr>
        <w:t xml:space="preserve">privind </w:t>
      </w:r>
      <w:r w:rsidR="00256807" w:rsidRPr="00256807">
        <w:rPr>
          <w:rFonts w:ascii="Times New Roman" w:eastAsia="Times New Roman" w:hAnsi="Times New Roman" w:cs="Times New Roman"/>
          <w:kern w:val="0"/>
          <w:sz w:val="24"/>
          <w:szCs w:val="24"/>
          <w:lang w:val="ro-MD" w:eastAsia="ro-MD"/>
          <w14:ligatures w14:val="none"/>
        </w:rPr>
        <w:t>aprobarea Metodologiei de elaborare</w:t>
      </w:r>
      <w:r w:rsidR="00256807">
        <w:rPr>
          <w:rFonts w:ascii="Times New Roman" w:eastAsia="Times New Roman" w:hAnsi="Times New Roman" w:cs="Times New Roman"/>
          <w:kern w:val="0"/>
          <w:sz w:val="24"/>
          <w:szCs w:val="24"/>
          <w:lang w:val="ro-MD" w:eastAsia="ro-MD"/>
          <w14:ligatures w14:val="none"/>
        </w:rPr>
        <w:t xml:space="preserve"> </w:t>
      </w:r>
      <w:r w:rsidR="00256807" w:rsidRPr="00256807">
        <w:rPr>
          <w:rFonts w:ascii="Times New Roman" w:eastAsia="Times New Roman" w:hAnsi="Times New Roman" w:cs="Times New Roman"/>
          <w:kern w:val="0"/>
          <w:sz w:val="24"/>
          <w:szCs w:val="24"/>
          <w:lang w:val="ro-MD" w:eastAsia="ro-MD"/>
          <w14:ligatures w14:val="none"/>
        </w:rPr>
        <w:t>a standardelor ocupaționale</w:t>
      </w:r>
      <w:r w:rsidRPr="00BE7294">
        <w:rPr>
          <w:rFonts w:ascii="Times New Roman" w:eastAsia="Times New Roman" w:hAnsi="Times New Roman" w:cs="Times New Roman"/>
          <w:kern w:val="0"/>
          <w:sz w:val="24"/>
          <w:szCs w:val="24"/>
          <w:lang w:val="ro-MD" w:eastAsia="ro-MD"/>
          <w14:ligatures w14:val="none"/>
        </w:rPr>
        <w:t xml:space="preserve">, CSFP elaborează, actualizează și validează standardele ocupaționale, </w:t>
      </w:r>
      <w:r w:rsidR="006E2E28">
        <w:rPr>
          <w:rFonts w:ascii="Times New Roman" w:eastAsia="Times New Roman" w:hAnsi="Times New Roman" w:cs="Times New Roman"/>
          <w:kern w:val="0"/>
          <w:sz w:val="24"/>
          <w:szCs w:val="24"/>
          <w:lang w:val="ro-MD" w:eastAsia="ro-MD"/>
          <w14:ligatures w14:val="none"/>
        </w:rPr>
        <w:t xml:space="preserve">necesare </w:t>
      </w:r>
      <w:r w:rsidRPr="00BE7294">
        <w:rPr>
          <w:rFonts w:ascii="Times New Roman" w:eastAsia="Times New Roman" w:hAnsi="Times New Roman" w:cs="Times New Roman"/>
          <w:kern w:val="0"/>
          <w:sz w:val="24"/>
          <w:szCs w:val="24"/>
          <w:lang w:val="ro-MD" w:eastAsia="ro-MD"/>
          <w14:ligatures w14:val="none"/>
        </w:rPr>
        <w:t xml:space="preserve">pentru </w:t>
      </w:r>
      <w:r w:rsidR="00175C7A">
        <w:rPr>
          <w:rFonts w:ascii="Times New Roman" w:eastAsia="Times New Roman" w:hAnsi="Times New Roman" w:cs="Times New Roman"/>
          <w:kern w:val="0"/>
          <w:sz w:val="24"/>
          <w:szCs w:val="24"/>
          <w:lang w:val="ro-MD" w:eastAsia="ro-MD"/>
          <w14:ligatures w14:val="none"/>
        </w:rPr>
        <w:t>elaborarea</w:t>
      </w:r>
      <w:r w:rsidRPr="00BE7294">
        <w:rPr>
          <w:rFonts w:ascii="Times New Roman" w:eastAsia="Times New Roman" w:hAnsi="Times New Roman" w:cs="Times New Roman"/>
          <w:kern w:val="0"/>
          <w:sz w:val="24"/>
          <w:szCs w:val="24"/>
          <w:lang w:val="ro-MD" w:eastAsia="ro-MD"/>
          <w14:ligatures w14:val="none"/>
        </w:rPr>
        <w:t xml:space="preserve"> standardelor de calificare aferente nivelurilor 3–5 ale CNC. Prin această activitate, comitetele contribuie la asigurarea relevanței și calității calificărilor, consolidând legătura dintre educație și piața muncii.</w:t>
      </w:r>
    </w:p>
    <w:p w14:paraId="2D6DA031" w14:textId="77777777" w:rsidR="00BE7294" w:rsidRPr="00BE7294" w:rsidRDefault="00BE7294" w:rsidP="00B013E0">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În prezent, în Republica Moldova sunt constituite șapte comitete sectoriale, dintre care patru funcționează activ, acoperind domenii economice strategice: construcții, agricultură și industria alimentară, HORECA (turism și servicii) și industria ușoară. Aceste comitete reunesc reprezentanți ai angajatorilor, organizațiilor patronale, sindicatelor, instituțiilor de învățământ profesional, ministerelor de resort și altor actori relevanți.</w:t>
      </w:r>
    </w:p>
    <w:p w14:paraId="61A75469" w14:textId="77777777" w:rsidR="00BE7294" w:rsidRPr="00BE7294" w:rsidRDefault="00BE7294" w:rsidP="00B013E0">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Prin activitatea lor, comitetele sectoriale:</w:t>
      </w:r>
    </w:p>
    <w:p w14:paraId="6B5E2D76" w14:textId="77777777" w:rsidR="00BE7294" w:rsidRPr="00BE7294" w:rsidRDefault="00BE7294" w:rsidP="00A41843">
      <w:pPr>
        <w:numPr>
          <w:ilvl w:val="0"/>
          <w:numId w:val="16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identifică nevoile actuale și emergente de competențe specifice fiecărui sector economic;</w:t>
      </w:r>
    </w:p>
    <w:p w14:paraId="17030899" w14:textId="77777777" w:rsidR="00BE7294" w:rsidRPr="00BE7294" w:rsidRDefault="00BE7294" w:rsidP="00A41843">
      <w:pPr>
        <w:numPr>
          <w:ilvl w:val="0"/>
          <w:numId w:val="16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formulează propuneri privind noi calificări sau actualizarea celor existente;</w:t>
      </w:r>
    </w:p>
    <w:p w14:paraId="6A6D8B74" w14:textId="679D2C61" w:rsidR="00BE7294" w:rsidRPr="00BE7294" w:rsidRDefault="00BE7294" w:rsidP="00A41843">
      <w:pPr>
        <w:numPr>
          <w:ilvl w:val="0"/>
          <w:numId w:val="16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oferă expertiză tehnică și valid</w:t>
      </w:r>
      <w:r w:rsidR="00033133">
        <w:rPr>
          <w:rFonts w:ascii="Times New Roman" w:eastAsia="Times New Roman" w:hAnsi="Times New Roman" w:cs="Times New Roman"/>
          <w:kern w:val="0"/>
          <w:sz w:val="24"/>
          <w:szCs w:val="24"/>
          <w:lang w:val="ro-MD" w:eastAsia="ro-MD"/>
          <w14:ligatures w14:val="none"/>
        </w:rPr>
        <w:t>ează</w:t>
      </w:r>
      <w:r w:rsidRPr="00BE7294">
        <w:rPr>
          <w:rFonts w:ascii="Times New Roman" w:eastAsia="Times New Roman" w:hAnsi="Times New Roman" w:cs="Times New Roman"/>
          <w:kern w:val="0"/>
          <w:sz w:val="24"/>
          <w:szCs w:val="24"/>
          <w:lang w:val="ro-MD" w:eastAsia="ro-MD"/>
          <w14:ligatures w14:val="none"/>
        </w:rPr>
        <w:t xml:space="preserve"> standardel</w:t>
      </w:r>
      <w:r w:rsidR="00033133">
        <w:rPr>
          <w:rFonts w:ascii="Times New Roman" w:eastAsia="Times New Roman" w:hAnsi="Times New Roman" w:cs="Times New Roman"/>
          <w:kern w:val="0"/>
          <w:sz w:val="24"/>
          <w:szCs w:val="24"/>
          <w:lang w:val="ro-MD" w:eastAsia="ro-MD"/>
          <w14:ligatures w14:val="none"/>
        </w:rPr>
        <w:t>e</w:t>
      </w:r>
      <w:r w:rsidRPr="00BE7294">
        <w:rPr>
          <w:rFonts w:ascii="Times New Roman" w:eastAsia="Times New Roman" w:hAnsi="Times New Roman" w:cs="Times New Roman"/>
          <w:kern w:val="0"/>
          <w:sz w:val="24"/>
          <w:szCs w:val="24"/>
          <w:lang w:val="ro-MD" w:eastAsia="ro-MD"/>
          <w14:ligatures w14:val="none"/>
        </w:rPr>
        <w:t xml:space="preserve"> ocupaționale și de calificare;</w:t>
      </w:r>
    </w:p>
    <w:p w14:paraId="078BD1FD" w14:textId="77777777" w:rsidR="00BE7294" w:rsidRPr="00BE7294" w:rsidRDefault="00BE7294" w:rsidP="00A41843">
      <w:pPr>
        <w:numPr>
          <w:ilvl w:val="0"/>
          <w:numId w:val="16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facilitează dialogul constant între educație și economie, contribuind la modernizarea sistemului de formare profesională și la creșterea angajabilității absolvenților.</w:t>
      </w:r>
    </w:p>
    <w:p w14:paraId="1A037928" w14:textId="77777777" w:rsidR="00BE7294" w:rsidRPr="00BE7294" w:rsidRDefault="00BE7294" w:rsidP="00B013E0">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BE7294">
        <w:rPr>
          <w:rFonts w:ascii="Times New Roman" w:eastAsia="Times New Roman" w:hAnsi="Times New Roman" w:cs="Times New Roman"/>
          <w:kern w:val="0"/>
          <w:sz w:val="24"/>
          <w:szCs w:val="24"/>
          <w:lang w:val="ro-MD" w:eastAsia="ro-MD"/>
          <w14:ligatures w14:val="none"/>
        </w:rPr>
        <w:t>Astfel, CSFP reprezintă mecanisme cheie ale parteneriatului public-privat în domeniul calificărilor, contribuind la modernizarea și relevanța sistemului CNC, în deplină concordanță cu principiile europene privind guvernanța pe bază de parteneriat și dezvoltarea competențelor orientate spre piața muncii.</w:t>
      </w:r>
    </w:p>
    <w:p w14:paraId="07B57D24" w14:textId="77777777" w:rsidR="00322B55" w:rsidRPr="00322B55" w:rsidRDefault="00CF7F06" w:rsidP="00CF7F06">
      <w:pPr>
        <w:pStyle w:val="af8"/>
        <w:spacing w:before="120" w:beforeAutospacing="0" w:after="120" w:afterAutospacing="0" w:line="276" w:lineRule="auto"/>
        <w:jc w:val="both"/>
        <w:rPr>
          <w:b/>
          <w:bCs/>
          <w:color w:val="3494BA" w:themeColor="accent1"/>
        </w:rPr>
      </w:pPr>
      <w:r w:rsidRPr="00322B55">
        <w:rPr>
          <w:b/>
          <w:bCs/>
          <w:color w:val="3494BA" w:themeColor="accent1"/>
        </w:rPr>
        <w:t>Centrul de Tehnologii Informaționale și Comunicaționale în Educație (CTICE)</w:t>
      </w:r>
    </w:p>
    <w:p w14:paraId="79BE1314" w14:textId="30C829A6" w:rsidR="00CF7F06" w:rsidRPr="006F20BE" w:rsidRDefault="00322B55" w:rsidP="00CF7F06">
      <w:pPr>
        <w:pStyle w:val="af8"/>
        <w:spacing w:before="120" w:beforeAutospacing="0" w:after="120" w:afterAutospacing="0" w:line="276" w:lineRule="auto"/>
        <w:jc w:val="both"/>
        <w:rPr>
          <w:lang w:val="ro-MD"/>
        </w:rPr>
      </w:pPr>
      <w:r w:rsidRPr="00322B55">
        <w:t>CTICE</w:t>
      </w:r>
      <w:r>
        <w:t xml:space="preserve"> (</w:t>
      </w:r>
      <w:hyperlink r:id="rId53" w:history="1">
        <w:r w:rsidR="00CF7F06" w:rsidRPr="006F20BE">
          <w:rPr>
            <w:rStyle w:val="aff0"/>
          </w:rPr>
          <w:t>link</w:t>
        </w:r>
      </w:hyperlink>
      <w:r>
        <w:t>)</w:t>
      </w:r>
      <w:r w:rsidR="00CF7F06" w:rsidRPr="006F20BE">
        <w:rPr>
          <w:color w:val="3494BA" w:themeColor="accent1"/>
        </w:rPr>
        <w:t xml:space="preserve"> </w:t>
      </w:r>
      <w:r w:rsidR="00CF7F06" w:rsidRPr="006F20BE">
        <w:t>este o instituție publică subordonată MEC, înființată prin HG nr. 373/2006 (</w:t>
      </w:r>
      <w:hyperlink r:id="rId54" w:history="1">
        <w:r w:rsidR="00CF7F06" w:rsidRPr="006F20BE">
          <w:rPr>
            <w:rStyle w:val="aff0"/>
          </w:rPr>
          <w:t>link</w:t>
        </w:r>
      </w:hyperlink>
      <w:r w:rsidR="00CF7F06" w:rsidRPr="000B431A">
        <w:t>)</w:t>
      </w:r>
      <w:r w:rsidR="00CF7F06">
        <w:rPr>
          <w:color w:val="3494BA" w:themeColor="accent1"/>
        </w:rPr>
        <w:t>.</w:t>
      </w:r>
      <w:r w:rsidR="00CF7F06" w:rsidRPr="006F20BE">
        <w:rPr>
          <w:color w:val="3494BA" w:themeColor="accent1"/>
        </w:rPr>
        <w:t xml:space="preserve"> </w:t>
      </w:r>
      <w:r w:rsidR="00CF7F06" w:rsidRPr="006F20BE">
        <w:t xml:space="preserve">Centrul are misiunea de a asigura </w:t>
      </w:r>
      <w:r w:rsidR="00CF7F06" w:rsidRPr="006F20BE">
        <w:rPr>
          <w:rStyle w:val="af9"/>
          <w:rFonts w:eastAsiaTheme="majorEastAsia"/>
          <w:b w:val="0"/>
          <w:bCs w:val="0"/>
        </w:rPr>
        <w:t>infrastructura digitală a sistemului educațional</w:t>
      </w:r>
      <w:r w:rsidR="00CF7F06" w:rsidRPr="006F20BE">
        <w:t xml:space="preserve">, de a coordona </w:t>
      </w:r>
      <w:r w:rsidR="00CF7F06" w:rsidRPr="006F20BE">
        <w:rPr>
          <w:rStyle w:val="af9"/>
          <w:rFonts w:eastAsiaTheme="majorEastAsia"/>
          <w:b w:val="0"/>
          <w:bCs w:val="0"/>
        </w:rPr>
        <w:t>procesarea, securizarea și interoperabilitatea datelor educaționale</w:t>
      </w:r>
      <w:r w:rsidR="00CF7F06" w:rsidRPr="006F20BE">
        <w:t xml:space="preserve">, precum și de a </w:t>
      </w:r>
      <w:r w:rsidR="00CF7F06" w:rsidRPr="006F20BE">
        <w:rPr>
          <w:rStyle w:val="af9"/>
          <w:rFonts w:eastAsiaTheme="majorEastAsia"/>
          <w:b w:val="0"/>
          <w:bCs w:val="0"/>
        </w:rPr>
        <w:t>sprijini procesul de recunoaștere și autentificare a actelor de studii</w:t>
      </w:r>
      <w:r w:rsidR="00CF7F06" w:rsidRPr="006F20BE">
        <w:t>.</w:t>
      </w:r>
    </w:p>
    <w:p w14:paraId="0BEED7C9" w14:textId="77777777" w:rsidR="00CF7F06" w:rsidRPr="006F20BE" w:rsidRDefault="00CF7F06" w:rsidP="00CF7F06">
      <w:pPr>
        <w:pStyle w:val="af8"/>
        <w:spacing w:before="120" w:beforeAutospacing="0" w:after="120" w:afterAutospacing="0" w:line="276" w:lineRule="auto"/>
        <w:jc w:val="both"/>
      </w:pPr>
      <w:r w:rsidRPr="006F20BE">
        <w:lastRenderedPageBreak/>
        <w:t xml:space="preserve">CTICE îndeplinește un rol dublu – </w:t>
      </w:r>
      <w:r w:rsidRPr="006F20BE">
        <w:rPr>
          <w:rStyle w:val="af9"/>
          <w:rFonts w:eastAsiaTheme="majorEastAsia"/>
          <w:b w:val="0"/>
          <w:bCs w:val="0"/>
        </w:rPr>
        <w:t>tehnologic și administrativ</w:t>
      </w:r>
      <w:r w:rsidRPr="006F20BE">
        <w:t xml:space="preserve"> – prin implementarea sistemelor informaționale educaționale la nivel național</w:t>
      </w:r>
      <w:r>
        <w:t xml:space="preserve">, </w:t>
      </w:r>
      <w:r w:rsidRPr="006F20BE">
        <w:t>și prin garantarea autenticității documentelor educaționale. Printre atribuțiile sale principale se numără:</w:t>
      </w:r>
    </w:p>
    <w:p w14:paraId="64D8F4B0" w14:textId="77777777" w:rsidR="00CF7F06" w:rsidRPr="006F20BE" w:rsidRDefault="00CF7F06" w:rsidP="00A41843">
      <w:pPr>
        <w:pStyle w:val="af8"/>
        <w:numPr>
          <w:ilvl w:val="0"/>
          <w:numId w:val="171"/>
        </w:numPr>
        <w:spacing w:before="120" w:beforeAutospacing="0" w:after="120" w:afterAutospacing="0" w:line="276" w:lineRule="auto"/>
        <w:jc w:val="both"/>
      </w:pPr>
      <w:r w:rsidRPr="006F20BE">
        <w:rPr>
          <w:rStyle w:val="af9"/>
          <w:rFonts w:eastAsiaTheme="majorEastAsia"/>
          <w:b w:val="0"/>
          <w:bCs w:val="0"/>
        </w:rPr>
        <w:t>personalizarea și legalizarea actelor de studii</w:t>
      </w:r>
      <w:r w:rsidRPr="006F20BE">
        <w:t xml:space="preserve"> pentru toate nivelurile de învățământ;</w:t>
      </w:r>
    </w:p>
    <w:p w14:paraId="722FE664" w14:textId="77777777" w:rsidR="00CF7F06" w:rsidRPr="006F20BE" w:rsidRDefault="00CF7F06" w:rsidP="00A41843">
      <w:pPr>
        <w:pStyle w:val="af8"/>
        <w:numPr>
          <w:ilvl w:val="0"/>
          <w:numId w:val="171"/>
        </w:numPr>
        <w:spacing w:before="120" w:beforeAutospacing="0" w:after="120" w:afterAutospacing="0" w:line="276" w:lineRule="auto"/>
        <w:jc w:val="both"/>
      </w:pPr>
      <w:r w:rsidRPr="006F20BE">
        <w:rPr>
          <w:rStyle w:val="af9"/>
          <w:rFonts w:eastAsiaTheme="majorEastAsia"/>
          <w:b w:val="0"/>
          <w:bCs w:val="0"/>
        </w:rPr>
        <w:t>administrarea sistemelor informaționale educaționale</w:t>
      </w:r>
      <w:r w:rsidRPr="006F20BE">
        <w:t xml:space="preserve"> și a bazelor de date naționale în domeniul educației</w:t>
      </w:r>
      <w:r>
        <w:t xml:space="preserve"> (SIME pentru învățământ general, educație timpurie, ÎPT;</w:t>
      </w:r>
      <w:r w:rsidRPr="00581B12">
        <w:t xml:space="preserve"> </w:t>
      </w:r>
      <w:r>
        <w:t>SIPAS (</w:t>
      </w:r>
      <w:r w:rsidRPr="00581B12">
        <w:t>Sistemul de personalizare a certificatelor Formare Continuă</w:t>
      </w:r>
      <w:r>
        <w:t>)</w:t>
      </w:r>
      <w:r w:rsidRPr="006F20BE">
        <w:t>;</w:t>
      </w:r>
      <w:r w:rsidRPr="007665F1">
        <w:t xml:space="preserve"> </w:t>
      </w:r>
      <w:r>
        <w:t>Admiterea în universități)</w:t>
      </w:r>
    </w:p>
    <w:p w14:paraId="32A67E18" w14:textId="77777777" w:rsidR="00CF7F06" w:rsidRPr="006F20BE" w:rsidRDefault="00CF7F06" w:rsidP="00A41843">
      <w:pPr>
        <w:pStyle w:val="af8"/>
        <w:numPr>
          <w:ilvl w:val="0"/>
          <w:numId w:val="171"/>
        </w:numPr>
        <w:spacing w:before="120" w:beforeAutospacing="0" w:after="120" w:afterAutospacing="0" w:line="276" w:lineRule="auto"/>
        <w:jc w:val="both"/>
      </w:pPr>
      <w:r w:rsidRPr="006F20BE">
        <w:rPr>
          <w:rStyle w:val="af9"/>
          <w:rFonts w:eastAsiaTheme="majorEastAsia"/>
          <w:b w:val="0"/>
          <w:bCs w:val="0"/>
        </w:rPr>
        <w:t>gestionarea și publicarea manualelor electronice și a resurselor digitale educaționale</w:t>
      </w:r>
      <w:r w:rsidRPr="006F20BE">
        <w:t>, pentru sprijinirea procesului didactic;</w:t>
      </w:r>
    </w:p>
    <w:p w14:paraId="38402A9F" w14:textId="77777777" w:rsidR="00CF7F06" w:rsidRPr="006F20BE" w:rsidRDefault="00CF7F06" w:rsidP="00A41843">
      <w:pPr>
        <w:pStyle w:val="af8"/>
        <w:numPr>
          <w:ilvl w:val="0"/>
          <w:numId w:val="171"/>
        </w:numPr>
        <w:spacing w:before="120" w:beforeAutospacing="0" w:after="120" w:afterAutospacing="0" w:line="276" w:lineRule="auto"/>
        <w:jc w:val="both"/>
      </w:pPr>
      <w:r w:rsidRPr="006F20BE">
        <w:rPr>
          <w:rStyle w:val="af9"/>
          <w:rFonts w:eastAsiaTheme="majorEastAsia"/>
          <w:b w:val="0"/>
          <w:bCs w:val="0"/>
        </w:rPr>
        <w:t>procesarea cererilor de recunoaștere și echivalare a actelor de studii obținute în străinătate</w:t>
      </w:r>
      <w:r w:rsidRPr="006F20BE">
        <w:t>, în cooperare cu subdiviziunile de specialitate ale Ministerului Educației și Cercetării.</w:t>
      </w:r>
    </w:p>
    <w:p w14:paraId="10AFEFAE" w14:textId="77777777" w:rsidR="00CF7F06" w:rsidRPr="006F20BE" w:rsidRDefault="00CF7F06" w:rsidP="00CF7F06">
      <w:pPr>
        <w:pStyle w:val="af8"/>
        <w:spacing w:before="120" w:beforeAutospacing="0" w:after="120" w:afterAutospacing="0" w:line="276" w:lineRule="auto"/>
        <w:jc w:val="both"/>
      </w:pPr>
      <w:r w:rsidRPr="006F20BE">
        <w:t xml:space="preserve">De asemenea, CTICE organizează </w:t>
      </w:r>
      <w:r w:rsidRPr="006F20BE">
        <w:rPr>
          <w:rStyle w:val="af9"/>
          <w:rFonts w:eastAsiaTheme="majorEastAsia"/>
          <w:b w:val="0"/>
          <w:bCs w:val="0"/>
        </w:rPr>
        <w:t>programe de formare continuă pentru cadrele didactice</w:t>
      </w:r>
      <w:r w:rsidRPr="006F20BE">
        <w:t xml:space="preserve"> și personalul managerial din instituțiile de învățământ, în domenii precum utilizarea platformelor educaționale digitale, administrarea sistemelor electronice de gestiune școlară, designul conținutului digital </w:t>
      </w:r>
      <w:r>
        <w:t>etc</w:t>
      </w:r>
      <w:r w:rsidRPr="006F20BE">
        <w:t>.</w:t>
      </w:r>
    </w:p>
    <w:p w14:paraId="488A987D" w14:textId="77777777" w:rsidR="00CF7F06" w:rsidRPr="001F6026" w:rsidRDefault="00CF7F06" w:rsidP="00CF7F06">
      <w:pPr>
        <w:pStyle w:val="af8"/>
        <w:spacing w:before="120" w:beforeAutospacing="0" w:after="120" w:afterAutospacing="0" w:line="276" w:lineRule="auto"/>
        <w:jc w:val="both"/>
      </w:pPr>
      <w:r w:rsidRPr="006F20BE">
        <w:t xml:space="preserve">Prin aceste activități, CTICE contribuie la </w:t>
      </w:r>
      <w:r w:rsidRPr="006F20BE">
        <w:rPr>
          <w:rStyle w:val="af9"/>
          <w:rFonts w:eastAsiaTheme="majorEastAsia"/>
          <w:b w:val="0"/>
          <w:bCs w:val="0"/>
        </w:rPr>
        <w:t>digitalizarea educației</w:t>
      </w:r>
      <w:r w:rsidRPr="006F20BE">
        <w:t xml:space="preserve">, la </w:t>
      </w:r>
      <w:r w:rsidRPr="006F20BE">
        <w:rPr>
          <w:rStyle w:val="af9"/>
          <w:rFonts w:eastAsiaTheme="majorEastAsia"/>
          <w:b w:val="0"/>
          <w:bCs w:val="0"/>
        </w:rPr>
        <w:t>transparența informațiilor privind calificările și actele de studii</w:t>
      </w:r>
      <w:r w:rsidRPr="006F20BE">
        <w:t xml:space="preserve">, precum și la </w:t>
      </w:r>
      <w:r w:rsidRPr="006F20BE">
        <w:rPr>
          <w:rStyle w:val="af9"/>
          <w:rFonts w:eastAsiaTheme="majorEastAsia"/>
          <w:b w:val="0"/>
          <w:bCs w:val="0"/>
        </w:rPr>
        <w:t>recunoașterea și comparabilitatea calificărilor</w:t>
      </w:r>
      <w:r w:rsidRPr="006F20BE">
        <w:t xml:space="preserve"> în context european. Activitatea sa susține, astfel, implementarea </w:t>
      </w:r>
      <w:r w:rsidRPr="006F20BE">
        <w:rPr>
          <w:rStyle w:val="af9"/>
          <w:rFonts w:eastAsiaTheme="majorEastAsia"/>
          <w:b w:val="0"/>
          <w:bCs w:val="0"/>
        </w:rPr>
        <w:t>CNC</w:t>
      </w:r>
      <w:r w:rsidRPr="006F20BE">
        <w:t xml:space="preserve"> și corelarea acestuia cu </w:t>
      </w:r>
      <w:r w:rsidRPr="006F20BE">
        <w:rPr>
          <w:rStyle w:val="af9"/>
          <w:rFonts w:eastAsiaTheme="majorEastAsia"/>
          <w:b w:val="0"/>
          <w:bCs w:val="0"/>
        </w:rPr>
        <w:t>EQF</w:t>
      </w:r>
      <w:r w:rsidRPr="006F20BE">
        <w:t xml:space="preserve"> și </w:t>
      </w:r>
      <w:r w:rsidRPr="006F20BE">
        <w:rPr>
          <w:rStyle w:val="af9"/>
          <w:rFonts w:eastAsiaTheme="majorEastAsia"/>
          <w:b w:val="0"/>
          <w:bCs w:val="0"/>
        </w:rPr>
        <w:t>QF-EHEA</w:t>
      </w:r>
      <w:r w:rsidRPr="006F20BE">
        <w:t>, oferind infrastructura tehnologică necesară pentru managementul datelor educaționale și pentru recunoașterea internațională a rezultatelor învățării.</w:t>
      </w:r>
    </w:p>
    <w:p w14:paraId="106BF7A1" w14:textId="71FC24B7" w:rsidR="00FC4462" w:rsidRPr="00F56529" w:rsidRDefault="00FC4462" w:rsidP="00FC4462">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F56529">
        <w:rPr>
          <w:rFonts w:ascii="Times New Roman" w:eastAsia="Times New Roman" w:hAnsi="Times New Roman" w:cs="Times New Roman"/>
          <w:b/>
          <w:bCs/>
          <w:color w:val="3494BA" w:themeColor="accent1"/>
          <w:kern w:val="0"/>
          <w:sz w:val="24"/>
          <w:szCs w:val="24"/>
          <w:lang w:eastAsia="ro-MD"/>
          <w14:ligatures w14:val="none"/>
        </w:rPr>
        <w:t>Furnizorii de educație și formare profesională</w:t>
      </w:r>
      <w:r w:rsidRPr="00F56529">
        <w:rPr>
          <w:rFonts w:ascii="Times New Roman" w:eastAsia="Times New Roman" w:hAnsi="Times New Roman" w:cs="Times New Roman"/>
          <w:color w:val="3494BA" w:themeColor="accent1"/>
          <w:kern w:val="0"/>
          <w:sz w:val="24"/>
          <w:szCs w:val="24"/>
          <w:lang w:eastAsia="ro-MD"/>
          <w14:ligatures w14:val="none"/>
        </w:rPr>
        <w:t xml:space="preserve"> </w:t>
      </w:r>
    </w:p>
    <w:p w14:paraId="19079170" w14:textId="72EF9DE9" w:rsidR="00FC4462" w:rsidRPr="001F6026" w:rsidRDefault="00FC4462" w:rsidP="00FC4462">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 xml:space="preserve">Instituțiile de învățământ superior, colegiile, școlile profesionale și centrele de excelență elaborează și implementează programe de studii în conformitate cu standardele de calificare. Totodată, acestea implementează CNC prin programe ajustate la descriptorii EQF. Exemple relevante sunt planurile de învățământ ale </w:t>
      </w:r>
      <w:r w:rsidRPr="005F56C4">
        <w:rPr>
          <w:rFonts w:ascii="Times New Roman" w:eastAsia="Times New Roman" w:hAnsi="Times New Roman" w:cs="Times New Roman"/>
          <w:kern w:val="0"/>
          <w:sz w:val="24"/>
          <w:szCs w:val="24"/>
          <w:lang w:eastAsia="ro-MD"/>
          <w14:ligatures w14:val="none"/>
        </w:rPr>
        <w:t>Universității Tehnice a Moldovei</w:t>
      </w:r>
      <w:r w:rsidR="002E32D4">
        <w:rPr>
          <w:rFonts w:ascii="Times New Roman" w:eastAsia="Times New Roman" w:hAnsi="Times New Roman" w:cs="Times New Roman"/>
          <w:kern w:val="0"/>
          <w:sz w:val="24"/>
          <w:szCs w:val="24"/>
          <w:lang w:eastAsia="ro-MD"/>
          <w14:ligatures w14:val="none"/>
        </w:rPr>
        <w:t>,</w:t>
      </w:r>
      <w:r w:rsidR="00361880">
        <w:rPr>
          <w:rFonts w:ascii="Times New Roman" w:eastAsia="Times New Roman" w:hAnsi="Times New Roman" w:cs="Times New Roman"/>
          <w:kern w:val="0"/>
          <w:sz w:val="24"/>
          <w:szCs w:val="24"/>
          <w:lang w:eastAsia="ro-MD"/>
          <w14:ligatures w14:val="none"/>
        </w:rPr>
        <w:t xml:space="preserve"> </w:t>
      </w:r>
      <w:r w:rsidRPr="005F56C4">
        <w:rPr>
          <w:rFonts w:ascii="Times New Roman" w:eastAsia="Times New Roman" w:hAnsi="Times New Roman" w:cs="Times New Roman"/>
          <w:kern w:val="0"/>
          <w:sz w:val="24"/>
          <w:szCs w:val="24"/>
          <w:lang w:eastAsia="ro-MD"/>
          <w14:ligatures w14:val="none"/>
        </w:rPr>
        <w:t>Universității de Stat din Moldova</w:t>
      </w:r>
      <w:r w:rsidR="00361880">
        <w:rPr>
          <w:rFonts w:ascii="Times New Roman" w:eastAsia="Times New Roman" w:hAnsi="Times New Roman" w:cs="Times New Roman"/>
          <w:kern w:val="0"/>
          <w:sz w:val="24"/>
          <w:szCs w:val="24"/>
          <w:lang w:eastAsia="ro-MD"/>
          <w14:ligatures w14:val="none"/>
        </w:rPr>
        <w:t xml:space="preserve">, </w:t>
      </w:r>
      <w:r w:rsidRPr="005F56C4">
        <w:rPr>
          <w:rFonts w:ascii="Times New Roman" w:eastAsia="Times New Roman" w:hAnsi="Times New Roman" w:cs="Times New Roman"/>
          <w:kern w:val="0"/>
          <w:sz w:val="24"/>
          <w:szCs w:val="24"/>
          <w:lang w:eastAsia="ro-MD"/>
          <w14:ligatures w14:val="none"/>
        </w:rPr>
        <w:t>Universității Pedagogice de stat ”Ion Creangă</w:t>
      </w:r>
      <w:r w:rsidRPr="001F6026">
        <w:rPr>
          <w:rFonts w:ascii="Times New Roman" w:eastAsia="Times New Roman" w:hAnsi="Times New Roman" w:cs="Times New Roman"/>
          <w:b/>
          <w:bCs/>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din Chișinău (</w:t>
      </w:r>
      <w:hyperlink r:id="rId55" w:history="1">
        <w:r w:rsidRPr="001F6026">
          <w:rPr>
            <w:rStyle w:val="aff0"/>
            <w:rFonts w:ascii="Times New Roman" w:eastAsia="Times New Roman" w:hAnsi="Times New Roman" w:cs="Times New Roman"/>
            <w:kern w:val="0"/>
            <w:sz w:val="24"/>
            <w:szCs w:val="24"/>
            <w:lang w:eastAsia="ro-MD"/>
            <w14:ligatures w14:val="none"/>
          </w:rPr>
          <w:t>link</w:t>
        </w:r>
      </w:hyperlink>
      <w:r w:rsidRPr="001F6026">
        <w:rPr>
          <w:rFonts w:ascii="Times New Roman" w:eastAsia="Times New Roman" w:hAnsi="Times New Roman" w:cs="Times New Roman"/>
          <w:kern w:val="0"/>
          <w:sz w:val="24"/>
          <w:szCs w:val="24"/>
          <w:lang w:eastAsia="ro-MD"/>
          <w14:ligatures w14:val="none"/>
        </w:rPr>
        <w:t xml:space="preserve">), care sunt elaborate în limbile română și engleză, plasate transparent pe site-urile universităților pentru un public larg de utilizatori. În planurile prezentate, rezultatele învățării sunt formulate în termeni CNC/EQF. </w:t>
      </w:r>
      <w:r w:rsidRPr="001B55FB">
        <w:rPr>
          <w:rFonts w:ascii="Times New Roman" w:eastAsia="Times New Roman" w:hAnsi="Times New Roman" w:cs="Times New Roman"/>
          <w:kern w:val="0"/>
          <w:sz w:val="24"/>
          <w:szCs w:val="24"/>
          <w:lang w:eastAsia="ro-MD"/>
          <w14:ligatures w14:val="none"/>
        </w:rPr>
        <w:t>Rapoartele de activitate a instituțiilor de învățământ sunt, la fel, făcute publice: de exemplu, UPS ”Ion Creangă</w:t>
      </w:r>
      <w:r w:rsidRPr="001F6026">
        <w:rPr>
          <w:rFonts w:ascii="Times New Roman" w:eastAsia="Times New Roman" w:hAnsi="Times New Roman" w:cs="Times New Roman"/>
          <w:kern w:val="0"/>
          <w:sz w:val="24"/>
          <w:szCs w:val="24"/>
          <w:lang w:eastAsia="ro-MD"/>
          <w14:ligatures w14:val="none"/>
        </w:rPr>
        <w:t>” (</w:t>
      </w:r>
      <w:hyperlink r:id="rId56" w:history="1">
        <w:r w:rsidRPr="001F6026">
          <w:rPr>
            <w:rStyle w:val="aff0"/>
            <w:rFonts w:ascii="Times New Roman" w:eastAsia="Times New Roman" w:hAnsi="Times New Roman" w:cs="Times New Roman"/>
            <w:kern w:val="0"/>
            <w:sz w:val="24"/>
            <w:szCs w:val="24"/>
            <w:lang w:eastAsia="ro-MD"/>
            <w14:ligatures w14:val="none"/>
          </w:rPr>
          <w:t>link</w:t>
        </w:r>
      </w:hyperlink>
      <w:r w:rsidRPr="001F6026">
        <w:rPr>
          <w:rFonts w:ascii="Times New Roman" w:eastAsia="Times New Roman" w:hAnsi="Times New Roman" w:cs="Times New Roman"/>
          <w:kern w:val="0"/>
          <w:sz w:val="24"/>
          <w:szCs w:val="24"/>
          <w:lang w:eastAsia="ro-MD"/>
          <w14:ligatures w14:val="none"/>
        </w:rPr>
        <w:t>).</w:t>
      </w:r>
    </w:p>
    <w:p w14:paraId="428D33B0" w14:textId="77777777" w:rsidR="00BC0D03" w:rsidRPr="00031D94" w:rsidRDefault="00BC0D03" w:rsidP="00BC0D03">
      <w:pPr>
        <w:spacing w:before="120" w:after="120" w:line="276" w:lineRule="auto"/>
        <w:jc w:val="both"/>
        <w:outlineLvl w:val="2"/>
        <w:rPr>
          <w:rFonts w:ascii="Times New Roman" w:eastAsia="Times New Roman" w:hAnsi="Times New Roman" w:cs="Times New Roman"/>
          <w:b/>
          <w:bCs/>
          <w:color w:val="3494BA" w:themeColor="accent1"/>
          <w:kern w:val="0"/>
          <w:sz w:val="24"/>
          <w:szCs w:val="24"/>
          <w:lang w:eastAsia="ro-MD"/>
          <w14:ligatures w14:val="none"/>
        </w:rPr>
      </w:pPr>
      <w:r w:rsidRPr="00031D94">
        <w:rPr>
          <w:rFonts w:ascii="Times New Roman" w:eastAsia="Times New Roman" w:hAnsi="Times New Roman" w:cs="Times New Roman"/>
          <w:b/>
          <w:bCs/>
          <w:color w:val="3494BA" w:themeColor="accent1"/>
          <w:kern w:val="0"/>
          <w:sz w:val="24"/>
          <w:szCs w:val="24"/>
          <w:lang w:eastAsia="ro-MD"/>
          <w14:ligatures w14:val="none"/>
        </w:rPr>
        <w:t>Ministerele de resort (Sănătate, Afaceri Interne, Apărare, Cultură)</w:t>
      </w:r>
    </w:p>
    <w:p w14:paraId="3E04CF04" w14:textId="77777777" w:rsidR="00BC0D03" w:rsidRPr="001F6026" w:rsidRDefault="00BC0D03" w:rsidP="00A41843">
      <w:pPr>
        <w:numPr>
          <w:ilvl w:val="0"/>
          <w:numId w:val="144"/>
        </w:numPr>
        <w:spacing w:before="120" w:after="120" w:line="276" w:lineRule="auto"/>
        <w:jc w:val="both"/>
        <w:rPr>
          <w:rFonts w:ascii="Times New Roman" w:eastAsia="Times New Roman" w:hAnsi="Times New Roman" w:cs="Times New Roman"/>
          <w:kern w:val="0"/>
          <w:sz w:val="24"/>
          <w:szCs w:val="24"/>
          <w:lang w:eastAsia="ro-MD"/>
          <w14:ligatures w14:val="none"/>
        </w:rPr>
      </w:pPr>
      <w:r w:rsidRPr="00726BCD">
        <w:rPr>
          <w:rFonts w:ascii="Times New Roman" w:eastAsia="Times New Roman" w:hAnsi="Times New Roman" w:cs="Times New Roman"/>
          <w:b/>
          <w:bCs/>
          <w:color w:val="3494BA" w:themeColor="accent1"/>
          <w:kern w:val="0"/>
          <w:sz w:val="24"/>
          <w:szCs w:val="24"/>
          <w:lang w:eastAsia="ro-MD"/>
          <w14:ligatures w14:val="none"/>
        </w:rPr>
        <w:t>Ministerul Sănătății</w:t>
      </w:r>
      <w:r w:rsidRPr="00726BCD">
        <w:rPr>
          <w:rFonts w:ascii="Times New Roman" w:eastAsia="Times New Roman" w:hAnsi="Times New Roman" w:cs="Times New Roman"/>
          <w:color w:val="3494BA" w:themeColor="accent1"/>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reglementează calificările medicale și farmaceutice, domenii considerate profesii reglementate la nivel european.</w:t>
      </w:r>
    </w:p>
    <w:p w14:paraId="598699C7" w14:textId="77777777" w:rsidR="00BC0D03" w:rsidRPr="001F6026" w:rsidRDefault="00BC0D03" w:rsidP="00A41843">
      <w:pPr>
        <w:pStyle w:val="a7"/>
        <w:numPr>
          <w:ilvl w:val="0"/>
          <w:numId w:val="144"/>
        </w:numPr>
        <w:jc w:val="both"/>
        <w:rPr>
          <w:rFonts w:ascii="Times New Roman" w:eastAsia="Times New Roman" w:hAnsi="Times New Roman" w:cs="Times New Roman"/>
          <w:kern w:val="0"/>
          <w:sz w:val="24"/>
          <w:szCs w:val="24"/>
          <w:lang w:eastAsia="ro-MD"/>
          <w14:ligatures w14:val="none"/>
        </w:rPr>
      </w:pPr>
      <w:r w:rsidRPr="00726BCD">
        <w:rPr>
          <w:rFonts w:ascii="Times New Roman" w:eastAsia="Times New Roman" w:hAnsi="Times New Roman" w:cs="Times New Roman"/>
          <w:b/>
          <w:bCs/>
          <w:color w:val="3494BA" w:themeColor="accent1"/>
          <w:kern w:val="0"/>
          <w:sz w:val="24"/>
          <w:szCs w:val="24"/>
          <w:lang w:eastAsia="ro-MD"/>
          <w14:ligatures w14:val="none"/>
        </w:rPr>
        <w:t>Ministerul Afacerilor Interne</w:t>
      </w:r>
      <w:r w:rsidRPr="00726BCD">
        <w:rPr>
          <w:rFonts w:ascii="Times New Roman" w:eastAsia="Times New Roman" w:hAnsi="Times New Roman" w:cs="Times New Roman"/>
          <w:color w:val="3494BA" w:themeColor="accent1"/>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asigură implementarea și dezvoltarea programelor de studii prin intermediul instituției de învățământ superior Academia „Ștefan cel Mare” a MAI la domeniile generale de studii a dreptului, științelor administrative, securității și ordinii publice, fiind acreditate de ANACEC/ ARACIS.</w:t>
      </w:r>
    </w:p>
    <w:p w14:paraId="1BC65285" w14:textId="77777777" w:rsidR="00BC0D03" w:rsidRPr="001F6026" w:rsidRDefault="00BC0D03" w:rsidP="00A41843">
      <w:pPr>
        <w:numPr>
          <w:ilvl w:val="0"/>
          <w:numId w:val="144"/>
        </w:numPr>
        <w:spacing w:before="120" w:after="120" w:line="276" w:lineRule="auto"/>
        <w:jc w:val="both"/>
        <w:rPr>
          <w:rFonts w:ascii="Times New Roman" w:eastAsia="Times New Roman" w:hAnsi="Times New Roman" w:cs="Times New Roman"/>
          <w:kern w:val="0"/>
          <w:sz w:val="24"/>
          <w:szCs w:val="24"/>
          <w:lang w:eastAsia="ro-MD"/>
          <w14:ligatures w14:val="none"/>
        </w:rPr>
      </w:pPr>
      <w:r w:rsidRPr="00726BCD">
        <w:rPr>
          <w:rFonts w:ascii="Times New Roman" w:eastAsia="Times New Roman" w:hAnsi="Times New Roman" w:cs="Times New Roman"/>
          <w:b/>
          <w:bCs/>
          <w:color w:val="3494BA" w:themeColor="accent1"/>
          <w:kern w:val="0"/>
          <w:sz w:val="24"/>
          <w:szCs w:val="24"/>
          <w:lang w:eastAsia="ro-MD"/>
          <w14:ligatures w14:val="none"/>
        </w:rPr>
        <w:t>Ministerul Apărării</w:t>
      </w:r>
      <w:r w:rsidRPr="00726BCD">
        <w:rPr>
          <w:rFonts w:ascii="Times New Roman" w:eastAsia="Times New Roman" w:hAnsi="Times New Roman" w:cs="Times New Roman"/>
          <w:color w:val="3494BA" w:themeColor="accent1"/>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asigură dezvoltarea programelor de calificare pentru securitate și apărare națională, implementate prin academiile specializate și acreditate de ANACEC.</w:t>
      </w:r>
    </w:p>
    <w:p w14:paraId="22586906" w14:textId="77777777" w:rsidR="00BC0D03" w:rsidRPr="001F6026" w:rsidRDefault="00BC0D03" w:rsidP="00A41843">
      <w:pPr>
        <w:numPr>
          <w:ilvl w:val="0"/>
          <w:numId w:val="144"/>
        </w:numPr>
        <w:spacing w:before="120" w:after="120" w:line="276" w:lineRule="auto"/>
        <w:jc w:val="both"/>
        <w:rPr>
          <w:rFonts w:ascii="Times New Roman" w:eastAsia="Times New Roman" w:hAnsi="Times New Roman" w:cs="Times New Roman"/>
          <w:kern w:val="0"/>
          <w:sz w:val="24"/>
          <w:szCs w:val="24"/>
          <w:lang w:eastAsia="ro-MD"/>
          <w14:ligatures w14:val="none"/>
        </w:rPr>
      </w:pPr>
      <w:r w:rsidRPr="00726BCD">
        <w:rPr>
          <w:rFonts w:ascii="Times New Roman" w:eastAsia="Times New Roman" w:hAnsi="Times New Roman" w:cs="Times New Roman"/>
          <w:b/>
          <w:bCs/>
          <w:color w:val="3494BA" w:themeColor="accent1"/>
          <w:kern w:val="0"/>
          <w:sz w:val="24"/>
          <w:szCs w:val="24"/>
          <w:lang w:eastAsia="ro-MD"/>
          <w14:ligatures w14:val="none"/>
        </w:rPr>
        <w:t>Ministerul Culturii</w:t>
      </w:r>
      <w:r w:rsidRPr="00726BCD">
        <w:rPr>
          <w:rFonts w:ascii="Times New Roman" w:eastAsia="Times New Roman" w:hAnsi="Times New Roman" w:cs="Times New Roman"/>
          <w:color w:val="3494BA" w:themeColor="accent1"/>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sprijină dezvoltarea calificărilor în domeniile artistice și culturale, în colaborare cu instituțiile de învățământ superior de profil.</w:t>
      </w:r>
    </w:p>
    <w:p w14:paraId="52634722" w14:textId="66910C2D" w:rsidR="00FC4462" w:rsidRPr="001F6026" w:rsidRDefault="00FC4462" w:rsidP="00FC4462">
      <w:pPr>
        <w:spacing w:before="120" w:after="120" w:line="276" w:lineRule="auto"/>
        <w:jc w:val="both"/>
        <w:rPr>
          <w:rFonts w:ascii="Times New Roman" w:eastAsia="Aptos" w:hAnsi="Times New Roman" w:cs="Times New Roman"/>
          <w:kern w:val="0"/>
          <w:sz w:val="24"/>
          <w:szCs w:val="24"/>
          <w:lang w:eastAsia="ro-MD"/>
          <w14:ligatures w14:val="none"/>
        </w:rPr>
      </w:pPr>
      <w:r w:rsidRPr="001F6026">
        <w:rPr>
          <w:rFonts w:ascii="Times New Roman" w:eastAsia="Aptos" w:hAnsi="Times New Roman" w:cs="Times New Roman"/>
          <w:kern w:val="0"/>
          <w:sz w:val="24"/>
          <w:szCs w:val="24"/>
          <w:lang w:eastAsia="ro-MD"/>
          <w14:ligatures w14:val="none"/>
        </w:rPr>
        <w:t>În plus, contribuții relevante sunt aduse de:</w:t>
      </w:r>
    </w:p>
    <w:p w14:paraId="116F551E" w14:textId="4EB3D860" w:rsidR="00FC4462" w:rsidRPr="001F6026" w:rsidRDefault="0007696A" w:rsidP="00A41843">
      <w:pPr>
        <w:numPr>
          <w:ilvl w:val="0"/>
          <w:numId w:val="143"/>
        </w:numPr>
        <w:spacing w:before="120" w:after="120" w:line="276" w:lineRule="auto"/>
        <w:jc w:val="both"/>
        <w:rPr>
          <w:rFonts w:ascii="Times New Roman" w:eastAsia="Times New Roman" w:hAnsi="Times New Roman" w:cs="Times New Roman"/>
          <w:kern w:val="0"/>
          <w:sz w:val="24"/>
          <w:szCs w:val="24"/>
          <w:lang w:eastAsia="ro-MD"/>
          <w14:ligatures w14:val="none"/>
        </w:rPr>
      </w:pPr>
      <w:r w:rsidRPr="00BC0D03">
        <w:rPr>
          <w:rFonts w:ascii="Times New Roman" w:hAnsi="Times New Roman" w:cs="Times New Roman"/>
          <w:b/>
          <w:bCs/>
          <w:color w:val="3494BA" w:themeColor="accent1"/>
          <w:sz w:val="24"/>
          <w:szCs w:val="24"/>
        </w:rPr>
        <w:lastRenderedPageBreak/>
        <w:t>Agenția Națională pentru Ocuparea Forței de Muncă</w:t>
      </w:r>
      <w:r w:rsidR="00FC4462" w:rsidRPr="00BC0D03">
        <w:rPr>
          <w:rFonts w:ascii="Times New Roman" w:eastAsia="Times New Roman" w:hAnsi="Times New Roman" w:cs="Times New Roman"/>
          <w:b/>
          <w:bCs/>
          <w:color w:val="3494BA" w:themeColor="accent1"/>
          <w:kern w:val="0"/>
          <w:sz w:val="24"/>
          <w:szCs w:val="24"/>
          <w:lang w:eastAsia="ro-MD"/>
          <w14:ligatures w14:val="none"/>
        </w:rPr>
        <w:t xml:space="preserve">, </w:t>
      </w:r>
      <w:r w:rsidR="00FC4462" w:rsidRPr="001F6026">
        <w:rPr>
          <w:rFonts w:ascii="Times New Roman" w:eastAsia="Times New Roman" w:hAnsi="Times New Roman" w:cs="Times New Roman"/>
          <w:kern w:val="0"/>
          <w:sz w:val="24"/>
          <w:szCs w:val="24"/>
          <w:lang w:eastAsia="ro-MD"/>
          <w14:ligatures w14:val="none"/>
        </w:rPr>
        <w:t>în temeiul Legii nr. 105/2018</w:t>
      </w:r>
      <w:r w:rsidR="007C6430">
        <w:rPr>
          <w:rFonts w:ascii="Times New Roman" w:eastAsia="Times New Roman" w:hAnsi="Times New Roman" w:cs="Times New Roman"/>
          <w:kern w:val="0"/>
          <w:sz w:val="24"/>
          <w:szCs w:val="24"/>
          <w:lang w:eastAsia="ro-MD"/>
          <w14:ligatures w14:val="none"/>
        </w:rPr>
        <w:t xml:space="preserve"> </w:t>
      </w:r>
      <w:r w:rsidR="00ED2F9C">
        <w:rPr>
          <w:rFonts w:ascii="Times New Roman" w:eastAsia="Times New Roman" w:hAnsi="Times New Roman" w:cs="Times New Roman"/>
          <w:kern w:val="0"/>
          <w:sz w:val="24"/>
          <w:szCs w:val="24"/>
          <w:lang w:eastAsia="ro-MD"/>
          <w14:ligatures w14:val="none"/>
        </w:rPr>
        <w:t>(</w:t>
      </w:r>
      <w:hyperlink r:id="rId57" w:history="1">
        <w:r w:rsidR="00ED2F9C" w:rsidRPr="0007696A">
          <w:rPr>
            <w:rStyle w:val="aff0"/>
            <w:rFonts w:ascii="Times New Roman" w:eastAsia="Times New Roman" w:hAnsi="Times New Roman" w:cs="Times New Roman"/>
            <w:kern w:val="0"/>
            <w:sz w:val="24"/>
            <w:szCs w:val="24"/>
            <w:lang w:eastAsia="ro-MD"/>
            <w14:ligatures w14:val="none"/>
          </w:rPr>
          <w:t>link</w:t>
        </w:r>
      </w:hyperlink>
      <w:r w:rsidR="00ED2F9C">
        <w:rPr>
          <w:rFonts w:ascii="Times New Roman" w:eastAsia="Times New Roman" w:hAnsi="Times New Roman" w:cs="Times New Roman"/>
          <w:kern w:val="0"/>
          <w:sz w:val="24"/>
          <w:szCs w:val="24"/>
          <w:lang w:eastAsia="ro-MD"/>
          <w14:ligatures w14:val="none"/>
        </w:rPr>
        <w:t xml:space="preserve">) </w:t>
      </w:r>
      <w:r w:rsidR="007C6430" w:rsidRPr="007C6430">
        <w:rPr>
          <w:rFonts w:ascii="Times New Roman" w:eastAsia="Times New Roman" w:hAnsi="Times New Roman" w:cs="Times New Roman"/>
          <w:kern w:val="0"/>
          <w:sz w:val="24"/>
          <w:szCs w:val="24"/>
          <w:lang w:eastAsia="ro-MD"/>
          <w14:ligatures w14:val="none"/>
        </w:rPr>
        <w:t xml:space="preserve">cu privire la promovarea ocupării forţei de muncă și asigurarea de </w:t>
      </w:r>
      <w:r w:rsidR="007C6430" w:rsidRPr="00ED2F9C">
        <w:rPr>
          <w:rFonts w:ascii="Times New Roman" w:hAnsi="Times New Roman" w:cs="Times New Roman"/>
          <w:sz w:val="24"/>
          <w:szCs w:val="24"/>
          <w:lang w:eastAsia="ro-MD"/>
        </w:rPr>
        <w:t>șomaj</w:t>
      </w:r>
      <w:r w:rsidR="00FC4462" w:rsidRPr="00ED2F9C">
        <w:rPr>
          <w:rFonts w:ascii="Times New Roman" w:hAnsi="Times New Roman" w:cs="Times New Roman"/>
          <w:sz w:val="24"/>
          <w:szCs w:val="24"/>
        </w:rPr>
        <w:t xml:space="preserve">, </w:t>
      </w:r>
      <w:r w:rsidR="00ED2F9C" w:rsidRPr="00ED2F9C">
        <w:rPr>
          <w:rFonts w:ascii="Times New Roman" w:hAnsi="Times New Roman" w:cs="Times New Roman"/>
          <w:sz w:val="24"/>
          <w:szCs w:val="24"/>
        </w:rPr>
        <w:t>este instituția publică responsabilă de implementarea politicilor statului în domeniul ocupării forței de muncă și al migrației în scop de muncă, precum și de gestionarea și coordonarea activităților teritoriale aferente acestor domenii. Activitatea agenției contribuie direct la corelarea dintre cererea și oferta de competențe de pe piața muncii, oferind suport esențial pentru dezvoltarea și actualizarea CNC</w:t>
      </w:r>
      <w:r w:rsidR="00FC4462" w:rsidRPr="00ED2F9C">
        <w:rPr>
          <w:rFonts w:ascii="Times New Roman" w:hAnsi="Times New Roman" w:cs="Times New Roman"/>
          <w:sz w:val="24"/>
          <w:szCs w:val="24"/>
        </w:rPr>
        <w:t>;</w:t>
      </w:r>
    </w:p>
    <w:p w14:paraId="39B8738A" w14:textId="77777777" w:rsidR="00FC4462" w:rsidRPr="001F6026" w:rsidRDefault="00FC4462" w:rsidP="00A41843">
      <w:pPr>
        <w:numPr>
          <w:ilvl w:val="0"/>
          <w:numId w:val="143"/>
        </w:numPr>
        <w:spacing w:before="120" w:after="120" w:line="276" w:lineRule="auto"/>
        <w:jc w:val="both"/>
        <w:rPr>
          <w:rFonts w:ascii="Times New Roman" w:eastAsia="Times New Roman" w:hAnsi="Times New Roman" w:cs="Times New Roman"/>
          <w:kern w:val="0"/>
          <w:sz w:val="24"/>
          <w:szCs w:val="24"/>
          <w:lang w:eastAsia="ro-MD"/>
          <w14:ligatures w14:val="none"/>
        </w:rPr>
      </w:pPr>
      <w:r w:rsidRPr="00BC0D03">
        <w:rPr>
          <w:rFonts w:ascii="Times New Roman" w:eastAsia="Times New Roman" w:hAnsi="Times New Roman" w:cs="Times New Roman"/>
          <w:b/>
          <w:bCs/>
          <w:color w:val="3494BA" w:themeColor="accent1"/>
          <w:kern w:val="0"/>
          <w:sz w:val="24"/>
          <w:szCs w:val="24"/>
          <w:lang w:eastAsia="ro-MD"/>
          <w14:ligatures w14:val="none"/>
        </w:rPr>
        <w:t>partenerii sociali</w:t>
      </w:r>
      <w:r w:rsidRPr="00BC0D03">
        <w:rPr>
          <w:rFonts w:ascii="Times New Roman" w:eastAsia="Times New Roman" w:hAnsi="Times New Roman" w:cs="Times New Roman"/>
          <w:color w:val="3494BA" w:themeColor="accent1"/>
          <w:kern w:val="0"/>
          <w:sz w:val="24"/>
          <w:szCs w:val="24"/>
          <w:lang w:eastAsia="ro-MD"/>
          <w14:ligatures w14:val="none"/>
        </w:rPr>
        <w:t xml:space="preserve"> </w:t>
      </w:r>
      <w:r w:rsidRPr="001F6026">
        <w:rPr>
          <w:rFonts w:ascii="Times New Roman" w:eastAsia="Times New Roman" w:hAnsi="Times New Roman" w:cs="Times New Roman"/>
          <w:kern w:val="0"/>
          <w:sz w:val="24"/>
          <w:szCs w:val="24"/>
          <w:lang w:eastAsia="ro-MD"/>
          <w14:ligatures w14:val="none"/>
        </w:rPr>
        <w:t>(patronate, sindicate, organizații profesionale), implicați în consultarea și validarea relevanței calificărilor;</w:t>
      </w:r>
    </w:p>
    <w:p w14:paraId="6FF759B3" w14:textId="5554E50A" w:rsidR="00845DB1" w:rsidRDefault="00FC4462" w:rsidP="00A41843">
      <w:pPr>
        <w:numPr>
          <w:ilvl w:val="0"/>
          <w:numId w:val="143"/>
        </w:numPr>
        <w:spacing w:before="120" w:after="120" w:line="276" w:lineRule="auto"/>
        <w:jc w:val="both"/>
        <w:rPr>
          <w:rFonts w:ascii="Times New Roman" w:eastAsia="Times New Roman" w:hAnsi="Times New Roman" w:cs="Times New Roman"/>
          <w:kern w:val="0"/>
          <w:sz w:val="24"/>
          <w:szCs w:val="24"/>
          <w:lang w:eastAsia="ro-MD"/>
          <w14:ligatures w14:val="none"/>
        </w:rPr>
      </w:pPr>
      <w:r w:rsidRPr="007722FF">
        <w:rPr>
          <w:rFonts w:ascii="Times New Roman" w:eastAsia="Times New Roman" w:hAnsi="Times New Roman" w:cs="Times New Roman"/>
          <w:b/>
          <w:bCs/>
          <w:color w:val="3494BA" w:themeColor="accent1"/>
          <w:kern w:val="0"/>
          <w:sz w:val="24"/>
          <w:szCs w:val="24"/>
          <w:lang w:eastAsia="ro-MD"/>
          <w14:ligatures w14:val="none"/>
        </w:rPr>
        <w:t>partenerii de dezvoltare internaționali</w:t>
      </w:r>
      <w:r w:rsidRPr="007722FF">
        <w:rPr>
          <w:rFonts w:ascii="Times New Roman" w:eastAsia="Times New Roman" w:hAnsi="Times New Roman" w:cs="Times New Roman"/>
          <w:color w:val="3494BA" w:themeColor="accent1"/>
          <w:kern w:val="0"/>
          <w:sz w:val="24"/>
          <w:szCs w:val="24"/>
          <w:lang w:eastAsia="ro-MD"/>
          <w14:ligatures w14:val="none"/>
        </w:rPr>
        <w:t xml:space="preserve"> </w:t>
      </w:r>
      <w:r w:rsidRPr="007722FF">
        <w:rPr>
          <w:rFonts w:ascii="Times New Roman" w:eastAsia="Times New Roman" w:hAnsi="Times New Roman" w:cs="Times New Roman"/>
          <w:kern w:val="0"/>
          <w:sz w:val="24"/>
          <w:szCs w:val="24"/>
          <w:lang w:eastAsia="ro-MD"/>
          <w14:ligatures w14:val="none"/>
        </w:rPr>
        <w:t>(Uniunea Europeană, Banca Mondială, agenții ONU), care sprijină procesul prin proiecte, expertiză și bune practici (ex. digitalizarea actelor de studii, dezvoltarea Registrului Național al Calificărilor)</w:t>
      </w:r>
    </w:p>
    <w:p w14:paraId="78161E2A" w14:textId="77777777" w:rsidR="004326C8" w:rsidRPr="004E6E69" w:rsidRDefault="004326C8" w:rsidP="00843B61">
      <w:pPr>
        <w:pStyle w:val="af8"/>
        <w:spacing w:before="120" w:beforeAutospacing="0" w:after="120" w:afterAutospacing="0" w:line="276" w:lineRule="auto"/>
        <w:jc w:val="both"/>
        <w:rPr>
          <w:color w:val="3494BA" w:themeColor="accent1"/>
          <w:lang w:val="ro-MD"/>
        </w:rPr>
      </w:pPr>
      <w:r w:rsidRPr="004E6E69">
        <w:rPr>
          <w:rStyle w:val="af9"/>
          <w:rFonts w:eastAsiaTheme="majorEastAsia"/>
          <w:color w:val="3494BA" w:themeColor="accent1"/>
        </w:rPr>
        <w:t>Dovada de conformitate și concluzii pentru Criteriul 1</w:t>
      </w:r>
    </w:p>
    <w:p w14:paraId="0390209B" w14:textId="5F2EE438" w:rsidR="004326C8" w:rsidRPr="00843B61" w:rsidRDefault="004326C8" w:rsidP="00843B61">
      <w:pPr>
        <w:pStyle w:val="af8"/>
        <w:spacing w:before="120" w:beforeAutospacing="0" w:after="120" w:afterAutospacing="0" w:line="276" w:lineRule="auto"/>
        <w:jc w:val="both"/>
      </w:pPr>
      <w:r w:rsidRPr="00843B61">
        <w:t>Procesul de dezvoltare, implementare și referențiere a CNC la EQF este fundamentat pe o bază legislativă solidă și pe o arhitectură instituțională coerentă, care garantează transparența, participarea și responsabilitatea partajată între autoritățile publice, instituțiile de învățământ, mediul economic și partenerii sociali.</w:t>
      </w:r>
    </w:p>
    <w:p w14:paraId="4B3F8AC9" w14:textId="599F5DBB" w:rsidR="004326C8" w:rsidRPr="00843B61" w:rsidRDefault="004326C8" w:rsidP="00843B61">
      <w:pPr>
        <w:pStyle w:val="af8"/>
        <w:spacing w:before="120" w:beforeAutospacing="0" w:after="120" w:afterAutospacing="0" w:line="276" w:lineRule="auto"/>
        <w:jc w:val="both"/>
      </w:pPr>
      <w:r w:rsidRPr="00843B61">
        <w:rPr>
          <w:rStyle w:val="af9"/>
          <w:rFonts w:eastAsiaTheme="majorEastAsia"/>
          <w:b w:val="0"/>
          <w:bCs w:val="0"/>
        </w:rPr>
        <w:t>Baza juridică a coordonării CNC</w:t>
      </w:r>
      <w:r w:rsidRPr="00843B61">
        <w:t xml:space="preserve"> este asigurată de </w:t>
      </w:r>
      <w:r w:rsidRPr="00843B61">
        <w:rPr>
          <w:rStyle w:val="af9"/>
          <w:rFonts w:eastAsiaTheme="majorEastAsia"/>
          <w:b w:val="0"/>
          <w:bCs w:val="0"/>
        </w:rPr>
        <w:t>Codul educației nr. 152/2014</w:t>
      </w:r>
      <w:r w:rsidRPr="00843B61">
        <w:t xml:space="preserve"> (art. 11</w:t>
      </w:r>
      <w:r w:rsidRPr="00723F50">
        <w:rPr>
          <w:vertAlign w:val="superscript"/>
        </w:rPr>
        <w:t>1</w:t>
      </w:r>
      <w:r w:rsidRPr="00843B61">
        <w:t xml:space="preserve">) și de </w:t>
      </w:r>
      <w:r w:rsidR="00723F50">
        <w:rPr>
          <w:rStyle w:val="af9"/>
          <w:rFonts w:eastAsiaTheme="majorEastAsia"/>
          <w:b w:val="0"/>
          <w:bCs w:val="0"/>
        </w:rPr>
        <w:t>HG</w:t>
      </w:r>
      <w:r w:rsidRPr="00843B61">
        <w:rPr>
          <w:rStyle w:val="af9"/>
          <w:rFonts w:eastAsiaTheme="majorEastAsia"/>
          <w:b w:val="0"/>
          <w:bCs w:val="0"/>
        </w:rPr>
        <w:t xml:space="preserve"> nr. 330/2023</w:t>
      </w:r>
      <w:r w:rsidRPr="00843B61">
        <w:t>, care stabilesc atribuțiile clare ale MEC ca autoritate coordonatoare, ale Consiliului Național pentru Calificări (organ consultativ permanent al MEC), ale ANACEC, ale MMPS și ale Comitetelor Sectoriale pentru Formare Profesională (CSFP).</w:t>
      </w:r>
    </w:p>
    <w:p w14:paraId="5FBC2EDD" w14:textId="77777777" w:rsidR="004326C8" w:rsidRPr="00843B61" w:rsidRDefault="004326C8" w:rsidP="00843B61">
      <w:pPr>
        <w:pStyle w:val="af8"/>
        <w:spacing w:before="120" w:beforeAutospacing="0" w:after="120" w:afterAutospacing="0" w:line="276" w:lineRule="auto"/>
        <w:jc w:val="both"/>
      </w:pPr>
      <w:r w:rsidRPr="00843B61">
        <w:t xml:space="preserve">Prin aceste acte, Republica Moldova instituie un </w:t>
      </w:r>
      <w:r w:rsidRPr="00843B61">
        <w:rPr>
          <w:rStyle w:val="af9"/>
          <w:rFonts w:eastAsiaTheme="majorEastAsia"/>
          <w:b w:val="0"/>
          <w:bCs w:val="0"/>
        </w:rPr>
        <w:t>sistem de guvernanță participativ</w:t>
      </w:r>
      <w:r w:rsidRPr="00843B61">
        <w:t xml:space="preserve"> bazat pe parteneriat tripartit (educație – economie – administrație publică), care respectă </w:t>
      </w:r>
      <w:r w:rsidRPr="00843B61">
        <w:rPr>
          <w:rStyle w:val="af9"/>
          <w:rFonts w:eastAsiaTheme="majorEastAsia"/>
          <w:b w:val="0"/>
          <w:bCs w:val="0"/>
        </w:rPr>
        <w:t>principiile de transparență și subsidiaritate</w:t>
      </w:r>
      <w:r w:rsidRPr="00843B61">
        <w:t xml:space="preserve"> promovate la nivel european.</w:t>
      </w:r>
    </w:p>
    <w:p w14:paraId="515EB910" w14:textId="7E334A3E" w:rsidR="004326C8" w:rsidRPr="00843B61" w:rsidRDefault="004326C8" w:rsidP="00843B61">
      <w:pPr>
        <w:pStyle w:val="af8"/>
        <w:spacing w:before="120" w:beforeAutospacing="0" w:after="120" w:afterAutospacing="0" w:line="276" w:lineRule="auto"/>
        <w:jc w:val="both"/>
      </w:pPr>
      <w:r w:rsidRPr="00843B61">
        <w:t xml:space="preserve">MEC deține rolul de </w:t>
      </w:r>
      <w:r w:rsidRPr="00843B61">
        <w:rPr>
          <w:rStyle w:val="af9"/>
          <w:rFonts w:eastAsiaTheme="majorEastAsia"/>
          <w:b w:val="0"/>
          <w:bCs w:val="0"/>
        </w:rPr>
        <w:t>autoritate națională de coordonare pentru EQF (EQF NCP)</w:t>
      </w:r>
      <w:r w:rsidRPr="00843B61">
        <w:t>, asigurând legătura permanentă cu structurile europene relevante, elaborarea Raportului de referențiere și a Raportului de autocertificare, precum și gestionarea</w:t>
      </w:r>
      <w:r w:rsidR="003F7929">
        <w:t xml:space="preserve"> </w:t>
      </w:r>
      <w:r w:rsidRPr="00843B61">
        <w:rPr>
          <w:rStyle w:val="af9"/>
          <w:rFonts w:eastAsiaTheme="majorEastAsia"/>
          <w:b w:val="0"/>
          <w:bCs w:val="0"/>
        </w:rPr>
        <w:t>RNC</w:t>
      </w:r>
      <w:r w:rsidRPr="00843B61">
        <w:t>. Consiliul Național pentru Calificări acționează ca platformă de dialog interinstituțional, facilitând validarea deciziilor strategice și tehnice privind atribuirea nivelurilor de calificare și actualizarea standardelor. ANACEC garantează coerența între calificări și standardele europene de asigurare a calității, în timp ce MMPS corelează CNC cu cerințele pieței muncii prin intermediul ESCO și al standardelor ocupaționale.</w:t>
      </w:r>
    </w:p>
    <w:p w14:paraId="39EE806A" w14:textId="77777777" w:rsidR="004326C8" w:rsidRPr="00843B61" w:rsidRDefault="004326C8" w:rsidP="00843B61">
      <w:pPr>
        <w:pStyle w:val="af8"/>
        <w:spacing w:before="120" w:beforeAutospacing="0" w:after="120" w:afterAutospacing="0" w:line="276" w:lineRule="auto"/>
        <w:jc w:val="both"/>
      </w:pPr>
      <w:r w:rsidRPr="00843B61">
        <w:t>Partenerii sociali și comitetele sectoriale contribuie activ la definirea și validarea competențelor, asigurând relevanța calificărilor pentru economie. CTICE, în calitate de furnizor de infrastructură digitală, susține interoperabilitatea datelor educaționale, trasabilitatea actelor de studii și recunoașterea electronică a calificărilor. Ministerele de resort, instituțiile de învățământ și partenerii de dezvoltare completează arhitectura instituțională prin acțiuni sectoriale și cooperare internațională.</w:t>
      </w:r>
    </w:p>
    <w:p w14:paraId="0DC1480A" w14:textId="05145EBA" w:rsidR="004326C8" w:rsidRPr="00A93BB7" w:rsidRDefault="004326C8" w:rsidP="00843B61">
      <w:pPr>
        <w:pStyle w:val="af8"/>
        <w:spacing w:before="120" w:beforeAutospacing="0" w:after="120" w:afterAutospacing="0" w:line="276" w:lineRule="auto"/>
        <w:jc w:val="both"/>
      </w:pPr>
      <w:r w:rsidRPr="00A93BB7">
        <w:rPr>
          <w:rStyle w:val="af9"/>
          <w:rFonts w:eastAsiaTheme="majorEastAsia"/>
          <w:color w:val="3494BA" w:themeColor="accent1"/>
        </w:rPr>
        <w:t>Dovada de conformitate</w:t>
      </w:r>
      <w:r w:rsidR="00F522AE" w:rsidRPr="005E53FC">
        <w:rPr>
          <w:color w:val="3494BA" w:themeColor="accent1"/>
          <w:lang w:val="ro-MD"/>
        </w:rPr>
        <w:t xml:space="preserve"> (sinteză narativă)</w:t>
      </w:r>
      <w:r w:rsidRPr="00A93BB7">
        <w:t>:</w:t>
      </w:r>
    </w:p>
    <w:p w14:paraId="4AF55FD4" w14:textId="77777777" w:rsidR="004326C8" w:rsidRPr="00843B61" w:rsidRDefault="004326C8" w:rsidP="00A41843">
      <w:pPr>
        <w:pStyle w:val="af8"/>
        <w:numPr>
          <w:ilvl w:val="0"/>
          <w:numId w:val="186"/>
        </w:numPr>
        <w:spacing w:before="120" w:beforeAutospacing="0" w:after="120" w:afterAutospacing="0" w:line="276" w:lineRule="auto"/>
        <w:jc w:val="both"/>
      </w:pPr>
      <w:r w:rsidRPr="00843B61">
        <w:t xml:space="preserve">existența unui </w:t>
      </w:r>
      <w:r w:rsidRPr="00843B61">
        <w:rPr>
          <w:rStyle w:val="af9"/>
          <w:rFonts w:eastAsiaTheme="majorEastAsia"/>
          <w:b w:val="0"/>
          <w:bCs w:val="0"/>
        </w:rPr>
        <w:t>cadru legal complet</w:t>
      </w:r>
      <w:r w:rsidRPr="00843B61">
        <w:t>, care definește rolurile, responsabilitățile și mecanismele de cooperare între actorii implicați;</w:t>
      </w:r>
    </w:p>
    <w:p w14:paraId="426A2AB2" w14:textId="77777777" w:rsidR="004326C8" w:rsidRPr="00843B61" w:rsidRDefault="004326C8" w:rsidP="00A41843">
      <w:pPr>
        <w:pStyle w:val="af8"/>
        <w:numPr>
          <w:ilvl w:val="0"/>
          <w:numId w:val="186"/>
        </w:numPr>
        <w:spacing w:before="120" w:beforeAutospacing="0" w:after="120" w:afterAutospacing="0" w:line="276" w:lineRule="auto"/>
        <w:jc w:val="both"/>
      </w:pPr>
      <w:r w:rsidRPr="00843B61">
        <w:rPr>
          <w:rStyle w:val="af9"/>
          <w:rFonts w:eastAsiaTheme="majorEastAsia"/>
          <w:b w:val="0"/>
          <w:bCs w:val="0"/>
        </w:rPr>
        <w:t>funcționarea efectivă</w:t>
      </w:r>
      <w:r w:rsidRPr="00843B61">
        <w:t xml:space="preserve"> a structurilor de coordonare și consultare interinstituțională (Consiliul Național pentru Calificări, CSFP, ANACEC, MMPS, CTICE);</w:t>
      </w:r>
    </w:p>
    <w:p w14:paraId="7DF4D0F7" w14:textId="77777777" w:rsidR="004326C8" w:rsidRPr="00843B61" w:rsidRDefault="004326C8" w:rsidP="00A41843">
      <w:pPr>
        <w:pStyle w:val="af8"/>
        <w:numPr>
          <w:ilvl w:val="0"/>
          <w:numId w:val="186"/>
        </w:numPr>
        <w:spacing w:before="120" w:beforeAutospacing="0" w:after="120" w:afterAutospacing="0" w:line="276" w:lineRule="auto"/>
        <w:jc w:val="both"/>
      </w:pPr>
      <w:r w:rsidRPr="00843B61">
        <w:t xml:space="preserve">participarea </w:t>
      </w:r>
      <w:r w:rsidRPr="00843B61">
        <w:rPr>
          <w:rStyle w:val="af9"/>
          <w:rFonts w:eastAsiaTheme="majorEastAsia"/>
          <w:b w:val="0"/>
          <w:bCs w:val="0"/>
        </w:rPr>
        <w:t>tuturor părților relevante</w:t>
      </w:r>
      <w:r w:rsidRPr="00843B61">
        <w:t xml:space="preserve"> în procesul de elaborare, validare și actualizare a CNC;</w:t>
      </w:r>
    </w:p>
    <w:p w14:paraId="34019FEC" w14:textId="77777777" w:rsidR="004326C8" w:rsidRPr="00843B61" w:rsidRDefault="004326C8" w:rsidP="00A41843">
      <w:pPr>
        <w:pStyle w:val="af8"/>
        <w:numPr>
          <w:ilvl w:val="0"/>
          <w:numId w:val="186"/>
        </w:numPr>
        <w:spacing w:before="120" w:beforeAutospacing="0" w:after="120" w:afterAutospacing="0" w:line="276" w:lineRule="auto"/>
        <w:jc w:val="both"/>
      </w:pPr>
      <w:r w:rsidRPr="00843B61">
        <w:rPr>
          <w:rStyle w:val="af9"/>
          <w:rFonts w:eastAsiaTheme="majorEastAsia"/>
          <w:b w:val="0"/>
          <w:bCs w:val="0"/>
        </w:rPr>
        <w:lastRenderedPageBreak/>
        <w:t>alinierea procedurală</w:t>
      </w:r>
      <w:r w:rsidRPr="00843B61">
        <w:t xml:space="preserve"> la principiile EQF privind guvernanța transparentă, parteneriatul social și implicarea actorilor-cheie.</w:t>
      </w:r>
    </w:p>
    <w:p w14:paraId="3D60F4E1" w14:textId="77777777" w:rsidR="004326C8" w:rsidRPr="00843B61" w:rsidRDefault="004326C8" w:rsidP="00843B61">
      <w:pPr>
        <w:pStyle w:val="af8"/>
        <w:spacing w:before="120" w:beforeAutospacing="0" w:after="120" w:afterAutospacing="0" w:line="276" w:lineRule="auto"/>
        <w:jc w:val="both"/>
      </w:pPr>
      <w:r w:rsidRPr="00843B61">
        <w:t xml:space="preserve">Prin urmare, Republica Moldova demonstrează conformitatea deplină cu </w:t>
      </w:r>
      <w:r w:rsidRPr="00843B61">
        <w:rPr>
          <w:rStyle w:val="af9"/>
          <w:rFonts w:eastAsiaTheme="majorEastAsia"/>
          <w:b w:val="0"/>
          <w:bCs w:val="0"/>
        </w:rPr>
        <w:t>Criteriul 1 al procesului de referențiere la EQF</w:t>
      </w:r>
      <w:r w:rsidRPr="00843B61">
        <w:t>, întrucât:</w:t>
      </w:r>
    </w:p>
    <w:p w14:paraId="4B9F34E7" w14:textId="77777777" w:rsidR="004326C8" w:rsidRPr="00843B61" w:rsidRDefault="004326C8" w:rsidP="00A41843">
      <w:pPr>
        <w:pStyle w:val="af8"/>
        <w:numPr>
          <w:ilvl w:val="0"/>
          <w:numId w:val="187"/>
        </w:numPr>
        <w:spacing w:before="120" w:beforeAutospacing="0" w:after="120" w:afterAutospacing="0" w:line="276" w:lineRule="auto"/>
        <w:jc w:val="both"/>
      </w:pPr>
      <w:r w:rsidRPr="00843B61">
        <w:t xml:space="preserve">există o </w:t>
      </w:r>
      <w:r w:rsidRPr="00843B61">
        <w:rPr>
          <w:rStyle w:val="af9"/>
          <w:rFonts w:eastAsiaTheme="majorEastAsia"/>
          <w:b w:val="0"/>
          <w:bCs w:val="0"/>
        </w:rPr>
        <w:t>arhitectură instituțională clară</w:t>
      </w:r>
      <w:r w:rsidRPr="00843B61">
        <w:t xml:space="preserve"> de guvernanță și coordonare a CNC;</w:t>
      </w:r>
    </w:p>
    <w:p w14:paraId="35BD619A" w14:textId="77777777" w:rsidR="004326C8" w:rsidRPr="00843B61" w:rsidRDefault="004326C8" w:rsidP="00A41843">
      <w:pPr>
        <w:pStyle w:val="af8"/>
        <w:numPr>
          <w:ilvl w:val="0"/>
          <w:numId w:val="187"/>
        </w:numPr>
        <w:spacing w:before="120" w:beforeAutospacing="0" w:after="120" w:afterAutospacing="0" w:line="276" w:lineRule="auto"/>
        <w:jc w:val="both"/>
      </w:pPr>
      <w:r w:rsidRPr="00843B61">
        <w:t xml:space="preserve">procesul de referențiere este </w:t>
      </w:r>
      <w:r w:rsidRPr="00843B61">
        <w:rPr>
          <w:rStyle w:val="af9"/>
          <w:rFonts w:eastAsiaTheme="majorEastAsia"/>
          <w:b w:val="0"/>
          <w:bCs w:val="0"/>
        </w:rPr>
        <w:t>participativ, transparent și interinstituțional</w:t>
      </w:r>
      <w:r w:rsidRPr="00843B61">
        <w:t>;</w:t>
      </w:r>
    </w:p>
    <w:p w14:paraId="3D562910" w14:textId="77777777" w:rsidR="004326C8" w:rsidRPr="00843B61" w:rsidRDefault="004326C8" w:rsidP="00A41843">
      <w:pPr>
        <w:pStyle w:val="af8"/>
        <w:numPr>
          <w:ilvl w:val="0"/>
          <w:numId w:val="187"/>
        </w:numPr>
        <w:spacing w:before="120" w:beforeAutospacing="0" w:after="120" w:afterAutospacing="0" w:line="276" w:lineRule="auto"/>
        <w:jc w:val="both"/>
      </w:pPr>
      <w:r w:rsidRPr="00843B61">
        <w:t xml:space="preserve">atribuțiile și relațiile dintre actorii implicați sunt </w:t>
      </w:r>
      <w:r w:rsidRPr="00843B61">
        <w:rPr>
          <w:rStyle w:val="af9"/>
          <w:rFonts w:eastAsiaTheme="majorEastAsia"/>
          <w:b w:val="0"/>
          <w:bCs w:val="0"/>
        </w:rPr>
        <w:t>reglementate juridic și funcționale în practică</w:t>
      </w:r>
      <w:r w:rsidRPr="00843B61">
        <w:t>;</w:t>
      </w:r>
    </w:p>
    <w:p w14:paraId="2D7215AB" w14:textId="77777777" w:rsidR="004326C8" w:rsidRPr="00843B61" w:rsidRDefault="004326C8" w:rsidP="00A41843">
      <w:pPr>
        <w:pStyle w:val="af8"/>
        <w:numPr>
          <w:ilvl w:val="0"/>
          <w:numId w:val="187"/>
        </w:numPr>
        <w:spacing w:before="120" w:beforeAutospacing="0" w:after="120" w:afterAutospacing="0" w:line="276" w:lineRule="auto"/>
        <w:jc w:val="both"/>
      </w:pPr>
      <w:r w:rsidRPr="00843B61">
        <w:t xml:space="preserve">cadrul național este </w:t>
      </w:r>
      <w:r w:rsidRPr="00843B61">
        <w:rPr>
          <w:rStyle w:val="af9"/>
          <w:rFonts w:eastAsiaTheme="majorEastAsia"/>
          <w:b w:val="0"/>
          <w:bCs w:val="0"/>
        </w:rPr>
        <w:t>aliniat la cerințele și principiile europene</w:t>
      </w:r>
      <w:r w:rsidRPr="00843B61">
        <w:t xml:space="preserve"> privind gestionarea și recunoașterea calificărilor.</w:t>
      </w:r>
    </w:p>
    <w:p w14:paraId="7A6C29F6" w14:textId="130C91DE" w:rsidR="00C613C3" w:rsidRPr="00C613C3" w:rsidRDefault="00C613C3" w:rsidP="00843B61">
      <w:pPr>
        <w:spacing w:before="120" w:after="120" w:line="276" w:lineRule="auto"/>
        <w:jc w:val="both"/>
        <w:rPr>
          <w:rFonts w:ascii="Times New Roman" w:eastAsia="Times New Roman" w:hAnsi="Times New Roman" w:cs="Times New Roman"/>
          <w:kern w:val="0"/>
          <w:sz w:val="24"/>
          <w:szCs w:val="24"/>
          <w:lang w:eastAsia="ro-MD"/>
          <w14:ligatures w14:val="none"/>
        </w:rPr>
      </w:pPr>
      <w:r w:rsidRPr="00843B61">
        <w:rPr>
          <w:rFonts w:ascii="Times New Roman" w:eastAsia="Times New Roman" w:hAnsi="Times New Roman" w:cs="Times New Roman"/>
          <w:kern w:val="0"/>
          <w:sz w:val="24"/>
          <w:szCs w:val="24"/>
          <w:lang w:eastAsia="ro-MD"/>
          <w14:ligatures w14:val="none"/>
        </w:rPr>
        <w:t>Pentru o vizualizare de ansamblu a părților interesate implicate în procesul de referențiere, precum și a rolurilor și responsabilităților generale ale acestora în coordonarea</w:t>
      </w:r>
      <w:r w:rsidRPr="00C613C3">
        <w:rPr>
          <w:rFonts w:ascii="Times New Roman" w:eastAsia="Times New Roman" w:hAnsi="Times New Roman" w:cs="Times New Roman"/>
          <w:kern w:val="0"/>
          <w:sz w:val="24"/>
          <w:szCs w:val="24"/>
          <w:lang w:eastAsia="ro-MD"/>
          <w14:ligatures w14:val="none"/>
        </w:rPr>
        <w:t xml:space="preserve"> și implementarea Cadrului Național al Calificărilor (CNC), </w:t>
      </w:r>
      <w:r w:rsidR="00C55D19" w:rsidRPr="00C55D19">
        <w:rPr>
          <w:rFonts w:ascii="Times New Roman" w:eastAsia="Times New Roman" w:hAnsi="Times New Roman" w:cs="Times New Roman"/>
          <w:kern w:val="0"/>
          <w:sz w:val="24"/>
          <w:szCs w:val="24"/>
          <w:lang w:eastAsia="ro-MD"/>
          <w14:ligatures w14:val="none"/>
        </w:rPr>
        <w:t>în continuare sunt prezentate</w:t>
      </w:r>
      <w:r w:rsidRPr="00C613C3">
        <w:rPr>
          <w:rFonts w:ascii="Times New Roman" w:eastAsia="Times New Roman" w:hAnsi="Times New Roman" w:cs="Times New Roman"/>
          <w:kern w:val="0"/>
          <w:sz w:val="24"/>
          <w:szCs w:val="24"/>
          <w:lang w:eastAsia="ro-MD"/>
          <w14:ligatures w14:val="none"/>
        </w:rPr>
        <w:t>:</w:t>
      </w:r>
    </w:p>
    <w:p w14:paraId="269D1982" w14:textId="0D20D00F" w:rsidR="000D16BD" w:rsidRDefault="00C613C3" w:rsidP="00A41843">
      <w:pPr>
        <w:pStyle w:val="a7"/>
        <w:numPr>
          <w:ilvl w:val="0"/>
          <w:numId w:val="172"/>
        </w:numPr>
        <w:spacing w:before="120" w:after="120" w:line="276" w:lineRule="auto"/>
        <w:jc w:val="both"/>
        <w:rPr>
          <w:rFonts w:ascii="Times New Roman" w:eastAsia="Times New Roman" w:hAnsi="Times New Roman" w:cs="Times New Roman"/>
          <w:kern w:val="0"/>
          <w:sz w:val="24"/>
          <w:szCs w:val="24"/>
          <w:lang w:eastAsia="ro-MD"/>
          <w14:ligatures w14:val="none"/>
        </w:rPr>
      </w:pPr>
      <w:r w:rsidRPr="000D16BD">
        <w:rPr>
          <w:rFonts w:ascii="Times New Roman" w:eastAsia="Times New Roman" w:hAnsi="Times New Roman" w:cs="Times New Roman"/>
          <w:kern w:val="0"/>
          <w:sz w:val="24"/>
          <w:szCs w:val="24"/>
          <w:lang w:eastAsia="ro-MD"/>
          <w14:ligatures w14:val="none"/>
        </w:rPr>
        <w:t>Matricea părților relevante implicate în procesul de referențiere a CNC la EQF și de autocertificare față de QF-EHEA</w:t>
      </w:r>
      <w:r w:rsidR="00022FA8">
        <w:rPr>
          <w:rFonts w:ascii="Times New Roman" w:eastAsia="Times New Roman" w:hAnsi="Times New Roman" w:cs="Times New Roman"/>
          <w:kern w:val="0"/>
          <w:sz w:val="24"/>
          <w:szCs w:val="24"/>
          <w:lang w:eastAsia="ro-MD"/>
          <w14:ligatures w14:val="none"/>
        </w:rPr>
        <w:t xml:space="preserve"> și</w:t>
      </w:r>
    </w:p>
    <w:p w14:paraId="3BE18E1B" w14:textId="1BF5251A" w:rsidR="008D55CE" w:rsidRPr="000D16BD" w:rsidRDefault="00C613C3" w:rsidP="00A41843">
      <w:pPr>
        <w:pStyle w:val="a7"/>
        <w:numPr>
          <w:ilvl w:val="0"/>
          <w:numId w:val="172"/>
        </w:numPr>
        <w:spacing w:before="120" w:after="120" w:line="276" w:lineRule="auto"/>
        <w:jc w:val="both"/>
        <w:rPr>
          <w:rFonts w:ascii="Times New Roman" w:eastAsia="Times New Roman" w:hAnsi="Times New Roman" w:cs="Times New Roman"/>
          <w:kern w:val="0"/>
          <w:sz w:val="24"/>
          <w:szCs w:val="24"/>
          <w:lang w:eastAsia="ro-MD"/>
          <w14:ligatures w14:val="none"/>
        </w:rPr>
      </w:pPr>
      <w:r w:rsidRPr="000D16BD">
        <w:rPr>
          <w:rFonts w:ascii="Times New Roman" w:eastAsia="Times New Roman" w:hAnsi="Times New Roman" w:cs="Times New Roman"/>
          <w:kern w:val="0"/>
          <w:sz w:val="24"/>
          <w:szCs w:val="24"/>
          <w:lang w:eastAsia="ro-MD"/>
          <w14:ligatures w14:val="none"/>
        </w:rPr>
        <w:t>Tabelul privind instituțiile și organismele naționale implicate în dezvoltarea, administrarea și procesul de referențiere al CNC – roluri și responsabilități conform cadrului normativ.</w:t>
      </w:r>
    </w:p>
    <w:p w14:paraId="2EF36AF3" w14:textId="77777777" w:rsidR="00373520" w:rsidRPr="007722FF" w:rsidRDefault="00373520" w:rsidP="00373520">
      <w:pPr>
        <w:spacing w:before="120" w:after="120" w:line="276" w:lineRule="auto"/>
        <w:ind w:left="360"/>
        <w:jc w:val="both"/>
        <w:rPr>
          <w:rFonts w:ascii="Times New Roman" w:eastAsia="Times New Roman" w:hAnsi="Times New Roman" w:cs="Times New Roman"/>
          <w:kern w:val="0"/>
          <w:sz w:val="24"/>
          <w:szCs w:val="24"/>
          <w:lang w:eastAsia="ro-MD"/>
          <w14:ligatures w14:val="none"/>
        </w:rPr>
      </w:pPr>
    </w:p>
    <w:p w14:paraId="645B8C01" w14:textId="77777777" w:rsidR="00E13640" w:rsidRDefault="00E13640" w:rsidP="00C236F4">
      <w:pPr>
        <w:tabs>
          <w:tab w:val="right" w:pos="1906"/>
        </w:tabs>
        <w:spacing w:before="120" w:after="120" w:line="276" w:lineRule="auto"/>
        <w:jc w:val="center"/>
        <w:rPr>
          <w:rFonts w:ascii="Times New Roman" w:hAnsi="Times New Roman" w:cs="Times New Roman"/>
          <w:b/>
          <w:bCs/>
          <w:sz w:val="24"/>
          <w:szCs w:val="24"/>
        </w:rPr>
        <w:sectPr w:rsidR="00E13640" w:rsidSect="009E52AB">
          <w:footerReference w:type="default" r:id="rId58"/>
          <w:footerReference w:type="first" r:id="rId59"/>
          <w:pgSz w:w="11906" w:h="16838"/>
          <w:pgMar w:top="1134" w:right="851" w:bottom="1134" w:left="851" w:header="709" w:footer="709"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pgNumType w:start="0"/>
          <w:cols w:space="708"/>
          <w:docGrid w:linePitch="360"/>
        </w:sectPr>
      </w:pPr>
    </w:p>
    <w:p w14:paraId="360E5284" w14:textId="510FD39B" w:rsidR="005A1FF9" w:rsidRDefault="005A1FF9" w:rsidP="005A1FF9">
      <w:pPr>
        <w:spacing w:before="120" w:after="120" w:line="276" w:lineRule="auto"/>
        <w:jc w:val="center"/>
        <w:rPr>
          <w:rFonts w:ascii="Times New Roman" w:hAnsi="Times New Roman" w:cs="Times New Roman"/>
          <w:b/>
          <w:bCs/>
        </w:rPr>
      </w:pPr>
      <w:r w:rsidRPr="00497B0F">
        <w:rPr>
          <w:rFonts w:ascii="Times New Roman" w:hAnsi="Times New Roman" w:cs="Times New Roman"/>
          <w:b/>
          <w:bCs/>
        </w:rPr>
        <w:lastRenderedPageBreak/>
        <w:t xml:space="preserve">MATRICEA </w:t>
      </w:r>
    </w:p>
    <w:p w14:paraId="5E806665" w14:textId="1F5CCB97" w:rsidR="005A1FF9" w:rsidRPr="00497B0F" w:rsidRDefault="005A1FF9" w:rsidP="005A1FF9">
      <w:pPr>
        <w:spacing w:before="120" w:after="120" w:line="276" w:lineRule="auto"/>
        <w:jc w:val="center"/>
        <w:rPr>
          <w:rFonts w:ascii="Times New Roman" w:hAnsi="Times New Roman" w:cs="Times New Roman"/>
          <w:b/>
          <w:bCs/>
        </w:rPr>
      </w:pPr>
      <w:r w:rsidRPr="00497B0F">
        <w:rPr>
          <w:rFonts w:ascii="Times New Roman" w:hAnsi="Times New Roman" w:cs="Times New Roman"/>
          <w:b/>
          <w:bCs/>
        </w:rPr>
        <w:t xml:space="preserve">părților </w:t>
      </w:r>
      <w:r>
        <w:rPr>
          <w:rFonts w:ascii="Times New Roman" w:hAnsi="Times New Roman" w:cs="Times New Roman"/>
          <w:b/>
          <w:bCs/>
        </w:rPr>
        <w:t xml:space="preserve">relevante </w:t>
      </w:r>
      <w:r w:rsidRPr="00497B0F">
        <w:rPr>
          <w:rFonts w:ascii="Times New Roman" w:hAnsi="Times New Roman" w:cs="Times New Roman"/>
          <w:b/>
          <w:bCs/>
        </w:rPr>
        <w:t>implicate în procesul de referențiere a CNC la EQF și de autocertificare a CNC în raport cu QF-EHEA</w:t>
      </w:r>
      <w:r w:rsidR="008A2ACB">
        <w:rPr>
          <w:rFonts w:ascii="Times New Roman" w:hAnsi="Times New Roman" w:cs="Times New Roman"/>
          <w:b/>
          <w:bCs/>
        </w:rPr>
        <w:t xml:space="preserve"> </w:t>
      </w:r>
      <w:r w:rsidR="0063587E">
        <w:rPr>
          <w:rFonts w:ascii="Times New Roman" w:hAnsi="Times New Roman" w:cs="Times New Roman"/>
          <w:b/>
          <w:bCs/>
        </w:rPr>
        <w:t xml:space="preserve">, conform Ordinului MEC, nr. </w:t>
      </w:r>
      <w:r w:rsidR="00DE63B7" w:rsidRPr="00DE63B7">
        <w:rPr>
          <w:rFonts w:ascii="Times New Roman" w:hAnsi="Times New Roman" w:cs="Times New Roman"/>
          <w:b/>
          <w:bCs/>
        </w:rPr>
        <w:t>944/2024</w:t>
      </w:r>
      <w:r w:rsidR="00DE63B7">
        <w:rPr>
          <w:rFonts w:ascii="Times New Roman" w:hAnsi="Times New Roman" w:cs="Times New Roman"/>
          <w:b/>
          <w:bCs/>
        </w:rPr>
        <w:t xml:space="preserve"> (</w:t>
      </w:r>
      <w:hyperlink r:id="rId60" w:history="1">
        <w:r w:rsidR="00DE63B7" w:rsidRPr="00D66FE3">
          <w:rPr>
            <w:rStyle w:val="aff0"/>
            <w:rFonts w:ascii="Times New Roman" w:hAnsi="Times New Roman" w:cs="Times New Roman"/>
            <w:b/>
            <w:bCs/>
          </w:rPr>
          <w:t>link</w:t>
        </w:r>
      </w:hyperlink>
      <w:r w:rsidR="00DE63B7">
        <w:rPr>
          <w:rFonts w:ascii="Times New Roman" w:hAnsi="Times New Roman" w:cs="Times New Roman"/>
          <w:b/>
          <w:bCs/>
        </w:rPr>
        <w:t>)</w:t>
      </w:r>
    </w:p>
    <w:tbl>
      <w:tblPr>
        <w:tblStyle w:val="aff"/>
        <w:tblW w:w="15021" w:type="dxa"/>
        <w:tblLook w:val="04A0" w:firstRow="1" w:lastRow="0" w:firstColumn="1" w:lastColumn="0" w:noHBand="0" w:noVBand="1"/>
      </w:tblPr>
      <w:tblGrid>
        <w:gridCol w:w="1991"/>
        <w:gridCol w:w="1964"/>
        <w:gridCol w:w="2051"/>
        <w:gridCol w:w="3061"/>
        <w:gridCol w:w="1560"/>
        <w:gridCol w:w="2019"/>
        <w:gridCol w:w="2375"/>
      </w:tblGrid>
      <w:tr w:rsidR="00256F55" w:rsidRPr="001947A4" w14:paraId="285C0CED" w14:textId="77777777" w:rsidTr="00B0296A">
        <w:trPr>
          <w:tblHeader/>
        </w:trPr>
        <w:tc>
          <w:tcPr>
            <w:tcW w:w="1991" w:type="dxa"/>
            <w:shd w:val="clear" w:color="auto" w:fill="A9D5E7" w:themeFill="accent1" w:themeFillTint="66"/>
            <w:vAlign w:val="center"/>
          </w:tcPr>
          <w:p w14:paraId="7EE525BA" w14:textId="77777777" w:rsidR="005A1FF9" w:rsidRPr="001947A4" w:rsidRDefault="005A1FF9" w:rsidP="001947A4">
            <w:pPr>
              <w:jc w:val="center"/>
              <w:rPr>
                <w:rFonts w:ascii="Times New Roman" w:hAnsi="Times New Roman" w:cs="Times New Roman"/>
                <w:b/>
                <w:bCs/>
                <w:sz w:val="20"/>
                <w:szCs w:val="20"/>
              </w:rPr>
            </w:pPr>
            <w:r w:rsidRPr="001947A4">
              <w:rPr>
                <w:rFonts w:ascii="Times New Roman" w:hAnsi="Times New Roman" w:cs="Times New Roman"/>
                <w:b/>
                <w:bCs/>
                <w:sz w:val="20"/>
                <w:szCs w:val="20"/>
              </w:rPr>
              <w:t>Instituție / Organizație</w:t>
            </w:r>
          </w:p>
        </w:tc>
        <w:tc>
          <w:tcPr>
            <w:tcW w:w="1964" w:type="dxa"/>
            <w:shd w:val="clear" w:color="auto" w:fill="A9D5E7" w:themeFill="accent1" w:themeFillTint="66"/>
            <w:vAlign w:val="center"/>
          </w:tcPr>
          <w:p w14:paraId="37E54622"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b/>
                <w:bCs/>
                <w:sz w:val="20"/>
                <w:szCs w:val="20"/>
              </w:rPr>
              <w:t>Rol în procesul de referențiere</w:t>
            </w:r>
          </w:p>
        </w:tc>
        <w:tc>
          <w:tcPr>
            <w:tcW w:w="2051" w:type="dxa"/>
            <w:shd w:val="clear" w:color="auto" w:fill="A9D5E7" w:themeFill="accent1" w:themeFillTint="66"/>
            <w:vAlign w:val="center"/>
          </w:tcPr>
          <w:p w14:paraId="71C0600A"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b/>
                <w:bCs/>
                <w:sz w:val="20"/>
                <w:szCs w:val="20"/>
              </w:rPr>
              <w:t>Contribuție în procesul de referențiere</w:t>
            </w:r>
          </w:p>
        </w:tc>
        <w:tc>
          <w:tcPr>
            <w:tcW w:w="3061" w:type="dxa"/>
            <w:shd w:val="clear" w:color="auto" w:fill="A9D5E7" w:themeFill="accent1" w:themeFillTint="66"/>
            <w:vAlign w:val="center"/>
          </w:tcPr>
          <w:p w14:paraId="7C3149BA"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b/>
                <w:bCs/>
                <w:sz w:val="20"/>
                <w:szCs w:val="20"/>
              </w:rPr>
              <w:t>Responsabilități specifice</w:t>
            </w:r>
          </w:p>
        </w:tc>
        <w:tc>
          <w:tcPr>
            <w:tcW w:w="1560" w:type="dxa"/>
            <w:shd w:val="clear" w:color="auto" w:fill="A9D5E7" w:themeFill="accent1" w:themeFillTint="66"/>
            <w:vAlign w:val="center"/>
          </w:tcPr>
          <w:p w14:paraId="09E66C92"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b/>
                <w:bCs/>
                <w:sz w:val="20"/>
                <w:szCs w:val="20"/>
              </w:rPr>
              <w:t>Statut în grupul de lucru</w:t>
            </w:r>
          </w:p>
        </w:tc>
        <w:tc>
          <w:tcPr>
            <w:tcW w:w="2019" w:type="dxa"/>
            <w:shd w:val="clear" w:color="auto" w:fill="A9D5E7" w:themeFill="accent1" w:themeFillTint="66"/>
            <w:vAlign w:val="center"/>
          </w:tcPr>
          <w:p w14:paraId="67DFC439"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b/>
                <w:bCs/>
                <w:sz w:val="20"/>
                <w:szCs w:val="20"/>
              </w:rPr>
              <w:t>Tip de implicare</w:t>
            </w:r>
          </w:p>
        </w:tc>
        <w:tc>
          <w:tcPr>
            <w:tcW w:w="2375" w:type="dxa"/>
            <w:shd w:val="clear" w:color="auto" w:fill="A9D5E7" w:themeFill="accent1" w:themeFillTint="66"/>
            <w:vAlign w:val="center"/>
          </w:tcPr>
          <w:p w14:paraId="22E0E273"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b/>
                <w:bCs/>
                <w:sz w:val="20"/>
                <w:szCs w:val="20"/>
              </w:rPr>
              <w:t>Documente justificative</w:t>
            </w:r>
          </w:p>
        </w:tc>
      </w:tr>
      <w:tr w:rsidR="00256F55" w:rsidRPr="001947A4" w14:paraId="2B541505" w14:textId="77777777" w:rsidTr="00B0296A">
        <w:tc>
          <w:tcPr>
            <w:tcW w:w="1991" w:type="dxa"/>
            <w:vAlign w:val="center"/>
          </w:tcPr>
          <w:p w14:paraId="6E68ADF2"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Ministerul Educației și Cercetării (MEC)</w:t>
            </w:r>
          </w:p>
        </w:tc>
        <w:tc>
          <w:tcPr>
            <w:tcW w:w="1964" w:type="dxa"/>
            <w:vAlign w:val="center"/>
          </w:tcPr>
          <w:p w14:paraId="40E6128D"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Coordonator principal al CNC</w:t>
            </w:r>
          </w:p>
        </w:tc>
        <w:tc>
          <w:tcPr>
            <w:tcW w:w="2051" w:type="dxa"/>
            <w:vAlign w:val="center"/>
          </w:tcPr>
          <w:p w14:paraId="55628BF4"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Facilitarea procesului de referențiere, coordonarea documentației oficiale</w:t>
            </w:r>
          </w:p>
        </w:tc>
        <w:tc>
          <w:tcPr>
            <w:tcW w:w="3061" w:type="dxa"/>
            <w:vAlign w:val="center"/>
          </w:tcPr>
          <w:p w14:paraId="409FFC96"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Stabilirea cadrului de lucru; pregătirea și validarea documentelor; aprobarea finală; coordonarea părților implicate; comunicarea cu EQF Advisory Group</w:t>
            </w:r>
          </w:p>
        </w:tc>
        <w:tc>
          <w:tcPr>
            <w:tcW w:w="1560" w:type="dxa"/>
            <w:vAlign w:val="center"/>
          </w:tcPr>
          <w:p w14:paraId="54A9E460"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Lider</w:t>
            </w:r>
          </w:p>
        </w:tc>
        <w:tc>
          <w:tcPr>
            <w:tcW w:w="2019" w:type="dxa"/>
            <w:vAlign w:val="center"/>
          </w:tcPr>
          <w:p w14:paraId="14AB279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Consultanță tehnică, validare finală</w:t>
            </w:r>
          </w:p>
        </w:tc>
        <w:tc>
          <w:tcPr>
            <w:tcW w:w="2375" w:type="dxa"/>
            <w:vAlign w:val="center"/>
          </w:tcPr>
          <w:p w14:paraId="48E8F036" w14:textId="6F6D5103"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Raport</w:t>
            </w:r>
            <w:r w:rsidR="003E54E9" w:rsidRPr="001947A4">
              <w:rPr>
                <w:rFonts w:ascii="Times New Roman" w:hAnsi="Times New Roman" w:cs="Times New Roman"/>
                <w:sz w:val="20"/>
                <w:szCs w:val="20"/>
              </w:rPr>
              <w:t>ul</w:t>
            </w:r>
            <w:r w:rsidRPr="001947A4">
              <w:rPr>
                <w:rFonts w:ascii="Times New Roman" w:hAnsi="Times New Roman" w:cs="Times New Roman"/>
                <w:sz w:val="20"/>
                <w:szCs w:val="20"/>
              </w:rPr>
              <w:t xml:space="preserve"> de referențiere, documente interne de planificare și raportare</w:t>
            </w:r>
          </w:p>
        </w:tc>
      </w:tr>
      <w:tr w:rsidR="00256F55" w:rsidRPr="001947A4" w14:paraId="1E508BE4" w14:textId="77777777" w:rsidTr="00B0296A">
        <w:tc>
          <w:tcPr>
            <w:tcW w:w="1991" w:type="dxa"/>
            <w:vAlign w:val="center"/>
          </w:tcPr>
          <w:p w14:paraId="53B72CA5"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Direcția Cadrul Național al Calificărilor (MEC)</w:t>
            </w:r>
          </w:p>
        </w:tc>
        <w:tc>
          <w:tcPr>
            <w:tcW w:w="1964" w:type="dxa"/>
            <w:vAlign w:val="center"/>
          </w:tcPr>
          <w:p w14:paraId="353888E3"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Coordonator administrativ al CNC</w:t>
            </w:r>
          </w:p>
        </w:tc>
        <w:tc>
          <w:tcPr>
            <w:tcW w:w="2051" w:type="dxa"/>
            <w:vAlign w:val="center"/>
          </w:tcPr>
          <w:p w14:paraId="54E8493A"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Monitorizarea procesului de referențiere și alinierea la standardele europene</w:t>
            </w:r>
          </w:p>
        </w:tc>
        <w:tc>
          <w:tcPr>
            <w:tcW w:w="3061" w:type="dxa"/>
            <w:vAlign w:val="center"/>
          </w:tcPr>
          <w:p w14:paraId="6E4E0AF6"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Colectarea de date; elaborarea proiectului raportului; coordonarea grupurilor de lucru; coordonarea procesului de validare a raportului final</w:t>
            </w:r>
          </w:p>
        </w:tc>
        <w:tc>
          <w:tcPr>
            <w:tcW w:w="1560" w:type="dxa"/>
            <w:vAlign w:val="center"/>
          </w:tcPr>
          <w:p w14:paraId="430777DA"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108DC309"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Coordonare administrativă, evaluare proces</w:t>
            </w:r>
          </w:p>
        </w:tc>
        <w:tc>
          <w:tcPr>
            <w:tcW w:w="2375" w:type="dxa"/>
            <w:vAlign w:val="center"/>
          </w:tcPr>
          <w:p w14:paraId="2A9E849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Documente de referențiere, documentație internă</w:t>
            </w:r>
          </w:p>
        </w:tc>
      </w:tr>
      <w:tr w:rsidR="00256F55" w:rsidRPr="001947A4" w14:paraId="3ECE4E86" w14:textId="77777777" w:rsidTr="00B0296A">
        <w:tc>
          <w:tcPr>
            <w:tcW w:w="1991" w:type="dxa"/>
            <w:vAlign w:val="center"/>
          </w:tcPr>
          <w:p w14:paraId="13135BCF"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Agenția Națională pentru Asigurarea Calității în Educație și Cercetare</w:t>
            </w:r>
          </w:p>
        </w:tc>
        <w:tc>
          <w:tcPr>
            <w:tcW w:w="1964" w:type="dxa"/>
            <w:vAlign w:val="center"/>
          </w:tcPr>
          <w:p w14:paraId="68B5CD9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Autoritate națională pentru standardele de calitate </w:t>
            </w:r>
          </w:p>
        </w:tc>
        <w:tc>
          <w:tcPr>
            <w:tcW w:w="2051" w:type="dxa"/>
            <w:vAlign w:val="center"/>
          </w:tcPr>
          <w:p w14:paraId="219D1F4E"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Prezentarea procedurilor de asigurare a calității în educație, validarea corelării în funcție de standarde ESG</w:t>
            </w:r>
          </w:p>
        </w:tc>
        <w:tc>
          <w:tcPr>
            <w:tcW w:w="3061" w:type="dxa"/>
            <w:vAlign w:val="center"/>
          </w:tcPr>
          <w:p w14:paraId="23C6BA1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Evaluarea corespunderii CNC cu standardele internaționale de calitate; validarea procedurilor de acreditare și învățare formală/non-formală</w:t>
            </w:r>
          </w:p>
        </w:tc>
        <w:tc>
          <w:tcPr>
            <w:tcW w:w="1560" w:type="dxa"/>
            <w:vAlign w:val="center"/>
          </w:tcPr>
          <w:p w14:paraId="19DD0A00"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consultativ</w:t>
            </w:r>
          </w:p>
        </w:tc>
        <w:tc>
          <w:tcPr>
            <w:tcW w:w="2019" w:type="dxa"/>
            <w:vAlign w:val="center"/>
          </w:tcPr>
          <w:p w14:paraId="4FD56416"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Validare, consultanță pe procesul de calitate</w:t>
            </w:r>
          </w:p>
        </w:tc>
        <w:tc>
          <w:tcPr>
            <w:tcW w:w="2375" w:type="dxa"/>
            <w:vAlign w:val="center"/>
          </w:tcPr>
          <w:p w14:paraId="2C18645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Rapoarte de evaluare, documente de conformitate</w:t>
            </w:r>
          </w:p>
        </w:tc>
      </w:tr>
      <w:tr w:rsidR="00256F55" w:rsidRPr="001947A4" w14:paraId="479319D7" w14:textId="77777777" w:rsidTr="00B0296A">
        <w:tc>
          <w:tcPr>
            <w:tcW w:w="1991" w:type="dxa"/>
            <w:vAlign w:val="center"/>
          </w:tcPr>
          <w:p w14:paraId="0BA73A42"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Ministerul Muncii și Protecției Sociale, Direcția politici ocupaționale și de reglementare a migrației</w:t>
            </w:r>
          </w:p>
        </w:tc>
        <w:tc>
          <w:tcPr>
            <w:tcW w:w="1964" w:type="dxa"/>
            <w:vAlign w:val="center"/>
          </w:tcPr>
          <w:p w14:paraId="2972A5B5"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Autoritate pentru politici ocupaționale și conexiune cu piața muncii</w:t>
            </w:r>
          </w:p>
        </w:tc>
        <w:tc>
          <w:tcPr>
            <w:tcW w:w="2051" w:type="dxa"/>
            <w:vAlign w:val="center"/>
          </w:tcPr>
          <w:p w14:paraId="2E4BDF4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 date privind competențele cerute, corelare CNC–CORM, contribuție la recunoașterea calificărilor obținute în străinătate și mobilitatea profesională</w:t>
            </w:r>
          </w:p>
        </w:tc>
        <w:tc>
          <w:tcPr>
            <w:tcW w:w="3061" w:type="dxa"/>
            <w:vAlign w:val="center"/>
          </w:tcPr>
          <w:p w14:paraId="2FC18E6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Analiza corespondenței dintre cerințele pieței muncii și sistemul educațional </w:t>
            </w:r>
          </w:p>
        </w:tc>
        <w:tc>
          <w:tcPr>
            <w:tcW w:w="1560" w:type="dxa"/>
            <w:vAlign w:val="center"/>
          </w:tcPr>
          <w:p w14:paraId="2F8180BB"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163441F4" w14:textId="7FAF1BAE"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Analiză de politici, consultanță privind reglementarea pieței muncii și mobilității profesionale</w:t>
            </w:r>
          </w:p>
        </w:tc>
        <w:tc>
          <w:tcPr>
            <w:tcW w:w="2375" w:type="dxa"/>
            <w:vAlign w:val="center"/>
          </w:tcPr>
          <w:p w14:paraId="50EA4CDA"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Rapoarte de cercetare a pieței muncii, recomandări de politici</w:t>
            </w:r>
          </w:p>
        </w:tc>
      </w:tr>
      <w:tr w:rsidR="00256F55" w:rsidRPr="001947A4" w14:paraId="385DE096" w14:textId="77777777" w:rsidTr="00B0296A">
        <w:tc>
          <w:tcPr>
            <w:tcW w:w="1991" w:type="dxa"/>
            <w:vAlign w:val="center"/>
          </w:tcPr>
          <w:p w14:paraId="7153345B" w14:textId="77777777" w:rsidR="007B1728" w:rsidRPr="001947A4" w:rsidRDefault="007B1728"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Ministerul Sănătății, Direcția politici în domeniul managementului medical</w:t>
            </w:r>
          </w:p>
        </w:tc>
        <w:tc>
          <w:tcPr>
            <w:tcW w:w="1964" w:type="dxa"/>
            <w:vAlign w:val="center"/>
          </w:tcPr>
          <w:p w14:paraId="200C6C70" w14:textId="3A7D4550" w:rsidR="007B1728" w:rsidRPr="001947A4" w:rsidRDefault="007B1728" w:rsidP="001947A4">
            <w:pPr>
              <w:rPr>
                <w:rFonts w:ascii="Times New Roman" w:hAnsi="Times New Roman" w:cs="Times New Roman"/>
                <w:sz w:val="20"/>
                <w:szCs w:val="20"/>
              </w:rPr>
            </w:pPr>
            <w:r w:rsidRPr="001947A4">
              <w:rPr>
                <w:rFonts w:ascii="Times New Roman" w:hAnsi="Times New Roman" w:cs="Times New Roman"/>
                <w:sz w:val="20"/>
                <w:szCs w:val="20"/>
              </w:rPr>
              <w:t>Autoritate sectorială responsabilă de politicile și reglementările în domeniul sănătății</w:t>
            </w:r>
          </w:p>
        </w:tc>
        <w:tc>
          <w:tcPr>
            <w:tcW w:w="2051" w:type="dxa"/>
            <w:vAlign w:val="center"/>
          </w:tcPr>
          <w:p w14:paraId="17A8D563" w14:textId="6FAA89BB" w:rsidR="007B1728" w:rsidRPr="001947A4" w:rsidRDefault="007B1728" w:rsidP="001947A4">
            <w:pPr>
              <w:rPr>
                <w:rFonts w:ascii="Times New Roman" w:hAnsi="Times New Roman" w:cs="Times New Roman"/>
                <w:sz w:val="20"/>
                <w:szCs w:val="20"/>
              </w:rPr>
            </w:pPr>
            <w:r w:rsidRPr="001947A4">
              <w:rPr>
                <w:rFonts w:ascii="Times New Roman" w:hAnsi="Times New Roman" w:cs="Times New Roman"/>
                <w:sz w:val="20"/>
                <w:szCs w:val="20"/>
              </w:rPr>
              <w:t xml:space="preserve">Participă la corelarea calificărilor profesionale din domeniul sănătății cu nivelurile CNC și EQF; </w:t>
            </w:r>
          </w:p>
        </w:tc>
        <w:tc>
          <w:tcPr>
            <w:tcW w:w="3061" w:type="dxa"/>
            <w:vAlign w:val="center"/>
          </w:tcPr>
          <w:p w14:paraId="430F027E" w14:textId="546B7929" w:rsidR="007B1728" w:rsidRPr="001947A4" w:rsidRDefault="007B1728" w:rsidP="001947A4">
            <w:pPr>
              <w:rPr>
                <w:rFonts w:ascii="Times New Roman" w:hAnsi="Times New Roman" w:cs="Times New Roman"/>
                <w:sz w:val="20"/>
                <w:szCs w:val="20"/>
              </w:rPr>
            </w:pPr>
            <w:r w:rsidRPr="001947A4">
              <w:rPr>
                <w:rFonts w:ascii="Times New Roman" w:hAnsi="Times New Roman" w:cs="Times New Roman"/>
                <w:sz w:val="20"/>
                <w:szCs w:val="20"/>
              </w:rPr>
              <w:t>Consultanță în alinierea calificărilor în domeniul sănătății la cerințele CNC și EQF</w:t>
            </w:r>
          </w:p>
        </w:tc>
        <w:tc>
          <w:tcPr>
            <w:tcW w:w="1560" w:type="dxa"/>
            <w:vAlign w:val="center"/>
          </w:tcPr>
          <w:p w14:paraId="31DF7936" w14:textId="2918B4E1" w:rsidR="007B1728" w:rsidRPr="001947A4" w:rsidRDefault="007B1728"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6539D37F" w14:textId="2D455555" w:rsidR="007B1728" w:rsidRPr="001947A4" w:rsidRDefault="007B1728" w:rsidP="001947A4">
            <w:pPr>
              <w:rPr>
                <w:rFonts w:ascii="Times New Roman" w:hAnsi="Times New Roman" w:cs="Times New Roman"/>
                <w:sz w:val="20"/>
                <w:szCs w:val="20"/>
              </w:rPr>
            </w:pPr>
            <w:r w:rsidRPr="001947A4">
              <w:rPr>
                <w:rFonts w:ascii="Times New Roman" w:hAnsi="Times New Roman" w:cs="Times New Roman"/>
                <w:sz w:val="20"/>
                <w:szCs w:val="20"/>
              </w:rPr>
              <w:t>Consultanță tehnică, colaborare pe sectoare specifice</w:t>
            </w:r>
          </w:p>
        </w:tc>
        <w:tc>
          <w:tcPr>
            <w:tcW w:w="2375" w:type="dxa"/>
            <w:vAlign w:val="center"/>
          </w:tcPr>
          <w:p w14:paraId="4E233966" w14:textId="6578848F" w:rsidR="007B1728" w:rsidRPr="001947A4" w:rsidRDefault="007B1728" w:rsidP="001947A4">
            <w:pPr>
              <w:rPr>
                <w:rFonts w:ascii="Times New Roman" w:hAnsi="Times New Roman" w:cs="Times New Roman"/>
                <w:sz w:val="20"/>
                <w:szCs w:val="20"/>
              </w:rPr>
            </w:pPr>
            <w:r w:rsidRPr="001947A4">
              <w:rPr>
                <w:rFonts w:ascii="Times New Roman" w:hAnsi="Times New Roman" w:cs="Times New Roman"/>
                <w:sz w:val="20"/>
                <w:szCs w:val="20"/>
              </w:rPr>
              <w:t>Acte normative și standarde de competență din domeniul sănătății; metodologii de evaluare profesională și documente de recunoaștere sectorială</w:t>
            </w:r>
          </w:p>
        </w:tc>
      </w:tr>
      <w:tr w:rsidR="00B0296A" w:rsidRPr="001947A4" w14:paraId="61F13602" w14:textId="77777777" w:rsidTr="00B0296A">
        <w:tc>
          <w:tcPr>
            <w:tcW w:w="1991" w:type="dxa"/>
            <w:vMerge w:val="restart"/>
            <w:vAlign w:val="center"/>
          </w:tcPr>
          <w:p w14:paraId="047DAEDE" w14:textId="3D10EF35" w:rsidR="00EE7FE9" w:rsidRPr="001947A4" w:rsidRDefault="00EE7FE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 xml:space="preserve">Ministerul Afacerilor </w:t>
            </w:r>
            <w:r w:rsidRPr="001947A4">
              <w:rPr>
                <w:rFonts w:ascii="Times New Roman" w:hAnsi="Times New Roman" w:cs="Times New Roman"/>
                <w:sz w:val="20"/>
                <w:szCs w:val="20"/>
              </w:rPr>
              <w:lastRenderedPageBreak/>
              <w:t>Interne, Direcția studii și management al calității Academia „Ștefan cel Mare și Sfânt”</w:t>
            </w:r>
          </w:p>
        </w:tc>
        <w:tc>
          <w:tcPr>
            <w:tcW w:w="1964" w:type="dxa"/>
          </w:tcPr>
          <w:p w14:paraId="64AA1BFD" w14:textId="4F1558A5" w:rsidR="00EE7FE9" w:rsidRPr="001947A4" w:rsidRDefault="00BC0A4D"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 xml:space="preserve">Autoritate sectorială responsabilă de </w:t>
            </w:r>
            <w:r w:rsidRPr="001947A4">
              <w:rPr>
                <w:rFonts w:ascii="Times New Roman" w:hAnsi="Times New Roman" w:cs="Times New Roman"/>
                <w:sz w:val="20"/>
                <w:szCs w:val="20"/>
              </w:rPr>
              <w:lastRenderedPageBreak/>
              <w:t>politicile educaționale și profesionale în domeniul ordinii publice, securității și administrației interne</w:t>
            </w:r>
          </w:p>
        </w:tc>
        <w:tc>
          <w:tcPr>
            <w:tcW w:w="2051" w:type="dxa"/>
          </w:tcPr>
          <w:p w14:paraId="6D00B297" w14:textId="4A51659D" w:rsidR="00EE7FE9" w:rsidRPr="001947A4" w:rsidRDefault="00056248"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 xml:space="preserve">Asigură corelarea calificărilor din </w:t>
            </w:r>
            <w:r w:rsidRPr="001947A4">
              <w:rPr>
                <w:rFonts w:ascii="Times New Roman" w:hAnsi="Times New Roman" w:cs="Times New Roman"/>
                <w:sz w:val="20"/>
                <w:szCs w:val="20"/>
              </w:rPr>
              <w:lastRenderedPageBreak/>
              <w:t xml:space="preserve">sistemul de formare al MAI (poliție, securitate civilă, management al urgențelor) cu nivelurile CNC și EQF </w:t>
            </w:r>
          </w:p>
        </w:tc>
        <w:tc>
          <w:tcPr>
            <w:tcW w:w="3061" w:type="dxa"/>
          </w:tcPr>
          <w:p w14:paraId="4ED04A75" w14:textId="7FFC9D7B" w:rsidR="00EE7FE9" w:rsidRPr="001947A4" w:rsidRDefault="00B233D8"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 xml:space="preserve">Consultanță în alinierea programelor de formare </w:t>
            </w:r>
            <w:r w:rsidRPr="001947A4">
              <w:rPr>
                <w:rFonts w:ascii="Times New Roman" w:hAnsi="Times New Roman" w:cs="Times New Roman"/>
                <w:sz w:val="20"/>
                <w:szCs w:val="20"/>
              </w:rPr>
              <w:lastRenderedPageBreak/>
              <w:t>profesională și academică ale instituțiilor MAI la cerințele CNC și EQF; furnizarea informațiilor privind sistemul intern de asigurare a calității și metodele de evaluare a competențelor</w:t>
            </w:r>
          </w:p>
        </w:tc>
        <w:tc>
          <w:tcPr>
            <w:tcW w:w="1560" w:type="dxa"/>
          </w:tcPr>
          <w:p w14:paraId="27C5513B" w14:textId="67B6341D" w:rsidR="00EE7FE9" w:rsidRPr="001947A4" w:rsidRDefault="00B233D8" w:rsidP="001947A4">
            <w:pPr>
              <w:jc w:val="center"/>
              <w:rPr>
                <w:rFonts w:ascii="Times New Roman" w:hAnsi="Times New Roman" w:cs="Times New Roman"/>
                <w:sz w:val="20"/>
                <w:szCs w:val="20"/>
              </w:rPr>
            </w:pPr>
            <w:r w:rsidRPr="001947A4">
              <w:rPr>
                <w:rFonts w:ascii="Times New Roman" w:hAnsi="Times New Roman" w:cs="Times New Roman"/>
                <w:sz w:val="20"/>
                <w:szCs w:val="20"/>
              </w:rPr>
              <w:lastRenderedPageBreak/>
              <w:t>Membru activ</w:t>
            </w:r>
          </w:p>
        </w:tc>
        <w:tc>
          <w:tcPr>
            <w:tcW w:w="2019" w:type="dxa"/>
          </w:tcPr>
          <w:p w14:paraId="57CA1F65" w14:textId="4CC4C799" w:rsidR="00EE7FE9" w:rsidRPr="001947A4" w:rsidRDefault="00BB01C7" w:rsidP="001947A4">
            <w:pPr>
              <w:rPr>
                <w:rFonts w:ascii="Times New Roman" w:hAnsi="Times New Roman" w:cs="Times New Roman"/>
                <w:sz w:val="20"/>
                <w:szCs w:val="20"/>
              </w:rPr>
            </w:pPr>
            <w:r w:rsidRPr="001947A4">
              <w:rPr>
                <w:rFonts w:ascii="Times New Roman" w:hAnsi="Times New Roman" w:cs="Times New Roman"/>
                <w:sz w:val="20"/>
                <w:szCs w:val="20"/>
              </w:rPr>
              <w:t xml:space="preserve">Consultanță tehnică și colaborare pe domenii </w:t>
            </w:r>
            <w:r w:rsidRPr="001947A4">
              <w:rPr>
                <w:rFonts w:ascii="Times New Roman" w:hAnsi="Times New Roman" w:cs="Times New Roman"/>
                <w:sz w:val="20"/>
                <w:szCs w:val="20"/>
              </w:rPr>
              <w:lastRenderedPageBreak/>
              <w:t>sectoriale (ordine publică, securitate, protecție civilă)</w:t>
            </w:r>
          </w:p>
        </w:tc>
        <w:tc>
          <w:tcPr>
            <w:tcW w:w="2375" w:type="dxa"/>
          </w:tcPr>
          <w:p w14:paraId="663A3431" w14:textId="6162780A" w:rsidR="00EE7FE9" w:rsidRPr="001947A4" w:rsidRDefault="00BB01C7"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 xml:space="preserve">Regulamente și standarde de formare profesională </w:t>
            </w:r>
            <w:r w:rsidRPr="001947A4">
              <w:rPr>
                <w:rFonts w:ascii="Times New Roman" w:hAnsi="Times New Roman" w:cs="Times New Roman"/>
                <w:sz w:val="20"/>
                <w:szCs w:val="20"/>
              </w:rPr>
              <w:lastRenderedPageBreak/>
              <w:t>ale MAI; metodologii de evaluare a competențelor; documente privind managementul calității în instituțiile MAI</w:t>
            </w:r>
          </w:p>
        </w:tc>
      </w:tr>
      <w:tr w:rsidR="00B0296A" w:rsidRPr="001947A4" w14:paraId="6C57F882" w14:textId="77777777" w:rsidTr="00B0296A">
        <w:tc>
          <w:tcPr>
            <w:tcW w:w="1991" w:type="dxa"/>
            <w:vMerge/>
            <w:vAlign w:val="center"/>
          </w:tcPr>
          <w:p w14:paraId="6A9E3105" w14:textId="77777777" w:rsidR="00692FDB" w:rsidRPr="001947A4" w:rsidRDefault="00692FDB" w:rsidP="00A41843">
            <w:pPr>
              <w:pStyle w:val="a7"/>
              <w:numPr>
                <w:ilvl w:val="1"/>
                <w:numId w:val="169"/>
              </w:numPr>
              <w:ind w:left="308" w:hanging="308"/>
              <w:rPr>
                <w:rFonts w:ascii="Times New Roman" w:hAnsi="Times New Roman" w:cs="Times New Roman"/>
                <w:sz w:val="20"/>
                <w:szCs w:val="20"/>
              </w:rPr>
            </w:pPr>
          </w:p>
        </w:tc>
        <w:tc>
          <w:tcPr>
            <w:tcW w:w="1964" w:type="dxa"/>
            <w:vAlign w:val="center"/>
          </w:tcPr>
          <w:p w14:paraId="51CB7AF6" w14:textId="3F4F2DE2" w:rsidR="00692FDB" w:rsidRPr="001947A4" w:rsidRDefault="00692FDB" w:rsidP="001947A4">
            <w:pPr>
              <w:rPr>
                <w:rFonts w:ascii="Times New Roman" w:hAnsi="Times New Roman" w:cs="Times New Roman"/>
                <w:sz w:val="20"/>
                <w:szCs w:val="20"/>
              </w:rPr>
            </w:pPr>
            <w:r w:rsidRPr="001947A4">
              <w:rPr>
                <w:rFonts w:ascii="Times New Roman" w:hAnsi="Times New Roman" w:cs="Times New Roman"/>
                <w:sz w:val="20"/>
                <w:szCs w:val="20"/>
              </w:rPr>
              <w:t>Instituție de formare în domeniul securității și ordinii publice</w:t>
            </w:r>
          </w:p>
        </w:tc>
        <w:tc>
          <w:tcPr>
            <w:tcW w:w="2051" w:type="dxa"/>
            <w:vAlign w:val="center"/>
          </w:tcPr>
          <w:p w14:paraId="063909A9" w14:textId="5BA0130A" w:rsidR="00692FDB" w:rsidRPr="001947A4" w:rsidRDefault="00692FDB" w:rsidP="001947A4">
            <w:pPr>
              <w:rPr>
                <w:rFonts w:ascii="Times New Roman" w:hAnsi="Times New Roman" w:cs="Times New Roman"/>
                <w:sz w:val="20"/>
                <w:szCs w:val="20"/>
              </w:rPr>
            </w:pPr>
            <w:r w:rsidRPr="001947A4">
              <w:rPr>
                <w:rFonts w:ascii="Times New Roman" w:hAnsi="Times New Roman" w:cs="Times New Roman"/>
                <w:sz w:val="20"/>
                <w:szCs w:val="20"/>
              </w:rPr>
              <w:t>Participarea în definirea echivalenței calificărilor academice în domeniul militar. Exemple de calificări sectoriale, metode de evaluare și certificare.</w:t>
            </w:r>
          </w:p>
        </w:tc>
        <w:tc>
          <w:tcPr>
            <w:tcW w:w="3061" w:type="dxa"/>
            <w:vAlign w:val="center"/>
          </w:tcPr>
          <w:p w14:paraId="55344726" w14:textId="27073B9A" w:rsidR="00692FDB" w:rsidRPr="001947A4" w:rsidRDefault="00692FDB" w:rsidP="001947A4">
            <w:pPr>
              <w:rPr>
                <w:rFonts w:ascii="Times New Roman" w:hAnsi="Times New Roman" w:cs="Times New Roman"/>
                <w:sz w:val="20"/>
                <w:szCs w:val="20"/>
              </w:rPr>
            </w:pPr>
            <w:r w:rsidRPr="001947A4">
              <w:rPr>
                <w:rFonts w:ascii="Times New Roman" w:hAnsi="Times New Roman" w:cs="Times New Roman"/>
                <w:sz w:val="20"/>
                <w:szCs w:val="20"/>
              </w:rPr>
              <w:t>Consultanță în alinierea calificărilor militare la cerințele CNC și EQF</w:t>
            </w:r>
          </w:p>
        </w:tc>
        <w:tc>
          <w:tcPr>
            <w:tcW w:w="1560" w:type="dxa"/>
            <w:vAlign w:val="center"/>
          </w:tcPr>
          <w:p w14:paraId="519A63D5" w14:textId="5B865C09" w:rsidR="00692FDB" w:rsidRPr="001947A4" w:rsidRDefault="00692FDB"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2AF4B2DA" w14:textId="4C859DFC" w:rsidR="00692FDB" w:rsidRPr="001947A4" w:rsidRDefault="00692FDB" w:rsidP="001947A4">
            <w:pPr>
              <w:rPr>
                <w:rFonts w:ascii="Times New Roman" w:hAnsi="Times New Roman" w:cs="Times New Roman"/>
                <w:sz w:val="20"/>
                <w:szCs w:val="20"/>
              </w:rPr>
            </w:pPr>
            <w:r w:rsidRPr="001947A4">
              <w:rPr>
                <w:rFonts w:ascii="Times New Roman" w:hAnsi="Times New Roman" w:cs="Times New Roman"/>
                <w:sz w:val="20"/>
                <w:szCs w:val="20"/>
              </w:rPr>
              <w:t>Consultanță tehnică, colaborare pe sectoare specifice</w:t>
            </w:r>
          </w:p>
        </w:tc>
        <w:tc>
          <w:tcPr>
            <w:tcW w:w="2375" w:type="dxa"/>
            <w:vAlign w:val="center"/>
          </w:tcPr>
          <w:p w14:paraId="087E322F" w14:textId="3D0AA8C9" w:rsidR="00692FDB" w:rsidRPr="001947A4" w:rsidRDefault="00692FDB" w:rsidP="001947A4">
            <w:pPr>
              <w:rPr>
                <w:rFonts w:ascii="Times New Roman" w:hAnsi="Times New Roman" w:cs="Times New Roman"/>
                <w:sz w:val="20"/>
                <w:szCs w:val="20"/>
              </w:rPr>
            </w:pPr>
            <w:r w:rsidRPr="001947A4">
              <w:rPr>
                <w:rFonts w:ascii="Times New Roman" w:hAnsi="Times New Roman" w:cs="Times New Roman"/>
                <w:sz w:val="20"/>
                <w:szCs w:val="20"/>
              </w:rPr>
              <w:t>Documente de referențiere din domeniul militar</w:t>
            </w:r>
          </w:p>
        </w:tc>
      </w:tr>
      <w:tr w:rsidR="00256F55" w:rsidRPr="001947A4" w14:paraId="19D7E4C5" w14:textId="77777777" w:rsidTr="00B0296A">
        <w:tc>
          <w:tcPr>
            <w:tcW w:w="1991" w:type="dxa"/>
            <w:vAlign w:val="center"/>
          </w:tcPr>
          <w:p w14:paraId="7DB1DCC4"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Universitatea de Stat din Moldova</w:t>
            </w:r>
          </w:p>
        </w:tc>
        <w:tc>
          <w:tcPr>
            <w:tcW w:w="1964" w:type="dxa"/>
            <w:vAlign w:val="center"/>
          </w:tcPr>
          <w:p w14:paraId="2B6F3694"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Furnizor principal de educație și formare</w:t>
            </w:r>
          </w:p>
        </w:tc>
        <w:tc>
          <w:tcPr>
            <w:tcW w:w="2051" w:type="dxa"/>
            <w:vAlign w:val="center"/>
          </w:tcPr>
          <w:p w14:paraId="05DB851B" w14:textId="53B17F91" w:rsidR="00761A0F" w:rsidRPr="001947A4" w:rsidRDefault="00761A0F" w:rsidP="001947A4">
            <w:pPr>
              <w:rPr>
                <w:rFonts w:ascii="Times New Roman" w:hAnsi="Times New Roman" w:cs="Times New Roman"/>
                <w:sz w:val="20"/>
                <w:szCs w:val="20"/>
              </w:rPr>
            </w:pPr>
            <w:r w:rsidRPr="001947A4">
              <w:rPr>
                <w:rFonts w:ascii="Times New Roman" w:hAnsi="Times New Roman" w:cs="Times New Roman"/>
                <w:sz w:val="20"/>
                <w:szCs w:val="20"/>
              </w:rPr>
              <w:t>Contribuții la corelarea nivelurilor superioare CNC–EQF și relația cu QF-EHEA;</w:t>
            </w:r>
          </w:p>
          <w:p w14:paraId="648D8A7B" w14:textId="4E1AB9E0" w:rsidR="005A1FF9" w:rsidRPr="001947A4" w:rsidRDefault="00FE1D7C" w:rsidP="001947A4">
            <w:pPr>
              <w:rPr>
                <w:rFonts w:ascii="Times New Roman" w:hAnsi="Times New Roman" w:cs="Times New Roman"/>
                <w:sz w:val="20"/>
                <w:szCs w:val="20"/>
              </w:rPr>
            </w:pPr>
            <w:r w:rsidRPr="001947A4">
              <w:rPr>
                <w:rFonts w:ascii="Times New Roman" w:hAnsi="Times New Roman" w:cs="Times New Roman"/>
                <w:sz w:val="20"/>
                <w:szCs w:val="20"/>
              </w:rPr>
              <w:t>e</w:t>
            </w:r>
            <w:r w:rsidR="005A1FF9" w:rsidRPr="001947A4">
              <w:rPr>
                <w:rFonts w:ascii="Times New Roman" w:hAnsi="Times New Roman" w:cs="Times New Roman"/>
                <w:sz w:val="20"/>
                <w:szCs w:val="20"/>
              </w:rPr>
              <w:t>xemple de calificări corelate la EQF, bune practici privind aplicarea ciclurilor Bologna</w:t>
            </w:r>
          </w:p>
        </w:tc>
        <w:tc>
          <w:tcPr>
            <w:tcW w:w="3061" w:type="dxa"/>
            <w:vAlign w:val="center"/>
          </w:tcPr>
          <w:p w14:paraId="25066BCC" w14:textId="72599C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Furnizarea de date despre calificări, validare; identificarea exemplelor de calificări pentru comparare; confirmarea echivalențelor CNC–EQF</w:t>
            </w:r>
          </w:p>
        </w:tc>
        <w:tc>
          <w:tcPr>
            <w:tcW w:w="1560" w:type="dxa"/>
            <w:vAlign w:val="center"/>
          </w:tcPr>
          <w:p w14:paraId="02624628"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0F2A263B"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Contribuție de date, exemple de bune practici </w:t>
            </w:r>
          </w:p>
        </w:tc>
        <w:tc>
          <w:tcPr>
            <w:tcW w:w="2375" w:type="dxa"/>
            <w:vAlign w:val="center"/>
          </w:tcPr>
          <w:p w14:paraId="03DB9460"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Standarde de calificări, planuri de învățământ</w:t>
            </w:r>
          </w:p>
        </w:tc>
      </w:tr>
      <w:tr w:rsidR="00256F55" w:rsidRPr="001947A4" w14:paraId="2B211771" w14:textId="77777777" w:rsidTr="00B0296A">
        <w:tc>
          <w:tcPr>
            <w:tcW w:w="1991" w:type="dxa"/>
            <w:vAlign w:val="center"/>
          </w:tcPr>
          <w:p w14:paraId="0A700E65"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Universitatea Tehnică a Moldovei, Direcția Management academic și asigurarea calității</w:t>
            </w:r>
          </w:p>
        </w:tc>
        <w:tc>
          <w:tcPr>
            <w:tcW w:w="1964" w:type="dxa"/>
            <w:vAlign w:val="center"/>
          </w:tcPr>
          <w:p w14:paraId="07E4EE5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Furnizor de formare tehnică și inginerie</w:t>
            </w:r>
          </w:p>
        </w:tc>
        <w:tc>
          <w:tcPr>
            <w:tcW w:w="2051" w:type="dxa"/>
            <w:vAlign w:val="center"/>
          </w:tcPr>
          <w:p w14:paraId="74985B8A" w14:textId="5BC44486"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Contribuții la corelarea nivelurilor superioare CNC–EQF </w:t>
            </w:r>
            <w:r w:rsidR="007C0B10" w:rsidRPr="001947A4">
              <w:rPr>
                <w:rFonts w:ascii="Times New Roman" w:hAnsi="Times New Roman" w:cs="Times New Roman"/>
                <w:sz w:val="20"/>
                <w:szCs w:val="20"/>
              </w:rPr>
              <w:t xml:space="preserve">și relația cu QF-EHEA </w:t>
            </w:r>
            <w:r w:rsidRPr="001947A4">
              <w:rPr>
                <w:rFonts w:ascii="Times New Roman" w:hAnsi="Times New Roman" w:cs="Times New Roman"/>
                <w:sz w:val="20"/>
                <w:szCs w:val="20"/>
              </w:rPr>
              <w:t>în domenii tehnice</w:t>
            </w:r>
            <w:r w:rsidR="00BA43DE" w:rsidRPr="001947A4">
              <w:rPr>
                <w:rFonts w:ascii="Times New Roman" w:hAnsi="Times New Roman" w:cs="Times New Roman"/>
                <w:sz w:val="20"/>
                <w:szCs w:val="20"/>
              </w:rPr>
              <w:t xml:space="preserve">; </w:t>
            </w:r>
            <w:r w:rsidR="00FE1D7C" w:rsidRPr="001947A4">
              <w:rPr>
                <w:rFonts w:ascii="Times New Roman" w:hAnsi="Times New Roman" w:cs="Times New Roman"/>
                <w:sz w:val="20"/>
                <w:szCs w:val="20"/>
              </w:rPr>
              <w:t>e</w:t>
            </w:r>
            <w:r w:rsidR="00BA43DE" w:rsidRPr="001947A4">
              <w:rPr>
                <w:rFonts w:ascii="Times New Roman" w:hAnsi="Times New Roman" w:cs="Times New Roman"/>
                <w:sz w:val="20"/>
                <w:szCs w:val="20"/>
              </w:rPr>
              <w:t>xemple de microcalificări / formări continue, validarea învățării non-formale</w:t>
            </w:r>
          </w:p>
        </w:tc>
        <w:tc>
          <w:tcPr>
            <w:tcW w:w="3061" w:type="dxa"/>
            <w:vAlign w:val="center"/>
          </w:tcPr>
          <w:p w14:paraId="13FCB87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Furnizarea informațiilor despre calificări, validare; identificarea exemplelor de calificări pentru comparare;  confirmarea echivalențelor CNC–EQF</w:t>
            </w:r>
          </w:p>
        </w:tc>
        <w:tc>
          <w:tcPr>
            <w:tcW w:w="1560" w:type="dxa"/>
            <w:vAlign w:val="center"/>
          </w:tcPr>
          <w:p w14:paraId="613D8678"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105C9040"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Contribuție educațională, validare tehnică</w:t>
            </w:r>
          </w:p>
        </w:tc>
        <w:tc>
          <w:tcPr>
            <w:tcW w:w="2375" w:type="dxa"/>
            <w:vAlign w:val="center"/>
          </w:tcPr>
          <w:p w14:paraId="5F5A6D54" w14:textId="58A99AA3"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Planuri de formare tehnică, </w:t>
            </w:r>
            <w:r w:rsidR="00E42D49" w:rsidRPr="001947A4">
              <w:rPr>
                <w:rFonts w:ascii="Times New Roman" w:hAnsi="Times New Roman" w:cs="Times New Roman"/>
                <w:sz w:val="20"/>
                <w:szCs w:val="20"/>
              </w:rPr>
              <w:t xml:space="preserve">microcalificări, </w:t>
            </w:r>
            <w:r w:rsidRPr="001947A4">
              <w:rPr>
                <w:rFonts w:ascii="Times New Roman" w:hAnsi="Times New Roman" w:cs="Times New Roman"/>
                <w:sz w:val="20"/>
                <w:szCs w:val="20"/>
              </w:rPr>
              <w:t>rapoarte de evaluare</w:t>
            </w:r>
          </w:p>
        </w:tc>
      </w:tr>
      <w:tr w:rsidR="00256F55" w:rsidRPr="001947A4" w14:paraId="5E61178F" w14:textId="77777777" w:rsidTr="00B0296A">
        <w:tc>
          <w:tcPr>
            <w:tcW w:w="1991" w:type="dxa"/>
            <w:vAlign w:val="center"/>
          </w:tcPr>
          <w:p w14:paraId="2F8D216B"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 xml:space="preserve">Universitatea de Stat de Medicină și Farmacie „Nicolae Testemițanu", </w:t>
            </w:r>
            <w:r w:rsidRPr="001947A4">
              <w:rPr>
                <w:rFonts w:ascii="Times New Roman" w:hAnsi="Times New Roman" w:cs="Times New Roman"/>
                <w:sz w:val="20"/>
                <w:szCs w:val="20"/>
              </w:rPr>
              <w:lastRenderedPageBreak/>
              <w:t>Departament Educație Medicală Continuă</w:t>
            </w:r>
          </w:p>
        </w:tc>
        <w:tc>
          <w:tcPr>
            <w:tcW w:w="1964" w:type="dxa"/>
            <w:vAlign w:val="center"/>
          </w:tcPr>
          <w:p w14:paraId="5447D7C4"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Furnizor de formare continuă pentru profesioniștii din domeniul sănătății</w:t>
            </w:r>
          </w:p>
        </w:tc>
        <w:tc>
          <w:tcPr>
            <w:tcW w:w="2051" w:type="dxa"/>
            <w:vAlign w:val="center"/>
          </w:tcPr>
          <w:p w14:paraId="18D583D5" w14:textId="3641959F" w:rsidR="00740C09" w:rsidRPr="001947A4" w:rsidRDefault="00740C09" w:rsidP="001947A4">
            <w:pPr>
              <w:rPr>
                <w:rFonts w:ascii="Times New Roman" w:hAnsi="Times New Roman" w:cs="Times New Roman"/>
                <w:sz w:val="20"/>
                <w:szCs w:val="20"/>
              </w:rPr>
            </w:pPr>
            <w:r w:rsidRPr="001947A4">
              <w:rPr>
                <w:rFonts w:ascii="Times New Roman" w:hAnsi="Times New Roman" w:cs="Times New Roman"/>
                <w:sz w:val="20"/>
                <w:szCs w:val="20"/>
              </w:rPr>
              <w:t>Contribuții la corelarea nivelurilor superioare CNC–EQF și relația cu QF-EHEA</w:t>
            </w:r>
            <w:r w:rsidR="00440FA1" w:rsidRPr="001947A4">
              <w:rPr>
                <w:rFonts w:ascii="Times New Roman" w:hAnsi="Times New Roman" w:cs="Times New Roman"/>
                <w:sz w:val="20"/>
                <w:szCs w:val="20"/>
              </w:rPr>
              <w:t xml:space="preserve"> în domeniul medical;</w:t>
            </w:r>
          </w:p>
          <w:p w14:paraId="632D687F" w14:textId="66BC86FC" w:rsidR="005A1FF9" w:rsidRPr="001947A4" w:rsidRDefault="00EB5D60"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o</w:t>
            </w:r>
            <w:r w:rsidR="00146512" w:rsidRPr="001947A4">
              <w:rPr>
                <w:rFonts w:ascii="Times New Roman" w:hAnsi="Times New Roman" w:cs="Times New Roman"/>
                <w:sz w:val="20"/>
                <w:szCs w:val="20"/>
              </w:rPr>
              <w:t>feră exemple de calificări sectoriale, metode de evaluare și certificare aplicate în sectorul medical</w:t>
            </w:r>
          </w:p>
        </w:tc>
        <w:tc>
          <w:tcPr>
            <w:tcW w:w="3061" w:type="dxa"/>
            <w:vAlign w:val="center"/>
          </w:tcPr>
          <w:p w14:paraId="600EB85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Identificarea cursurilor medicale de formare continuă relevante pentru referențiere; evaluarea și integrarea educației medicale în CNC și EQF</w:t>
            </w:r>
          </w:p>
        </w:tc>
        <w:tc>
          <w:tcPr>
            <w:tcW w:w="1560" w:type="dxa"/>
            <w:vAlign w:val="center"/>
          </w:tcPr>
          <w:p w14:paraId="2FC394AA"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7D2AFF2B"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 de date pentru domeniul medical</w:t>
            </w:r>
          </w:p>
        </w:tc>
        <w:tc>
          <w:tcPr>
            <w:tcW w:w="2375" w:type="dxa"/>
            <w:vAlign w:val="center"/>
          </w:tcPr>
          <w:p w14:paraId="179230A6" w14:textId="5B6B0F34"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Planuri de formare continuă, programe educaționale </w:t>
            </w:r>
          </w:p>
        </w:tc>
      </w:tr>
      <w:tr w:rsidR="00256F55" w:rsidRPr="001947A4" w14:paraId="52E3F0FE" w14:textId="77777777" w:rsidTr="00B0296A">
        <w:tc>
          <w:tcPr>
            <w:tcW w:w="1991" w:type="dxa"/>
            <w:vAlign w:val="center"/>
          </w:tcPr>
          <w:p w14:paraId="4DD1BF2F"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lastRenderedPageBreak/>
              <w:t xml:space="preserve"> Academia de Studii Economice din republica Moldova</w:t>
            </w:r>
          </w:p>
        </w:tc>
        <w:tc>
          <w:tcPr>
            <w:tcW w:w="1964" w:type="dxa"/>
            <w:vAlign w:val="center"/>
          </w:tcPr>
          <w:p w14:paraId="02A0600B"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Furnizor de formare în domeniul științelor economice</w:t>
            </w:r>
          </w:p>
        </w:tc>
        <w:tc>
          <w:tcPr>
            <w:tcW w:w="2051" w:type="dxa"/>
            <w:vAlign w:val="center"/>
          </w:tcPr>
          <w:p w14:paraId="5D914409"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Participare la evaluarea descriptorilor EQF pentru economie și Științe economice</w:t>
            </w:r>
          </w:p>
        </w:tc>
        <w:tc>
          <w:tcPr>
            <w:tcW w:w="3061" w:type="dxa"/>
            <w:vAlign w:val="center"/>
          </w:tcPr>
          <w:p w14:paraId="28EBF666"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Furnizarea datelor și exemplelor de formare în domeniul științelor economice</w:t>
            </w:r>
          </w:p>
        </w:tc>
        <w:tc>
          <w:tcPr>
            <w:tcW w:w="1560" w:type="dxa"/>
            <w:vAlign w:val="center"/>
          </w:tcPr>
          <w:p w14:paraId="7F586B76"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consultativ</w:t>
            </w:r>
          </w:p>
        </w:tc>
        <w:tc>
          <w:tcPr>
            <w:tcW w:w="2019" w:type="dxa"/>
            <w:vAlign w:val="center"/>
          </w:tcPr>
          <w:p w14:paraId="7E1F87D9"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Colaborare pe integrarea domeniului științelor economice</w:t>
            </w:r>
          </w:p>
        </w:tc>
        <w:tc>
          <w:tcPr>
            <w:tcW w:w="2375" w:type="dxa"/>
            <w:vAlign w:val="center"/>
          </w:tcPr>
          <w:p w14:paraId="41180E2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Exemple de calificări și programe educaționale din domeniu</w:t>
            </w:r>
          </w:p>
        </w:tc>
      </w:tr>
      <w:tr w:rsidR="00256F55" w:rsidRPr="001947A4" w14:paraId="58BA589B" w14:textId="77777777" w:rsidTr="00B0296A">
        <w:tc>
          <w:tcPr>
            <w:tcW w:w="1991" w:type="dxa"/>
            <w:vAlign w:val="center"/>
          </w:tcPr>
          <w:p w14:paraId="0DA11FA9"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Academia de Muzică, Teatru și Arte Plastice</w:t>
            </w:r>
          </w:p>
        </w:tc>
        <w:tc>
          <w:tcPr>
            <w:tcW w:w="1964" w:type="dxa"/>
            <w:vAlign w:val="center"/>
          </w:tcPr>
          <w:p w14:paraId="794852A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Furnizor de formare în domeniul artelor</w:t>
            </w:r>
          </w:p>
        </w:tc>
        <w:tc>
          <w:tcPr>
            <w:tcW w:w="2051" w:type="dxa"/>
            <w:vAlign w:val="center"/>
          </w:tcPr>
          <w:p w14:paraId="6697128D"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Participare la evaluarea descriptorilor EQF pentru arte</w:t>
            </w:r>
          </w:p>
        </w:tc>
        <w:tc>
          <w:tcPr>
            <w:tcW w:w="3061" w:type="dxa"/>
            <w:vAlign w:val="center"/>
          </w:tcPr>
          <w:p w14:paraId="4CAF953F"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Furnizarea datelor și exemplelor de formare în domeniul artistic </w:t>
            </w:r>
          </w:p>
        </w:tc>
        <w:tc>
          <w:tcPr>
            <w:tcW w:w="1560" w:type="dxa"/>
            <w:vAlign w:val="center"/>
          </w:tcPr>
          <w:p w14:paraId="06FD6C8E"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consultativ</w:t>
            </w:r>
          </w:p>
        </w:tc>
        <w:tc>
          <w:tcPr>
            <w:tcW w:w="2019" w:type="dxa"/>
            <w:vAlign w:val="center"/>
          </w:tcPr>
          <w:p w14:paraId="433A2ED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Colaborare pe integrarea domeniului artistic</w:t>
            </w:r>
          </w:p>
        </w:tc>
        <w:tc>
          <w:tcPr>
            <w:tcW w:w="2375" w:type="dxa"/>
            <w:vAlign w:val="center"/>
          </w:tcPr>
          <w:p w14:paraId="1BDF1877"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Exemple de calificări artistice, programe educaționale</w:t>
            </w:r>
          </w:p>
        </w:tc>
      </w:tr>
      <w:tr w:rsidR="00256F55" w:rsidRPr="001947A4" w14:paraId="544B7CEE" w14:textId="77777777" w:rsidTr="00B0296A">
        <w:tc>
          <w:tcPr>
            <w:tcW w:w="1991" w:type="dxa"/>
            <w:vAlign w:val="center"/>
          </w:tcPr>
          <w:p w14:paraId="7FE6282B"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Academia Militară a Forţelor Armate, Facultatea științe militare</w:t>
            </w:r>
          </w:p>
        </w:tc>
        <w:tc>
          <w:tcPr>
            <w:tcW w:w="1964" w:type="dxa"/>
            <w:vAlign w:val="center"/>
          </w:tcPr>
          <w:p w14:paraId="3B9FEF1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Instituție de formare în domeniul apărării și securității naționale</w:t>
            </w:r>
          </w:p>
        </w:tc>
        <w:tc>
          <w:tcPr>
            <w:tcW w:w="2051" w:type="dxa"/>
            <w:vAlign w:val="center"/>
          </w:tcPr>
          <w:p w14:paraId="01A4D7D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Examinarea specificului calificărilor militare din CNC și relația cu QF-EHEA</w:t>
            </w:r>
          </w:p>
        </w:tc>
        <w:tc>
          <w:tcPr>
            <w:tcW w:w="3061" w:type="dxa"/>
            <w:vAlign w:val="center"/>
          </w:tcPr>
          <w:p w14:paraId="2BF8542E"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Furnizarea informațiilor despre programele educaționale și calificările militare</w:t>
            </w:r>
          </w:p>
        </w:tc>
        <w:tc>
          <w:tcPr>
            <w:tcW w:w="1560" w:type="dxa"/>
            <w:vAlign w:val="center"/>
          </w:tcPr>
          <w:p w14:paraId="70C227B9"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consultativ</w:t>
            </w:r>
          </w:p>
        </w:tc>
        <w:tc>
          <w:tcPr>
            <w:tcW w:w="2019" w:type="dxa"/>
            <w:vAlign w:val="center"/>
          </w:tcPr>
          <w:p w14:paraId="637AE6B1"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Colaborare pe domeniul educației militare</w:t>
            </w:r>
          </w:p>
        </w:tc>
        <w:tc>
          <w:tcPr>
            <w:tcW w:w="2375" w:type="dxa"/>
            <w:vAlign w:val="center"/>
          </w:tcPr>
          <w:p w14:paraId="46AF75EA"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Exemple de calificări din domeniul militar</w:t>
            </w:r>
          </w:p>
        </w:tc>
      </w:tr>
      <w:tr w:rsidR="00256F55" w:rsidRPr="001947A4" w14:paraId="63310262" w14:textId="77777777" w:rsidTr="00B0296A">
        <w:tc>
          <w:tcPr>
            <w:tcW w:w="1991" w:type="dxa"/>
            <w:vAlign w:val="center"/>
          </w:tcPr>
          <w:p w14:paraId="6F049804"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Universitatea Pedagogică de Stat „Ion Creangă” din Chișinău, Direcţia Management Academic şi Asigurarea Calităţii</w:t>
            </w:r>
          </w:p>
        </w:tc>
        <w:tc>
          <w:tcPr>
            <w:tcW w:w="1964" w:type="dxa"/>
            <w:vAlign w:val="center"/>
          </w:tcPr>
          <w:p w14:paraId="1E48BE54"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Furnizor de formare pedagogică și asigurarea calității</w:t>
            </w:r>
          </w:p>
        </w:tc>
        <w:tc>
          <w:tcPr>
            <w:tcW w:w="2051" w:type="dxa"/>
            <w:vAlign w:val="center"/>
          </w:tcPr>
          <w:p w14:paraId="67BA4D24" w14:textId="6032BF5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Exemple de aplicare a descriptorilor CNC</w:t>
            </w:r>
            <w:r w:rsidR="00654031" w:rsidRPr="001947A4">
              <w:rPr>
                <w:rFonts w:ascii="Times New Roman" w:hAnsi="Times New Roman" w:cs="Times New Roman"/>
                <w:sz w:val="20"/>
                <w:szCs w:val="20"/>
              </w:rPr>
              <w:t>-EQF-QF-EHEA</w:t>
            </w:r>
            <w:r w:rsidRPr="001947A4">
              <w:rPr>
                <w:rFonts w:ascii="Times New Roman" w:hAnsi="Times New Roman" w:cs="Times New Roman"/>
                <w:sz w:val="20"/>
                <w:szCs w:val="20"/>
              </w:rPr>
              <w:t>, proceduri de autoevaluare academică</w:t>
            </w:r>
          </w:p>
        </w:tc>
        <w:tc>
          <w:tcPr>
            <w:tcW w:w="3061" w:type="dxa"/>
            <w:vAlign w:val="center"/>
          </w:tcPr>
          <w:p w14:paraId="712E59DB"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Furnizarea informațiilor despre calificări; identificarea exemplelor de calificări pentru comparare;  confirmarea echivalențelor CNC–EQF</w:t>
            </w:r>
          </w:p>
        </w:tc>
        <w:tc>
          <w:tcPr>
            <w:tcW w:w="1560" w:type="dxa"/>
            <w:vAlign w:val="center"/>
          </w:tcPr>
          <w:p w14:paraId="1A3A2976"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445553EE"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Consultanță în domeniul educațională, validare programe educaționale</w:t>
            </w:r>
          </w:p>
        </w:tc>
        <w:tc>
          <w:tcPr>
            <w:tcW w:w="2375" w:type="dxa"/>
            <w:vAlign w:val="center"/>
          </w:tcPr>
          <w:p w14:paraId="43530699"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Proiecte educaționale, documente de evaluare a calității</w:t>
            </w:r>
          </w:p>
        </w:tc>
      </w:tr>
      <w:tr w:rsidR="00256F55" w:rsidRPr="001947A4" w14:paraId="12EB78A9" w14:textId="77777777" w:rsidTr="00B0296A">
        <w:tc>
          <w:tcPr>
            <w:tcW w:w="1991" w:type="dxa"/>
            <w:vAlign w:val="center"/>
          </w:tcPr>
          <w:p w14:paraId="6A354B88"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Universitatea de Stat din Moldova, Școala Doctorală Științe Umanistice și ale Educației</w:t>
            </w:r>
          </w:p>
        </w:tc>
        <w:tc>
          <w:tcPr>
            <w:tcW w:w="1964" w:type="dxa"/>
            <w:vAlign w:val="center"/>
          </w:tcPr>
          <w:p w14:paraId="199F89C2"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Furnizor de formare doctorală și cercetare avansată</w:t>
            </w:r>
          </w:p>
        </w:tc>
        <w:tc>
          <w:tcPr>
            <w:tcW w:w="2051" w:type="dxa"/>
            <w:vAlign w:val="center"/>
          </w:tcPr>
          <w:p w14:paraId="187499CA"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Contribuirea la integrarea educației superioare și cercetării în CNC și EQF; exemple de corelare la QF-EHEA și evaluarea calificărilor de cercetare</w:t>
            </w:r>
          </w:p>
        </w:tc>
        <w:tc>
          <w:tcPr>
            <w:tcW w:w="3061" w:type="dxa"/>
            <w:vAlign w:val="center"/>
          </w:tcPr>
          <w:p w14:paraId="4C3CAAB5"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Validarea programelor de doctorat și cercetare avansată pentru referențiere</w:t>
            </w:r>
          </w:p>
        </w:tc>
        <w:tc>
          <w:tcPr>
            <w:tcW w:w="1560" w:type="dxa"/>
            <w:vAlign w:val="center"/>
          </w:tcPr>
          <w:p w14:paraId="4E6DB0CD"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61249A83"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Contribuție la procesul de validare a programelor de doctorat</w:t>
            </w:r>
          </w:p>
        </w:tc>
        <w:tc>
          <w:tcPr>
            <w:tcW w:w="2375" w:type="dxa"/>
            <w:vAlign w:val="center"/>
          </w:tcPr>
          <w:p w14:paraId="7C3B885E"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Planuri de formare doctorală, cercetări educaționale</w:t>
            </w:r>
          </w:p>
        </w:tc>
      </w:tr>
      <w:tr w:rsidR="00256F55" w:rsidRPr="001947A4" w14:paraId="4C958AFC" w14:textId="77777777" w:rsidTr="00B0296A">
        <w:tc>
          <w:tcPr>
            <w:tcW w:w="1991" w:type="dxa"/>
            <w:vAlign w:val="center"/>
          </w:tcPr>
          <w:p w14:paraId="6E809E45"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 xml:space="preserve">Comitetul Sectorial pentru formare </w:t>
            </w:r>
            <w:r w:rsidRPr="001947A4">
              <w:rPr>
                <w:rFonts w:ascii="Times New Roman" w:hAnsi="Times New Roman" w:cs="Times New Roman"/>
                <w:sz w:val="20"/>
                <w:szCs w:val="20"/>
              </w:rPr>
              <w:lastRenderedPageBreak/>
              <w:t>profesională în comerț, hoteluri și restaurante</w:t>
            </w:r>
          </w:p>
        </w:tc>
        <w:tc>
          <w:tcPr>
            <w:tcW w:w="1964" w:type="dxa"/>
            <w:vAlign w:val="center"/>
          </w:tcPr>
          <w:p w14:paraId="5744A3B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Coordonator sectorial pentru calificările din comerț și turism</w:t>
            </w:r>
          </w:p>
        </w:tc>
        <w:tc>
          <w:tcPr>
            <w:tcW w:w="2051" w:type="dxa"/>
            <w:vAlign w:val="center"/>
          </w:tcPr>
          <w:p w14:paraId="7F499DF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Definirea standardelor de formare pentru </w:t>
            </w:r>
            <w:r w:rsidRPr="001947A4">
              <w:rPr>
                <w:rFonts w:ascii="Times New Roman" w:hAnsi="Times New Roman" w:cs="Times New Roman"/>
                <w:sz w:val="20"/>
                <w:szCs w:val="20"/>
              </w:rPr>
              <w:lastRenderedPageBreak/>
              <w:t>sectoarele comerțului și turismului</w:t>
            </w:r>
          </w:p>
        </w:tc>
        <w:tc>
          <w:tcPr>
            <w:tcW w:w="3061" w:type="dxa"/>
            <w:vAlign w:val="center"/>
          </w:tcPr>
          <w:p w14:paraId="463ECC13"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lastRenderedPageBreak/>
              <w:t>Feedback despre relevanța învățării față de cerințele reale ale pieței muncii</w:t>
            </w:r>
          </w:p>
        </w:tc>
        <w:tc>
          <w:tcPr>
            <w:tcW w:w="1560" w:type="dxa"/>
            <w:vAlign w:val="center"/>
          </w:tcPr>
          <w:p w14:paraId="7227D4BC"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consultativ</w:t>
            </w:r>
          </w:p>
        </w:tc>
        <w:tc>
          <w:tcPr>
            <w:tcW w:w="2019" w:type="dxa"/>
            <w:vAlign w:val="center"/>
          </w:tcPr>
          <w:p w14:paraId="7D191659"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Consultanță pe formarea profesională sectorială</w:t>
            </w:r>
          </w:p>
        </w:tc>
        <w:tc>
          <w:tcPr>
            <w:tcW w:w="2375" w:type="dxa"/>
            <w:vAlign w:val="center"/>
          </w:tcPr>
          <w:p w14:paraId="00F1855A"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Rapoarte de formare profesională, standarde ocupaționale</w:t>
            </w:r>
          </w:p>
        </w:tc>
      </w:tr>
      <w:tr w:rsidR="00256F55" w:rsidRPr="001947A4" w14:paraId="40F98A68" w14:textId="77777777" w:rsidTr="00B0296A">
        <w:tc>
          <w:tcPr>
            <w:tcW w:w="1991" w:type="dxa"/>
            <w:vAlign w:val="center"/>
          </w:tcPr>
          <w:p w14:paraId="2001D5B8"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lastRenderedPageBreak/>
              <w:t>Camera de Comerț și Industrie a Republicii Moldova</w:t>
            </w:r>
          </w:p>
        </w:tc>
        <w:tc>
          <w:tcPr>
            <w:tcW w:w="1964" w:type="dxa"/>
            <w:vAlign w:val="center"/>
          </w:tcPr>
          <w:p w14:paraId="0170AF91"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Coordonator sectorial pentru calificările din comerț și industrie</w:t>
            </w:r>
          </w:p>
        </w:tc>
        <w:tc>
          <w:tcPr>
            <w:tcW w:w="2051" w:type="dxa"/>
            <w:vAlign w:val="center"/>
          </w:tcPr>
          <w:p w14:paraId="5B0BF83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Definirea standardelor de formare profesională prin sistem dual</w:t>
            </w:r>
          </w:p>
        </w:tc>
        <w:tc>
          <w:tcPr>
            <w:tcW w:w="3061" w:type="dxa"/>
            <w:vAlign w:val="center"/>
          </w:tcPr>
          <w:p w14:paraId="753EF63A"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Feedback despre relevanța învățării față de cerințele reale ale pieței muncii</w:t>
            </w:r>
          </w:p>
        </w:tc>
        <w:tc>
          <w:tcPr>
            <w:tcW w:w="1560" w:type="dxa"/>
            <w:vAlign w:val="center"/>
          </w:tcPr>
          <w:p w14:paraId="0B7911F9"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consultativ</w:t>
            </w:r>
          </w:p>
        </w:tc>
        <w:tc>
          <w:tcPr>
            <w:tcW w:w="2019" w:type="dxa"/>
            <w:vAlign w:val="center"/>
          </w:tcPr>
          <w:p w14:paraId="3EB33D85"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Consultanță pe formarea profesională duală</w:t>
            </w:r>
          </w:p>
        </w:tc>
        <w:tc>
          <w:tcPr>
            <w:tcW w:w="2375" w:type="dxa"/>
            <w:vAlign w:val="center"/>
          </w:tcPr>
          <w:p w14:paraId="672CE928"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Rapoarte de formare profesională prin sistem dual</w:t>
            </w:r>
          </w:p>
        </w:tc>
      </w:tr>
      <w:tr w:rsidR="00256F55" w:rsidRPr="001947A4" w14:paraId="7B1AEEC8" w14:textId="77777777" w:rsidTr="00B0296A">
        <w:tc>
          <w:tcPr>
            <w:tcW w:w="1991" w:type="dxa"/>
            <w:vAlign w:val="center"/>
          </w:tcPr>
          <w:p w14:paraId="403FA0AE"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Centrul de Excelență în Informatică și Tehnologii Informaționale</w:t>
            </w:r>
          </w:p>
        </w:tc>
        <w:tc>
          <w:tcPr>
            <w:tcW w:w="1964" w:type="dxa"/>
            <w:vAlign w:val="center"/>
          </w:tcPr>
          <w:p w14:paraId="64041870"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 xml:space="preserve">Furnizor de formare profesională în domeniul IT </w:t>
            </w:r>
          </w:p>
        </w:tc>
        <w:tc>
          <w:tcPr>
            <w:tcW w:w="2051" w:type="dxa"/>
            <w:vAlign w:val="center"/>
          </w:tcPr>
          <w:p w14:paraId="0C2A69BE"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Exemple de calificări din ÎPT, contribuții la digitalizare și formare profesională duală</w:t>
            </w:r>
          </w:p>
        </w:tc>
        <w:tc>
          <w:tcPr>
            <w:tcW w:w="3061" w:type="dxa"/>
            <w:vAlign w:val="center"/>
          </w:tcPr>
          <w:p w14:paraId="52274476"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Furnizarea de date și exemple de formare în IT, recomandări de modificare a programelor</w:t>
            </w:r>
          </w:p>
        </w:tc>
        <w:tc>
          <w:tcPr>
            <w:tcW w:w="1560" w:type="dxa"/>
            <w:vAlign w:val="center"/>
          </w:tcPr>
          <w:p w14:paraId="477A43AD"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Membru activ</w:t>
            </w:r>
          </w:p>
        </w:tc>
        <w:tc>
          <w:tcPr>
            <w:tcW w:w="2019" w:type="dxa"/>
            <w:vAlign w:val="center"/>
          </w:tcPr>
          <w:p w14:paraId="38831166"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Consultanță tehnică, furnizare date tehnice</w:t>
            </w:r>
          </w:p>
        </w:tc>
        <w:tc>
          <w:tcPr>
            <w:tcW w:w="2375" w:type="dxa"/>
            <w:vAlign w:val="center"/>
          </w:tcPr>
          <w:p w14:paraId="72E5F5FD"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Exemple de programe de formare continuă, validare a învățării non-formale</w:t>
            </w:r>
          </w:p>
        </w:tc>
      </w:tr>
      <w:tr w:rsidR="00256F55" w:rsidRPr="001947A4" w14:paraId="63C9AFDD" w14:textId="77777777" w:rsidTr="00B0296A">
        <w:tc>
          <w:tcPr>
            <w:tcW w:w="1991" w:type="dxa"/>
            <w:vAlign w:val="center"/>
          </w:tcPr>
          <w:p w14:paraId="534762DF" w14:textId="77777777" w:rsidR="005A1FF9" w:rsidRPr="001947A4" w:rsidRDefault="005A1FF9" w:rsidP="00A41843">
            <w:pPr>
              <w:pStyle w:val="a7"/>
              <w:numPr>
                <w:ilvl w:val="1"/>
                <w:numId w:val="169"/>
              </w:numPr>
              <w:ind w:left="308" w:hanging="308"/>
              <w:rPr>
                <w:rFonts w:ascii="Times New Roman" w:hAnsi="Times New Roman" w:cs="Times New Roman"/>
                <w:sz w:val="20"/>
                <w:szCs w:val="20"/>
              </w:rPr>
            </w:pPr>
            <w:r w:rsidRPr="001947A4">
              <w:rPr>
                <w:rFonts w:ascii="Times New Roman" w:hAnsi="Times New Roman" w:cs="Times New Roman"/>
                <w:sz w:val="20"/>
                <w:szCs w:val="20"/>
              </w:rPr>
              <w:t>Expert în educație și CNC</w:t>
            </w:r>
          </w:p>
        </w:tc>
        <w:tc>
          <w:tcPr>
            <w:tcW w:w="1964" w:type="dxa"/>
            <w:vAlign w:val="center"/>
          </w:tcPr>
          <w:p w14:paraId="74A8D45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Consultant în CNC și educație și formare națională</w:t>
            </w:r>
          </w:p>
        </w:tc>
        <w:tc>
          <w:tcPr>
            <w:tcW w:w="2051" w:type="dxa"/>
            <w:vAlign w:val="center"/>
          </w:tcPr>
          <w:p w14:paraId="0BE7B4FA" w14:textId="5EE523F0"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Elaborare tabele de corelare, structurarea raportului, corelarea descriptorilor</w:t>
            </w:r>
            <w:r w:rsidR="00256F55" w:rsidRPr="001947A4">
              <w:rPr>
                <w:rFonts w:ascii="Times New Roman" w:hAnsi="Times New Roman" w:cs="Times New Roman"/>
                <w:sz w:val="20"/>
                <w:szCs w:val="20"/>
              </w:rPr>
              <w:t>CNC-</w:t>
            </w:r>
            <w:r w:rsidRPr="001947A4">
              <w:rPr>
                <w:rFonts w:ascii="Times New Roman" w:hAnsi="Times New Roman" w:cs="Times New Roman"/>
                <w:sz w:val="20"/>
                <w:szCs w:val="20"/>
              </w:rPr>
              <w:t xml:space="preserve"> EQF / QF-EHEA</w:t>
            </w:r>
          </w:p>
        </w:tc>
        <w:tc>
          <w:tcPr>
            <w:tcW w:w="3061" w:type="dxa"/>
            <w:vAlign w:val="center"/>
          </w:tcPr>
          <w:p w14:paraId="53168F7E"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Participarea la analiza corespondentelor între sistemele educaționale; analiza descriptorilor EQF și QF-EHEA; participarea la redactarea raportului</w:t>
            </w:r>
          </w:p>
        </w:tc>
        <w:tc>
          <w:tcPr>
            <w:tcW w:w="1560" w:type="dxa"/>
            <w:vAlign w:val="center"/>
          </w:tcPr>
          <w:p w14:paraId="238BC937" w14:textId="77777777" w:rsidR="005A1FF9" w:rsidRPr="001947A4" w:rsidRDefault="005A1FF9" w:rsidP="001947A4">
            <w:pPr>
              <w:jc w:val="center"/>
              <w:rPr>
                <w:rFonts w:ascii="Times New Roman" w:hAnsi="Times New Roman" w:cs="Times New Roman"/>
                <w:sz w:val="20"/>
                <w:szCs w:val="20"/>
              </w:rPr>
            </w:pPr>
            <w:r w:rsidRPr="001947A4">
              <w:rPr>
                <w:rFonts w:ascii="Times New Roman" w:hAnsi="Times New Roman" w:cs="Times New Roman"/>
                <w:sz w:val="20"/>
                <w:szCs w:val="20"/>
              </w:rPr>
              <w:t>Expert extern</w:t>
            </w:r>
          </w:p>
        </w:tc>
        <w:tc>
          <w:tcPr>
            <w:tcW w:w="2019" w:type="dxa"/>
            <w:vAlign w:val="center"/>
          </w:tcPr>
          <w:p w14:paraId="44B300CC"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Consultanță tehnică, analiză specifică</w:t>
            </w:r>
          </w:p>
        </w:tc>
        <w:tc>
          <w:tcPr>
            <w:tcW w:w="2375" w:type="dxa"/>
            <w:vAlign w:val="center"/>
          </w:tcPr>
          <w:p w14:paraId="028C84A7" w14:textId="77777777" w:rsidR="005A1FF9" w:rsidRPr="001947A4" w:rsidRDefault="005A1FF9" w:rsidP="001947A4">
            <w:pPr>
              <w:rPr>
                <w:rFonts w:ascii="Times New Roman" w:hAnsi="Times New Roman" w:cs="Times New Roman"/>
                <w:sz w:val="20"/>
                <w:szCs w:val="20"/>
              </w:rPr>
            </w:pPr>
            <w:r w:rsidRPr="001947A4">
              <w:rPr>
                <w:rFonts w:ascii="Times New Roman" w:hAnsi="Times New Roman" w:cs="Times New Roman"/>
                <w:sz w:val="20"/>
                <w:szCs w:val="20"/>
              </w:rPr>
              <w:t>Rapoarte tehnice, propuneri de modificări/ recomandări de aliniere</w:t>
            </w:r>
          </w:p>
        </w:tc>
      </w:tr>
    </w:tbl>
    <w:p w14:paraId="534BB56B" w14:textId="0C62FA68" w:rsidR="003540E9" w:rsidRPr="003540E9" w:rsidRDefault="003540E9" w:rsidP="003540E9">
      <w:pPr>
        <w:spacing w:before="120" w:after="120" w:line="276" w:lineRule="auto"/>
        <w:jc w:val="center"/>
        <w:rPr>
          <w:rFonts w:ascii="Times New Roman" w:eastAsia="Times New Roman" w:hAnsi="Times New Roman" w:cs="Times New Roman"/>
          <w:b/>
          <w:bCs/>
          <w:kern w:val="0"/>
          <w:sz w:val="24"/>
          <w:szCs w:val="24"/>
          <w:lang w:eastAsia="ro-MD"/>
          <w14:ligatures w14:val="none"/>
        </w:rPr>
      </w:pPr>
      <w:r w:rsidRPr="003540E9">
        <w:rPr>
          <w:rFonts w:ascii="Times New Roman" w:eastAsia="Times New Roman" w:hAnsi="Times New Roman" w:cs="Times New Roman"/>
          <w:b/>
          <w:bCs/>
          <w:kern w:val="0"/>
          <w:sz w:val="24"/>
          <w:szCs w:val="24"/>
          <w:lang w:eastAsia="ro-MD"/>
          <w14:ligatures w14:val="none"/>
        </w:rPr>
        <w:t>Tabelul privind instituțiile și organismele naționale implicate în dezvoltarea, administrarea și procesul de referențiere al CNC – roluri și responsabilități conform cadrului normativ.</w:t>
      </w:r>
    </w:p>
    <w:tbl>
      <w:tblPr>
        <w:tblStyle w:val="aff"/>
        <w:tblW w:w="14576" w:type="dxa"/>
        <w:tblLayout w:type="fixed"/>
        <w:tblLook w:val="04A0" w:firstRow="1" w:lastRow="0" w:firstColumn="1" w:lastColumn="0" w:noHBand="0" w:noVBand="1"/>
      </w:tblPr>
      <w:tblGrid>
        <w:gridCol w:w="2689"/>
        <w:gridCol w:w="11887"/>
      </w:tblGrid>
      <w:tr w:rsidR="006D4127" w:rsidRPr="00D60CC8" w14:paraId="3CBA0276" w14:textId="77777777" w:rsidTr="00893956">
        <w:tc>
          <w:tcPr>
            <w:tcW w:w="2689" w:type="dxa"/>
            <w:shd w:val="clear" w:color="auto" w:fill="A9D5E7" w:themeFill="accent1" w:themeFillTint="66"/>
            <w:vAlign w:val="center"/>
          </w:tcPr>
          <w:p w14:paraId="4FBBFEB2" w14:textId="77777777" w:rsidR="006D4127" w:rsidRPr="00BA740F" w:rsidRDefault="006D4127" w:rsidP="00825B55">
            <w:pPr>
              <w:tabs>
                <w:tab w:val="right" w:pos="1906"/>
              </w:tabs>
              <w:jc w:val="center"/>
              <w:rPr>
                <w:rFonts w:ascii="Times New Roman" w:eastAsia="Times New Roman" w:hAnsi="Times New Roman" w:cs="Times New Roman"/>
                <w:b/>
                <w:bCs/>
                <w:kern w:val="0"/>
                <w:lang w:eastAsia="ro-MD"/>
                <w14:ligatures w14:val="none"/>
              </w:rPr>
            </w:pPr>
            <w:r w:rsidRPr="00BA740F">
              <w:rPr>
                <w:rFonts w:ascii="Times New Roman" w:hAnsi="Times New Roman" w:cs="Times New Roman"/>
                <w:b/>
                <w:bCs/>
              </w:rPr>
              <w:t>Organisme naționale implicate în procesul de corelare</w:t>
            </w:r>
          </w:p>
        </w:tc>
        <w:tc>
          <w:tcPr>
            <w:tcW w:w="11887" w:type="dxa"/>
            <w:shd w:val="clear" w:color="auto" w:fill="A9D5E7" w:themeFill="accent1" w:themeFillTint="66"/>
            <w:vAlign w:val="center"/>
          </w:tcPr>
          <w:p w14:paraId="7A26C755" w14:textId="77777777" w:rsidR="006D4127" w:rsidRPr="00BA740F" w:rsidRDefault="006D4127" w:rsidP="00825B55">
            <w:pPr>
              <w:jc w:val="center"/>
              <w:rPr>
                <w:rFonts w:ascii="Times New Roman" w:hAnsi="Times New Roman" w:cs="Times New Roman"/>
                <w:b/>
                <w:bCs/>
              </w:rPr>
            </w:pPr>
            <w:r w:rsidRPr="00BA740F">
              <w:rPr>
                <w:rFonts w:ascii="Times New Roman" w:eastAsia="Times New Roman" w:hAnsi="Times New Roman" w:cs="Times New Roman"/>
                <w:b/>
                <w:bCs/>
                <w:kern w:val="0"/>
                <w:lang w:eastAsia="ro-MD"/>
                <w14:ligatures w14:val="none"/>
              </w:rPr>
              <w:t>Rolurile în procesul de referențiere</w:t>
            </w:r>
            <w:r w:rsidRPr="00BA740F">
              <w:rPr>
                <w:rFonts w:ascii="Times New Roman" w:hAnsi="Times New Roman" w:cs="Times New Roman"/>
                <w:b/>
                <w:bCs/>
              </w:rPr>
              <w:t xml:space="preserve"> conform Cadrului normativ </w:t>
            </w:r>
          </w:p>
        </w:tc>
      </w:tr>
      <w:tr w:rsidR="006D4127" w:rsidRPr="00D60CC8" w14:paraId="7DE6608F" w14:textId="77777777" w:rsidTr="00893956">
        <w:tc>
          <w:tcPr>
            <w:tcW w:w="14576" w:type="dxa"/>
            <w:gridSpan w:val="2"/>
            <w:shd w:val="clear" w:color="auto" w:fill="D4EAF3" w:themeFill="accent1" w:themeFillTint="33"/>
          </w:tcPr>
          <w:p w14:paraId="46FD4900" w14:textId="12AA5AB9" w:rsidR="006D4127" w:rsidRPr="00BA740F" w:rsidRDefault="006D4127" w:rsidP="00825B55">
            <w:pPr>
              <w:jc w:val="both"/>
              <w:rPr>
                <w:rFonts w:ascii="Times New Roman" w:hAnsi="Times New Roman" w:cs="Times New Roman"/>
                <w:b/>
                <w:bCs/>
                <w:color w:val="333333"/>
                <w:shd w:val="clear" w:color="auto" w:fill="FFFFFF"/>
              </w:rPr>
            </w:pPr>
            <w:r w:rsidRPr="00BA740F">
              <w:rPr>
                <w:rFonts w:ascii="Times New Roman" w:eastAsia="Times New Roman" w:hAnsi="Times New Roman" w:cs="Times New Roman"/>
                <w:b/>
                <w:bCs/>
                <w:kern w:val="0"/>
                <w:lang w:eastAsia="ro-MD"/>
                <w14:ligatures w14:val="none"/>
              </w:rPr>
              <w:t>Codul educației nr. 152/2014</w:t>
            </w:r>
          </w:p>
        </w:tc>
      </w:tr>
      <w:tr w:rsidR="006D4127" w:rsidRPr="00D60CC8" w14:paraId="2AE5F91A" w14:textId="77777777" w:rsidTr="00893956">
        <w:tc>
          <w:tcPr>
            <w:tcW w:w="2689" w:type="dxa"/>
          </w:tcPr>
          <w:p w14:paraId="0A134CCE" w14:textId="77777777" w:rsidR="006D4127" w:rsidRPr="006F11EE" w:rsidRDefault="006D4127" w:rsidP="00825B55">
            <w:pPr>
              <w:jc w:val="both"/>
              <w:rPr>
                <w:rFonts w:ascii="Times New Roman" w:eastAsia="Times New Roman" w:hAnsi="Times New Roman" w:cs="Times New Roman"/>
                <w:kern w:val="0"/>
                <w:lang w:eastAsia="ro-MD"/>
                <w14:ligatures w14:val="none"/>
              </w:rPr>
            </w:pPr>
            <w:r w:rsidRPr="006F11EE">
              <w:rPr>
                <w:rFonts w:ascii="Times New Roman" w:eastAsia="Times New Roman" w:hAnsi="Times New Roman" w:cs="Times New Roman"/>
                <w:kern w:val="0"/>
                <w:lang w:eastAsia="ro-MD"/>
                <w14:ligatures w14:val="none"/>
              </w:rPr>
              <w:t xml:space="preserve">Ministerul Educației și Cercetării </w:t>
            </w:r>
          </w:p>
        </w:tc>
        <w:tc>
          <w:tcPr>
            <w:tcW w:w="11887" w:type="dxa"/>
          </w:tcPr>
          <w:p w14:paraId="2639CE41" w14:textId="6746C676" w:rsidR="005035C2" w:rsidRPr="005035C2" w:rsidRDefault="005035C2" w:rsidP="005035C2">
            <w:pPr>
              <w:jc w:val="both"/>
              <w:rPr>
                <w:rFonts w:ascii="Times New Roman" w:hAnsi="Times New Roman" w:cs="Times New Roman"/>
                <w:color w:val="333333"/>
                <w:shd w:val="clear" w:color="auto" w:fill="FFFFFF"/>
              </w:rPr>
            </w:pPr>
            <w:r w:rsidRPr="00BA740F">
              <w:rPr>
                <w:rFonts w:ascii="Times New Roman" w:eastAsia="Times New Roman" w:hAnsi="Times New Roman" w:cs="Times New Roman"/>
                <w:b/>
                <w:bCs/>
                <w:kern w:val="0"/>
                <w:lang w:eastAsia="ro-MD"/>
                <w14:ligatures w14:val="none"/>
              </w:rPr>
              <w:t>Codul educației nr. 152/2014,</w:t>
            </w:r>
            <w:r w:rsidRPr="00BA740F">
              <w:rPr>
                <w:rFonts w:ascii="Times New Roman" w:hAnsi="Times New Roman" w:cs="Times New Roman"/>
                <w:b/>
                <w:bCs/>
              </w:rPr>
              <w:t xml:space="preserve"> </w:t>
            </w:r>
            <w:r w:rsidR="00ED24CE">
              <w:rPr>
                <w:rFonts w:ascii="Times New Roman" w:eastAsia="Times New Roman" w:hAnsi="Times New Roman" w:cs="Times New Roman"/>
                <w:b/>
                <w:bCs/>
                <w:kern w:val="0"/>
                <w:lang w:eastAsia="ro-MD"/>
                <w14:ligatures w14:val="none"/>
              </w:rPr>
              <w:t>A</w:t>
            </w:r>
            <w:r w:rsidRPr="00BA740F">
              <w:rPr>
                <w:rFonts w:ascii="Times New Roman" w:eastAsia="Times New Roman" w:hAnsi="Times New Roman" w:cs="Times New Roman"/>
                <w:b/>
                <w:bCs/>
                <w:kern w:val="0"/>
                <w:lang w:eastAsia="ro-MD"/>
                <w14:ligatures w14:val="none"/>
              </w:rPr>
              <w:t>rt. 11</w:t>
            </w:r>
            <w:r w:rsidRPr="00BA740F">
              <w:rPr>
                <w:rFonts w:ascii="Times New Roman" w:eastAsia="Times New Roman" w:hAnsi="Times New Roman" w:cs="Times New Roman"/>
                <w:b/>
                <w:bCs/>
                <w:kern w:val="0"/>
                <w:vertAlign w:val="superscript"/>
                <w:lang w:eastAsia="ro-MD"/>
                <w14:ligatures w14:val="none"/>
              </w:rPr>
              <w:t>1</w:t>
            </w:r>
          </w:p>
          <w:p w14:paraId="2176423F" w14:textId="1530A7CD" w:rsidR="006D4127" w:rsidRPr="00BA740F" w:rsidRDefault="004B3A09"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 xml:space="preserve">elaborează și aprobă procedurile privind evaluarea, recunoașterea, validarea și certificarea calificărilor acordate în sistemul educațional național sau în străinătate; </w:t>
            </w:r>
          </w:p>
          <w:p w14:paraId="50D82255" w14:textId="1EE3EEDB" w:rsidR="006D4127" w:rsidRPr="00BA740F" w:rsidRDefault="004B3A09"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elaborează raportul de referire a CNC la EQF sau la alte cadre de calificări regionale și internaționale;</w:t>
            </w:r>
          </w:p>
          <w:p w14:paraId="0EAA009B" w14:textId="7DAE0E87" w:rsidR="006D4127" w:rsidRPr="00BA740F" w:rsidRDefault="004B3A09" w:rsidP="00A41843">
            <w:pPr>
              <w:numPr>
                <w:ilvl w:val="0"/>
                <w:numId w:val="163"/>
              </w:numPr>
              <w:ind w:left="321" w:hanging="284"/>
              <w:jc w:val="both"/>
              <w:rPr>
                <w:rFonts w:ascii="Times New Roman" w:eastAsia="Times New Roman" w:hAnsi="Times New Roman" w:cs="Times New Roman"/>
                <w:kern w:val="0"/>
                <w:lang w:eastAsia="ro-MD"/>
                <w14:ligatures w14:val="none"/>
              </w:rPr>
            </w:pPr>
            <w:r w:rsidRPr="00BA740F">
              <w:rPr>
                <w:rFonts w:ascii="Times New Roman" w:hAnsi="Times New Roman" w:cs="Times New Roman"/>
                <w:color w:val="333333"/>
                <w:shd w:val="clear" w:color="auto" w:fill="FFFFFF"/>
              </w:rPr>
              <w:t xml:space="preserve">elaborează </w:t>
            </w:r>
            <w:r w:rsidR="006D4127" w:rsidRPr="00BA740F">
              <w:rPr>
                <w:rFonts w:ascii="Times New Roman" w:hAnsi="Times New Roman" w:cs="Times New Roman"/>
                <w:color w:val="333333"/>
                <w:shd w:val="clear" w:color="auto" w:fill="FFFFFF"/>
              </w:rPr>
              <w:t>și aprobă procedurile de înscriere a calificărilor în RNC</w:t>
            </w:r>
          </w:p>
        </w:tc>
      </w:tr>
      <w:tr w:rsidR="006F11EE" w:rsidRPr="00D60CC8" w14:paraId="5939B886" w14:textId="77777777" w:rsidTr="00893956">
        <w:tc>
          <w:tcPr>
            <w:tcW w:w="2689" w:type="dxa"/>
          </w:tcPr>
          <w:p w14:paraId="04A2C816" w14:textId="4DBFA08A" w:rsidR="006F11EE" w:rsidRPr="006F11EE" w:rsidRDefault="006F11EE" w:rsidP="00825B55">
            <w:pPr>
              <w:jc w:val="both"/>
              <w:rPr>
                <w:rFonts w:ascii="Times New Roman" w:eastAsia="Times New Roman" w:hAnsi="Times New Roman" w:cs="Times New Roman"/>
                <w:kern w:val="0"/>
                <w:lang w:eastAsia="ro-MD"/>
                <w14:ligatures w14:val="none"/>
              </w:rPr>
            </w:pPr>
            <w:r w:rsidRPr="006F11EE">
              <w:rPr>
                <w:rFonts w:ascii="Times New Roman" w:hAnsi="Times New Roman" w:cs="Times New Roman"/>
                <w:shd w:val="clear" w:color="auto" w:fill="FFFFFF"/>
              </w:rPr>
              <w:t>Agenția Națională pentru Asigurarea Calității în Educație și Cercetare</w:t>
            </w:r>
          </w:p>
        </w:tc>
        <w:tc>
          <w:tcPr>
            <w:tcW w:w="11887" w:type="dxa"/>
          </w:tcPr>
          <w:p w14:paraId="1A690607" w14:textId="0A129CA7" w:rsidR="005035C2" w:rsidRPr="00ED24CE" w:rsidRDefault="005035C2" w:rsidP="00ED24CE">
            <w:pPr>
              <w:jc w:val="both"/>
              <w:rPr>
                <w:rFonts w:ascii="Times New Roman" w:hAnsi="Times New Roman" w:cs="Times New Roman"/>
                <w:b/>
                <w:bCs/>
                <w:color w:val="333333"/>
                <w:shd w:val="clear" w:color="auto" w:fill="FFFFFF"/>
              </w:rPr>
            </w:pPr>
            <w:r w:rsidRPr="00ED24CE">
              <w:rPr>
                <w:rFonts w:ascii="Times New Roman" w:hAnsi="Times New Roman" w:cs="Times New Roman"/>
                <w:b/>
                <w:bCs/>
                <w:color w:val="333333"/>
                <w:shd w:val="clear" w:color="auto" w:fill="FFFFFF"/>
              </w:rPr>
              <w:t xml:space="preserve">Codul educației nr. 152/2014, </w:t>
            </w:r>
            <w:r w:rsidR="00ED24CE" w:rsidRPr="00ED24CE">
              <w:rPr>
                <w:rFonts w:ascii="Times New Roman" w:hAnsi="Times New Roman" w:cs="Times New Roman"/>
                <w:b/>
                <w:bCs/>
                <w:color w:val="333333"/>
                <w:shd w:val="clear" w:color="auto" w:fill="FFFFFF"/>
              </w:rPr>
              <w:t>Art. 115</w:t>
            </w:r>
          </w:p>
          <w:p w14:paraId="7A9D0A46" w14:textId="7A26F814"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realizează politicile statului în domeniul calităţii învățământului profesional tehnic, superior şi al calităţii în formarea continuă;</w:t>
            </w:r>
          </w:p>
          <w:p w14:paraId="75A01909" w14:textId="30234824"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elaborează, în conformitate cu standardele europene în domeniu, şi face publică propria metodologie de evaluare şi acreditare a instituţiilor ofertante de programe de formare profesională şi a programelor acestora pe care o propune spre aprobare Guvernului;</w:t>
            </w:r>
          </w:p>
          <w:p w14:paraId="19ED66FB" w14:textId="3178FC97"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formulează şi revizuieşte periodic, în baza bunelor practici europene şi internaţionale, standardele de acreditare, standardele naţionale de referinţă şi indicatorii de performanţă utilizați la evaluarea şi asigurarea calităţii în învățământ;</w:t>
            </w:r>
          </w:p>
          <w:p w14:paraId="439476A3" w14:textId="3570F9E6"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lastRenderedPageBreak/>
              <w:t>evaluează, pe bază contractuală, instituţiile ofertante de programe de formare profesională, precum şi programele acestora, în vederea autorizării de funcţionare provizorie, acreditării şi reacreditării în învățământul profesional tehnic, în învățământul superior şi în formarea continuă;</w:t>
            </w:r>
          </w:p>
          <w:p w14:paraId="319821AF" w14:textId="42A4FE7D"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 xml:space="preserve">efectuează, în bază contractuală, la solicitarea </w:t>
            </w:r>
            <w:r w:rsidR="00C42DAF">
              <w:rPr>
                <w:rFonts w:ascii="Times New Roman" w:hAnsi="Times New Roman" w:cs="Times New Roman"/>
                <w:color w:val="333333"/>
                <w:shd w:val="clear" w:color="auto" w:fill="FFFFFF"/>
              </w:rPr>
              <w:t>MEC</w:t>
            </w:r>
            <w:r w:rsidRPr="00ED24CE">
              <w:rPr>
                <w:rFonts w:ascii="Times New Roman" w:hAnsi="Times New Roman" w:cs="Times New Roman"/>
                <w:color w:val="333333"/>
                <w:shd w:val="clear" w:color="auto" w:fill="FFFFFF"/>
              </w:rPr>
              <w:t xml:space="preserve">, evaluarea calităţii unor programe şi instituţii ofertante de programe de formare profesională în </w:t>
            </w:r>
            <w:r w:rsidR="0099068D">
              <w:rPr>
                <w:rFonts w:ascii="Times New Roman" w:hAnsi="Times New Roman" w:cs="Times New Roman"/>
                <w:color w:val="333333"/>
                <w:shd w:val="clear" w:color="auto" w:fill="FFFFFF"/>
              </w:rPr>
              <w:t>ÎPT</w:t>
            </w:r>
            <w:r w:rsidRPr="00ED24CE">
              <w:rPr>
                <w:rFonts w:ascii="Times New Roman" w:hAnsi="Times New Roman" w:cs="Times New Roman"/>
                <w:color w:val="333333"/>
                <w:shd w:val="clear" w:color="auto" w:fill="FFFFFF"/>
              </w:rPr>
              <w:t xml:space="preserve">, </w:t>
            </w:r>
            <w:r w:rsidR="0099068D">
              <w:rPr>
                <w:rFonts w:ascii="Times New Roman" w:hAnsi="Times New Roman" w:cs="Times New Roman"/>
                <w:color w:val="333333"/>
                <w:shd w:val="clear" w:color="auto" w:fill="FFFFFF"/>
              </w:rPr>
              <w:t>ÎS</w:t>
            </w:r>
            <w:r w:rsidRPr="00ED24CE">
              <w:rPr>
                <w:rFonts w:ascii="Times New Roman" w:hAnsi="Times New Roman" w:cs="Times New Roman"/>
                <w:color w:val="333333"/>
                <w:shd w:val="clear" w:color="auto" w:fill="FFFFFF"/>
              </w:rPr>
              <w:t xml:space="preserve"> şi în formarea continuă;</w:t>
            </w:r>
          </w:p>
          <w:p w14:paraId="4938CBC0" w14:textId="103A8A12"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asigură obiectivitatea şi validitatea rezultatelor obţinute în procesul evaluării externe a instituţiilor ofertante de programe şi a programelor acestora;</w:t>
            </w:r>
          </w:p>
          <w:p w14:paraId="22ED5586" w14:textId="415DDFBA"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asigură transparenţa în procesul de evaluare externă, inclusiv prin publicarea rezultatelor evaluării;</w:t>
            </w:r>
          </w:p>
          <w:p w14:paraId="676A3FA9" w14:textId="5D3B54F0"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publică manuale, ghiduri metodice, lucrări de sinteză a bunelor practici de evaluare şi de asigurare internă şi externă a calităţii;</w:t>
            </w:r>
          </w:p>
          <w:p w14:paraId="72192403" w14:textId="2297C4D0"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elaborează Codul de etică profesională a experţilor antrenaţi în evaluare;</w:t>
            </w:r>
          </w:p>
          <w:p w14:paraId="49877D54" w14:textId="416438E2"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prezintă Guvernului raportul anual de activitate şi îl publică pe pagina sa web oficială;</w:t>
            </w:r>
          </w:p>
          <w:p w14:paraId="6DDFCB44" w14:textId="41EF488A"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elaborează periodic rapoarte de autoevaluare a calităţii propriei activităţi în vederea pregătirii evaluării externe de către agenţii similare din alte ţări;</w:t>
            </w:r>
          </w:p>
          <w:p w14:paraId="3D85E20B" w14:textId="07511B85" w:rsidR="00D46F47"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colaborează cu agenţii similare din alte ţări pentru dezvoltarea şi aplicarea de măsuri eficiente de îmbunătăţire a calităţii programelor de formare profesională;</w:t>
            </w:r>
          </w:p>
          <w:p w14:paraId="73E2A751" w14:textId="379771EC" w:rsidR="006F11EE" w:rsidRPr="00ED24CE" w:rsidRDefault="00D46F47" w:rsidP="00A41843">
            <w:pPr>
              <w:numPr>
                <w:ilvl w:val="0"/>
                <w:numId w:val="163"/>
              </w:numPr>
              <w:ind w:left="321" w:hanging="284"/>
              <w:jc w:val="both"/>
              <w:rPr>
                <w:rFonts w:ascii="Times New Roman" w:hAnsi="Times New Roman" w:cs="Times New Roman"/>
                <w:color w:val="333333"/>
                <w:shd w:val="clear" w:color="auto" w:fill="FFFFFF"/>
              </w:rPr>
            </w:pPr>
            <w:r w:rsidRPr="00ED24CE">
              <w:rPr>
                <w:rFonts w:ascii="Times New Roman" w:hAnsi="Times New Roman" w:cs="Times New Roman"/>
                <w:color w:val="333333"/>
                <w:shd w:val="clear" w:color="auto" w:fill="FFFFFF"/>
              </w:rPr>
              <w:t>face demersurile necesare ca, în cel mult 3 ani de la înfiinţare, să fie înscrisă în Registrul European pentru Asigurarea Calităţii în Învățământul Superior.</w:t>
            </w:r>
          </w:p>
        </w:tc>
      </w:tr>
      <w:tr w:rsidR="006D4127" w:rsidRPr="00D60CC8" w14:paraId="26691A2F" w14:textId="77777777" w:rsidTr="00893956">
        <w:tc>
          <w:tcPr>
            <w:tcW w:w="14576" w:type="dxa"/>
            <w:gridSpan w:val="2"/>
            <w:shd w:val="clear" w:color="auto" w:fill="D4EAF3" w:themeFill="accent1" w:themeFillTint="33"/>
          </w:tcPr>
          <w:p w14:paraId="5392162A" w14:textId="1BCD4C3B" w:rsidR="006D4127" w:rsidRPr="00BA740F" w:rsidRDefault="00EE10E3" w:rsidP="00825B55">
            <w:pPr>
              <w:rPr>
                <w:rFonts w:ascii="Times New Roman" w:hAnsi="Times New Roman" w:cs="Times New Roman"/>
              </w:rPr>
            </w:pPr>
            <w:r w:rsidRPr="00BA740F">
              <w:rPr>
                <w:rFonts w:ascii="Times New Roman" w:hAnsi="Times New Roman" w:cs="Times New Roman"/>
                <w:b/>
                <w:bCs/>
              </w:rPr>
              <w:lastRenderedPageBreak/>
              <w:t>Hotărârea Guvernului nr. 330/2023</w:t>
            </w:r>
          </w:p>
        </w:tc>
      </w:tr>
      <w:tr w:rsidR="00893956" w:rsidRPr="00D60CC8" w14:paraId="5A6A3104" w14:textId="77777777" w:rsidTr="00893956">
        <w:tc>
          <w:tcPr>
            <w:tcW w:w="2689" w:type="dxa"/>
          </w:tcPr>
          <w:p w14:paraId="0CA416CB" w14:textId="42ADCC34" w:rsidR="00893956" w:rsidRPr="006F11EE" w:rsidRDefault="00D20957" w:rsidP="00825B55">
            <w:pPr>
              <w:jc w:val="both"/>
              <w:rPr>
                <w:rFonts w:ascii="Times New Roman" w:eastAsia="Times New Roman" w:hAnsi="Times New Roman" w:cs="Times New Roman"/>
                <w:kern w:val="0"/>
                <w:lang w:eastAsia="ro-MD"/>
                <w14:ligatures w14:val="none"/>
              </w:rPr>
            </w:pPr>
            <w:r w:rsidRPr="006F11EE">
              <w:rPr>
                <w:rFonts w:ascii="Times New Roman" w:eastAsia="Times New Roman" w:hAnsi="Times New Roman" w:cs="Times New Roman"/>
                <w:kern w:val="0"/>
                <w:lang w:eastAsia="ro-MD"/>
                <w14:ligatures w14:val="none"/>
              </w:rPr>
              <w:t>Ministerul Educației și Cercetării</w:t>
            </w:r>
          </w:p>
        </w:tc>
        <w:tc>
          <w:tcPr>
            <w:tcW w:w="11887" w:type="dxa"/>
          </w:tcPr>
          <w:p w14:paraId="0D623566" w14:textId="77777777" w:rsidR="00D1251E" w:rsidRPr="00BA740F" w:rsidRDefault="00D1251E" w:rsidP="00D1251E">
            <w:pPr>
              <w:pStyle w:val="af8"/>
              <w:shd w:val="clear" w:color="auto" w:fill="FFFFFF"/>
              <w:spacing w:before="0" w:beforeAutospacing="0" w:after="0" w:afterAutospacing="0"/>
              <w:jc w:val="both"/>
              <w:rPr>
                <w:sz w:val="22"/>
                <w:szCs w:val="22"/>
              </w:rPr>
            </w:pPr>
            <w:r w:rsidRPr="00BA740F">
              <w:rPr>
                <w:b/>
                <w:bCs/>
                <w:sz w:val="22"/>
                <w:szCs w:val="22"/>
              </w:rPr>
              <w:t>HG 330/2023, p. 4,</w:t>
            </w:r>
            <w:r w:rsidRPr="00BA740F">
              <w:rPr>
                <w:sz w:val="22"/>
                <w:szCs w:val="22"/>
              </w:rPr>
              <w:t xml:space="preserve"> MEC este desemnat: </w:t>
            </w:r>
          </w:p>
          <w:p w14:paraId="0BA73B23" w14:textId="77777777" w:rsidR="00D1251E" w:rsidRPr="00BA740F" w:rsidRDefault="00D1251E"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Punct Național de Coordonare pentru Cadrul European al Calificărilor;</w:t>
            </w:r>
          </w:p>
          <w:p w14:paraId="29946038" w14:textId="77777777" w:rsidR="00D1251E" w:rsidRPr="00BA740F" w:rsidRDefault="00D1251E"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Punct Național de Informare și Coordonare pentru Rețeaua Europeană a Centrelor de Informare – Centrelor Naționale de Informare și Recunoaștere Academică (versiunea engleză ENIC-NARIC);</w:t>
            </w:r>
          </w:p>
          <w:p w14:paraId="3C3C0828" w14:textId="77777777" w:rsidR="00D1251E" w:rsidRPr="00BA740F" w:rsidRDefault="00D1251E"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Centru Național Europass;</w:t>
            </w:r>
          </w:p>
          <w:p w14:paraId="0E0B167B" w14:textId="6611A8C4" w:rsidR="00893956" w:rsidRPr="00BA740F" w:rsidRDefault="00D1251E"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rPr>
              <w:t>Punct Național de Contact pentru Recunoașterea Calificărilor.</w:t>
            </w:r>
          </w:p>
        </w:tc>
      </w:tr>
      <w:tr w:rsidR="00D20957" w:rsidRPr="00D60CC8" w14:paraId="339DFEDF" w14:textId="77777777" w:rsidTr="00893956">
        <w:tc>
          <w:tcPr>
            <w:tcW w:w="2689" w:type="dxa"/>
          </w:tcPr>
          <w:p w14:paraId="3697F07B" w14:textId="5B838102" w:rsidR="00D20957" w:rsidRPr="006F11EE" w:rsidRDefault="00FA080D" w:rsidP="00825B55">
            <w:pPr>
              <w:jc w:val="both"/>
              <w:rPr>
                <w:rFonts w:ascii="Times New Roman" w:eastAsia="Times New Roman" w:hAnsi="Times New Roman" w:cs="Times New Roman"/>
                <w:kern w:val="0"/>
                <w:lang w:eastAsia="ro-MD"/>
                <w14:ligatures w14:val="none"/>
              </w:rPr>
            </w:pPr>
            <w:r w:rsidRPr="006F11EE">
              <w:rPr>
                <w:rFonts w:ascii="Times New Roman" w:hAnsi="Times New Roman" w:cs="Times New Roman"/>
                <w:shd w:val="clear" w:color="auto" w:fill="FFFFFF"/>
              </w:rPr>
              <w:t>Ministerul Muncii și Protecției Sociale</w:t>
            </w:r>
          </w:p>
        </w:tc>
        <w:tc>
          <w:tcPr>
            <w:tcW w:w="11887" w:type="dxa"/>
          </w:tcPr>
          <w:p w14:paraId="5B2C2134" w14:textId="78A837A5" w:rsidR="008E01E3" w:rsidRPr="00BA740F" w:rsidRDefault="008E01E3" w:rsidP="008E01E3">
            <w:pPr>
              <w:jc w:val="both"/>
              <w:rPr>
                <w:rFonts w:ascii="Times New Roman" w:hAnsi="Times New Roman" w:cs="Times New Roman"/>
                <w:b/>
                <w:bCs/>
                <w:color w:val="333333"/>
                <w:shd w:val="clear" w:color="auto" w:fill="FFFFFF"/>
              </w:rPr>
            </w:pPr>
            <w:r w:rsidRPr="00BA740F">
              <w:rPr>
                <w:rFonts w:ascii="Times New Roman" w:hAnsi="Times New Roman" w:cs="Times New Roman"/>
                <w:b/>
                <w:bCs/>
                <w:color w:val="333333"/>
                <w:shd w:val="clear" w:color="auto" w:fill="FFFFFF"/>
              </w:rPr>
              <w:t xml:space="preserve">HG </w:t>
            </w:r>
            <w:r w:rsidRPr="00BA740F">
              <w:rPr>
                <w:rFonts w:ascii="Times New Roman" w:hAnsi="Times New Roman" w:cs="Times New Roman"/>
                <w:b/>
                <w:bCs/>
              </w:rPr>
              <w:t xml:space="preserve">330/2023, p. </w:t>
            </w:r>
            <w:r w:rsidR="00FA080D" w:rsidRPr="00BA740F">
              <w:rPr>
                <w:rFonts w:ascii="Times New Roman" w:hAnsi="Times New Roman" w:cs="Times New Roman"/>
                <w:b/>
                <w:bCs/>
              </w:rPr>
              <w:t>5</w:t>
            </w:r>
          </w:p>
          <w:p w14:paraId="7DF17838" w14:textId="3325C5EC" w:rsidR="00D20957" w:rsidRPr="00BA740F" w:rsidRDefault="0090380D"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îndeplin</w:t>
            </w:r>
            <w:r w:rsidR="00E52546" w:rsidRPr="00BA740F">
              <w:rPr>
                <w:rFonts w:ascii="Times New Roman" w:hAnsi="Times New Roman" w:cs="Times New Roman"/>
                <w:color w:val="333333"/>
                <w:shd w:val="clear" w:color="auto" w:fill="FFFFFF"/>
              </w:rPr>
              <w:t>ește</w:t>
            </w:r>
            <w:r w:rsidRPr="00BA740F">
              <w:rPr>
                <w:rFonts w:ascii="Times New Roman" w:hAnsi="Times New Roman" w:cs="Times New Roman"/>
                <w:color w:val="333333"/>
                <w:shd w:val="clear" w:color="auto" w:fill="FFFFFF"/>
              </w:rPr>
              <w:t xml:space="preserve"> rolul</w:t>
            </w:r>
            <w:r w:rsidR="00E52546" w:rsidRPr="00BA740F">
              <w:rPr>
                <w:rFonts w:ascii="Times New Roman" w:hAnsi="Times New Roman" w:cs="Times New Roman"/>
                <w:color w:val="333333"/>
                <w:shd w:val="clear" w:color="auto" w:fill="FFFFFF"/>
              </w:rPr>
              <w:t>ul</w:t>
            </w:r>
            <w:r w:rsidRPr="00BA740F">
              <w:rPr>
                <w:rFonts w:ascii="Times New Roman" w:hAnsi="Times New Roman" w:cs="Times New Roman"/>
                <w:color w:val="333333"/>
                <w:shd w:val="clear" w:color="auto" w:fill="FFFFFF"/>
              </w:rPr>
              <w:t xml:space="preserve"> de Punct național de informare și comunicare pentru Clasificarea Europeană a Aptitudinilor, Competențelor, Calificărilor și Ocupațiilor (versiunea engleză – European Skills, Competences, Qualifications and Occupations).</w:t>
            </w:r>
          </w:p>
        </w:tc>
      </w:tr>
      <w:tr w:rsidR="000E56CF" w:rsidRPr="00D60CC8" w14:paraId="133594B8" w14:textId="77777777" w:rsidTr="00893956">
        <w:tc>
          <w:tcPr>
            <w:tcW w:w="2689" w:type="dxa"/>
          </w:tcPr>
          <w:p w14:paraId="0A966AC0" w14:textId="71D1DA8E" w:rsidR="000E56CF" w:rsidRPr="006F11EE" w:rsidRDefault="000E56CF" w:rsidP="00825B55">
            <w:pPr>
              <w:jc w:val="both"/>
              <w:rPr>
                <w:rFonts w:ascii="Times New Roman" w:hAnsi="Times New Roman" w:cs="Times New Roman"/>
                <w:shd w:val="clear" w:color="auto" w:fill="FFFFFF"/>
              </w:rPr>
            </w:pPr>
            <w:r w:rsidRPr="006F11EE">
              <w:rPr>
                <w:rFonts w:ascii="Times New Roman" w:hAnsi="Times New Roman" w:cs="Times New Roman"/>
                <w:shd w:val="clear" w:color="auto" w:fill="FFFFFF"/>
              </w:rPr>
              <w:t>Agenția Națională pentru Asigurarea Calității în Educație și Cercetare</w:t>
            </w:r>
          </w:p>
        </w:tc>
        <w:tc>
          <w:tcPr>
            <w:tcW w:w="11887" w:type="dxa"/>
          </w:tcPr>
          <w:p w14:paraId="5B9B7B68" w14:textId="77777777" w:rsidR="000E56CF" w:rsidRPr="00BA740F" w:rsidRDefault="000E56CF" w:rsidP="008E01E3">
            <w:pPr>
              <w:jc w:val="both"/>
              <w:rPr>
                <w:rFonts w:ascii="Times New Roman" w:hAnsi="Times New Roman" w:cs="Times New Roman"/>
                <w:b/>
                <w:bCs/>
              </w:rPr>
            </w:pPr>
            <w:r w:rsidRPr="00BA740F">
              <w:rPr>
                <w:rFonts w:ascii="Times New Roman" w:hAnsi="Times New Roman" w:cs="Times New Roman"/>
                <w:b/>
                <w:bCs/>
                <w:color w:val="333333"/>
                <w:shd w:val="clear" w:color="auto" w:fill="FFFFFF"/>
              </w:rPr>
              <w:t xml:space="preserve">HG </w:t>
            </w:r>
            <w:r w:rsidRPr="00BA740F">
              <w:rPr>
                <w:rFonts w:ascii="Times New Roman" w:hAnsi="Times New Roman" w:cs="Times New Roman"/>
                <w:b/>
                <w:bCs/>
              </w:rPr>
              <w:t>330/2023, p. 6</w:t>
            </w:r>
          </w:p>
          <w:p w14:paraId="4789F981" w14:textId="6F40C256" w:rsidR="000E56CF" w:rsidRPr="00BA740F" w:rsidRDefault="000E56CF" w:rsidP="008E01E3">
            <w:pPr>
              <w:jc w:val="both"/>
              <w:rPr>
                <w:rFonts w:ascii="Times New Roman" w:hAnsi="Times New Roman" w:cs="Times New Roman"/>
                <w:b/>
                <w:bCs/>
                <w:color w:val="333333"/>
                <w:shd w:val="clear" w:color="auto" w:fill="FFFFFF"/>
              </w:rPr>
            </w:pPr>
            <w:r w:rsidRPr="00BA740F">
              <w:rPr>
                <w:rFonts w:ascii="Times New Roman" w:hAnsi="Times New Roman" w:cs="Times New Roman"/>
                <w:color w:val="333333"/>
                <w:shd w:val="clear" w:color="auto" w:fill="FFFFFF"/>
              </w:rPr>
              <w:t>ajust</w:t>
            </w:r>
            <w:r w:rsidR="00075B79">
              <w:rPr>
                <w:rFonts w:ascii="Times New Roman" w:hAnsi="Times New Roman" w:cs="Times New Roman"/>
                <w:color w:val="333333"/>
                <w:shd w:val="clear" w:color="auto" w:fill="FFFFFF"/>
              </w:rPr>
              <w:t>ează</w:t>
            </w:r>
            <w:r w:rsidRPr="00BA740F">
              <w:rPr>
                <w:rFonts w:ascii="Times New Roman" w:hAnsi="Times New Roman" w:cs="Times New Roman"/>
                <w:color w:val="333333"/>
                <w:shd w:val="clear" w:color="auto" w:fill="FFFFFF"/>
              </w:rPr>
              <w:t xml:space="preserve"> standardele de acreditare, criteriile de evaluare și indicatorii de performanță pentru evaluarea externă la principiile de asigurare a calității calificărilor conform </w:t>
            </w:r>
            <w:r w:rsidR="00075B79">
              <w:rPr>
                <w:rFonts w:ascii="Times New Roman" w:hAnsi="Times New Roman" w:cs="Times New Roman"/>
                <w:color w:val="333333"/>
                <w:shd w:val="clear" w:color="auto" w:fill="FFFFFF"/>
              </w:rPr>
              <w:t>EQF</w:t>
            </w:r>
            <w:r w:rsidRPr="00BA740F">
              <w:rPr>
                <w:rFonts w:ascii="Times New Roman" w:hAnsi="Times New Roman" w:cs="Times New Roman"/>
                <w:color w:val="333333"/>
                <w:shd w:val="clear" w:color="auto" w:fill="FFFFFF"/>
              </w:rPr>
              <w:t>, în vederea autorizării de funcționare provizorie și acreditării programelor de studii și a instituțiilor.</w:t>
            </w:r>
          </w:p>
        </w:tc>
      </w:tr>
      <w:tr w:rsidR="0018636E" w:rsidRPr="00D60CC8" w14:paraId="2506B285" w14:textId="77777777" w:rsidTr="00893956">
        <w:tc>
          <w:tcPr>
            <w:tcW w:w="2689" w:type="dxa"/>
          </w:tcPr>
          <w:p w14:paraId="499C5561" w14:textId="515DD65C" w:rsidR="0018636E" w:rsidRPr="006F11EE" w:rsidRDefault="000D0609" w:rsidP="00825B55">
            <w:pPr>
              <w:jc w:val="both"/>
              <w:rPr>
                <w:rFonts w:ascii="Times New Roman" w:hAnsi="Times New Roman" w:cs="Times New Roman"/>
                <w:shd w:val="clear" w:color="auto" w:fill="FFFFFF"/>
              </w:rPr>
            </w:pPr>
            <w:r w:rsidRPr="006F11EE">
              <w:rPr>
                <w:rFonts w:ascii="Times New Roman" w:hAnsi="Times New Roman" w:cs="Times New Roman"/>
              </w:rPr>
              <w:t>Ministerul Educației și Cercetării, în comun cu ministerele de resort cu competențe în sectoarele socioeconomice</w:t>
            </w:r>
          </w:p>
        </w:tc>
        <w:tc>
          <w:tcPr>
            <w:tcW w:w="11887" w:type="dxa"/>
          </w:tcPr>
          <w:p w14:paraId="17B468FE" w14:textId="680D6FFC" w:rsidR="000D0609" w:rsidRPr="00BA740F" w:rsidRDefault="000D0609" w:rsidP="000D0609">
            <w:pPr>
              <w:jc w:val="both"/>
              <w:rPr>
                <w:rFonts w:ascii="Times New Roman" w:hAnsi="Times New Roman" w:cs="Times New Roman"/>
                <w:b/>
                <w:bCs/>
              </w:rPr>
            </w:pPr>
            <w:r w:rsidRPr="00BA740F">
              <w:rPr>
                <w:rFonts w:ascii="Times New Roman" w:hAnsi="Times New Roman" w:cs="Times New Roman"/>
                <w:b/>
                <w:bCs/>
                <w:color w:val="333333"/>
                <w:shd w:val="clear" w:color="auto" w:fill="FFFFFF"/>
              </w:rPr>
              <w:t xml:space="preserve">HG </w:t>
            </w:r>
            <w:r w:rsidRPr="00BA740F">
              <w:rPr>
                <w:rFonts w:ascii="Times New Roman" w:hAnsi="Times New Roman" w:cs="Times New Roman"/>
                <w:b/>
                <w:bCs/>
              </w:rPr>
              <w:t>330/2023, p. 7</w:t>
            </w:r>
          </w:p>
          <w:p w14:paraId="7F2C8886" w14:textId="690D3FC2" w:rsidR="000D0609" w:rsidRPr="00BA740F" w:rsidRDefault="000D0609" w:rsidP="00A41843">
            <w:pPr>
              <w:numPr>
                <w:ilvl w:val="0"/>
                <w:numId w:val="163"/>
              </w:numPr>
              <w:ind w:left="321" w:hanging="284"/>
              <w:jc w:val="both"/>
              <w:rPr>
                <w:rFonts w:ascii="Times New Roman" w:hAnsi="Times New Roman" w:cs="Times New Roman"/>
                <w:color w:val="333333"/>
              </w:rPr>
            </w:pPr>
            <w:r w:rsidRPr="00BA740F">
              <w:rPr>
                <w:rFonts w:ascii="Times New Roman" w:hAnsi="Times New Roman" w:cs="Times New Roman"/>
                <w:color w:val="333333"/>
              </w:rPr>
              <w:t>monitoriz</w:t>
            </w:r>
            <w:r w:rsidR="00075B79">
              <w:rPr>
                <w:rFonts w:ascii="Times New Roman" w:hAnsi="Times New Roman" w:cs="Times New Roman"/>
                <w:color w:val="333333"/>
              </w:rPr>
              <w:t>ează</w:t>
            </w:r>
            <w:r w:rsidRPr="00BA740F">
              <w:rPr>
                <w:rFonts w:ascii="Times New Roman" w:hAnsi="Times New Roman" w:cs="Times New Roman"/>
                <w:color w:val="333333"/>
              </w:rPr>
              <w:t xml:space="preserve"> procesul de elaborare şi implementare a programelor de studii de către furnizorii de educație și formare profesională, în vederea acordării de calificări de toate nivelurile, în conformitate cu </w:t>
            </w:r>
            <w:r w:rsidR="00F96D96" w:rsidRPr="00BA740F">
              <w:rPr>
                <w:rFonts w:ascii="Times New Roman" w:hAnsi="Times New Roman" w:cs="Times New Roman"/>
                <w:color w:val="333333"/>
              </w:rPr>
              <w:t>CNC</w:t>
            </w:r>
            <w:r w:rsidRPr="00BA740F">
              <w:rPr>
                <w:rFonts w:ascii="Times New Roman" w:hAnsi="Times New Roman" w:cs="Times New Roman"/>
                <w:color w:val="333333"/>
              </w:rPr>
              <w:t>;</w:t>
            </w:r>
          </w:p>
          <w:p w14:paraId="6A7E7BFB" w14:textId="2935B4D4" w:rsidR="000D0609" w:rsidRPr="00BA740F" w:rsidRDefault="000D0609"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promov</w:t>
            </w:r>
            <w:r w:rsidR="00075B79">
              <w:rPr>
                <w:rFonts w:ascii="Times New Roman" w:hAnsi="Times New Roman" w:cs="Times New Roman"/>
                <w:color w:val="333333"/>
                <w:shd w:val="clear" w:color="auto" w:fill="FFFFFF"/>
              </w:rPr>
              <w:t>ează</w:t>
            </w:r>
            <w:r w:rsidRPr="00BA740F">
              <w:rPr>
                <w:rFonts w:ascii="Times New Roman" w:hAnsi="Times New Roman" w:cs="Times New Roman"/>
                <w:color w:val="333333"/>
                <w:shd w:val="clear" w:color="auto" w:fill="FFFFFF"/>
              </w:rPr>
              <w:t xml:space="preserve"> politici de parteneriat social între sistemul de educație și piața muncii pentru dezvoltarea și implementarea unui cadru eficient al calificărilor;</w:t>
            </w:r>
          </w:p>
          <w:p w14:paraId="11673D67" w14:textId="1F712863" w:rsidR="000D0609" w:rsidRPr="00BA740F" w:rsidRDefault="000D0609"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elabor</w:t>
            </w:r>
            <w:r w:rsidR="009D4A32">
              <w:rPr>
                <w:rFonts w:ascii="Times New Roman" w:hAnsi="Times New Roman" w:cs="Times New Roman"/>
                <w:color w:val="333333"/>
                <w:shd w:val="clear" w:color="auto" w:fill="FFFFFF"/>
              </w:rPr>
              <w:t>ează</w:t>
            </w:r>
            <w:r w:rsidRPr="00BA740F">
              <w:rPr>
                <w:rFonts w:ascii="Times New Roman" w:hAnsi="Times New Roman" w:cs="Times New Roman"/>
                <w:color w:val="333333"/>
                <w:shd w:val="clear" w:color="auto" w:fill="FFFFFF"/>
              </w:rPr>
              <w:t xml:space="preserve"> Lista profesiilor reglementate și condițiile specifice de ocupare a acestora în Republica Moldova, în concordanță cu reglementările Uniunii Europene, pentru aplicare în procedurile de recunoaștere a calificărilor profesionale obținute peste hotare;</w:t>
            </w:r>
          </w:p>
          <w:p w14:paraId="0D843C37" w14:textId="066ED77C" w:rsidR="0018636E" w:rsidRPr="00BA740F" w:rsidRDefault="000D0609" w:rsidP="00A41843">
            <w:pPr>
              <w:numPr>
                <w:ilvl w:val="0"/>
                <w:numId w:val="163"/>
              </w:numPr>
              <w:ind w:left="321" w:hanging="284"/>
              <w:jc w:val="both"/>
              <w:rPr>
                <w:rFonts w:ascii="Times New Roman" w:hAnsi="Times New Roman" w:cs="Times New Roman"/>
                <w:color w:val="333333"/>
              </w:rPr>
            </w:pPr>
            <w:r w:rsidRPr="00BA740F">
              <w:rPr>
                <w:rFonts w:ascii="Times New Roman" w:hAnsi="Times New Roman" w:cs="Times New Roman"/>
                <w:color w:val="333333"/>
                <w:shd w:val="clear" w:color="auto" w:fill="FFFFFF"/>
              </w:rPr>
              <w:lastRenderedPageBreak/>
              <w:t>elabor</w:t>
            </w:r>
            <w:r w:rsidR="008E18A2">
              <w:rPr>
                <w:rFonts w:ascii="Times New Roman" w:hAnsi="Times New Roman" w:cs="Times New Roman"/>
                <w:color w:val="333333"/>
                <w:shd w:val="clear" w:color="auto" w:fill="FFFFFF"/>
              </w:rPr>
              <w:t>ează</w:t>
            </w:r>
            <w:r w:rsidRPr="00BA740F">
              <w:rPr>
                <w:rFonts w:ascii="Times New Roman" w:hAnsi="Times New Roman" w:cs="Times New Roman"/>
                <w:color w:val="333333"/>
              </w:rPr>
              <w:t xml:space="preserve"> conceptul de trecere, în sistemul educațional național, la semnarea electronică a actelor de studii.</w:t>
            </w:r>
          </w:p>
        </w:tc>
      </w:tr>
      <w:tr w:rsidR="000D0609" w:rsidRPr="00D60CC8" w14:paraId="6A6E8DC0" w14:textId="77777777" w:rsidTr="00893956">
        <w:tc>
          <w:tcPr>
            <w:tcW w:w="2689" w:type="dxa"/>
          </w:tcPr>
          <w:p w14:paraId="708345AA" w14:textId="662D5F7F" w:rsidR="000D0609" w:rsidRPr="006F11EE" w:rsidRDefault="000D0609" w:rsidP="00825B55">
            <w:pPr>
              <w:jc w:val="both"/>
              <w:rPr>
                <w:rFonts w:ascii="Times New Roman" w:hAnsi="Times New Roman" w:cs="Times New Roman"/>
              </w:rPr>
            </w:pPr>
            <w:r w:rsidRPr="006F11EE">
              <w:rPr>
                <w:rFonts w:ascii="Times New Roman" w:hAnsi="Times New Roman" w:cs="Times New Roman"/>
              </w:rPr>
              <w:lastRenderedPageBreak/>
              <w:t>Ministerul Educației și Cercetării, în comun cu ministerele de resort implicate în dezvoltarea Cadrului Național al Calificărilor</w:t>
            </w:r>
          </w:p>
        </w:tc>
        <w:tc>
          <w:tcPr>
            <w:tcW w:w="11887" w:type="dxa"/>
          </w:tcPr>
          <w:p w14:paraId="5D388854" w14:textId="67B6117D" w:rsidR="000D0609" w:rsidRPr="00BA740F" w:rsidRDefault="000D0609" w:rsidP="000D0609">
            <w:pPr>
              <w:jc w:val="both"/>
              <w:rPr>
                <w:rFonts w:ascii="Times New Roman" w:hAnsi="Times New Roman" w:cs="Times New Roman"/>
                <w:b/>
                <w:bCs/>
              </w:rPr>
            </w:pPr>
            <w:r w:rsidRPr="00BA740F">
              <w:rPr>
                <w:rFonts w:ascii="Times New Roman" w:hAnsi="Times New Roman" w:cs="Times New Roman"/>
                <w:b/>
                <w:bCs/>
                <w:color w:val="333333"/>
                <w:shd w:val="clear" w:color="auto" w:fill="FFFFFF"/>
              </w:rPr>
              <w:t xml:space="preserve">HG </w:t>
            </w:r>
            <w:r w:rsidRPr="00BA740F">
              <w:rPr>
                <w:rFonts w:ascii="Times New Roman" w:hAnsi="Times New Roman" w:cs="Times New Roman"/>
                <w:b/>
                <w:bCs/>
              </w:rPr>
              <w:t>330/2023, p. 8</w:t>
            </w:r>
          </w:p>
          <w:p w14:paraId="226B82C5" w14:textId="02773301" w:rsidR="000D0609" w:rsidRPr="00BA740F" w:rsidRDefault="000D0609"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 xml:space="preserve">va întreprinde măsurile necesare pentru operaționalizarea </w:t>
            </w:r>
            <w:r w:rsidR="00FF6A0D" w:rsidRPr="00BA740F">
              <w:rPr>
                <w:rFonts w:ascii="Times New Roman" w:hAnsi="Times New Roman" w:cs="Times New Roman"/>
                <w:color w:val="333333"/>
                <w:shd w:val="clear" w:color="auto" w:fill="FFFFFF"/>
              </w:rPr>
              <w:t>CNC</w:t>
            </w:r>
            <w:r w:rsidRPr="00BA740F">
              <w:rPr>
                <w:rFonts w:ascii="Times New Roman" w:hAnsi="Times New Roman" w:cs="Times New Roman"/>
                <w:color w:val="333333"/>
                <w:shd w:val="clear" w:color="auto" w:fill="FFFFFF"/>
              </w:rPr>
              <w:t>;</w:t>
            </w:r>
          </w:p>
          <w:p w14:paraId="77148CE8" w14:textId="2AA15E60" w:rsidR="000D0609" w:rsidRPr="00BA740F" w:rsidRDefault="000D0609" w:rsidP="00A41843">
            <w:pPr>
              <w:numPr>
                <w:ilvl w:val="0"/>
                <w:numId w:val="163"/>
              </w:numPr>
              <w:ind w:left="321" w:hanging="284"/>
              <w:jc w:val="both"/>
              <w:rPr>
                <w:rFonts w:ascii="Times New Roman" w:hAnsi="Times New Roman" w:cs="Times New Roman"/>
                <w:color w:val="333333"/>
              </w:rPr>
            </w:pPr>
            <w:r w:rsidRPr="00BA740F">
              <w:rPr>
                <w:rFonts w:ascii="Times New Roman" w:hAnsi="Times New Roman" w:cs="Times New Roman"/>
                <w:color w:val="333333"/>
                <w:shd w:val="clear" w:color="auto" w:fill="FFFFFF"/>
              </w:rPr>
              <w:t>va asigura includerea în planificarea bugetară anuală şi pe termen mediu a surselor financiare necesare pentru implementarea acţiunilor prevăzute în Planul de acțiuni pentru realizarea Foii de parcurs privind operaționalizarea</w:t>
            </w:r>
            <w:r w:rsidRPr="00BA740F">
              <w:rPr>
                <w:rFonts w:ascii="Times New Roman" w:hAnsi="Times New Roman" w:cs="Times New Roman"/>
                <w:color w:val="333333"/>
              </w:rPr>
              <w:t xml:space="preserve"> </w:t>
            </w:r>
            <w:r w:rsidR="00BA740F" w:rsidRPr="00BA740F">
              <w:rPr>
                <w:rFonts w:ascii="Times New Roman" w:hAnsi="Times New Roman" w:cs="Times New Roman"/>
                <w:color w:val="333333"/>
              </w:rPr>
              <w:t>CNC</w:t>
            </w:r>
            <w:r w:rsidRPr="00BA740F">
              <w:rPr>
                <w:rFonts w:ascii="Times New Roman" w:hAnsi="Times New Roman" w:cs="Times New Roman"/>
                <w:color w:val="333333"/>
              </w:rPr>
              <w:t xml:space="preserve"> pentru anii 2023-2027.</w:t>
            </w:r>
          </w:p>
        </w:tc>
      </w:tr>
      <w:tr w:rsidR="00EE10E3" w:rsidRPr="00D60CC8" w14:paraId="67CD4712" w14:textId="77777777" w:rsidTr="00D20957">
        <w:tc>
          <w:tcPr>
            <w:tcW w:w="14576" w:type="dxa"/>
            <w:gridSpan w:val="2"/>
            <w:shd w:val="clear" w:color="auto" w:fill="D4EAF3" w:themeFill="accent1" w:themeFillTint="33"/>
          </w:tcPr>
          <w:p w14:paraId="437E8551" w14:textId="46C97863" w:rsidR="00EE10E3" w:rsidRPr="00BA740F" w:rsidRDefault="00EE10E3" w:rsidP="00EE10E3">
            <w:pPr>
              <w:jc w:val="both"/>
              <w:rPr>
                <w:rFonts w:ascii="Times New Roman" w:hAnsi="Times New Roman" w:cs="Times New Roman"/>
                <w:color w:val="333333"/>
                <w:shd w:val="clear" w:color="auto" w:fill="FFFFFF"/>
              </w:rPr>
            </w:pPr>
            <w:r w:rsidRPr="00BA740F">
              <w:rPr>
                <w:rFonts w:ascii="Times New Roman" w:hAnsi="Times New Roman" w:cs="Times New Roman"/>
                <w:b/>
                <w:bCs/>
              </w:rPr>
              <w:t>Hotărârea Guvernului nr. 330/2023</w:t>
            </w:r>
            <w:r w:rsidRPr="00BA740F">
              <w:rPr>
                <w:rFonts w:ascii="Times New Roman" w:hAnsi="Times New Roman" w:cs="Times New Roman"/>
              </w:rPr>
              <w:t>, Anexa 1, Capitolul IX Coordonarea și administrarea CNC, Secțiunea 1. Distribuția responsabilităților pentru îndeplinirea funcțiilor CNC</w:t>
            </w:r>
          </w:p>
        </w:tc>
      </w:tr>
      <w:tr w:rsidR="006D4127" w:rsidRPr="00D60CC8" w14:paraId="22B232F5" w14:textId="77777777" w:rsidTr="00893956">
        <w:tc>
          <w:tcPr>
            <w:tcW w:w="2689" w:type="dxa"/>
            <w:vMerge w:val="restart"/>
          </w:tcPr>
          <w:p w14:paraId="291E3725" w14:textId="77777777" w:rsidR="006D4127" w:rsidRPr="00BA740F" w:rsidRDefault="006D4127" w:rsidP="00825B55">
            <w:pPr>
              <w:jc w:val="both"/>
              <w:rPr>
                <w:rFonts w:ascii="Times New Roman" w:eastAsia="Times New Roman" w:hAnsi="Times New Roman" w:cs="Times New Roman"/>
                <w:kern w:val="0"/>
                <w:lang w:eastAsia="ro-MD"/>
                <w14:ligatures w14:val="none"/>
              </w:rPr>
            </w:pPr>
            <w:r w:rsidRPr="00BA740F">
              <w:rPr>
                <w:rFonts w:ascii="Times New Roman" w:eastAsia="Times New Roman" w:hAnsi="Times New Roman" w:cs="Times New Roman"/>
                <w:kern w:val="0"/>
                <w:lang w:eastAsia="ro-MD"/>
                <w14:ligatures w14:val="none"/>
              </w:rPr>
              <w:t>Ministerul Educației și Cercetării</w:t>
            </w:r>
          </w:p>
        </w:tc>
        <w:tc>
          <w:tcPr>
            <w:tcW w:w="11887" w:type="dxa"/>
          </w:tcPr>
          <w:p w14:paraId="07365785"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 xml:space="preserve">coordonarea activității instituţiilor și părților interesate în implementarea CNC, </w:t>
            </w:r>
          </w:p>
          <w:p w14:paraId="4AC82AF5" w14:textId="77777777" w:rsidR="006D4127" w:rsidRPr="00361880" w:rsidRDefault="006D4127" w:rsidP="00A41843">
            <w:pPr>
              <w:numPr>
                <w:ilvl w:val="0"/>
                <w:numId w:val="163"/>
              </w:numPr>
              <w:ind w:left="321" w:hanging="284"/>
              <w:jc w:val="both"/>
              <w:rPr>
                <w:rFonts w:ascii="Times New Roman" w:hAnsi="Times New Roman" w:cs="Times New Roman"/>
                <w:shd w:val="clear" w:color="auto" w:fill="FFFFFF"/>
              </w:rPr>
            </w:pPr>
            <w:r w:rsidRPr="00BA740F">
              <w:rPr>
                <w:rFonts w:ascii="Times New Roman" w:hAnsi="Times New Roman" w:cs="Times New Roman"/>
                <w:color w:val="333333"/>
                <w:shd w:val="clear" w:color="auto" w:fill="FFFFFF"/>
              </w:rPr>
              <w:t xml:space="preserve">elaborarea programului operațional și a bugetului pentru dezvoltarea și implementarea CNC, colaborarea internațională și </w:t>
            </w:r>
            <w:r w:rsidRPr="00361880">
              <w:rPr>
                <w:rFonts w:ascii="Times New Roman" w:hAnsi="Times New Roman" w:cs="Times New Roman"/>
                <w:shd w:val="clear" w:color="auto" w:fill="FFFFFF"/>
              </w:rPr>
              <w:t xml:space="preserve">participarea la proiectele internaționale </w:t>
            </w:r>
          </w:p>
          <w:p w14:paraId="7C24E832" w14:textId="77777777" w:rsidR="006D4127" w:rsidRPr="00361880" w:rsidRDefault="006D4127" w:rsidP="00A41843">
            <w:pPr>
              <w:numPr>
                <w:ilvl w:val="0"/>
                <w:numId w:val="163"/>
              </w:numPr>
              <w:ind w:left="321" w:hanging="284"/>
              <w:jc w:val="both"/>
              <w:rPr>
                <w:rFonts w:ascii="Times New Roman" w:hAnsi="Times New Roman" w:cs="Times New Roman"/>
                <w:shd w:val="clear" w:color="auto" w:fill="FFFFFF"/>
              </w:rPr>
            </w:pPr>
            <w:r w:rsidRPr="00361880">
              <w:rPr>
                <w:rFonts w:ascii="Times New Roman" w:hAnsi="Times New Roman" w:cs="Times New Roman"/>
                <w:shd w:val="clear" w:color="auto" w:fill="FFFFFF"/>
              </w:rPr>
              <w:t>Elaborarea raportului de referențiere la EQF – subdiviziunea responsabilă de dezvoltarea CNC din cadrul Ministerului Educației și Cercetării în comun cu toate părțile implicate în dezvoltarea CNC.</w:t>
            </w:r>
          </w:p>
          <w:p w14:paraId="2EECB549"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dezvoltarea, actualizarea, înscrierea/radierea calificării în/din CNC</w:t>
            </w:r>
          </w:p>
          <w:p w14:paraId="49F37362"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dezvoltarea cadrului normativ de politici și acordarea suportului metodologic</w:t>
            </w:r>
          </w:p>
          <w:p w14:paraId="1B9E437B"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recunoașterea calificărilor internaționale în scopuri academice sau profesionale</w:t>
            </w:r>
          </w:p>
          <w:p w14:paraId="218F8719"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elaborarea și actualizarea Nomenclatoarelor domeniilor de formare profesională pentru toate nivelurile CNC</w:t>
            </w:r>
          </w:p>
          <w:p w14:paraId="1A3E9384"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crearea și menținerea RNC, arhivarea în RNC a calificărilor radiate din CNC</w:t>
            </w:r>
          </w:p>
          <w:p w14:paraId="6DADE2BA" w14:textId="77777777" w:rsidR="006D4127" w:rsidRPr="00BA740F" w:rsidRDefault="006D4127" w:rsidP="00A41843">
            <w:pPr>
              <w:numPr>
                <w:ilvl w:val="0"/>
                <w:numId w:val="163"/>
              </w:numPr>
              <w:ind w:left="321" w:hanging="284"/>
              <w:jc w:val="both"/>
              <w:rPr>
                <w:rFonts w:ascii="Times New Roman" w:hAnsi="Times New Roman" w:cs="Times New Roman"/>
                <w:color w:val="333333"/>
                <w:shd w:val="clear" w:color="auto" w:fill="FFFFFF"/>
              </w:rPr>
            </w:pPr>
            <w:r w:rsidRPr="00BA740F">
              <w:rPr>
                <w:rFonts w:ascii="Times New Roman" w:hAnsi="Times New Roman" w:cs="Times New Roman"/>
                <w:color w:val="333333"/>
                <w:shd w:val="clear" w:color="auto" w:fill="FFFFFF"/>
              </w:rPr>
              <w:t>asigurarea platformei de dialog între partenerii sociali pentru dezvoltarea CNC: autorități și instituții ale statului, comitete sectoriale pentru formare profesională, sindicate și patronate de ramură, angajatori și organizații neguvernamentale ș. a.</w:t>
            </w:r>
          </w:p>
          <w:p w14:paraId="42DFE71E" w14:textId="77777777" w:rsidR="006D4127" w:rsidRPr="00BA740F" w:rsidRDefault="006D4127" w:rsidP="00A41843">
            <w:pPr>
              <w:numPr>
                <w:ilvl w:val="0"/>
                <w:numId w:val="163"/>
              </w:numPr>
              <w:ind w:left="321" w:hanging="284"/>
              <w:jc w:val="both"/>
              <w:rPr>
                <w:rFonts w:ascii="Times New Roman" w:hAnsi="Times New Roman" w:cs="Times New Roman"/>
              </w:rPr>
            </w:pPr>
            <w:r w:rsidRPr="00BA740F">
              <w:rPr>
                <w:rFonts w:ascii="Times New Roman" w:hAnsi="Times New Roman" w:cs="Times New Roman"/>
                <w:color w:val="333333"/>
                <w:shd w:val="clear" w:color="auto" w:fill="FFFFFF"/>
              </w:rPr>
              <w:t>colaborarea internațională în domeniul dezvoltării CNC, recunoașterii calificărilor și schimbului de informații în cadrul rețelelor europene și internaționale cu privire la calificări</w:t>
            </w:r>
          </w:p>
        </w:tc>
      </w:tr>
      <w:tr w:rsidR="006D4127" w:rsidRPr="00D60CC8" w14:paraId="2B457FE1" w14:textId="77777777" w:rsidTr="00893956">
        <w:tc>
          <w:tcPr>
            <w:tcW w:w="2689" w:type="dxa"/>
            <w:vMerge/>
          </w:tcPr>
          <w:p w14:paraId="2959984D" w14:textId="77777777" w:rsidR="006D4127" w:rsidRPr="00BA740F" w:rsidRDefault="006D4127" w:rsidP="00825B55">
            <w:pPr>
              <w:jc w:val="both"/>
              <w:rPr>
                <w:rFonts w:ascii="Times New Roman" w:eastAsia="Times New Roman" w:hAnsi="Times New Roman" w:cs="Times New Roman"/>
                <w:kern w:val="0"/>
                <w:lang w:eastAsia="ro-MD"/>
                <w14:ligatures w14:val="none"/>
              </w:rPr>
            </w:pPr>
          </w:p>
        </w:tc>
        <w:tc>
          <w:tcPr>
            <w:tcW w:w="11887" w:type="dxa"/>
          </w:tcPr>
          <w:p w14:paraId="014E1342" w14:textId="3125ACC8"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rFonts w:eastAsiaTheme="majorEastAsia"/>
                <w:sz w:val="22"/>
                <w:szCs w:val="22"/>
              </w:rPr>
            </w:pPr>
            <w:r w:rsidRPr="00BA740F">
              <w:rPr>
                <w:sz w:val="22"/>
                <w:szCs w:val="22"/>
              </w:rPr>
              <w:t xml:space="preserve"> </w:t>
            </w:r>
          </w:p>
        </w:tc>
      </w:tr>
      <w:tr w:rsidR="006D4127" w:rsidRPr="00D60CC8" w14:paraId="6F99B1AA" w14:textId="77777777" w:rsidTr="00893956">
        <w:tc>
          <w:tcPr>
            <w:tcW w:w="2689" w:type="dxa"/>
          </w:tcPr>
          <w:p w14:paraId="2447975C" w14:textId="77777777" w:rsidR="006D4127" w:rsidRPr="00BA740F" w:rsidRDefault="006D4127" w:rsidP="00825B55">
            <w:pPr>
              <w:jc w:val="both"/>
              <w:rPr>
                <w:rFonts w:ascii="Times New Roman" w:hAnsi="Times New Roman" w:cs="Times New Roman"/>
              </w:rPr>
            </w:pPr>
            <w:r w:rsidRPr="00BA740F">
              <w:rPr>
                <w:rFonts w:ascii="Times New Roman" w:hAnsi="Times New Roman" w:cs="Times New Roman"/>
              </w:rPr>
              <w:t>Subdiviziunile MEC responsabile de politicile publice în domeniul ÎPT și ÎS pe niveluri CNC, subdiviziunea responsabilă pentru dezvoltarea CNC, autoritățile publice centrale cu competențe în domeniile de referință</w:t>
            </w:r>
          </w:p>
        </w:tc>
        <w:tc>
          <w:tcPr>
            <w:tcW w:w="11887" w:type="dxa"/>
          </w:tcPr>
          <w:p w14:paraId="69866160"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elaborarea și actualizarea Nomenclatoarelor domeniilor de formare profesională pentru toate nivelurile CNC;</w:t>
            </w:r>
          </w:p>
          <w:p w14:paraId="635283DD"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elaborarea cerințelor pentru certificarea calificărilor și conținutului actelor de studii</w:t>
            </w:r>
          </w:p>
        </w:tc>
      </w:tr>
      <w:tr w:rsidR="006D4127" w:rsidRPr="00D60CC8" w14:paraId="0EF54ADC" w14:textId="77777777" w:rsidTr="00893956">
        <w:tc>
          <w:tcPr>
            <w:tcW w:w="2689" w:type="dxa"/>
          </w:tcPr>
          <w:p w14:paraId="7641B4AD" w14:textId="77777777" w:rsidR="006D4127" w:rsidRPr="00BA740F" w:rsidRDefault="006D4127" w:rsidP="00825B55">
            <w:pPr>
              <w:jc w:val="both"/>
              <w:rPr>
                <w:rFonts w:ascii="Times New Roman" w:eastAsia="Times New Roman" w:hAnsi="Times New Roman" w:cs="Times New Roman"/>
                <w:kern w:val="0"/>
                <w:lang w:eastAsia="ro-MD"/>
                <w14:ligatures w14:val="none"/>
              </w:rPr>
            </w:pPr>
            <w:r w:rsidRPr="00BA740F">
              <w:rPr>
                <w:rFonts w:ascii="Times New Roman" w:hAnsi="Times New Roman" w:cs="Times New Roman"/>
              </w:rPr>
              <w:t>ANACEC</w:t>
            </w:r>
          </w:p>
        </w:tc>
        <w:tc>
          <w:tcPr>
            <w:tcW w:w="11887" w:type="dxa"/>
          </w:tcPr>
          <w:p w14:paraId="51BD3CAB" w14:textId="32FBDD4A" w:rsidR="006D4127" w:rsidRPr="00BA740F" w:rsidRDefault="0071681C" w:rsidP="00A41843">
            <w:pPr>
              <w:pStyle w:val="af8"/>
              <w:numPr>
                <w:ilvl w:val="1"/>
                <w:numId w:val="145"/>
              </w:numPr>
              <w:shd w:val="clear" w:color="auto" w:fill="FFFFFF"/>
              <w:spacing w:before="0" w:beforeAutospacing="0" w:after="0" w:afterAutospacing="0"/>
              <w:ind w:left="271" w:hanging="271"/>
              <w:jc w:val="both"/>
              <w:rPr>
                <w:sz w:val="22"/>
                <w:szCs w:val="22"/>
              </w:rPr>
            </w:pPr>
            <w:r>
              <w:rPr>
                <w:sz w:val="22"/>
                <w:szCs w:val="22"/>
              </w:rPr>
              <w:t>e</w:t>
            </w:r>
            <w:r w:rsidR="006D4127" w:rsidRPr="00BA740F">
              <w:rPr>
                <w:sz w:val="22"/>
                <w:szCs w:val="22"/>
              </w:rPr>
              <w:t>valuarea externă și monitorizarea calității programelor ce duc la acordarea calificării complete sau parțiale și a furnizorilor acestora</w:t>
            </w:r>
          </w:p>
          <w:p w14:paraId="63CD54A5"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lang w:eastAsia="en-US"/>
              </w:rPr>
              <w:t>evaluarea externă în vederea autorizării de funcționare provizorie și/sau acreditarii programelor de studii care conduc la acordarea calificării cu nivel CNC</w:t>
            </w:r>
          </w:p>
          <w:p w14:paraId="573526B1" w14:textId="45DC28E5" w:rsidR="006D4127" w:rsidRPr="00BA740F" w:rsidRDefault="0071681C" w:rsidP="00A41843">
            <w:pPr>
              <w:pStyle w:val="af8"/>
              <w:numPr>
                <w:ilvl w:val="1"/>
                <w:numId w:val="145"/>
              </w:numPr>
              <w:shd w:val="clear" w:color="auto" w:fill="FFFFFF"/>
              <w:spacing w:before="0" w:beforeAutospacing="0" w:after="0" w:afterAutospacing="0"/>
              <w:ind w:left="271" w:hanging="271"/>
              <w:jc w:val="both"/>
              <w:rPr>
                <w:sz w:val="22"/>
                <w:szCs w:val="22"/>
              </w:rPr>
            </w:pPr>
            <w:r>
              <w:rPr>
                <w:sz w:val="22"/>
                <w:szCs w:val="22"/>
              </w:rPr>
              <w:lastRenderedPageBreak/>
              <w:t>gestionarea R</w:t>
            </w:r>
            <w:r w:rsidR="006D4127" w:rsidRPr="00BA740F">
              <w:rPr>
                <w:sz w:val="22"/>
                <w:szCs w:val="22"/>
              </w:rPr>
              <w:t>egistrul</w:t>
            </w:r>
            <w:r>
              <w:rPr>
                <w:sz w:val="22"/>
                <w:szCs w:val="22"/>
              </w:rPr>
              <w:t>ui</w:t>
            </w:r>
            <w:r w:rsidR="006D4127" w:rsidRPr="00BA740F">
              <w:rPr>
                <w:sz w:val="22"/>
                <w:szCs w:val="22"/>
              </w:rPr>
              <w:t xml:space="preserve"> experților evaluatori pentru evaluarea externă a programelor, instituțiilor și atestarea cadrelor didactico-științifice</w:t>
            </w:r>
          </w:p>
          <w:p w14:paraId="2D1A2B98"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lang w:eastAsia="en-US"/>
              </w:rPr>
              <w:t xml:space="preserve">evaluarea relevanței și comparabilității calificărilor naționale complete și parțiale cu cele internaționale </w:t>
            </w:r>
          </w:p>
          <w:p w14:paraId="60073125"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rStyle w:val="af9"/>
                <w:b w:val="0"/>
                <w:bCs w:val="0"/>
                <w:sz w:val="22"/>
                <w:szCs w:val="22"/>
              </w:rPr>
            </w:pPr>
            <w:r w:rsidRPr="00BA740F">
              <w:rPr>
                <w:sz w:val="22"/>
                <w:szCs w:val="22"/>
              </w:rPr>
              <w:t>evaluarea relevanței și comparabilității calificărilor naționale complete și parțiale cu cele internaționale – subdiviziunea responsabilă de dezvoltarea CNC din cadrul Ministerului Educației și Cercetării, ANACEC</w:t>
            </w:r>
          </w:p>
        </w:tc>
      </w:tr>
      <w:tr w:rsidR="006D4127" w:rsidRPr="00D60CC8" w14:paraId="6D8484DD" w14:textId="77777777" w:rsidTr="00893956">
        <w:tc>
          <w:tcPr>
            <w:tcW w:w="2689" w:type="dxa"/>
          </w:tcPr>
          <w:p w14:paraId="73459B68" w14:textId="77777777" w:rsidR="006D4127" w:rsidRPr="00BA740F" w:rsidRDefault="006D4127" w:rsidP="00825B55">
            <w:pPr>
              <w:jc w:val="both"/>
              <w:rPr>
                <w:rFonts w:ascii="Times New Roman" w:eastAsia="Times New Roman" w:hAnsi="Times New Roman" w:cs="Times New Roman"/>
                <w:kern w:val="0"/>
                <w14:ligatures w14:val="none"/>
              </w:rPr>
            </w:pPr>
            <w:r w:rsidRPr="00BA740F">
              <w:rPr>
                <w:rFonts w:ascii="Times New Roman" w:eastAsia="Times New Roman" w:hAnsi="Times New Roman" w:cs="Times New Roman"/>
                <w:kern w:val="0"/>
                <w14:ligatures w14:val="none"/>
              </w:rPr>
              <w:lastRenderedPageBreak/>
              <w:t>Consiliului Național pentru Calificări</w:t>
            </w:r>
          </w:p>
        </w:tc>
        <w:tc>
          <w:tcPr>
            <w:tcW w:w="11887" w:type="dxa"/>
          </w:tcPr>
          <w:p w14:paraId="5067DB8B"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lang w:eastAsia="en-US"/>
              </w:rPr>
            </w:pPr>
            <w:r w:rsidRPr="00BA740F">
              <w:rPr>
                <w:sz w:val="22"/>
                <w:szCs w:val="22"/>
                <w:lang w:eastAsia="en-US"/>
              </w:rPr>
              <w:t>asistă MEC în stabilirea direcțiilor strategice și a planurilor de acțiuni pentru dezvoltarea, actualizarea, validarea și certificarea calificărilor cu nivel CNC</w:t>
            </w:r>
          </w:p>
          <w:p w14:paraId="3B5E3997"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lang w:eastAsia="en-US"/>
              </w:rPr>
            </w:pPr>
            <w:r w:rsidRPr="00BA740F">
              <w:rPr>
                <w:sz w:val="22"/>
                <w:szCs w:val="22"/>
                <w:lang w:eastAsia="en-US"/>
              </w:rPr>
              <w:t>asigură expertiza politicilor publice pentru dezvoltarea CNC, standardelor și calificărilor necesare pentru pregătiea unei resurse umane competitive, capabile să funcționeze eficient într-o societate a cunoașterii, aflată în continuă schimbare</w:t>
            </w:r>
          </w:p>
          <w:p w14:paraId="28D42462"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lang w:eastAsia="en-US"/>
              </w:rPr>
            </w:pPr>
            <w:r w:rsidRPr="00BA740F">
              <w:rPr>
                <w:sz w:val="22"/>
                <w:szCs w:val="22"/>
                <w:lang w:eastAsia="en-US"/>
              </w:rPr>
              <w:t>aprobă calificările complete și parțiale pentru introducerea în RNC</w:t>
            </w:r>
          </w:p>
        </w:tc>
      </w:tr>
      <w:tr w:rsidR="006D4127" w:rsidRPr="00D60CC8" w14:paraId="1C2199CA" w14:textId="77777777" w:rsidTr="00893956">
        <w:tc>
          <w:tcPr>
            <w:tcW w:w="2689" w:type="dxa"/>
          </w:tcPr>
          <w:p w14:paraId="0FE9F425" w14:textId="77777777" w:rsidR="006D4127" w:rsidRPr="00BA740F" w:rsidRDefault="006D4127" w:rsidP="00825B55">
            <w:pPr>
              <w:jc w:val="both"/>
              <w:rPr>
                <w:rFonts w:ascii="Times New Roman" w:hAnsi="Times New Roman" w:cs="Times New Roman"/>
              </w:rPr>
            </w:pPr>
            <w:r w:rsidRPr="00BA740F">
              <w:rPr>
                <w:rFonts w:ascii="Times New Roman" w:eastAsia="Times New Roman" w:hAnsi="Times New Roman" w:cs="Times New Roman"/>
                <w:kern w:val="0"/>
                <w14:ligatures w14:val="none"/>
              </w:rPr>
              <w:t>Autoritățile administrației publice centrale, comitetele sectoriale pentru formare profesională, furnizorii de servicii educaționale și de formare profesională, angajatorii</w:t>
            </w:r>
          </w:p>
        </w:tc>
        <w:tc>
          <w:tcPr>
            <w:tcW w:w="11887" w:type="dxa"/>
          </w:tcPr>
          <w:p w14:paraId="1D47EB9C"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dezvoltarea, actualizarea și aprobarea standardelor de calificare</w:t>
            </w:r>
          </w:p>
          <w:p w14:paraId="6B26940A"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validarea și coordonarea programelor de studii pentru calificările complete și parțiale cu nivel CNC (3-5)</w:t>
            </w:r>
          </w:p>
          <w:p w14:paraId="420A31B4"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rPr>
              <w:t>informarea cu privire la calificările naționale, inclusiv calificările reglementate prin norme speciale</w:t>
            </w:r>
          </w:p>
        </w:tc>
      </w:tr>
      <w:tr w:rsidR="006D4127" w:rsidRPr="00D60CC8" w14:paraId="61018350" w14:textId="77777777" w:rsidTr="00893956">
        <w:tc>
          <w:tcPr>
            <w:tcW w:w="2689" w:type="dxa"/>
          </w:tcPr>
          <w:p w14:paraId="5015943A" w14:textId="77777777" w:rsidR="006D4127" w:rsidRPr="00BA740F" w:rsidRDefault="006D4127" w:rsidP="00825B55">
            <w:pPr>
              <w:jc w:val="both"/>
              <w:rPr>
                <w:rFonts w:ascii="Times New Roman" w:hAnsi="Times New Roman" w:cs="Times New Roman"/>
              </w:rPr>
            </w:pPr>
            <w:r w:rsidRPr="00BA740F">
              <w:rPr>
                <w:rFonts w:ascii="Times New Roman" w:eastAsia="Times New Roman" w:hAnsi="Times New Roman" w:cs="Times New Roman"/>
                <w:kern w:val="0"/>
                <w14:ligatures w14:val="none"/>
              </w:rPr>
              <w:t>Consiliul Național pentru Curriculum</w:t>
            </w:r>
          </w:p>
        </w:tc>
        <w:tc>
          <w:tcPr>
            <w:tcW w:w="11887" w:type="dxa"/>
          </w:tcPr>
          <w:p w14:paraId="66E45799"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lang w:eastAsia="en-US"/>
              </w:rPr>
              <w:t>validarea și coordonarea programelor</w:t>
            </w:r>
            <w:r w:rsidRPr="00BA740F">
              <w:rPr>
                <w:sz w:val="22"/>
                <w:szCs w:val="22"/>
              </w:rPr>
              <w:t xml:space="preserve"> de educație generală, pentru nivelurile 1-3 CNC</w:t>
            </w:r>
          </w:p>
        </w:tc>
      </w:tr>
      <w:tr w:rsidR="006D4127" w:rsidRPr="00D60CC8" w14:paraId="26FA10BA" w14:textId="77777777" w:rsidTr="00893956">
        <w:tc>
          <w:tcPr>
            <w:tcW w:w="2689" w:type="dxa"/>
          </w:tcPr>
          <w:p w14:paraId="12178223" w14:textId="77777777" w:rsidR="006D4127" w:rsidRPr="00BA740F" w:rsidRDefault="006D4127" w:rsidP="00825B55">
            <w:pPr>
              <w:jc w:val="both"/>
              <w:rPr>
                <w:rFonts w:ascii="Times New Roman" w:hAnsi="Times New Roman" w:cs="Times New Roman"/>
              </w:rPr>
            </w:pPr>
            <w:r w:rsidRPr="00BA740F">
              <w:rPr>
                <w:rFonts w:ascii="Times New Roman" w:eastAsia="Times New Roman" w:hAnsi="Times New Roman" w:cs="Times New Roman"/>
                <w:kern w:val="0"/>
                <w14:ligatures w14:val="none"/>
              </w:rPr>
              <w:t>Instituții desemnate de MEC, pe niveluri ale CNC și domenii de formare</w:t>
            </w:r>
          </w:p>
        </w:tc>
        <w:tc>
          <w:tcPr>
            <w:tcW w:w="11887" w:type="dxa"/>
          </w:tcPr>
          <w:p w14:paraId="2AE825AC"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lang w:eastAsia="en-US"/>
              </w:rPr>
              <w:t>serviciile</w:t>
            </w:r>
            <w:r w:rsidRPr="00BA740F">
              <w:rPr>
                <w:sz w:val="22"/>
                <w:szCs w:val="22"/>
              </w:rPr>
              <w:t xml:space="preserve"> de recunoaștere a rezultatelor învățării</w:t>
            </w:r>
          </w:p>
        </w:tc>
      </w:tr>
      <w:tr w:rsidR="006D4127" w:rsidRPr="00D60CC8" w14:paraId="079EE89A" w14:textId="77777777" w:rsidTr="00893956">
        <w:tc>
          <w:tcPr>
            <w:tcW w:w="2689" w:type="dxa"/>
          </w:tcPr>
          <w:p w14:paraId="62606FDB" w14:textId="77777777" w:rsidR="006D4127" w:rsidRPr="00BA740F" w:rsidRDefault="006D4127" w:rsidP="00825B55">
            <w:pPr>
              <w:jc w:val="both"/>
              <w:rPr>
                <w:rStyle w:val="af9"/>
                <w:rFonts w:ascii="Times New Roman" w:eastAsiaTheme="majorEastAsia" w:hAnsi="Times New Roman" w:cs="Times New Roman"/>
              </w:rPr>
            </w:pPr>
            <w:r w:rsidRPr="00BA740F">
              <w:rPr>
                <w:rFonts w:ascii="Times New Roman" w:eastAsia="Times New Roman" w:hAnsi="Times New Roman" w:cs="Times New Roman"/>
                <w:kern w:val="0"/>
                <w:lang w:eastAsia="ro-MD"/>
                <w14:ligatures w14:val="none"/>
              </w:rPr>
              <w:t>Furnizori de servicii educaționale acreditați</w:t>
            </w:r>
          </w:p>
        </w:tc>
        <w:tc>
          <w:tcPr>
            <w:tcW w:w="11887" w:type="dxa"/>
          </w:tcPr>
          <w:p w14:paraId="28B01EEB" w14:textId="77777777" w:rsidR="006D4127" w:rsidRPr="00BA740F" w:rsidRDefault="006D4127" w:rsidP="00A41843">
            <w:pPr>
              <w:pStyle w:val="af8"/>
              <w:numPr>
                <w:ilvl w:val="1"/>
                <w:numId w:val="145"/>
              </w:numPr>
              <w:shd w:val="clear" w:color="auto" w:fill="FFFFFF"/>
              <w:spacing w:before="0" w:beforeAutospacing="0" w:after="0" w:afterAutospacing="0"/>
              <w:ind w:left="271" w:hanging="271"/>
              <w:jc w:val="both"/>
              <w:rPr>
                <w:sz w:val="22"/>
                <w:szCs w:val="22"/>
              </w:rPr>
            </w:pPr>
            <w:r w:rsidRPr="00BA740F">
              <w:rPr>
                <w:sz w:val="22"/>
                <w:szCs w:val="22"/>
                <w:lang w:eastAsia="en-US"/>
              </w:rPr>
              <w:t>evaluarea</w:t>
            </w:r>
            <w:r w:rsidRPr="00BA740F">
              <w:rPr>
                <w:sz w:val="22"/>
                <w:szCs w:val="22"/>
              </w:rPr>
              <w:t xml:space="preserve"> rezultatelor învățării și certificarea calificărilor</w:t>
            </w:r>
          </w:p>
        </w:tc>
      </w:tr>
      <w:tr w:rsidR="006D4127" w:rsidRPr="00D60CC8" w14:paraId="53D48E92" w14:textId="77777777" w:rsidTr="00893956">
        <w:tc>
          <w:tcPr>
            <w:tcW w:w="2689" w:type="dxa"/>
          </w:tcPr>
          <w:p w14:paraId="764E1D81" w14:textId="77777777" w:rsidR="006D4127" w:rsidRPr="00BA740F" w:rsidRDefault="006D4127" w:rsidP="00825B55">
            <w:pPr>
              <w:jc w:val="both"/>
              <w:rPr>
                <w:rFonts w:ascii="Times New Roman" w:eastAsia="Times New Roman" w:hAnsi="Times New Roman" w:cs="Times New Roman"/>
                <w:kern w:val="0"/>
                <w:lang w:eastAsia="ro-MD"/>
                <w14:ligatures w14:val="none"/>
              </w:rPr>
            </w:pPr>
            <w:r w:rsidRPr="00BA740F">
              <w:rPr>
                <w:rFonts w:ascii="Times New Roman" w:eastAsia="Times New Roman" w:hAnsi="Times New Roman" w:cs="Times New Roman"/>
                <w:kern w:val="0"/>
                <w14:ligatures w14:val="none"/>
              </w:rPr>
              <w:t>CTICE</w:t>
            </w:r>
          </w:p>
        </w:tc>
        <w:tc>
          <w:tcPr>
            <w:tcW w:w="11887" w:type="dxa"/>
          </w:tcPr>
          <w:p w14:paraId="2DCEDB98" w14:textId="77777777" w:rsidR="006D4127" w:rsidRPr="00BA740F" w:rsidRDefault="006D4127" w:rsidP="00825B55">
            <w:pPr>
              <w:tabs>
                <w:tab w:val="left" w:pos="426"/>
                <w:tab w:val="left" w:pos="709"/>
                <w:tab w:val="left" w:pos="993"/>
                <w:tab w:val="left" w:pos="1134"/>
              </w:tabs>
              <w:jc w:val="both"/>
              <w:rPr>
                <w:rFonts w:ascii="Times New Roman" w:hAnsi="Times New Roman" w:cs="Times New Roman"/>
                <w:color w:val="3494BA" w:themeColor="accent1"/>
              </w:rPr>
            </w:pPr>
            <w:r w:rsidRPr="00BA740F">
              <w:rPr>
                <w:rFonts w:ascii="Times New Roman" w:eastAsia="Times New Roman" w:hAnsi="Times New Roman" w:cs="Times New Roman"/>
                <w:b/>
                <w:bCs/>
                <w:kern w:val="0"/>
                <w:lang w:eastAsia="ro-MD"/>
                <w14:ligatures w14:val="none"/>
              </w:rPr>
              <w:t>HG nr. 373/2006</w:t>
            </w:r>
            <w:r w:rsidRPr="00BA740F">
              <w:rPr>
                <w:rFonts w:ascii="Times New Roman" w:eastAsia="Times New Roman" w:hAnsi="Times New Roman" w:cs="Times New Roman"/>
                <w:kern w:val="0"/>
                <w:lang w:eastAsia="ro-MD"/>
                <w14:ligatures w14:val="none"/>
              </w:rPr>
              <w:t xml:space="preserve"> (</w:t>
            </w:r>
            <w:hyperlink r:id="rId61" w:history="1">
              <w:r w:rsidRPr="00BA740F">
                <w:rPr>
                  <w:rStyle w:val="aff0"/>
                  <w:rFonts w:ascii="Times New Roman" w:eastAsia="Times New Roman" w:hAnsi="Times New Roman" w:cs="Times New Roman"/>
                  <w:kern w:val="0"/>
                  <w:lang w:eastAsia="ro-MD"/>
                  <w14:ligatures w14:val="none"/>
                </w:rPr>
                <w:t>link</w:t>
              </w:r>
            </w:hyperlink>
            <w:r w:rsidRPr="00BA740F">
              <w:rPr>
                <w:rFonts w:ascii="Times New Roman" w:hAnsi="Times New Roman" w:cs="Times New Roman"/>
              </w:rPr>
              <w:t>)</w:t>
            </w:r>
            <w:r w:rsidRPr="00BA740F">
              <w:rPr>
                <w:rStyle w:val="10"/>
                <w:rFonts w:ascii="Times New Roman" w:hAnsi="Times New Roman" w:cs="Times New Roman"/>
                <w:color w:val="333333"/>
                <w:sz w:val="22"/>
                <w:szCs w:val="22"/>
                <w:shd w:val="clear" w:color="auto" w:fill="FFFFFF"/>
              </w:rPr>
              <w:t xml:space="preserve"> </w:t>
            </w:r>
            <w:r w:rsidRPr="00BA740F">
              <w:rPr>
                <w:rStyle w:val="af9"/>
                <w:rFonts w:ascii="Times New Roman" w:hAnsi="Times New Roman" w:cs="Times New Roman"/>
                <w:b w:val="0"/>
                <w:bCs w:val="0"/>
                <w:color w:val="333333"/>
                <w:shd w:val="clear" w:color="auto" w:fill="FFFFFF"/>
              </w:rPr>
              <w:t>c</w:t>
            </w:r>
            <w:r w:rsidRPr="00BA740F">
              <w:rPr>
                <w:rFonts w:ascii="Times New Roman" w:eastAsia="Times New Roman" w:hAnsi="Times New Roman" w:cs="Times New Roman"/>
                <w:kern w:val="0"/>
                <w14:ligatures w14:val="none"/>
              </w:rPr>
              <w:t>u privire la reorganizarea Centrului Noilor Tehnologii Informaționale</w:t>
            </w:r>
          </w:p>
          <w:p w14:paraId="73CB2843" w14:textId="77777777" w:rsidR="006D4127" w:rsidRPr="00BA740F" w:rsidRDefault="006D4127" w:rsidP="00A41843">
            <w:pPr>
              <w:pStyle w:val="a7"/>
              <w:numPr>
                <w:ilvl w:val="0"/>
                <w:numId w:val="145"/>
              </w:numPr>
              <w:tabs>
                <w:tab w:val="left" w:pos="426"/>
                <w:tab w:val="left" w:pos="709"/>
                <w:tab w:val="left" w:pos="993"/>
                <w:tab w:val="left" w:pos="1134"/>
              </w:tabs>
              <w:jc w:val="both"/>
              <w:rPr>
                <w:rFonts w:ascii="Times New Roman" w:eastAsia="Times New Roman" w:hAnsi="Times New Roman" w:cs="Times New Roman"/>
                <w:kern w:val="0"/>
                <w14:ligatures w14:val="none"/>
              </w:rPr>
            </w:pPr>
            <w:r w:rsidRPr="00BA740F">
              <w:rPr>
                <w:rFonts w:ascii="Times New Roman" w:eastAsia="Times New Roman" w:hAnsi="Times New Roman" w:cs="Times New Roman"/>
                <w:kern w:val="0"/>
                <w:shd w:val="clear" w:color="auto" w:fill="FFFFFF"/>
                <w14:ligatures w14:val="none"/>
              </w:rPr>
              <w:t>gestionarea datelor cu privire la actele de studii de diferite niveluri</w:t>
            </w:r>
            <w:r w:rsidRPr="00BA740F">
              <w:rPr>
                <w:rFonts w:ascii="Times New Roman" w:eastAsia="Times New Roman" w:hAnsi="Times New Roman" w:cs="Times New Roman"/>
                <w:kern w:val="0"/>
                <w14:ligatures w14:val="none"/>
              </w:rPr>
              <w:t>;</w:t>
            </w:r>
          </w:p>
        </w:tc>
      </w:tr>
      <w:tr w:rsidR="006D4127" w:rsidRPr="00D60CC8" w14:paraId="3F5DE0F2" w14:textId="77777777" w:rsidTr="00893956">
        <w:tc>
          <w:tcPr>
            <w:tcW w:w="2689" w:type="dxa"/>
          </w:tcPr>
          <w:p w14:paraId="1C6E572D" w14:textId="77777777" w:rsidR="006D4127" w:rsidRPr="00BA740F" w:rsidRDefault="006D4127" w:rsidP="00825B55">
            <w:pPr>
              <w:jc w:val="both"/>
              <w:rPr>
                <w:rFonts w:ascii="Times New Roman" w:eastAsia="Times New Roman" w:hAnsi="Times New Roman" w:cs="Times New Roman"/>
                <w:kern w:val="0"/>
                <w14:ligatures w14:val="none"/>
              </w:rPr>
            </w:pPr>
            <w:r w:rsidRPr="00BA740F">
              <w:rPr>
                <w:rFonts w:ascii="Times New Roman" w:hAnsi="Times New Roman" w:cs="Times New Roman"/>
              </w:rPr>
              <w:t>Agenția Națională de Asigurare a Calității în Educație și Cercetare</w:t>
            </w:r>
          </w:p>
        </w:tc>
        <w:tc>
          <w:tcPr>
            <w:tcW w:w="11887" w:type="dxa"/>
          </w:tcPr>
          <w:p w14:paraId="50130E8C" w14:textId="77777777" w:rsidR="006D4127" w:rsidRPr="00BA740F" w:rsidRDefault="006D4127" w:rsidP="00825B55">
            <w:pPr>
              <w:tabs>
                <w:tab w:val="left" w:pos="426"/>
                <w:tab w:val="left" w:pos="709"/>
                <w:tab w:val="left" w:pos="993"/>
                <w:tab w:val="left" w:pos="1134"/>
              </w:tabs>
              <w:contextualSpacing/>
              <w:jc w:val="both"/>
              <w:rPr>
                <w:rFonts w:ascii="Times New Roman" w:hAnsi="Times New Roman" w:cs="Times New Roman"/>
                <w:b/>
                <w:bCs/>
                <w:lang w:val="ro-MD"/>
              </w:rPr>
            </w:pPr>
            <w:r w:rsidRPr="00BA740F">
              <w:rPr>
                <w:rFonts w:ascii="Times New Roman" w:hAnsi="Times New Roman" w:cs="Times New Roman"/>
                <w:b/>
                <w:bCs/>
              </w:rPr>
              <w:t>HG nr. 201/2018</w:t>
            </w:r>
            <w:r w:rsidRPr="00BA740F">
              <w:rPr>
                <w:rFonts w:ascii="Times New Roman" w:hAnsi="Times New Roman" w:cs="Times New Roman"/>
              </w:rPr>
              <w:t xml:space="preserve"> (</w:t>
            </w:r>
            <w:hyperlink r:id="rId62" w:history="1">
              <w:r w:rsidRPr="00BA740F">
                <w:rPr>
                  <w:rStyle w:val="aff0"/>
                  <w:rFonts w:ascii="Times New Roman" w:hAnsi="Times New Roman" w:cs="Times New Roman"/>
                </w:rPr>
                <w:t>link</w:t>
              </w:r>
            </w:hyperlink>
            <w:r w:rsidRPr="00BA740F">
              <w:rPr>
                <w:rFonts w:ascii="Times New Roman" w:hAnsi="Times New Roman" w:cs="Times New Roman"/>
              </w:rPr>
              <w:t xml:space="preserve">) </w:t>
            </w:r>
            <w:r w:rsidRPr="00BA740F">
              <w:rPr>
                <w:rFonts w:ascii="Times New Roman" w:hAnsi="Times New Roman" w:cs="Times New Roman"/>
                <w:lang w:val="ro-MD"/>
              </w:rPr>
              <w:t>cu privire la organizarea și funcționarea Agenției Naționale de Asigurare a Calității în Educație și Cercetare.</w:t>
            </w:r>
          </w:p>
          <w:p w14:paraId="0621E95B" w14:textId="77777777" w:rsidR="006D4127" w:rsidRPr="00BA740F" w:rsidRDefault="006D4127" w:rsidP="00825B55">
            <w:pPr>
              <w:pStyle w:val="af8"/>
              <w:shd w:val="clear" w:color="auto" w:fill="FFFFFF"/>
              <w:spacing w:before="0" w:beforeAutospacing="0" w:after="0" w:afterAutospacing="0"/>
              <w:jc w:val="both"/>
              <w:rPr>
                <w:color w:val="333333"/>
                <w:sz w:val="22"/>
                <w:szCs w:val="22"/>
                <w:lang w:val="ro-MD"/>
              </w:rPr>
            </w:pPr>
            <w:r w:rsidRPr="00BA740F">
              <w:rPr>
                <w:color w:val="333333"/>
                <w:sz w:val="22"/>
                <w:szCs w:val="22"/>
              </w:rPr>
              <w:t>Agenția are următoarele funcții:</w:t>
            </w:r>
          </w:p>
          <w:p w14:paraId="5E01E907" w14:textId="77777777" w:rsidR="006D4127" w:rsidRPr="00BA740F" w:rsidRDefault="006D4127" w:rsidP="00A41843">
            <w:pPr>
              <w:pStyle w:val="a7"/>
              <w:numPr>
                <w:ilvl w:val="0"/>
                <w:numId w:val="145"/>
              </w:numPr>
              <w:tabs>
                <w:tab w:val="left" w:pos="426"/>
                <w:tab w:val="left" w:pos="709"/>
                <w:tab w:val="left" w:pos="993"/>
                <w:tab w:val="left" w:pos="1134"/>
              </w:tabs>
              <w:jc w:val="both"/>
              <w:rPr>
                <w:rFonts w:ascii="Times New Roman" w:eastAsia="Times New Roman" w:hAnsi="Times New Roman" w:cs="Times New Roman"/>
                <w:kern w:val="0"/>
                <w:shd w:val="clear" w:color="auto" w:fill="FFFFFF"/>
                <w14:ligatures w14:val="none"/>
              </w:rPr>
            </w:pPr>
            <w:r w:rsidRPr="00BA740F">
              <w:rPr>
                <w:rFonts w:ascii="Times New Roman" w:eastAsia="Times New Roman" w:hAnsi="Times New Roman" w:cs="Times New Roman"/>
                <w:kern w:val="0"/>
                <w:shd w:val="clear" w:color="auto" w:fill="FFFFFF"/>
                <w14:ligatures w14:val="none"/>
              </w:rPr>
              <w:t>evaluarea calității în învățământul profesional tehnic și superior;</w:t>
            </w:r>
          </w:p>
          <w:p w14:paraId="0A558863" w14:textId="77777777" w:rsidR="006D4127" w:rsidRPr="00BA740F" w:rsidRDefault="006D4127" w:rsidP="00A41843">
            <w:pPr>
              <w:pStyle w:val="a7"/>
              <w:numPr>
                <w:ilvl w:val="0"/>
                <w:numId w:val="145"/>
              </w:numPr>
              <w:tabs>
                <w:tab w:val="left" w:pos="426"/>
                <w:tab w:val="left" w:pos="709"/>
                <w:tab w:val="left" w:pos="993"/>
                <w:tab w:val="left" w:pos="1134"/>
              </w:tabs>
              <w:jc w:val="both"/>
              <w:rPr>
                <w:rFonts w:ascii="Times New Roman" w:eastAsia="Times New Roman" w:hAnsi="Times New Roman" w:cs="Times New Roman"/>
                <w:kern w:val="0"/>
                <w:shd w:val="clear" w:color="auto" w:fill="FFFFFF"/>
                <w14:ligatures w14:val="none"/>
              </w:rPr>
            </w:pPr>
            <w:r w:rsidRPr="00BA740F">
              <w:rPr>
                <w:rFonts w:ascii="Times New Roman" w:eastAsia="Times New Roman" w:hAnsi="Times New Roman" w:cs="Times New Roman"/>
                <w:kern w:val="0"/>
                <w:shd w:val="clear" w:color="auto" w:fill="FFFFFF"/>
                <w14:ligatures w14:val="none"/>
              </w:rPr>
              <w:t>evaluarea externă a programelor de formare profesională a adulților;</w:t>
            </w:r>
          </w:p>
          <w:p w14:paraId="0E5E0573" w14:textId="77777777" w:rsidR="006D4127" w:rsidRPr="00BA740F" w:rsidRDefault="006D4127" w:rsidP="00A41843">
            <w:pPr>
              <w:pStyle w:val="a7"/>
              <w:numPr>
                <w:ilvl w:val="0"/>
                <w:numId w:val="145"/>
              </w:numPr>
              <w:tabs>
                <w:tab w:val="left" w:pos="426"/>
                <w:tab w:val="left" w:pos="709"/>
                <w:tab w:val="left" w:pos="993"/>
                <w:tab w:val="left" w:pos="1134"/>
              </w:tabs>
              <w:jc w:val="both"/>
              <w:rPr>
                <w:rFonts w:ascii="Times New Roman" w:eastAsia="Times New Roman" w:hAnsi="Times New Roman" w:cs="Times New Roman"/>
                <w:kern w:val="0"/>
                <w:shd w:val="clear" w:color="auto" w:fill="FFFFFF"/>
                <w14:ligatures w14:val="none"/>
              </w:rPr>
            </w:pPr>
            <w:r w:rsidRPr="00BA740F">
              <w:rPr>
                <w:rFonts w:ascii="Times New Roman" w:eastAsia="Times New Roman" w:hAnsi="Times New Roman" w:cs="Times New Roman"/>
                <w:kern w:val="0"/>
                <w:shd w:val="clear" w:color="auto" w:fill="FFFFFF"/>
                <w14:ligatures w14:val="none"/>
              </w:rPr>
              <w:t>evaluarea externă a organizațiilor din domeniile cercetării și inovării;</w:t>
            </w:r>
          </w:p>
          <w:p w14:paraId="4803CB31" w14:textId="77777777" w:rsidR="006D4127" w:rsidRPr="00BA740F" w:rsidRDefault="006D4127" w:rsidP="00A41843">
            <w:pPr>
              <w:pStyle w:val="a7"/>
              <w:numPr>
                <w:ilvl w:val="0"/>
                <w:numId w:val="145"/>
              </w:numPr>
              <w:tabs>
                <w:tab w:val="left" w:pos="426"/>
                <w:tab w:val="left" w:pos="709"/>
                <w:tab w:val="left" w:pos="993"/>
                <w:tab w:val="left" w:pos="1134"/>
              </w:tabs>
              <w:jc w:val="both"/>
              <w:rPr>
                <w:rFonts w:ascii="Times New Roman" w:eastAsia="Times New Roman" w:hAnsi="Times New Roman" w:cs="Times New Roman"/>
                <w:kern w:val="0"/>
                <w:shd w:val="clear" w:color="auto" w:fill="FFFFFF"/>
                <w14:ligatures w14:val="none"/>
              </w:rPr>
            </w:pPr>
            <w:r w:rsidRPr="00BA740F">
              <w:rPr>
                <w:rFonts w:ascii="Times New Roman" w:eastAsia="Times New Roman" w:hAnsi="Times New Roman" w:cs="Times New Roman"/>
                <w:kern w:val="0"/>
                <w:shd w:val="clear" w:color="auto" w:fill="FFFFFF"/>
                <w14:ligatures w14:val="none"/>
              </w:rPr>
              <w:t>evaluarea personalului științific și științifico-didactic;</w:t>
            </w:r>
          </w:p>
          <w:p w14:paraId="5496FC67" w14:textId="77777777" w:rsidR="006D4127" w:rsidRPr="00BA740F" w:rsidRDefault="006D4127" w:rsidP="00A41843">
            <w:pPr>
              <w:pStyle w:val="a7"/>
              <w:numPr>
                <w:ilvl w:val="0"/>
                <w:numId w:val="145"/>
              </w:numPr>
              <w:tabs>
                <w:tab w:val="left" w:pos="426"/>
                <w:tab w:val="left" w:pos="709"/>
                <w:tab w:val="left" w:pos="993"/>
                <w:tab w:val="left" w:pos="1134"/>
              </w:tabs>
              <w:jc w:val="both"/>
              <w:rPr>
                <w:rFonts w:ascii="Times New Roman" w:eastAsia="Times New Roman" w:hAnsi="Times New Roman" w:cs="Times New Roman"/>
                <w:color w:val="333333"/>
                <w:kern w:val="0"/>
                <w14:ligatures w14:val="none"/>
              </w:rPr>
            </w:pPr>
            <w:r w:rsidRPr="00BA740F">
              <w:rPr>
                <w:rFonts w:ascii="Times New Roman" w:eastAsia="Times New Roman" w:hAnsi="Times New Roman" w:cs="Times New Roman"/>
                <w:kern w:val="0"/>
                <w:shd w:val="clear" w:color="auto" w:fill="FFFFFF"/>
                <w14:ligatures w14:val="none"/>
              </w:rPr>
              <w:t>controlul privind calitatea învățământului profesional și de formare profesională a adulților, respectarea cerințelor de acreditare și autorizare a entităților ofertante de programe și servicii educaționale.</w:t>
            </w:r>
          </w:p>
        </w:tc>
      </w:tr>
    </w:tbl>
    <w:p w14:paraId="59B2A91B" w14:textId="77777777" w:rsidR="005A1FF9" w:rsidRDefault="005A1FF9" w:rsidP="00684B96">
      <w:pPr>
        <w:spacing w:before="120" w:after="120" w:line="276" w:lineRule="auto"/>
        <w:jc w:val="both"/>
        <w:rPr>
          <w:rFonts w:ascii="Times New Roman" w:eastAsia="Times New Roman" w:hAnsi="Times New Roman" w:cs="Times New Roman"/>
          <w:kern w:val="0"/>
          <w:sz w:val="24"/>
          <w:szCs w:val="24"/>
          <w:lang w:eastAsia="ro-MD"/>
          <w14:ligatures w14:val="none"/>
        </w:rPr>
      </w:pPr>
    </w:p>
    <w:p w14:paraId="3761837B" w14:textId="77777777" w:rsidR="00C22748" w:rsidRDefault="00C22748" w:rsidP="00C22748">
      <w:pPr>
        <w:rPr>
          <w:rStyle w:val="af9"/>
          <w:rFonts w:ascii="Times New Roman" w:eastAsiaTheme="majorEastAsia" w:hAnsi="Times New Roman" w:cs="Times New Roman"/>
          <w:sz w:val="24"/>
          <w:szCs w:val="24"/>
        </w:rPr>
      </w:pPr>
    </w:p>
    <w:p w14:paraId="2716F89A" w14:textId="77777777" w:rsidR="00C22748" w:rsidRPr="00C22748" w:rsidRDefault="00C22748" w:rsidP="00C22748">
      <w:pPr>
        <w:sectPr w:rsidR="00C22748" w:rsidRPr="00C22748" w:rsidSect="009E52AB">
          <w:pgSz w:w="16838" w:h="11906" w:orient="landscape"/>
          <w:pgMar w:top="851" w:right="1134" w:bottom="851" w:left="1134" w:header="709" w:footer="709"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cols w:space="708"/>
          <w:docGrid w:linePitch="360"/>
        </w:sectPr>
      </w:pPr>
    </w:p>
    <w:p w14:paraId="455EBFCB" w14:textId="66001849" w:rsidR="00222B58" w:rsidRPr="001F6026" w:rsidRDefault="00B74A5D" w:rsidP="00222B58">
      <w:pPr>
        <w:spacing w:before="120" w:after="120" w:line="276" w:lineRule="auto"/>
        <w:jc w:val="both"/>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lastRenderedPageBreak/>
        <w:t xml:space="preserve">CRITERIUL 2. </w:t>
      </w:r>
      <w:r w:rsidR="00222B58" w:rsidRPr="001F6026">
        <w:rPr>
          <w:rFonts w:ascii="Times New Roman" w:hAnsi="Times New Roman" w:cs="Times New Roman"/>
          <w:b/>
          <w:bCs/>
          <w:color w:val="3494BA" w:themeColor="accent1"/>
          <w:sz w:val="24"/>
          <w:szCs w:val="24"/>
        </w:rPr>
        <w:t xml:space="preserve">Nivelurile CNC și </w:t>
      </w:r>
      <w:r w:rsidR="00D00D7C" w:rsidRPr="001F6026">
        <w:rPr>
          <w:rFonts w:ascii="Times New Roman" w:hAnsi="Times New Roman" w:cs="Times New Roman"/>
          <w:b/>
          <w:bCs/>
          <w:color w:val="3494BA" w:themeColor="accent1"/>
          <w:sz w:val="24"/>
          <w:szCs w:val="24"/>
        </w:rPr>
        <w:t>l</w:t>
      </w:r>
      <w:r w:rsidR="0039637D" w:rsidRPr="001F6026">
        <w:rPr>
          <w:rFonts w:ascii="Times New Roman" w:hAnsi="Times New Roman" w:cs="Times New Roman"/>
          <w:b/>
          <w:bCs/>
          <w:color w:val="3494BA" w:themeColor="accent1"/>
          <w:sz w:val="24"/>
          <w:szCs w:val="24"/>
        </w:rPr>
        <w:t>egătura cu descrierile de nivel EQF</w:t>
      </w:r>
    </w:p>
    <w:tbl>
      <w:tblPr>
        <w:tblStyle w:val="aff"/>
        <w:tblW w:w="0" w:type="auto"/>
        <w:tblBorders>
          <w:top w:val="single" w:sz="8" w:space="0" w:color="7FC0DB" w:themeColor="accent1" w:themeTint="99"/>
          <w:left w:val="single" w:sz="8" w:space="0" w:color="7FC0DB" w:themeColor="accent1" w:themeTint="99"/>
          <w:bottom w:val="single" w:sz="8" w:space="0" w:color="7FC0DB" w:themeColor="accent1" w:themeTint="99"/>
          <w:right w:val="single" w:sz="8" w:space="0" w:color="7FC0DB" w:themeColor="accent1" w:themeTint="99"/>
          <w:insideH w:val="single" w:sz="8" w:space="0" w:color="7FC0DB" w:themeColor="accent1" w:themeTint="99"/>
          <w:insideV w:val="single" w:sz="8" w:space="0" w:color="7FC0DB" w:themeColor="accent1" w:themeTint="99"/>
        </w:tblBorders>
        <w:tblLook w:val="04A0" w:firstRow="1" w:lastRow="0" w:firstColumn="1" w:lastColumn="0" w:noHBand="0" w:noVBand="1"/>
      </w:tblPr>
      <w:tblGrid>
        <w:gridCol w:w="10135"/>
      </w:tblGrid>
      <w:tr w:rsidR="00222B58" w:rsidRPr="001F6026" w14:paraId="5180542A" w14:textId="77777777" w:rsidTr="005F1E3F">
        <w:trPr>
          <w:trHeight w:val="941"/>
        </w:trPr>
        <w:tc>
          <w:tcPr>
            <w:tcW w:w="10135" w:type="dxa"/>
          </w:tcPr>
          <w:p w14:paraId="5EF0A895" w14:textId="0F4DCFC6" w:rsidR="00222B58" w:rsidRPr="001F6026" w:rsidRDefault="0076502B" w:rsidP="00B81475">
            <w:pPr>
              <w:spacing w:before="120" w:after="120" w:line="276" w:lineRule="auto"/>
              <w:jc w:val="both"/>
              <w:outlineLvl w:val="2"/>
              <w:rPr>
                <w:rFonts w:ascii="Times New Roman" w:hAnsi="Times New Roman" w:cs="Times New Roman"/>
                <w:color w:val="3494BA" w:themeColor="accent1"/>
                <w:sz w:val="24"/>
                <w:szCs w:val="24"/>
              </w:rPr>
            </w:pPr>
            <w:r w:rsidRPr="001F6026">
              <w:rPr>
                <w:rFonts w:ascii="Times New Roman" w:hAnsi="Times New Roman" w:cs="Times New Roman"/>
                <w:i/>
                <w:iCs/>
                <w:color w:val="3494BA" w:themeColor="accent1"/>
                <w:sz w:val="24"/>
                <w:szCs w:val="24"/>
              </w:rPr>
              <w:t>D</w:t>
            </w:r>
            <w:r w:rsidR="004A4305" w:rsidRPr="001F6026">
              <w:rPr>
                <w:rFonts w:ascii="Times New Roman" w:hAnsi="Times New Roman" w:cs="Times New Roman"/>
                <w:i/>
                <w:iCs/>
                <w:color w:val="3494BA" w:themeColor="accent1"/>
                <w:sz w:val="24"/>
                <w:szCs w:val="24"/>
              </w:rPr>
              <w:t>e</w:t>
            </w:r>
            <w:r w:rsidRPr="001F6026">
              <w:rPr>
                <w:rFonts w:ascii="Times New Roman" w:hAnsi="Times New Roman" w:cs="Times New Roman"/>
                <w:i/>
                <w:iCs/>
                <w:color w:val="3494BA" w:themeColor="accent1"/>
                <w:sz w:val="24"/>
                <w:szCs w:val="24"/>
              </w:rPr>
              <w:t>finiție</w:t>
            </w:r>
            <w:r w:rsidRPr="001F6026">
              <w:rPr>
                <w:rFonts w:ascii="Times New Roman" w:hAnsi="Times New Roman" w:cs="Times New Roman"/>
                <w:i/>
                <w:iCs/>
                <w:sz w:val="24"/>
                <w:szCs w:val="24"/>
              </w:rPr>
              <w:t>:</w:t>
            </w:r>
            <w:r w:rsidRPr="001F6026">
              <w:rPr>
                <w:rFonts w:ascii="Times New Roman" w:hAnsi="Times New Roman" w:cs="Times New Roman"/>
                <w:sz w:val="24"/>
                <w:szCs w:val="24"/>
              </w:rPr>
              <w:t xml:space="preserve"> </w:t>
            </w:r>
            <w:r w:rsidR="00222B58" w:rsidRPr="001F6026">
              <w:rPr>
                <w:rFonts w:ascii="Times New Roman" w:hAnsi="Times New Roman" w:cs="Times New Roman"/>
                <w:sz w:val="24"/>
                <w:szCs w:val="24"/>
              </w:rPr>
              <w:t>Există o legătură clară și demonstrabilă între nivelurile calificărilor din cadrele sau sistemele naționale ale calificărilor și descriptorii nivelurilor CEC/EQF.</w:t>
            </w:r>
          </w:p>
        </w:tc>
      </w:tr>
    </w:tbl>
    <w:p w14:paraId="45701D05" w14:textId="5748BC57" w:rsidR="0038438D" w:rsidRPr="001F6026" w:rsidRDefault="0038438D" w:rsidP="0038438D">
      <w:pPr>
        <w:pStyle w:val="af8"/>
        <w:spacing w:before="120" w:beforeAutospacing="0" w:after="120" w:afterAutospacing="0" w:line="276" w:lineRule="auto"/>
        <w:rPr>
          <w:rFonts w:hAnsi="Symbol"/>
          <w:b/>
          <w:bCs/>
          <w:color w:val="3494BA" w:themeColor="accent1"/>
        </w:rPr>
      </w:pPr>
      <w:r w:rsidRPr="001F6026">
        <w:rPr>
          <w:rFonts w:hAnsi="Symbol"/>
          <w:b/>
          <w:bCs/>
          <w:color w:val="3494BA" w:themeColor="accent1"/>
        </w:rPr>
        <w:t xml:space="preserve">Aspecte cheie pentru Criteriul </w:t>
      </w:r>
      <w:r w:rsidR="000772DE">
        <w:rPr>
          <w:rFonts w:hAnsi="Symbol"/>
          <w:b/>
          <w:bCs/>
          <w:color w:val="3494BA" w:themeColor="accent1"/>
        </w:rPr>
        <w:t>2</w:t>
      </w:r>
      <w:r w:rsidRPr="001F6026">
        <w:rPr>
          <w:rFonts w:hAnsi="Symbol"/>
          <w:b/>
          <w:bCs/>
          <w:color w:val="3494BA" w:themeColor="accent1"/>
        </w:rPr>
        <w:t>:</w:t>
      </w:r>
    </w:p>
    <w:p w14:paraId="0F7B7D59" w14:textId="679646C8" w:rsidR="00D97A04" w:rsidRPr="007467B4" w:rsidRDefault="00D97A04" w:rsidP="0038438D">
      <w:pPr>
        <w:spacing w:before="120" w:after="120" w:line="276" w:lineRule="auto"/>
        <w:jc w:val="both"/>
        <w:rPr>
          <w:rFonts w:ascii="Times New Roman" w:eastAsia="Times New Roman" w:hAnsi="Times New Roman" w:cs="Times New Roman"/>
          <w:color w:val="3494BA" w:themeColor="accent1"/>
          <w:kern w:val="0"/>
          <w:sz w:val="24"/>
          <w:szCs w:val="24"/>
          <w:lang w:eastAsia="ro-MD"/>
          <w14:ligatures w14:val="none"/>
        </w:rPr>
      </w:pPr>
      <w:r w:rsidRPr="007467B4">
        <w:rPr>
          <w:rFonts w:ascii="Times New Roman" w:eastAsia="Times New Roman" w:hAnsi="Times New Roman" w:cs="Times New Roman"/>
          <w:color w:val="3494BA" w:themeColor="accent1"/>
          <w:kern w:val="0"/>
          <w:sz w:val="24"/>
          <w:szCs w:val="24"/>
          <w:lang w:eastAsia="ro-MD"/>
          <w14:ligatures w14:val="none"/>
        </w:rPr>
        <w:t>Elementul central al primei referențieri este demonstrarea corespunderii dintre nivelurile CNC și nivelurile EQF.</w:t>
      </w:r>
    </w:p>
    <w:p w14:paraId="0F848432" w14:textId="738CD74E" w:rsidR="00D97A04" w:rsidRPr="007467B4" w:rsidRDefault="00D97A04" w:rsidP="009C4567">
      <w:pPr>
        <w:spacing w:before="120" w:after="120" w:line="276" w:lineRule="auto"/>
        <w:jc w:val="both"/>
        <w:rPr>
          <w:rFonts w:ascii="Times New Roman" w:eastAsia="Times New Roman" w:hAnsi="Times New Roman" w:cs="Times New Roman"/>
          <w:color w:val="3494BA" w:themeColor="accent1"/>
          <w:kern w:val="0"/>
          <w:sz w:val="24"/>
          <w:szCs w:val="24"/>
          <w:lang w:eastAsia="ro-MD"/>
          <w14:ligatures w14:val="none"/>
        </w:rPr>
      </w:pPr>
      <w:r w:rsidRPr="007467B4">
        <w:rPr>
          <w:rFonts w:ascii="Times New Roman" w:eastAsia="Times New Roman" w:hAnsi="Times New Roman" w:cs="Times New Roman"/>
          <w:color w:val="3494BA" w:themeColor="accent1"/>
          <w:kern w:val="0"/>
          <w:sz w:val="24"/>
          <w:szCs w:val="24"/>
          <w:lang w:eastAsia="ro-MD"/>
          <w14:ligatures w14:val="none"/>
        </w:rPr>
        <w:t>Nivelurile (dimensiunea verticală) și domeniile de învățare (dimensiunea orizontală) trebuie descrise și analizate pentru a reflecta structura și coerența CNC.</w:t>
      </w:r>
    </w:p>
    <w:p w14:paraId="69D022DD" w14:textId="6CA24525" w:rsidR="00D97A04" w:rsidRPr="00C30720" w:rsidRDefault="00D97A04" w:rsidP="009C4567">
      <w:pPr>
        <w:spacing w:before="120" w:after="120" w:line="276" w:lineRule="auto"/>
        <w:jc w:val="both"/>
        <w:rPr>
          <w:rFonts w:ascii="Times New Roman" w:eastAsia="Times New Roman" w:hAnsi="Times New Roman" w:cs="Times New Roman"/>
          <w:color w:val="3494BA" w:themeColor="accent1"/>
          <w:kern w:val="0"/>
          <w:sz w:val="24"/>
          <w:szCs w:val="24"/>
          <w:lang w:eastAsia="ro-MD"/>
          <w14:ligatures w14:val="none"/>
        </w:rPr>
      </w:pPr>
      <w:r w:rsidRPr="007467B4">
        <w:rPr>
          <w:rFonts w:ascii="Times New Roman" w:eastAsia="Times New Roman" w:hAnsi="Times New Roman" w:cs="Times New Roman"/>
          <w:color w:val="3494BA" w:themeColor="accent1"/>
          <w:kern w:val="0"/>
          <w:sz w:val="24"/>
          <w:szCs w:val="24"/>
          <w:lang w:eastAsia="ro-MD"/>
          <w14:ligatures w14:val="none"/>
        </w:rPr>
        <w:t>Elaborarea descriptorilor de nivel și relația</w:t>
      </w:r>
      <w:r w:rsidRPr="001F6026">
        <w:rPr>
          <w:rFonts w:ascii="Times New Roman" w:eastAsia="Times New Roman" w:hAnsi="Times New Roman" w:cs="Times New Roman"/>
          <w:color w:val="3494BA" w:themeColor="accent1"/>
          <w:kern w:val="0"/>
          <w:sz w:val="24"/>
          <w:szCs w:val="24"/>
          <w:lang w:eastAsia="ro-MD"/>
          <w14:ligatures w14:val="none"/>
        </w:rPr>
        <w:t xml:space="preserve"> acestora cu descriptorii EQF trebuie prezentate prin </w:t>
      </w:r>
      <w:r w:rsidRPr="00377A69">
        <w:rPr>
          <w:rFonts w:ascii="Times New Roman" w:eastAsia="Times New Roman" w:hAnsi="Times New Roman" w:cs="Times New Roman"/>
          <w:color w:val="3494BA" w:themeColor="accent1"/>
          <w:kern w:val="0"/>
          <w:sz w:val="24"/>
          <w:szCs w:val="24"/>
          <w:u w:val="single"/>
          <w:lang w:eastAsia="ro-MD"/>
          <w14:ligatures w14:val="none"/>
        </w:rPr>
        <w:t xml:space="preserve">analiza </w:t>
      </w:r>
      <w:r w:rsidRPr="00C30720">
        <w:rPr>
          <w:rFonts w:ascii="Times New Roman" w:eastAsia="Times New Roman" w:hAnsi="Times New Roman" w:cs="Times New Roman"/>
          <w:color w:val="3494BA" w:themeColor="accent1"/>
          <w:kern w:val="0"/>
          <w:sz w:val="24"/>
          <w:szCs w:val="24"/>
          <w:u w:val="single"/>
          <w:lang w:eastAsia="ro-MD"/>
          <w14:ligatures w14:val="none"/>
        </w:rPr>
        <w:t>lingvistică</w:t>
      </w:r>
      <w:r w:rsidRPr="00C30720">
        <w:rPr>
          <w:rFonts w:ascii="Times New Roman" w:eastAsia="Times New Roman" w:hAnsi="Times New Roman" w:cs="Times New Roman"/>
          <w:color w:val="3494BA" w:themeColor="accent1"/>
          <w:kern w:val="0"/>
          <w:sz w:val="24"/>
          <w:szCs w:val="24"/>
          <w:lang w:eastAsia="ro-MD"/>
          <w14:ligatures w14:val="none"/>
        </w:rPr>
        <w:t xml:space="preserve">, identificarea </w:t>
      </w:r>
      <w:r w:rsidRPr="00C30720">
        <w:rPr>
          <w:rFonts w:ascii="Times New Roman" w:eastAsia="Times New Roman" w:hAnsi="Times New Roman" w:cs="Times New Roman"/>
          <w:color w:val="3494BA" w:themeColor="accent1"/>
          <w:kern w:val="0"/>
          <w:sz w:val="24"/>
          <w:szCs w:val="24"/>
          <w:u w:val="single"/>
          <w:lang w:eastAsia="ro-MD"/>
          <w14:ligatures w14:val="none"/>
        </w:rPr>
        <w:t>asemănărilor și diferențelor conceptuale</w:t>
      </w:r>
      <w:r w:rsidRPr="00C30720">
        <w:rPr>
          <w:rFonts w:ascii="Times New Roman" w:eastAsia="Times New Roman" w:hAnsi="Times New Roman" w:cs="Times New Roman"/>
          <w:color w:val="3494BA" w:themeColor="accent1"/>
          <w:kern w:val="0"/>
          <w:sz w:val="24"/>
          <w:szCs w:val="24"/>
          <w:lang w:eastAsia="ro-MD"/>
          <w14:ligatures w14:val="none"/>
        </w:rPr>
        <w:t xml:space="preserve"> și </w:t>
      </w:r>
      <w:r w:rsidRPr="00C30720">
        <w:rPr>
          <w:rFonts w:ascii="Times New Roman" w:eastAsia="Times New Roman" w:hAnsi="Times New Roman" w:cs="Times New Roman"/>
          <w:color w:val="3494BA" w:themeColor="accent1"/>
          <w:kern w:val="0"/>
          <w:sz w:val="24"/>
          <w:szCs w:val="24"/>
          <w:u w:val="single"/>
          <w:lang w:eastAsia="ro-MD"/>
          <w14:ligatures w14:val="none"/>
        </w:rPr>
        <w:t>integrarea opiniilor părților</w:t>
      </w:r>
      <w:r w:rsidRPr="00C30720">
        <w:rPr>
          <w:rFonts w:ascii="Times New Roman" w:eastAsia="Times New Roman" w:hAnsi="Times New Roman" w:cs="Times New Roman"/>
          <w:color w:val="3494BA" w:themeColor="accent1"/>
          <w:kern w:val="0"/>
          <w:sz w:val="24"/>
          <w:szCs w:val="24"/>
          <w:lang w:eastAsia="ro-MD"/>
          <w14:ligatures w14:val="none"/>
        </w:rPr>
        <w:t xml:space="preserve"> interesate.</w:t>
      </w:r>
    </w:p>
    <w:p w14:paraId="0FEB670E" w14:textId="77777777" w:rsidR="00497469" w:rsidRPr="00497469" w:rsidRDefault="00497469"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497469">
        <w:rPr>
          <w:rFonts w:ascii="Times New Roman" w:eastAsia="Times New Roman" w:hAnsi="Times New Roman" w:cs="Times New Roman"/>
          <w:b/>
          <w:bCs/>
          <w:color w:val="3494BA" w:themeColor="accent1"/>
          <w:kern w:val="0"/>
          <w:sz w:val="24"/>
          <w:szCs w:val="24"/>
          <w:lang w:val="ro-MD" w:eastAsia="ro-MD"/>
          <w14:ligatures w14:val="none"/>
        </w:rPr>
        <w:t>1. Contextul dezvoltării și modernizării Cadrului Național al Calificărilor</w:t>
      </w:r>
    </w:p>
    <w:p w14:paraId="54DD2C3F" w14:textId="393CBBF6"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În Republica Moldova, prima generație a CNC a fost introdusă inițial în învățământul superior, imediat după aderarea țării la Procesul Bologna. Acea versiune timpurie a fost elaborată parțial în baza recomandărilor privind Cadrul Calificărilor din Spațiul European al Învățământului Superior (QF-EHEA) din anii 2006, 2010 și 2013.</w:t>
      </w:r>
      <w:r w:rsidR="00B75D0B">
        <w:rPr>
          <w:rFonts w:ascii="Times New Roman" w:eastAsia="Times New Roman" w:hAnsi="Times New Roman" w:cs="Times New Roman"/>
          <w:kern w:val="0"/>
          <w:sz w:val="24"/>
          <w:szCs w:val="24"/>
          <w:lang w:val="ro-MD" w:eastAsia="ro-MD"/>
          <w14:ligatures w14:val="none"/>
        </w:rPr>
        <w:t xml:space="preserve"> </w:t>
      </w:r>
    </w:p>
    <w:p w14:paraId="43F75483" w14:textId="77777777"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Totuși, Republica Moldova utiliza alți descriptori de calificare decât cei recomandați de cadrele europene, ceea ce complica procesul de comparare și recunoaștere a calificărilor, crea bariere în mobilitatea academică și profesională și genera dificultăți în recunoașterea în străinătate a diplomelor și certificatelor naționale.</w:t>
      </w:r>
    </w:p>
    <w:p w14:paraId="02720773" w14:textId="2A32B3A1"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Un pas important în evoluția sistemului a fost adoptarea </w:t>
      </w:r>
      <w:r w:rsidR="00FF6AF9">
        <w:rPr>
          <w:rFonts w:ascii="Times New Roman" w:eastAsia="Times New Roman" w:hAnsi="Times New Roman" w:cs="Times New Roman"/>
          <w:kern w:val="0"/>
          <w:sz w:val="24"/>
          <w:szCs w:val="24"/>
          <w:lang w:val="ro-MD" w:eastAsia="ro-MD"/>
          <w14:ligatures w14:val="none"/>
        </w:rPr>
        <w:t>HG</w:t>
      </w:r>
      <w:r w:rsidRPr="00497469">
        <w:rPr>
          <w:rFonts w:ascii="Times New Roman" w:eastAsia="Times New Roman" w:hAnsi="Times New Roman" w:cs="Times New Roman"/>
          <w:kern w:val="0"/>
          <w:sz w:val="24"/>
          <w:szCs w:val="24"/>
          <w:lang w:val="ro-MD" w:eastAsia="ro-MD"/>
          <w14:ligatures w14:val="none"/>
        </w:rPr>
        <w:t xml:space="preserve"> nr. 1016/2017, prin care a fost aprobat Cadrul Național al Calificărilor din Republica Moldova (CNCRM), bazat pe Recomandarea Parlamentului European și a Consiliului privind </w:t>
      </w:r>
      <w:r w:rsidR="00FF6AF9">
        <w:rPr>
          <w:rFonts w:ascii="Times New Roman" w:eastAsia="Times New Roman" w:hAnsi="Times New Roman" w:cs="Times New Roman"/>
          <w:kern w:val="0"/>
          <w:sz w:val="24"/>
          <w:szCs w:val="24"/>
          <w:lang w:val="ro-MD" w:eastAsia="ro-MD"/>
          <w14:ligatures w14:val="none"/>
        </w:rPr>
        <w:t>EQF</w:t>
      </w:r>
      <w:r w:rsidRPr="00497469">
        <w:rPr>
          <w:rFonts w:ascii="Times New Roman" w:eastAsia="Times New Roman" w:hAnsi="Times New Roman" w:cs="Times New Roman"/>
          <w:kern w:val="0"/>
          <w:sz w:val="24"/>
          <w:szCs w:val="24"/>
          <w:lang w:val="ro-MD" w:eastAsia="ro-MD"/>
          <w14:ligatures w14:val="none"/>
        </w:rPr>
        <w:t xml:space="preserve"> pentru învățarea de-a lungul vieții (2008).</w:t>
      </w:r>
      <w:r w:rsidR="005E5C0E">
        <w:rPr>
          <w:rFonts w:ascii="Times New Roman" w:eastAsia="Times New Roman" w:hAnsi="Times New Roman" w:cs="Times New Roman"/>
          <w:kern w:val="0"/>
          <w:sz w:val="24"/>
          <w:szCs w:val="24"/>
          <w:lang w:val="ro-MD" w:eastAsia="ro-MD"/>
          <w14:ligatures w14:val="none"/>
        </w:rPr>
        <w:t xml:space="preserve"> </w:t>
      </w:r>
      <w:r w:rsidRPr="00497469">
        <w:rPr>
          <w:rFonts w:ascii="Times New Roman" w:eastAsia="Times New Roman" w:hAnsi="Times New Roman" w:cs="Times New Roman"/>
          <w:kern w:val="0"/>
          <w:sz w:val="24"/>
          <w:szCs w:val="24"/>
          <w:lang w:val="ro-MD" w:eastAsia="ro-MD"/>
          <w14:ligatures w14:val="none"/>
        </w:rPr>
        <w:t>Cu toate acestea, în practică, persistau neconcordanțe terminologice și metodologice, utilizarea unor descriptori neuniformi, lipsa referințelor la EQF în actele de studii și o reglementare fragmentată a calificărilor între diferite articole din Codul educației (art. 59, 62–66 pentru învățământul profesional tehnic; art. 89, 97, 98 și 110 pentru învățământul superior).</w:t>
      </w:r>
    </w:p>
    <w:p w14:paraId="3B6A928C" w14:textId="4837BE8C"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Conform evaluărilor experților internaționali în cadrul proiectului Twinning „Sporirea calității și eficienței învățământului profesional tehnic” (2019–2021), CNC în forma sa de atunci nu asigura suficient promovarea principiului învățării pe tot parcursul vieții, nu facilita transferul între nivelurile și formele de educație și nu oferea flexibilitatea și portabilitatea calificărilor necesare într-un context economic și tehnologic în rapidă schimbare.</w:t>
      </w:r>
      <w:r w:rsidR="005E5C0E">
        <w:rPr>
          <w:rFonts w:ascii="Times New Roman" w:eastAsia="Times New Roman" w:hAnsi="Times New Roman" w:cs="Times New Roman"/>
          <w:kern w:val="0"/>
          <w:sz w:val="24"/>
          <w:szCs w:val="24"/>
          <w:lang w:val="ro-MD" w:eastAsia="ro-MD"/>
          <w14:ligatures w14:val="none"/>
        </w:rPr>
        <w:t xml:space="preserve"> </w:t>
      </w:r>
      <w:r w:rsidRPr="00497469">
        <w:rPr>
          <w:rFonts w:ascii="Times New Roman" w:eastAsia="Times New Roman" w:hAnsi="Times New Roman" w:cs="Times New Roman"/>
          <w:kern w:val="0"/>
          <w:sz w:val="24"/>
          <w:szCs w:val="24"/>
          <w:lang w:val="ro-MD" w:eastAsia="ro-MD"/>
          <w14:ligatures w14:val="none"/>
        </w:rPr>
        <w:t>Lipsa unui cadru normativ coerent și a mecanismelor de operaționalizare a CNC a menținut o orientare predominant „bazată pe ofertă” în elaborarea programelor de formare, în defavoarea cererii reale a pieței muncii. În consecință, multe calificări nu erau suficient de relevante și nu susțineau pe deplin angajabilitatea absolvenților.</w:t>
      </w:r>
    </w:p>
    <w:p w14:paraId="0284C587" w14:textId="77777777" w:rsidR="00497469" w:rsidRPr="00497469" w:rsidRDefault="00497469"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497469">
        <w:rPr>
          <w:rFonts w:ascii="Times New Roman" w:eastAsia="Times New Roman" w:hAnsi="Times New Roman" w:cs="Times New Roman"/>
          <w:b/>
          <w:bCs/>
          <w:color w:val="3494BA" w:themeColor="accent1"/>
          <w:kern w:val="0"/>
          <w:sz w:val="24"/>
          <w:szCs w:val="24"/>
          <w:lang w:val="ro-MD" w:eastAsia="ro-MD"/>
          <w14:ligatures w14:val="none"/>
        </w:rPr>
        <w:t>2. Trecerea la noua etapă: operaționalizarea CNC</w:t>
      </w:r>
    </w:p>
    <w:p w14:paraId="3A9A7627" w14:textId="274C2AD3"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În anul 2023, Republica Moldova a trecut la o nouă etapă de dezvoltare </w:t>
      </w:r>
      <w:r w:rsidR="00FE403F">
        <w:rPr>
          <w:rFonts w:ascii="Times New Roman" w:eastAsia="Times New Roman" w:hAnsi="Times New Roman" w:cs="Times New Roman"/>
          <w:kern w:val="0"/>
          <w:sz w:val="24"/>
          <w:szCs w:val="24"/>
          <w:lang w:val="ro-MD" w:eastAsia="ro-MD"/>
          <w14:ligatures w14:val="none"/>
        </w:rPr>
        <w:t>CNC</w:t>
      </w:r>
      <w:r w:rsidRPr="00497469">
        <w:rPr>
          <w:rFonts w:ascii="Times New Roman" w:eastAsia="Times New Roman" w:hAnsi="Times New Roman" w:cs="Times New Roman"/>
          <w:kern w:val="0"/>
          <w:sz w:val="24"/>
          <w:szCs w:val="24"/>
          <w:lang w:val="ro-MD" w:eastAsia="ro-MD"/>
          <w14:ligatures w14:val="none"/>
        </w:rPr>
        <w:t xml:space="preserve">, odată cu modificările operate în Codul educației nr. 152/2014 și adoptarea </w:t>
      </w:r>
      <w:r w:rsidR="00BF6484">
        <w:rPr>
          <w:rFonts w:ascii="Times New Roman" w:eastAsia="Times New Roman" w:hAnsi="Times New Roman" w:cs="Times New Roman"/>
          <w:kern w:val="0"/>
          <w:sz w:val="24"/>
          <w:szCs w:val="24"/>
          <w:lang w:val="ro-MD" w:eastAsia="ro-MD"/>
          <w14:ligatures w14:val="none"/>
        </w:rPr>
        <w:t>HG</w:t>
      </w:r>
      <w:r w:rsidRPr="00497469">
        <w:rPr>
          <w:rFonts w:ascii="Times New Roman" w:eastAsia="Times New Roman" w:hAnsi="Times New Roman" w:cs="Times New Roman"/>
          <w:kern w:val="0"/>
          <w:sz w:val="24"/>
          <w:szCs w:val="24"/>
          <w:lang w:val="ro-MD" w:eastAsia="ro-MD"/>
          <w14:ligatures w14:val="none"/>
        </w:rPr>
        <w:t xml:space="preserve"> nr. 330/2023 privind Cadrul Național al Calificărilor și Foaia de parcurs pentru operaționalizarea acestuia.</w:t>
      </w:r>
    </w:p>
    <w:p w14:paraId="52B39328" w14:textId="68A28F84"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lastRenderedPageBreak/>
        <w:t>Această reformă a marcat tranziția de la faza de elaborare la cea de implementare operațională, asigurând alinierea deplină a CNC cu EQF și QF-EHEA.</w:t>
      </w:r>
      <w:r w:rsidR="00697D9F">
        <w:rPr>
          <w:rFonts w:ascii="Times New Roman" w:eastAsia="Times New Roman" w:hAnsi="Times New Roman" w:cs="Times New Roman"/>
          <w:kern w:val="0"/>
          <w:sz w:val="24"/>
          <w:szCs w:val="24"/>
          <w:lang w:val="ro-MD" w:eastAsia="ro-MD"/>
          <w14:ligatures w14:val="none"/>
        </w:rPr>
        <w:t xml:space="preserve"> </w:t>
      </w:r>
      <w:r w:rsidRPr="00497469">
        <w:rPr>
          <w:rFonts w:ascii="Times New Roman" w:eastAsia="Times New Roman" w:hAnsi="Times New Roman" w:cs="Times New Roman"/>
          <w:kern w:val="0"/>
          <w:sz w:val="24"/>
          <w:szCs w:val="24"/>
          <w:lang w:val="ro-MD" w:eastAsia="ro-MD"/>
          <w14:ligatures w14:val="none"/>
        </w:rPr>
        <w:t>Noii descriptori de nivel au fost reformulați integral, având în vedere:</w:t>
      </w:r>
    </w:p>
    <w:p w14:paraId="4E213FF8" w14:textId="1E17221D" w:rsidR="00497469" w:rsidRPr="00497469" w:rsidRDefault="00497469" w:rsidP="00A41843">
      <w:pPr>
        <w:numPr>
          <w:ilvl w:val="0"/>
          <w:numId w:val="17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corespondența între nivelurile CNC și EQF, pe baza celor patru dimensiuni fundamentale – </w:t>
      </w:r>
      <w:r w:rsidRPr="00497469">
        <w:rPr>
          <w:rFonts w:ascii="Times New Roman" w:eastAsia="Times New Roman" w:hAnsi="Times New Roman" w:cs="Times New Roman"/>
          <w:i/>
          <w:iCs/>
          <w:kern w:val="0"/>
          <w:sz w:val="24"/>
          <w:szCs w:val="24"/>
          <w:lang w:val="ro-MD" w:eastAsia="ro-MD"/>
          <w14:ligatures w14:val="none"/>
        </w:rPr>
        <w:t>cunoștințe, aptitudini, responsabilitate și autonomie</w:t>
      </w:r>
      <w:r w:rsidRPr="00497469">
        <w:rPr>
          <w:rFonts w:ascii="Times New Roman" w:eastAsia="Times New Roman" w:hAnsi="Times New Roman" w:cs="Times New Roman"/>
          <w:kern w:val="0"/>
          <w:sz w:val="24"/>
          <w:szCs w:val="24"/>
          <w:lang w:val="ro-MD" w:eastAsia="ro-MD"/>
          <w14:ligatures w14:val="none"/>
        </w:rPr>
        <w:t>;</w:t>
      </w:r>
    </w:p>
    <w:p w14:paraId="6C9FF026" w14:textId="77777777" w:rsidR="00497469" w:rsidRPr="00497469" w:rsidRDefault="00497469" w:rsidP="00A41843">
      <w:pPr>
        <w:numPr>
          <w:ilvl w:val="0"/>
          <w:numId w:val="17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corelarea cu Clasificarea Internațională Standard a Educației (ISCED);</w:t>
      </w:r>
    </w:p>
    <w:p w14:paraId="4ECCC097" w14:textId="77777777" w:rsidR="00497469" w:rsidRPr="00497469" w:rsidRDefault="00497469" w:rsidP="00A41843">
      <w:pPr>
        <w:numPr>
          <w:ilvl w:val="0"/>
          <w:numId w:val="17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definirea clară a condițiilor de acces, progresie și evaluare a rezultatelor învățării;</w:t>
      </w:r>
    </w:p>
    <w:p w14:paraId="20053228" w14:textId="77777777" w:rsidR="00497469" w:rsidRPr="00497469" w:rsidRDefault="00497469" w:rsidP="00A41843">
      <w:pPr>
        <w:numPr>
          <w:ilvl w:val="0"/>
          <w:numId w:val="17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armonizarea tipurilor de acte de studii și certificare cu nivelurile de calificare.</w:t>
      </w:r>
    </w:p>
    <w:p w14:paraId="7FB7E518" w14:textId="1F33736C"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Prin această reformă, </w:t>
      </w:r>
      <w:r w:rsidR="00E7418E">
        <w:rPr>
          <w:rFonts w:ascii="Times New Roman" w:eastAsia="Times New Roman" w:hAnsi="Times New Roman" w:cs="Times New Roman"/>
          <w:kern w:val="0"/>
          <w:sz w:val="24"/>
          <w:szCs w:val="24"/>
          <w:lang w:val="ro-MD" w:eastAsia="ro-MD"/>
          <w14:ligatures w14:val="none"/>
        </w:rPr>
        <w:t>MEC</w:t>
      </w:r>
      <w:r w:rsidRPr="00497469">
        <w:rPr>
          <w:rFonts w:ascii="Times New Roman" w:eastAsia="Times New Roman" w:hAnsi="Times New Roman" w:cs="Times New Roman"/>
          <w:kern w:val="0"/>
          <w:sz w:val="24"/>
          <w:szCs w:val="24"/>
          <w:lang w:val="ro-MD" w:eastAsia="ro-MD"/>
          <w14:ligatures w14:val="none"/>
        </w:rPr>
        <w:t xml:space="preserve"> a urmărit consolidarea coerenței interne a sistemului de calificări, creșterea transparenței și comparabilității calificărilor și pregătirea bazei metodologice pentru procesul de referențiere la EQF și autocertificare față de QF-EHEA.</w:t>
      </w:r>
    </w:p>
    <w:p w14:paraId="4CDCB9F7" w14:textId="77777777" w:rsidR="00497469" w:rsidRPr="00497469" w:rsidRDefault="00497469"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497469">
        <w:rPr>
          <w:rFonts w:ascii="Times New Roman" w:eastAsia="Times New Roman" w:hAnsi="Times New Roman" w:cs="Times New Roman"/>
          <w:b/>
          <w:bCs/>
          <w:color w:val="3494BA" w:themeColor="accent1"/>
          <w:kern w:val="0"/>
          <w:sz w:val="24"/>
          <w:szCs w:val="24"/>
          <w:lang w:val="ro-MD" w:eastAsia="ro-MD"/>
          <w14:ligatures w14:val="none"/>
        </w:rPr>
        <w:t>3. Fundamentul conceptual și legislativ al procesului de referențiere</w:t>
      </w:r>
    </w:p>
    <w:p w14:paraId="4AD70708" w14:textId="72F3BD8F"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Procesul de referențiere a CNC la EQF are la bază alinieri explicite </w:t>
      </w:r>
      <w:r w:rsidR="00FE4560">
        <w:rPr>
          <w:rFonts w:ascii="Times New Roman" w:eastAsia="Times New Roman" w:hAnsi="Times New Roman" w:cs="Times New Roman"/>
          <w:kern w:val="0"/>
          <w:sz w:val="24"/>
          <w:szCs w:val="24"/>
          <w:lang w:val="ro-MD" w:eastAsia="ro-MD"/>
          <w14:ligatures w14:val="none"/>
        </w:rPr>
        <w:t>declarate</w:t>
      </w:r>
      <w:r w:rsidRPr="00497469">
        <w:rPr>
          <w:rFonts w:ascii="Times New Roman" w:eastAsia="Times New Roman" w:hAnsi="Times New Roman" w:cs="Times New Roman"/>
          <w:kern w:val="0"/>
          <w:sz w:val="24"/>
          <w:szCs w:val="24"/>
          <w:lang w:val="ro-MD" w:eastAsia="ro-MD"/>
          <w14:ligatures w14:val="none"/>
        </w:rPr>
        <w:t xml:space="preserve"> la nivel legislativ.</w:t>
      </w:r>
      <w:r w:rsidR="00FE4560">
        <w:rPr>
          <w:rFonts w:ascii="Times New Roman" w:eastAsia="Times New Roman" w:hAnsi="Times New Roman" w:cs="Times New Roman"/>
          <w:kern w:val="0"/>
          <w:sz w:val="24"/>
          <w:szCs w:val="24"/>
          <w:lang w:val="ro-MD" w:eastAsia="ro-MD"/>
          <w14:ligatures w14:val="none"/>
        </w:rPr>
        <w:t xml:space="preserve"> </w:t>
      </w:r>
      <w:r w:rsidRPr="00497469">
        <w:rPr>
          <w:rFonts w:ascii="Times New Roman" w:eastAsia="Times New Roman" w:hAnsi="Times New Roman" w:cs="Times New Roman"/>
          <w:kern w:val="0"/>
          <w:sz w:val="24"/>
          <w:szCs w:val="24"/>
          <w:lang w:val="ro-MD" w:eastAsia="ro-MD"/>
          <w14:ligatures w14:val="none"/>
        </w:rPr>
        <w:t>Potrivit Codului educației nr. 152/2014, articolul 11</w:t>
      </w:r>
      <w:r w:rsidRPr="00497469">
        <w:rPr>
          <w:rFonts w:ascii="Times New Roman" w:eastAsia="Times New Roman" w:hAnsi="Times New Roman" w:cs="Times New Roman"/>
          <w:kern w:val="0"/>
          <w:sz w:val="24"/>
          <w:szCs w:val="24"/>
          <w:vertAlign w:val="superscript"/>
          <w:lang w:val="ro-MD" w:eastAsia="ro-MD"/>
          <w14:ligatures w14:val="none"/>
        </w:rPr>
        <w:t>1</w:t>
      </w:r>
      <w:r w:rsidRPr="00497469">
        <w:rPr>
          <w:rFonts w:ascii="Times New Roman" w:eastAsia="Times New Roman" w:hAnsi="Times New Roman" w:cs="Times New Roman"/>
          <w:kern w:val="0"/>
          <w:sz w:val="24"/>
          <w:szCs w:val="24"/>
          <w:lang w:val="ro-MD" w:eastAsia="ro-MD"/>
          <w14:ligatures w14:val="none"/>
        </w:rPr>
        <w:t xml:space="preserve">, </w:t>
      </w:r>
      <w:r w:rsidR="00FE4560">
        <w:rPr>
          <w:rFonts w:ascii="Times New Roman" w:eastAsia="Times New Roman" w:hAnsi="Times New Roman" w:cs="Times New Roman"/>
          <w:kern w:val="0"/>
          <w:sz w:val="24"/>
          <w:szCs w:val="24"/>
          <w:lang w:val="ro-MD" w:eastAsia="ro-MD"/>
          <w14:ligatures w14:val="none"/>
        </w:rPr>
        <w:t>CNC</w:t>
      </w:r>
      <w:r w:rsidRPr="00497469">
        <w:rPr>
          <w:rFonts w:ascii="Times New Roman" w:eastAsia="Times New Roman" w:hAnsi="Times New Roman" w:cs="Times New Roman"/>
          <w:kern w:val="0"/>
          <w:sz w:val="24"/>
          <w:szCs w:val="24"/>
          <w:lang w:val="ro-MD" w:eastAsia="ro-MD"/>
          <w14:ligatures w14:val="none"/>
        </w:rPr>
        <w:t xml:space="preserve"> este „un sistem integrat al calificărilor naționale în </w:t>
      </w:r>
      <w:r w:rsidRPr="00497469">
        <w:rPr>
          <w:rFonts w:ascii="Times New Roman" w:eastAsia="Times New Roman" w:hAnsi="Times New Roman" w:cs="Times New Roman"/>
          <w:b/>
          <w:bCs/>
          <w:kern w:val="0"/>
          <w:sz w:val="24"/>
          <w:szCs w:val="24"/>
          <w:lang w:val="ro-MD" w:eastAsia="ro-MD"/>
          <w14:ligatures w14:val="none"/>
        </w:rPr>
        <w:t xml:space="preserve">corespundere cu </w:t>
      </w:r>
      <w:r w:rsidR="00790BF5" w:rsidRPr="00790BF5">
        <w:rPr>
          <w:rFonts w:ascii="Times New Roman" w:eastAsia="Times New Roman" w:hAnsi="Times New Roman" w:cs="Times New Roman"/>
          <w:b/>
          <w:bCs/>
          <w:kern w:val="0"/>
          <w:sz w:val="24"/>
          <w:szCs w:val="24"/>
          <w:lang w:val="ro-MD" w:eastAsia="ro-MD"/>
          <w14:ligatures w14:val="none"/>
        </w:rPr>
        <w:t>EQF</w:t>
      </w:r>
      <w:r w:rsidRPr="00497469">
        <w:rPr>
          <w:rFonts w:ascii="Times New Roman" w:eastAsia="Times New Roman" w:hAnsi="Times New Roman" w:cs="Times New Roman"/>
          <w:kern w:val="0"/>
          <w:sz w:val="24"/>
          <w:szCs w:val="24"/>
          <w:lang w:val="ro-MD" w:eastAsia="ro-MD"/>
          <w14:ligatures w14:val="none"/>
        </w:rPr>
        <w:t xml:space="preserve"> și cu necesitatea de calificări pe piața muncii, </w:t>
      </w:r>
      <w:r w:rsidRPr="00497469">
        <w:rPr>
          <w:rFonts w:ascii="Times New Roman" w:eastAsia="Times New Roman" w:hAnsi="Times New Roman" w:cs="Times New Roman"/>
          <w:b/>
          <w:bCs/>
          <w:kern w:val="0"/>
          <w:sz w:val="24"/>
          <w:szCs w:val="24"/>
          <w:lang w:val="ro-MD" w:eastAsia="ro-MD"/>
          <w14:ligatures w14:val="none"/>
        </w:rPr>
        <w:t>structurat ierarhic pe opt niveluri</w:t>
      </w:r>
      <w:r w:rsidRPr="00497469">
        <w:rPr>
          <w:rFonts w:ascii="Times New Roman" w:eastAsia="Times New Roman" w:hAnsi="Times New Roman" w:cs="Times New Roman"/>
          <w:kern w:val="0"/>
          <w:sz w:val="24"/>
          <w:szCs w:val="24"/>
          <w:lang w:val="ro-MD" w:eastAsia="ro-MD"/>
          <w14:ligatures w14:val="none"/>
        </w:rPr>
        <w:t xml:space="preserve"> definite prin </w:t>
      </w:r>
      <w:r w:rsidRPr="00497469">
        <w:rPr>
          <w:rFonts w:ascii="Times New Roman" w:eastAsia="Times New Roman" w:hAnsi="Times New Roman" w:cs="Times New Roman"/>
          <w:b/>
          <w:bCs/>
          <w:kern w:val="0"/>
          <w:sz w:val="24"/>
          <w:szCs w:val="24"/>
          <w:lang w:val="ro-MD" w:eastAsia="ro-MD"/>
          <w14:ligatures w14:val="none"/>
        </w:rPr>
        <w:t>descriptorii rezultatelor învățării</w:t>
      </w:r>
      <w:r w:rsidRPr="00497469">
        <w:rPr>
          <w:rFonts w:ascii="Times New Roman" w:eastAsia="Times New Roman" w:hAnsi="Times New Roman" w:cs="Times New Roman"/>
          <w:kern w:val="0"/>
          <w:sz w:val="24"/>
          <w:szCs w:val="24"/>
          <w:lang w:val="ro-MD" w:eastAsia="ro-MD"/>
          <w14:ligatures w14:val="none"/>
        </w:rPr>
        <w:t>.</w:t>
      </w:r>
      <w:r w:rsidR="00790BF5">
        <w:rPr>
          <w:rFonts w:ascii="Times New Roman" w:eastAsia="Times New Roman" w:hAnsi="Times New Roman" w:cs="Times New Roman"/>
          <w:kern w:val="0"/>
          <w:sz w:val="24"/>
          <w:szCs w:val="24"/>
          <w:lang w:val="ro-MD" w:eastAsia="ro-MD"/>
          <w14:ligatures w14:val="none"/>
        </w:rPr>
        <w:t xml:space="preserve"> </w:t>
      </w:r>
      <w:r w:rsidRPr="00497469">
        <w:rPr>
          <w:rFonts w:ascii="Times New Roman" w:eastAsia="Times New Roman" w:hAnsi="Times New Roman" w:cs="Times New Roman"/>
          <w:kern w:val="0"/>
          <w:sz w:val="24"/>
          <w:szCs w:val="24"/>
          <w:lang w:val="ro-MD" w:eastAsia="ro-MD"/>
          <w14:ligatures w14:val="none"/>
        </w:rPr>
        <w:t>Aceste niveluri acoperă toate tipurile de calificări – complete și parțiale, obținute în contexte formale, nonformale și informale, oferind o bază pentru recunoașterea competențelor din perspectiva învățării pe tot parcursul vieții</w:t>
      </w:r>
      <w:r w:rsidR="00463355">
        <w:rPr>
          <w:rFonts w:ascii="Times New Roman" w:eastAsia="Times New Roman" w:hAnsi="Times New Roman" w:cs="Times New Roman"/>
          <w:kern w:val="0"/>
          <w:sz w:val="24"/>
          <w:szCs w:val="24"/>
          <w:lang w:val="ro-MD" w:eastAsia="ro-MD"/>
          <w14:ligatures w14:val="none"/>
        </w:rPr>
        <w:t>”</w:t>
      </w:r>
      <w:r w:rsidRPr="00497469">
        <w:rPr>
          <w:rFonts w:ascii="Times New Roman" w:eastAsia="Times New Roman" w:hAnsi="Times New Roman" w:cs="Times New Roman"/>
          <w:kern w:val="0"/>
          <w:sz w:val="24"/>
          <w:szCs w:val="24"/>
          <w:lang w:val="ro-MD" w:eastAsia="ro-MD"/>
          <w14:ligatures w14:val="none"/>
        </w:rPr>
        <w:t>.</w:t>
      </w:r>
    </w:p>
    <w:p w14:paraId="363590A1" w14:textId="160D545A"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De asemenea, </w:t>
      </w:r>
      <w:r w:rsidR="00463355">
        <w:rPr>
          <w:rFonts w:ascii="Times New Roman" w:eastAsia="Times New Roman" w:hAnsi="Times New Roman" w:cs="Times New Roman"/>
          <w:kern w:val="0"/>
          <w:sz w:val="24"/>
          <w:szCs w:val="24"/>
          <w:lang w:val="ro-MD" w:eastAsia="ro-MD"/>
          <w14:ligatures w14:val="none"/>
        </w:rPr>
        <w:t>HG</w:t>
      </w:r>
      <w:r w:rsidRPr="00497469">
        <w:rPr>
          <w:rFonts w:ascii="Times New Roman" w:eastAsia="Times New Roman" w:hAnsi="Times New Roman" w:cs="Times New Roman"/>
          <w:kern w:val="0"/>
          <w:sz w:val="24"/>
          <w:szCs w:val="24"/>
          <w:lang w:val="ro-MD" w:eastAsia="ro-MD"/>
          <w14:ligatures w14:val="none"/>
        </w:rPr>
        <w:t xml:space="preserve"> nr. 330/2023, Anexa 1, punctul 14, stabilește principiile de dezvoltare a CNC, în deplină consonanță cu Spațiul European al Educației:</w:t>
      </w:r>
    </w:p>
    <w:p w14:paraId="3FFA3858" w14:textId="77777777" w:rsidR="00497469" w:rsidRPr="00497469" w:rsidRDefault="00497469" w:rsidP="00A41843">
      <w:pPr>
        <w:numPr>
          <w:ilvl w:val="0"/>
          <w:numId w:val="17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succesiune și progres continuu între niveluri;</w:t>
      </w:r>
    </w:p>
    <w:p w14:paraId="7D506939" w14:textId="77777777" w:rsidR="00497469" w:rsidRPr="00497469" w:rsidRDefault="00497469" w:rsidP="00A41843">
      <w:pPr>
        <w:numPr>
          <w:ilvl w:val="0"/>
          <w:numId w:val="17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echitate și nondiscriminare;</w:t>
      </w:r>
    </w:p>
    <w:p w14:paraId="10E1A712" w14:textId="77777777" w:rsidR="00497469" w:rsidRPr="00497469" w:rsidRDefault="00497469" w:rsidP="00A41843">
      <w:pPr>
        <w:numPr>
          <w:ilvl w:val="0"/>
          <w:numId w:val="17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transparență în descrierea nivelurilor de calificare;</w:t>
      </w:r>
    </w:p>
    <w:p w14:paraId="3BD31EA7" w14:textId="77777777" w:rsidR="00497469" w:rsidRPr="00497469" w:rsidRDefault="00497469" w:rsidP="00A41843">
      <w:pPr>
        <w:numPr>
          <w:ilvl w:val="0"/>
          <w:numId w:val="17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receptivitate la cerințele educaționale, sociale și economice;</w:t>
      </w:r>
    </w:p>
    <w:p w14:paraId="2D4BC097" w14:textId="4BE495D9" w:rsidR="00497469" w:rsidRPr="00497469" w:rsidRDefault="002E75E4" w:rsidP="00A41843">
      <w:pPr>
        <w:numPr>
          <w:ilvl w:val="0"/>
          <w:numId w:val="17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E75E4">
        <w:rPr>
          <w:rFonts w:ascii="Times New Roman" w:eastAsia="Times New Roman" w:hAnsi="Times New Roman" w:cs="Times New Roman"/>
          <w:kern w:val="0"/>
          <w:sz w:val="24"/>
          <w:szCs w:val="24"/>
          <w:lang w:val="ro-MD" w:eastAsia="ro-MD"/>
          <w14:ligatures w14:val="none"/>
        </w:rPr>
        <w:t>comparabilitate structurală și compatibilitate</w:t>
      </w:r>
      <w:r w:rsidR="000E32F2">
        <w:rPr>
          <w:rFonts w:ascii="Times New Roman" w:eastAsia="Times New Roman" w:hAnsi="Times New Roman" w:cs="Times New Roman"/>
          <w:kern w:val="0"/>
          <w:sz w:val="24"/>
          <w:szCs w:val="24"/>
          <w:lang w:val="ro-MD" w:eastAsia="ro-MD"/>
          <w14:ligatures w14:val="none"/>
        </w:rPr>
        <w:t xml:space="preserve"> </w:t>
      </w:r>
      <w:r w:rsidRPr="002E75E4">
        <w:rPr>
          <w:rFonts w:ascii="Times New Roman" w:eastAsia="Times New Roman" w:hAnsi="Times New Roman" w:cs="Times New Roman"/>
          <w:kern w:val="0"/>
          <w:sz w:val="24"/>
          <w:szCs w:val="24"/>
          <w:lang w:val="ro-MD" w:eastAsia="ro-MD"/>
          <w14:ligatures w14:val="none"/>
        </w:rPr>
        <w:t xml:space="preserve">a CNC cu EQF și </w:t>
      </w:r>
      <w:r w:rsidR="00497469" w:rsidRPr="00497469">
        <w:rPr>
          <w:rFonts w:ascii="Times New Roman" w:eastAsia="Times New Roman" w:hAnsi="Times New Roman" w:cs="Times New Roman"/>
          <w:kern w:val="0"/>
          <w:sz w:val="24"/>
          <w:szCs w:val="24"/>
          <w:lang w:val="ro-MD" w:eastAsia="ro-MD"/>
          <w14:ligatures w14:val="none"/>
        </w:rPr>
        <w:t>QF-EHEA.</w:t>
      </w:r>
    </w:p>
    <w:p w14:paraId="7524B594" w14:textId="23EE070E"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Prin urmare, Republica Moldova dispune de baza juridică, metodologică și conceptuală necesară pentru demonstrarea corespunderii dintre CNC și EQF și pentru integrarea sistemului național al calificărilor în Spațiul European al </w:t>
      </w:r>
      <w:r w:rsidR="00FC4AAE">
        <w:rPr>
          <w:rFonts w:ascii="Times New Roman" w:eastAsia="Times New Roman" w:hAnsi="Times New Roman" w:cs="Times New Roman"/>
          <w:kern w:val="0"/>
          <w:sz w:val="24"/>
          <w:szCs w:val="24"/>
          <w:lang w:val="ro-MD" w:eastAsia="ro-MD"/>
          <w14:ligatures w14:val="none"/>
        </w:rPr>
        <w:t>î</w:t>
      </w:r>
      <w:r w:rsidRPr="00497469">
        <w:rPr>
          <w:rFonts w:ascii="Times New Roman" w:eastAsia="Times New Roman" w:hAnsi="Times New Roman" w:cs="Times New Roman"/>
          <w:kern w:val="0"/>
          <w:sz w:val="24"/>
          <w:szCs w:val="24"/>
          <w:lang w:val="ro-MD" w:eastAsia="ro-MD"/>
          <w14:ligatures w14:val="none"/>
        </w:rPr>
        <w:t xml:space="preserve">nvățării pe </w:t>
      </w:r>
      <w:r w:rsidR="00FC4AAE" w:rsidRPr="00497469">
        <w:rPr>
          <w:rFonts w:ascii="Times New Roman" w:eastAsia="Times New Roman" w:hAnsi="Times New Roman" w:cs="Times New Roman"/>
          <w:kern w:val="0"/>
          <w:sz w:val="24"/>
          <w:szCs w:val="24"/>
          <w:lang w:val="ro-MD" w:eastAsia="ro-MD"/>
          <w14:ligatures w14:val="none"/>
        </w:rPr>
        <w:t>tot parcursul vieții</w:t>
      </w:r>
      <w:r w:rsidRPr="00497469">
        <w:rPr>
          <w:rFonts w:ascii="Times New Roman" w:eastAsia="Times New Roman" w:hAnsi="Times New Roman" w:cs="Times New Roman"/>
          <w:kern w:val="0"/>
          <w:sz w:val="24"/>
          <w:szCs w:val="24"/>
          <w:lang w:val="ro-MD" w:eastAsia="ro-MD"/>
          <w14:ligatures w14:val="none"/>
        </w:rPr>
        <w:t>.</w:t>
      </w:r>
    </w:p>
    <w:p w14:paraId="1C56EC20" w14:textId="77777777" w:rsidR="00497469" w:rsidRPr="00497469" w:rsidRDefault="00497469"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497469">
        <w:rPr>
          <w:rFonts w:ascii="Times New Roman" w:eastAsia="Times New Roman" w:hAnsi="Times New Roman" w:cs="Times New Roman"/>
          <w:b/>
          <w:bCs/>
          <w:color w:val="3494BA" w:themeColor="accent1"/>
          <w:kern w:val="0"/>
          <w:sz w:val="24"/>
          <w:szCs w:val="24"/>
          <w:lang w:val="ro-MD" w:eastAsia="ro-MD"/>
          <w14:ligatures w14:val="none"/>
        </w:rPr>
        <w:t>4. Metodologia de referențiere</w:t>
      </w:r>
    </w:p>
    <w:p w14:paraId="4DAD36C1" w14:textId="1FEABA9D"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 xml:space="preserve">Modernizarea CNC, inițiată de Ministerul Educației și Cercetării prin </w:t>
      </w:r>
      <w:r w:rsidR="00FC4AAE">
        <w:rPr>
          <w:rFonts w:ascii="Times New Roman" w:eastAsia="Times New Roman" w:hAnsi="Times New Roman" w:cs="Times New Roman"/>
          <w:kern w:val="0"/>
          <w:sz w:val="24"/>
          <w:szCs w:val="24"/>
          <w:lang w:val="ro-MD" w:eastAsia="ro-MD"/>
          <w14:ligatures w14:val="none"/>
        </w:rPr>
        <w:t>HG</w:t>
      </w:r>
      <w:r w:rsidRPr="00497469">
        <w:rPr>
          <w:rFonts w:ascii="Times New Roman" w:eastAsia="Times New Roman" w:hAnsi="Times New Roman" w:cs="Times New Roman"/>
          <w:kern w:val="0"/>
          <w:sz w:val="24"/>
          <w:szCs w:val="24"/>
          <w:lang w:val="ro-MD" w:eastAsia="ro-MD"/>
          <w14:ligatures w14:val="none"/>
        </w:rPr>
        <w:t xml:space="preserve"> nr. 330/2023, a avut ca obiectiv nu doar reformularea descriptorilor, ci și pregătirea metodologică a procesului de referențiere </w:t>
      </w:r>
      <w:r w:rsidR="00F429D5">
        <w:rPr>
          <w:rFonts w:ascii="Times New Roman" w:eastAsia="Times New Roman" w:hAnsi="Times New Roman" w:cs="Times New Roman"/>
          <w:kern w:val="0"/>
          <w:sz w:val="24"/>
          <w:szCs w:val="24"/>
          <w:lang w:val="ro-MD" w:eastAsia="ro-MD"/>
          <w14:ligatures w14:val="none"/>
        </w:rPr>
        <w:t xml:space="preserve">a CNC </w:t>
      </w:r>
      <w:r w:rsidRPr="00497469">
        <w:rPr>
          <w:rFonts w:ascii="Times New Roman" w:eastAsia="Times New Roman" w:hAnsi="Times New Roman" w:cs="Times New Roman"/>
          <w:kern w:val="0"/>
          <w:sz w:val="24"/>
          <w:szCs w:val="24"/>
          <w:lang w:val="ro-MD" w:eastAsia="ro-MD"/>
          <w14:ligatures w14:val="none"/>
        </w:rPr>
        <w:t>la EQF și QF-EHEA.</w:t>
      </w:r>
      <w:r w:rsidR="00697D9F">
        <w:rPr>
          <w:rFonts w:ascii="Times New Roman" w:eastAsia="Times New Roman" w:hAnsi="Times New Roman" w:cs="Times New Roman"/>
          <w:kern w:val="0"/>
          <w:sz w:val="24"/>
          <w:szCs w:val="24"/>
          <w:lang w:val="ro-MD" w:eastAsia="ro-MD"/>
          <w14:ligatures w14:val="none"/>
        </w:rPr>
        <w:t xml:space="preserve"> </w:t>
      </w:r>
      <w:r w:rsidRPr="00497469">
        <w:rPr>
          <w:rFonts w:ascii="Times New Roman" w:eastAsia="Times New Roman" w:hAnsi="Times New Roman" w:cs="Times New Roman"/>
          <w:kern w:val="0"/>
          <w:sz w:val="24"/>
          <w:szCs w:val="24"/>
          <w:lang w:val="ro-MD" w:eastAsia="ro-MD"/>
          <w14:ligatures w14:val="none"/>
        </w:rPr>
        <w:t>Pentru realizarea acestui obiectiv, a fost elaborată Metodologia de referențiere, menită să asigure un proces transparent, participativ și coerent de analiză comparativă a nivelurilor CNC și EQF.</w:t>
      </w:r>
    </w:p>
    <w:p w14:paraId="091A6D9F" w14:textId="77777777" w:rsidR="00497469" w:rsidRPr="00497469" w:rsidRDefault="0049746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Metodologia este construită în conformitate cu cadrul legislativ național și cu recomandările Grupului Consultativ EQF (EQF Advisory Group) și urmărește:</w:t>
      </w:r>
    </w:p>
    <w:p w14:paraId="55EC28A1" w14:textId="77777777" w:rsidR="00497469" w:rsidRPr="00497469" w:rsidRDefault="00497469" w:rsidP="00A41843">
      <w:pPr>
        <w:numPr>
          <w:ilvl w:val="0"/>
          <w:numId w:val="17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garantarea unui proces de analiză comparativă riguroasă și documentată;</w:t>
      </w:r>
    </w:p>
    <w:p w14:paraId="5FDF8759" w14:textId="77777777" w:rsidR="00497469" w:rsidRPr="00497469" w:rsidRDefault="00497469" w:rsidP="00A41843">
      <w:pPr>
        <w:numPr>
          <w:ilvl w:val="0"/>
          <w:numId w:val="17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implicarea interinstituțională și validarea prin consens;</w:t>
      </w:r>
    </w:p>
    <w:p w14:paraId="1D583986" w14:textId="77777777" w:rsidR="00497469" w:rsidRPr="00497469" w:rsidRDefault="00497469" w:rsidP="00A41843">
      <w:pPr>
        <w:numPr>
          <w:ilvl w:val="0"/>
          <w:numId w:val="17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497469">
        <w:rPr>
          <w:rFonts w:ascii="Times New Roman" w:eastAsia="Times New Roman" w:hAnsi="Times New Roman" w:cs="Times New Roman"/>
          <w:kern w:val="0"/>
          <w:sz w:val="24"/>
          <w:szCs w:val="24"/>
          <w:lang w:val="ro-MD" w:eastAsia="ro-MD"/>
          <w14:ligatures w14:val="none"/>
        </w:rPr>
        <w:t>transparența rezultatelor și fundamentarea deciziilor de aliniere pe dovezi verificabile.</w:t>
      </w:r>
    </w:p>
    <w:p w14:paraId="7FBBE2D1" w14:textId="77777777" w:rsidR="00AF5BCC" w:rsidRPr="00AF5BCC" w:rsidRDefault="00AF5BCC" w:rsidP="009C4567">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AF5BCC">
        <w:rPr>
          <w:rFonts w:ascii="Times New Roman" w:eastAsia="Times New Roman" w:hAnsi="Times New Roman" w:cs="Times New Roman"/>
          <w:b/>
          <w:bCs/>
          <w:color w:val="3494BA" w:themeColor="accent1"/>
          <w:kern w:val="0"/>
          <w:sz w:val="24"/>
          <w:szCs w:val="24"/>
          <w:lang w:val="ro-MD" w:eastAsia="ro-MD"/>
          <w14:ligatures w14:val="none"/>
        </w:rPr>
        <w:lastRenderedPageBreak/>
        <w:t>5. Principii metodologice și etapele procesului de corelare</w:t>
      </w:r>
    </w:p>
    <w:p w14:paraId="65F96C33" w14:textId="30D748FA"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Procesul de referențiere a CN</w:t>
      </w:r>
      <w:r w:rsidR="005A4334">
        <w:rPr>
          <w:rFonts w:ascii="Times New Roman" w:eastAsia="Times New Roman" w:hAnsi="Times New Roman" w:cs="Times New Roman"/>
          <w:kern w:val="0"/>
          <w:sz w:val="24"/>
          <w:szCs w:val="24"/>
          <w:lang w:val="ro-MD" w:eastAsia="ro-MD"/>
          <w14:ligatures w14:val="none"/>
        </w:rPr>
        <w:t>C</w:t>
      </w:r>
      <w:r w:rsidRPr="00AF5BCC">
        <w:rPr>
          <w:rFonts w:ascii="Times New Roman" w:eastAsia="Times New Roman" w:hAnsi="Times New Roman" w:cs="Times New Roman"/>
          <w:kern w:val="0"/>
          <w:sz w:val="24"/>
          <w:szCs w:val="24"/>
          <w:lang w:val="ro-MD" w:eastAsia="ro-MD"/>
          <w14:ligatures w14:val="none"/>
        </w:rPr>
        <w:t xml:space="preserve"> din Republica Moldova la EQF s-a desfășurat în baza unei abordări metodologice unitare, fundamentate pe analiza comparativă nivel–cu–nivel a descriptorilor și pe confirmarea documentată a compatibilității acestora.</w:t>
      </w:r>
    </w:p>
    <w:p w14:paraId="2CB8DF88" w14:textId="77777777" w:rsidR="00AF5BCC" w:rsidRPr="00AF5BCC" w:rsidRDefault="00AF5BCC"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AF5BCC">
        <w:rPr>
          <w:rFonts w:ascii="Times New Roman" w:eastAsia="Times New Roman" w:hAnsi="Times New Roman" w:cs="Times New Roman"/>
          <w:b/>
          <w:bCs/>
          <w:color w:val="3494BA" w:themeColor="accent1"/>
          <w:kern w:val="0"/>
          <w:sz w:val="24"/>
          <w:szCs w:val="24"/>
          <w:lang w:val="ro-MD" w:eastAsia="ro-MD"/>
          <w14:ligatures w14:val="none"/>
        </w:rPr>
        <w:t>5.1. Fundament metodologic</w:t>
      </w:r>
    </w:p>
    <w:p w14:paraId="4B6439AD" w14:textId="77777777"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Metodologia a fost elaborată în conformitate cu:</w:t>
      </w:r>
    </w:p>
    <w:p w14:paraId="5F057072" w14:textId="3F01119D" w:rsidR="00AF5BCC" w:rsidRPr="00AF5BCC" w:rsidRDefault="00AF5BCC" w:rsidP="00A41843">
      <w:pPr>
        <w:numPr>
          <w:ilvl w:val="0"/>
          <w:numId w:val="17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Cadrul normativ național, în special </w:t>
      </w:r>
      <w:r w:rsidR="005B7B74">
        <w:rPr>
          <w:rFonts w:ascii="Times New Roman" w:eastAsia="Times New Roman" w:hAnsi="Times New Roman" w:cs="Times New Roman"/>
          <w:i/>
          <w:iCs/>
          <w:kern w:val="0"/>
          <w:sz w:val="24"/>
          <w:szCs w:val="24"/>
          <w:lang w:val="ro-MD" w:eastAsia="ro-MD"/>
          <w14:ligatures w14:val="none"/>
        </w:rPr>
        <w:t>HG</w:t>
      </w:r>
      <w:r w:rsidRPr="00AF5BCC">
        <w:rPr>
          <w:rFonts w:ascii="Times New Roman" w:eastAsia="Times New Roman" w:hAnsi="Times New Roman" w:cs="Times New Roman"/>
          <w:i/>
          <w:iCs/>
          <w:kern w:val="0"/>
          <w:sz w:val="24"/>
          <w:szCs w:val="24"/>
          <w:lang w:val="ro-MD" w:eastAsia="ro-MD"/>
          <w14:ligatures w14:val="none"/>
        </w:rPr>
        <w:t xml:space="preserve"> nr. 330/2023</w:t>
      </w:r>
      <w:r w:rsidRPr="00AF5BCC">
        <w:rPr>
          <w:rFonts w:ascii="Times New Roman" w:eastAsia="Times New Roman" w:hAnsi="Times New Roman" w:cs="Times New Roman"/>
          <w:kern w:val="0"/>
          <w:sz w:val="24"/>
          <w:szCs w:val="24"/>
          <w:lang w:val="ro-MD" w:eastAsia="ro-MD"/>
          <w14:ligatures w14:val="none"/>
        </w:rPr>
        <w:t xml:space="preserve">, care conține în </w:t>
      </w:r>
      <w:r w:rsidRPr="00AF5BCC">
        <w:rPr>
          <w:rFonts w:ascii="Times New Roman" w:eastAsia="Times New Roman" w:hAnsi="Times New Roman" w:cs="Times New Roman"/>
          <w:i/>
          <w:iCs/>
          <w:kern w:val="0"/>
          <w:sz w:val="24"/>
          <w:szCs w:val="24"/>
          <w:lang w:val="ro-MD" w:eastAsia="ro-MD"/>
          <w14:ligatures w14:val="none"/>
        </w:rPr>
        <w:t>Anexa 1</w:t>
      </w:r>
      <w:r w:rsidRPr="00AF5BCC">
        <w:rPr>
          <w:rFonts w:ascii="Times New Roman" w:eastAsia="Times New Roman" w:hAnsi="Times New Roman" w:cs="Times New Roman"/>
          <w:kern w:val="0"/>
          <w:sz w:val="24"/>
          <w:szCs w:val="24"/>
          <w:lang w:val="ro-MD" w:eastAsia="ro-MD"/>
          <w14:ligatures w14:val="none"/>
        </w:rPr>
        <w:t xml:space="preserve"> „Descriptori de definire a nivelurilor </w:t>
      </w:r>
      <w:r w:rsidR="0056330B">
        <w:rPr>
          <w:rFonts w:ascii="Times New Roman" w:eastAsia="Times New Roman" w:hAnsi="Times New Roman" w:cs="Times New Roman"/>
          <w:kern w:val="0"/>
          <w:sz w:val="24"/>
          <w:szCs w:val="24"/>
          <w:lang w:val="ro-MD" w:eastAsia="ro-MD"/>
          <w14:ligatures w14:val="none"/>
        </w:rPr>
        <w:t>CNC</w:t>
      </w:r>
      <w:r w:rsidRPr="00AF5BCC">
        <w:rPr>
          <w:rFonts w:ascii="Times New Roman" w:eastAsia="Times New Roman" w:hAnsi="Times New Roman" w:cs="Times New Roman"/>
          <w:kern w:val="0"/>
          <w:sz w:val="24"/>
          <w:szCs w:val="24"/>
          <w:lang w:val="ro-MD" w:eastAsia="ro-MD"/>
          <w14:ligatures w14:val="none"/>
        </w:rPr>
        <w:t xml:space="preserve">” și în </w:t>
      </w:r>
      <w:r w:rsidRPr="00AF5BCC">
        <w:rPr>
          <w:rFonts w:ascii="Times New Roman" w:eastAsia="Times New Roman" w:hAnsi="Times New Roman" w:cs="Times New Roman"/>
          <w:i/>
          <w:iCs/>
          <w:kern w:val="0"/>
          <w:sz w:val="24"/>
          <w:szCs w:val="24"/>
          <w:lang w:val="ro-MD" w:eastAsia="ro-MD"/>
          <w14:ligatures w14:val="none"/>
        </w:rPr>
        <w:t>Anexa 2</w:t>
      </w:r>
      <w:r w:rsidRPr="00AF5BCC">
        <w:rPr>
          <w:rFonts w:ascii="Times New Roman" w:eastAsia="Times New Roman" w:hAnsi="Times New Roman" w:cs="Times New Roman"/>
          <w:kern w:val="0"/>
          <w:sz w:val="24"/>
          <w:szCs w:val="24"/>
          <w:lang w:val="ro-MD" w:eastAsia="ro-MD"/>
          <w14:ligatures w14:val="none"/>
        </w:rPr>
        <w:t xml:space="preserve"> „Corespondența dintre nivelurile CNC și nivelurile de referință ale EQF și ISCED”;</w:t>
      </w:r>
    </w:p>
    <w:p w14:paraId="6EB7B401" w14:textId="77777777" w:rsidR="00AF5BCC" w:rsidRPr="00AF5BCC" w:rsidRDefault="00AF5BCC" w:rsidP="00A41843">
      <w:pPr>
        <w:numPr>
          <w:ilvl w:val="0"/>
          <w:numId w:val="17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Recomandările Grupului Consultativ EQF (EQF Advisory Group) privind transparența, comparabilitatea și validarea nivelurilor;</w:t>
      </w:r>
    </w:p>
    <w:p w14:paraId="18818E77" w14:textId="77777777" w:rsidR="00AF5BCC" w:rsidRPr="00AF5BCC" w:rsidRDefault="00AF5BCC" w:rsidP="00A41843">
      <w:pPr>
        <w:numPr>
          <w:ilvl w:val="0"/>
          <w:numId w:val="17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Bunele practici europene utilizate în rapoartele de referențiere ale statelor membre.</w:t>
      </w:r>
    </w:p>
    <w:p w14:paraId="3D4327B3" w14:textId="6411D64D"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Prin urmare, Republica Moldova a realizat o aliniere integrală, </w:t>
      </w:r>
      <w:r w:rsidR="00ED297B">
        <w:rPr>
          <w:rFonts w:ascii="Times New Roman" w:eastAsia="Times New Roman" w:hAnsi="Times New Roman" w:cs="Times New Roman"/>
          <w:kern w:val="0"/>
          <w:sz w:val="24"/>
          <w:szCs w:val="24"/>
          <w:lang w:val="ro-MD" w:eastAsia="ro-MD"/>
          <w14:ligatures w14:val="none"/>
        </w:rPr>
        <w:t xml:space="preserve">întemeiată </w:t>
      </w:r>
      <w:r w:rsidRPr="00AF5BCC">
        <w:rPr>
          <w:rFonts w:ascii="Times New Roman" w:eastAsia="Times New Roman" w:hAnsi="Times New Roman" w:cs="Times New Roman"/>
          <w:kern w:val="0"/>
          <w:sz w:val="24"/>
          <w:szCs w:val="24"/>
          <w:lang w:val="ro-MD" w:eastAsia="ro-MD"/>
          <w14:ligatures w14:val="none"/>
        </w:rPr>
        <w:t>juridic</w:t>
      </w:r>
      <w:r w:rsidR="00ED297B">
        <w:rPr>
          <w:rFonts w:ascii="Times New Roman" w:eastAsia="Times New Roman" w:hAnsi="Times New Roman" w:cs="Times New Roman"/>
          <w:kern w:val="0"/>
          <w:sz w:val="24"/>
          <w:szCs w:val="24"/>
          <w:lang w:val="ro-MD" w:eastAsia="ro-MD"/>
          <w14:ligatures w14:val="none"/>
        </w:rPr>
        <w:t>,</w:t>
      </w:r>
      <w:r w:rsidRPr="00AF5BCC">
        <w:rPr>
          <w:rFonts w:ascii="Times New Roman" w:eastAsia="Times New Roman" w:hAnsi="Times New Roman" w:cs="Times New Roman"/>
          <w:kern w:val="0"/>
          <w:sz w:val="24"/>
          <w:szCs w:val="24"/>
          <w:lang w:val="ro-MD" w:eastAsia="ro-MD"/>
          <w14:ligatures w14:val="none"/>
        </w:rPr>
        <w:t xml:space="preserve"> a CNC cu EQF, </w:t>
      </w:r>
      <w:r w:rsidR="005F4130">
        <w:rPr>
          <w:rFonts w:ascii="Times New Roman" w:eastAsia="Times New Roman" w:hAnsi="Times New Roman" w:cs="Times New Roman"/>
          <w:kern w:val="0"/>
          <w:sz w:val="24"/>
          <w:szCs w:val="24"/>
          <w:lang w:val="ro-MD" w:eastAsia="ro-MD"/>
          <w14:ligatures w14:val="none"/>
        </w:rPr>
        <w:t xml:space="preserve">fapt </w:t>
      </w:r>
      <w:r w:rsidRPr="00AF5BCC">
        <w:rPr>
          <w:rFonts w:ascii="Times New Roman" w:eastAsia="Times New Roman" w:hAnsi="Times New Roman" w:cs="Times New Roman"/>
          <w:kern w:val="0"/>
          <w:sz w:val="24"/>
          <w:szCs w:val="24"/>
          <w:lang w:val="ro-MD" w:eastAsia="ro-MD"/>
          <w14:ligatures w14:val="none"/>
        </w:rPr>
        <w:t>confirmat prin adoptarea acestor două tabele normative.</w:t>
      </w:r>
    </w:p>
    <w:p w14:paraId="5456C7E8" w14:textId="77777777" w:rsidR="00AF5BCC" w:rsidRPr="00AF5BCC" w:rsidRDefault="00AF5BCC"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AF5BCC">
        <w:rPr>
          <w:rFonts w:ascii="Times New Roman" w:eastAsia="Times New Roman" w:hAnsi="Times New Roman" w:cs="Times New Roman"/>
          <w:b/>
          <w:bCs/>
          <w:color w:val="3494BA" w:themeColor="accent1"/>
          <w:kern w:val="0"/>
          <w:sz w:val="24"/>
          <w:szCs w:val="24"/>
          <w:lang w:val="ro-MD" w:eastAsia="ro-MD"/>
          <w14:ligatures w14:val="none"/>
        </w:rPr>
        <w:t>5.2. Principii metodologice de referențiere</w:t>
      </w:r>
    </w:p>
    <w:p w14:paraId="203FECDE" w14:textId="77777777"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Procesul s-a bazat pe următoarele principii:</w:t>
      </w:r>
    </w:p>
    <w:p w14:paraId="4F6ED577" w14:textId="77777777" w:rsidR="00AF5BCC" w:rsidRPr="00AF5BCC" w:rsidRDefault="00AF5BCC" w:rsidP="00A41843">
      <w:pPr>
        <w:numPr>
          <w:ilvl w:val="0"/>
          <w:numId w:val="17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Echivalența descriptorilor de nivel – fiecare nivel CNC corespunde integral nivelului EQF pe cele patru dimensiuni: </w:t>
      </w:r>
      <w:r w:rsidRPr="00AF5BCC">
        <w:rPr>
          <w:rFonts w:ascii="Times New Roman" w:eastAsia="Times New Roman" w:hAnsi="Times New Roman" w:cs="Times New Roman"/>
          <w:i/>
          <w:iCs/>
          <w:kern w:val="0"/>
          <w:sz w:val="24"/>
          <w:szCs w:val="24"/>
          <w:lang w:val="ro-MD" w:eastAsia="ro-MD"/>
          <w14:ligatures w14:val="none"/>
        </w:rPr>
        <w:t>cunoștințe, aptitudini, responsabilitate și autonomie</w:t>
      </w:r>
      <w:r w:rsidRPr="00AF5BCC">
        <w:rPr>
          <w:rFonts w:ascii="Times New Roman" w:eastAsia="Times New Roman" w:hAnsi="Times New Roman" w:cs="Times New Roman"/>
          <w:kern w:val="0"/>
          <w:sz w:val="24"/>
          <w:szCs w:val="24"/>
          <w:lang w:val="ro-MD" w:eastAsia="ro-MD"/>
          <w14:ligatures w14:val="none"/>
        </w:rPr>
        <w:t>.</w:t>
      </w:r>
    </w:p>
    <w:p w14:paraId="6A0027BF" w14:textId="77777777" w:rsidR="00AF5BCC" w:rsidRPr="00AF5BCC" w:rsidRDefault="00AF5BCC" w:rsidP="00A41843">
      <w:pPr>
        <w:numPr>
          <w:ilvl w:val="0"/>
          <w:numId w:val="17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Coerență internă și progres logic – nivelurile CNC reflectă o progresie clară a complexității rezultatelor învățării și a gradului de autonomie, în conformitate cu EQF.</w:t>
      </w:r>
    </w:p>
    <w:p w14:paraId="2301AB59" w14:textId="44911AB0" w:rsidR="00AF5BCC" w:rsidRPr="00AF5BCC" w:rsidRDefault="00AF5BCC" w:rsidP="00A41843">
      <w:pPr>
        <w:numPr>
          <w:ilvl w:val="0"/>
          <w:numId w:val="17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Transparență și verificabilitate – tabelele </w:t>
      </w:r>
      <w:r w:rsidR="00DD6ABA">
        <w:rPr>
          <w:rFonts w:ascii="Times New Roman" w:eastAsia="Times New Roman" w:hAnsi="Times New Roman" w:cs="Times New Roman"/>
          <w:kern w:val="0"/>
          <w:sz w:val="24"/>
          <w:szCs w:val="24"/>
          <w:lang w:val="ro-MD" w:eastAsia="ro-MD"/>
          <w14:ligatures w14:val="none"/>
        </w:rPr>
        <w:t>cu</w:t>
      </w:r>
      <w:r w:rsidRPr="00AF5BCC">
        <w:rPr>
          <w:rFonts w:ascii="Times New Roman" w:eastAsia="Times New Roman" w:hAnsi="Times New Roman" w:cs="Times New Roman"/>
          <w:kern w:val="0"/>
          <w:sz w:val="24"/>
          <w:szCs w:val="24"/>
          <w:lang w:val="ro-MD" w:eastAsia="ro-MD"/>
          <w14:ligatures w14:val="none"/>
        </w:rPr>
        <w:t xml:space="preserve"> descriptorii și corespondențe</w:t>
      </w:r>
      <w:r w:rsidR="00DD6ABA">
        <w:rPr>
          <w:rFonts w:ascii="Times New Roman" w:eastAsia="Times New Roman" w:hAnsi="Times New Roman" w:cs="Times New Roman"/>
          <w:kern w:val="0"/>
          <w:sz w:val="24"/>
          <w:szCs w:val="24"/>
          <w:lang w:val="ro-MD" w:eastAsia="ro-MD"/>
          <w14:ligatures w14:val="none"/>
        </w:rPr>
        <w:t>le</w:t>
      </w:r>
      <w:r w:rsidRPr="00AF5BCC">
        <w:rPr>
          <w:rFonts w:ascii="Times New Roman" w:eastAsia="Times New Roman" w:hAnsi="Times New Roman" w:cs="Times New Roman"/>
          <w:kern w:val="0"/>
          <w:sz w:val="24"/>
          <w:szCs w:val="24"/>
          <w:lang w:val="ro-MD" w:eastAsia="ro-MD"/>
          <w14:ligatures w14:val="none"/>
        </w:rPr>
        <w:t xml:space="preserve"> (Anexele 1 și 2 din HG 330/2023) sunt publice, accesibile și constituie dovada formală a </w:t>
      </w:r>
      <w:r w:rsidR="00612308" w:rsidRPr="00AF5BCC">
        <w:rPr>
          <w:rFonts w:ascii="Times New Roman" w:eastAsia="Times New Roman" w:hAnsi="Times New Roman" w:cs="Times New Roman"/>
          <w:kern w:val="0"/>
          <w:sz w:val="24"/>
          <w:szCs w:val="24"/>
          <w:lang w:val="ro-MD" w:eastAsia="ro-MD"/>
          <w14:ligatures w14:val="none"/>
        </w:rPr>
        <w:t>alinierii</w:t>
      </w:r>
      <w:r w:rsidRPr="00AF5BCC">
        <w:rPr>
          <w:rFonts w:ascii="Times New Roman" w:eastAsia="Times New Roman" w:hAnsi="Times New Roman" w:cs="Times New Roman"/>
          <w:kern w:val="0"/>
          <w:sz w:val="24"/>
          <w:szCs w:val="24"/>
          <w:lang w:val="ro-MD" w:eastAsia="ro-MD"/>
          <w14:ligatures w14:val="none"/>
        </w:rPr>
        <w:t>.</w:t>
      </w:r>
    </w:p>
    <w:p w14:paraId="12172A76" w14:textId="192A4BF6" w:rsidR="00AF5BCC" w:rsidRPr="00AF5BCC" w:rsidRDefault="00AF5BCC" w:rsidP="00A41843">
      <w:pPr>
        <w:numPr>
          <w:ilvl w:val="0"/>
          <w:numId w:val="17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Participare interinstituțională și consens – corelarea și validarea au fost realizate în parteneriat cu </w:t>
      </w:r>
      <w:r w:rsidR="00612308">
        <w:rPr>
          <w:rFonts w:ascii="Times New Roman" w:eastAsia="Times New Roman" w:hAnsi="Times New Roman" w:cs="Times New Roman"/>
          <w:kern w:val="0"/>
          <w:sz w:val="24"/>
          <w:szCs w:val="24"/>
          <w:lang w:val="ro-MD" w:eastAsia="ro-MD"/>
          <w14:ligatures w14:val="none"/>
        </w:rPr>
        <w:t>MEC</w:t>
      </w:r>
      <w:r w:rsidRPr="00AF5BCC">
        <w:rPr>
          <w:rFonts w:ascii="Times New Roman" w:eastAsia="Times New Roman" w:hAnsi="Times New Roman" w:cs="Times New Roman"/>
          <w:kern w:val="0"/>
          <w:sz w:val="24"/>
          <w:szCs w:val="24"/>
          <w:lang w:val="ro-MD" w:eastAsia="ro-MD"/>
          <w14:ligatures w14:val="none"/>
        </w:rPr>
        <w:t xml:space="preserve">, ANACEC, Consiliul Național pentru Calificări, </w:t>
      </w:r>
      <w:r w:rsidR="00A61F4F">
        <w:rPr>
          <w:rFonts w:ascii="Times New Roman" w:eastAsia="Times New Roman" w:hAnsi="Times New Roman" w:cs="Times New Roman"/>
          <w:kern w:val="0"/>
          <w:sz w:val="24"/>
          <w:szCs w:val="24"/>
          <w:lang w:val="ro-MD" w:eastAsia="ro-MD"/>
          <w14:ligatures w14:val="none"/>
        </w:rPr>
        <w:t xml:space="preserve">ministerele de resort, </w:t>
      </w:r>
      <w:r w:rsidRPr="00AF5BCC">
        <w:rPr>
          <w:rFonts w:ascii="Times New Roman" w:eastAsia="Times New Roman" w:hAnsi="Times New Roman" w:cs="Times New Roman"/>
          <w:kern w:val="0"/>
          <w:sz w:val="24"/>
          <w:szCs w:val="24"/>
          <w:lang w:val="ro-MD" w:eastAsia="ro-MD"/>
          <w14:ligatures w14:val="none"/>
        </w:rPr>
        <w:t>furnizorii de educație și reprezentanții pieței muncii.</w:t>
      </w:r>
    </w:p>
    <w:p w14:paraId="1DC49C07" w14:textId="77777777" w:rsidR="00AF5BCC" w:rsidRPr="00AF5BCC" w:rsidRDefault="00AF5BCC" w:rsidP="00A41843">
      <w:pPr>
        <w:numPr>
          <w:ilvl w:val="0"/>
          <w:numId w:val="17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Compatibilitate internațională – structura CNC respectă principiile EQF și QF-EHEA și este corelată și cu Clasificarea Internațională Standard a Educației (ISCED).</w:t>
      </w:r>
    </w:p>
    <w:p w14:paraId="1AA28400" w14:textId="77777777" w:rsidR="00AF5BCC" w:rsidRPr="00AF5BCC" w:rsidRDefault="00AF5BCC"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AF5BCC">
        <w:rPr>
          <w:rFonts w:ascii="Times New Roman" w:eastAsia="Times New Roman" w:hAnsi="Times New Roman" w:cs="Times New Roman"/>
          <w:b/>
          <w:bCs/>
          <w:color w:val="3494BA" w:themeColor="accent1"/>
          <w:kern w:val="0"/>
          <w:sz w:val="24"/>
          <w:szCs w:val="24"/>
          <w:lang w:val="ro-MD" w:eastAsia="ro-MD"/>
          <w14:ligatures w14:val="none"/>
        </w:rPr>
        <w:t>5.3. Etapele procesului de corelare</w:t>
      </w:r>
    </w:p>
    <w:p w14:paraId="67AEA41A" w14:textId="47672CD1"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Deși corespondența completă CNC–EQF este deja confirmată prin </w:t>
      </w:r>
      <w:r w:rsidR="006E3278">
        <w:rPr>
          <w:rFonts w:ascii="Times New Roman" w:eastAsia="Times New Roman" w:hAnsi="Times New Roman" w:cs="Times New Roman"/>
          <w:i/>
          <w:iCs/>
          <w:kern w:val="0"/>
          <w:sz w:val="24"/>
          <w:szCs w:val="24"/>
          <w:lang w:val="ro-MD" w:eastAsia="ro-MD"/>
          <w14:ligatures w14:val="none"/>
        </w:rPr>
        <w:t>HG</w:t>
      </w:r>
      <w:r w:rsidRPr="00AF5BCC">
        <w:rPr>
          <w:rFonts w:ascii="Times New Roman" w:eastAsia="Times New Roman" w:hAnsi="Times New Roman" w:cs="Times New Roman"/>
          <w:i/>
          <w:iCs/>
          <w:kern w:val="0"/>
          <w:sz w:val="24"/>
          <w:szCs w:val="24"/>
          <w:lang w:val="ro-MD" w:eastAsia="ro-MD"/>
          <w14:ligatures w14:val="none"/>
        </w:rPr>
        <w:t xml:space="preserve"> nr. 330/2023</w:t>
      </w:r>
      <w:r w:rsidRPr="00AF5BCC">
        <w:rPr>
          <w:rFonts w:ascii="Times New Roman" w:eastAsia="Times New Roman" w:hAnsi="Times New Roman" w:cs="Times New Roman"/>
          <w:kern w:val="0"/>
          <w:sz w:val="24"/>
          <w:szCs w:val="24"/>
          <w:lang w:val="ro-MD" w:eastAsia="ro-MD"/>
          <w14:ligatures w14:val="none"/>
        </w:rPr>
        <w:t>, procesul de analiză și validare a fost realizat într-o manieră sistematică, în cinci etape metodologice:</w:t>
      </w:r>
    </w:p>
    <w:p w14:paraId="31DA6AD0" w14:textId="51D9EC4C" w:rsidR="00AF5BCC" w:rsidRPr="00AF5BCC" w:rsidRDefault="00AF5BCC" w:rsidP="009C4567">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b/>
          <w:bCs/>
          <w:kern w:val="0"/>
          <w:sz w:val="24"/>
          <w:szCs w:val="24"/>
          <w:lang w:val="ro-MD" w:eastAsia="ro-MD"/>
          <w14:ligatures w14:val="none"/>
        </w:rPr>
        <w:t>Etapa 1</w:t>
      </w:r>
      <w:r w:rsidRPr="00AF5BCC">
        <w:rPr>
          <w:rFonts w:ascii="Times New Roman" w:eastAsia="Times New Roman" w:hAnsi="Times New Roman" w:cs="Times New Roman"/>
          <w:kern w:val="0"/>
          <w:sz w:val="24"/>
          <w:szCs w:val="24"/>
          <w:lang w:val="ro-MD" w:eastAsia="ro-MD"/>
          <w14:ligatures w14:val="none"/>
        </w:rPr>
        <w:t xml:space="preserve"> – Analiza generală a </w:t>
      </w:r>
      <w:r w:rsidR="004E12A1">
        <w:rPr>
          <w:rFonts w:ascii="Times New Roman" w:eastAsia="Times New Roman" w:hAnsi="Times New Roman" w:cs="Times New Roman"/>
          <w:kern w:val="0"/>
          <w:sz w:val="24"/>
          <w:szCs w:val="24"/>
          <w:lang w:val="ro-MD" w:eastAsia="ro-MD"/>
          <w14:ligatures w14:val="none"/>
        </w:rPr>
        <w:t>CNC și EQF</w:t>
      </w:r>
    </w:p>
    <w:p w14:paraId="4BDFEBDE" w14:textId="77777777" w:rsidR="00202912" w:rsidRDefault="00AF5BCC" w:rsidP="00202912">
      <w:pPr>
        <w:spacing w:after="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A fost realizată o analiză comparativă a misiunii, structurii și scopurilor CNC și EQF, </w:t>
      </w:r>
      <w:r w:rsidR="00D8115B">
        <w:rPr>
          <w:rFonts w:ascii="Times New Roman" w:eastAsia="Times New Roman" w:hAnsi="Times New Roman" w:cs="Times New Roman"/>
          <w:kern w:val="0"/>
          <w:sz w:val="24"/>
          <w:szCs w:val="24"/>
          <w:lang w:val="ro-MD" w:eastAsia="ro-MD"/>
          <w14:ligatures w14:val="none"/>
        </w:rPr>
        <w:t>cu privire la</w:t>
      </w:r>
      <w:r w:rsidRPr="00AF5BCC">
        <w:rPr>
          <w:rFonts w:ascii="Times New Roman" w:eastAsia="Times New Roman" w:hAnsi="Times New Roman" w:cs="Times New Roman"/>
          <w:kern w:val="0"/>
          <w:sz w:val="24"/>
          <w:szCs w:val="24"/>
          <w:lang w:val="ro-MD" w:eastAsia="ro-MD"/>
          <w14:ligatures w14:val="none"/>
        </w:rPr>
        <w:t xml:space="preserve"> numărul de niveluri, tipurile de calificări și finalitățile educaționale.</w:t>
      </w:r>
      <w:r w:rsidR="00D8115B">
        <w:rPr>
          <w:rFonts w:ascii="Times New Roman" w:eastAsia="Times New Roman" w:hAnsi="Times New Roman" w:cs="Times New Roman"/>
          <w:kern w:val="0"/>
          <w:sz w:val="24"/>
          <w:szCs w:val="24"/>
          <w:lang w:val="ro-MD" w:eastAsia="ro-MD"/>
          <w14:ligatures w14:val="none"/>
        </w:rPr>
        <w:t xml:space="preserve"> </w:t>
      </w:r>
    </w:p>
    <w:p w14:paraId="23408096" w14:textId="7FB4885A" w:rsidR="00AF5BCC" w:rsidRPr="00AF5BCC" w:rsidRDefault="00AF5BCC" w:rsidP="00202912">
      <w:pPr>
        <w:spacing w:after="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Rezultatul acestei etape a confirmat identitatea structurală dintre cele două cadre, inclusiv corespunderea 1:1 a nivelurilor.</w:t>
      </w:r>
    </w:p>
    <w:p w14:paraId="7C91B7DB" w14:textId="77777777" w:rsidR="00AF5BCC" w:rsidRPr="00AF5BCC" w:rsidRDefault="00AF5BCC" w:rsidP="009C4567">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b/>
          <w:bCs/>
          <w:kern w:val="0"/>
          <w:sz w:val="24"/>
          <w:szCs w:val="24"/>
          <w:lang w:val="ro-MD" w:eastAsia="ro-MD"/>
          <w14:ligatures w14:val="none"/>
        </w:rPr>
        <w:t>Etapa 2</w:t>
      </w:r>
      <w:r w:rsidRPr="00AF5BCC">
        <w:rPr>
          <w:rFonts w:ascii="Times New Roman" w:eastAsia="Times New Roman" w:hAnsi="Times New Roman" w:cs="Times New Roman"/>
          <w:kern w:val="0"/>
          <w:sz w:val="24"/>
          <w:szCs w:val="24"/>
          <w:lang w:val="ro-MD" w:eastAsia="ro-MD"/>
          <w14:ligatures w14:val="none"/>
        </w:rPr>
        <w:t xml:space="preserve"> – Compararea descriptorilor de nivel</w:t>
      </w:r>
    </w:p>
    <w:p w14:paraId="033E14E7" w14:textId="77777777" w:rsidR="00202912" w:rsidRDefault="00AF5BCC" w:rsidP="00202912">
      <w:pPr>
        <w:spacing w:after="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Pentru fiecare nivel al CNC au fost analizați descriptorii privind </w:t>
      </w:r>
      <w:r w:rsidRPr="00AF5BCC">
        <w:rPr>
          <w:rFonts w:ascii="Times New Roman" w:eastAsia="Times New Roman" w:hAnsi="Times New Roman" w:cs="Times New Roman"/>
          <w:i/>
          <w:iCs/>
          <w:kern w:val="0"/>
          <w:sz w:val="24"/>
          <w:szCs w:val="24"/>
          <w:lang w:val="ro-MD" w:eastAsia="ro-MD"/>
          <w14:ligatures w14:val="none"/>
        </w:rPr>
        <w:t>cunoștințele, aptitudinile, responsabilitatea și autonomia</w:t>
      </w:r>
      <w:r w:rsidRPr="00AF5BCC">
        <w:rPr>
          <w:rFonts w:ascii="Times New Roman" w:eastAsia="Times New Roman" w:hAnsi="Times New Roman" w:cs="Times New Roman"/>
          <w:kern w:val="0"/>
          <w:sz w:val="24"/>
          <w:szCs w:val="24"/>
          <w:lang w:val="ro-MD" w:eastAsia="ro-MD"/>
          <w14:ligatures w14:val="none"/>
        </w:rPr>
        <w:t>, în raport direct cu descriptorii EQF.</w:t>
      </w:r>
      <w:r w:rsidR="00202912">
        <w:rPr>
          <w:rFonts w:ascii="Times New Roman" w:eastAsia="Times New Roman" w:hAnsi="Times New Roman" w:cs="Times New Roman"/>
          <w:kern w:val="0"/>
          <w:sz w:val="24"/>
          <w:szCs w:val="24"/>
          <w:lang w:val="ro-MD" w:eastAsia="ro-MD"/>
          <w14:ligatures w14:val="none"/>
        </w:rPr>
        <w:t xml:space="preserve"> </w:t>
      </w:r>
    </w:p>
    <w:p w14:paraId="7D4743B1" w14:textId="07D15986" w:rsidR="00AF5BCC" w:rsidRPr="00AF5BCC" w:rsidRDefault="00AF5BCC" w:rsidP="00202912">
      <w:pPr>
        <w:spacing w:after="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lastRenderedPageBreak/>
        <w:t xml:space="preserve">Rezultatul: corespondență completă (100%) între cele două seturi de descriptori, fapt </w:t>
      </w:r>
      <w:r w:rsidR="00E51713">
        <w:rPr>
          <w:rFonts w:ascii="Times New Roman" w:eastAsia="Times New Roman" w:hAnsi="Times New Roman" w:cs="Times New Roman"/>
          <w:kern w:val="0"/>
          <w:sz w:val="24"/>
          <w:szCs w:val="24"/>
          <w:lang w:val="ro-MD" w:eastAsia="ro-MD"/>
          <w14:ligatures w14:val="none"/>
        </w:rPr>
        <w:t>dovedit prin</w:t>
      </w:r>
      <w:r w:rsidRPr="00AF5BCC">
        <w:rPr>
          <w:rFonts w:ascii="Times New Roman" w:eastAsia="Times New Roman" w:hAnsi="Times New Roman" w:cs="Times New Roman"/>
          <w:kern w:val="0"/>
          <w:sz w:val="24"/>
          <w:szCs w:val="24"/>
          <w:lang w:val="ro-MD" w:eastAsia="ro-MD"/>
          <w14:ligatures w14:val="none"/>
        </w:rPr>
        <w:t xml:space="preserve"> </w:t>
      </w:r>
      <w:r w:rsidRPr="00AF5BCC">
        <w:rPr>
          <w:rFonts w:ascii="Times New Roman" w:eastAsia="Times New Roman" w:hAnsi="Times New Roman" w:cs="Times New Roman"/>
          <w:i/>
          <w:iCs/>
          <w:kern w:val="0"/>
          <w:sz w:val="24"/>
          <w:szCs w:val="24"/>
          <w:lang w:val="ro-MD" w:eastAsia="ro-MD"/>
          <w14:ligatures w14:val="none"/>
        </w:rPr>
        <w:t>Anexa 1</w:t>
      </w:r>
      <w:r w:rsidRPr="00AF5BCC">
        <w:rPr>
          <w:rFonts w:ascii="Times New Roman" w:eastAsia="Times New Roman" w:hAnsi="Times New Roman" w:cs="Times New Roman"/>
          <w:kern w:val="0"/>
          <w:sz w:val="24"/>
          <w:szCs w:val="24"/>
          <w:lang w:val="ro-MD" w:eastAsia="ro-MD"/>
          <w14:ligatures w14:val="none"/>
        </w:rPr>
        <w:t xml:space="preserve"> a HG nr. 330/2023.</w:t>
      </w:r>
    </w:p>
    <w:p w14:paraId="31FCD650" w14:textId="77777777" w:rsidR="00AF5BCC" w:rsidRPr="00AF5BCC" w:rsidRDefault="00AF5BCC" w:rsidP="009C4567">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b/>
          <w:bCs/>
          <w:kern w:val="0"/>
          <w:sz w:val="24"/>
          <w:szCs w:val="24"/>
          <w:lang w:val="ro-MD" w:eastAsia="ro-MD"/>
          <w14:ligatures w14:val="none"/>
        </w:rPr>
        <w:t>Etapa 3</w:t>
      </w:r>
      <w:r w:rsidRPr="00AF5BCC">
        <w:rPr>
          <w:rFonts w:ascii="Times New Roman" w:eastAsia="Times New Roman" w:hAnsi="Times New Roman" w:cs="Times New Roman"/>
          <w:kern w:val="0"/>
          <w:sz w:val="24"/>
          <w:szCs w:val="24"/>
          <w:lang w:val="ro-MD" w:eastAsia="ro-MD"/>
          <w14:ligatures w14:val="none"/>
        </w:rPr>
        <w:t xml:space="preserve"> – Elaborarea și confirmarea matricei de corelare</w:t>
      </w:r>
    </w:p>
    <w:p w14:paraId="4BB67C06" w14:textId="2071CF6B"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Pe baza tabelelor oficiale, a fost elaborată </w:t>
      </w:r>
      <w:r w:rsidRPr="00AF5BCC">
        <w:rPr>
          <w:rFonts w:ascii="Times New Roman" w:eastAsia="Times New Roman" w:hAnsi="Times New Roman" w:cs="Times New Roman"/>
          <w:i/>
          <w:iCs/>
          <w:kern w:val="0"/>
          <w:sz w:val="24"/>
          <w:szCs w:val="24"/>
          <w:lang w:val="ro-MD" w:eastAsia="ro-MD"/>
          <w14:ligatures w14:val="none"/>
        </w:rPr>
        <w:t>Matricea de analiză și corelare</w:t>
      </w:r>
      <w:r w:rsidRPr="00AF5BCC">
        <w:rPr>
          <w:rFonts w:ascii="Times New Roman" w:eastAsia="Times New Roman" w:hAnsi="Times New Roman" w:cs="Times New Roman"/>
          <w:kern w:val="0"/>
          <w:sz w:val="24"/>
          <w:szCs w:val="24"/>
          <w:lang w:val="ro-MD" w:eastAsia="ro-MD"/>
          <w14:ligatures w14:val="none"/>
        </w:rPr>
        <w:t xml:space="preserve"> a </w:t>
      </w:r>
      <w:r w:rsidR="00FB2466">
        <w:rPr>
          <w:rFonts w:ascii="Times New Roman" w:eastAsia="Times New Roman" w:hAnsi="Times New Roman" w:cs="Times New Roman"/>
          <w:kern w:val="0"/>
          <w:sz w:val="24"/>
          <w:szCs w:val="24"/>
          <w:lang w:val="ro-MD" w:eastAsia="ro-MD"/>
          <w14:ligatures w14:val="none"/>
        </w:rPr>
        <w:t>descriptorilor CNC</w:t>
      </w:r>
      <w:r w:rsidRPr="00AF5BCC">
        <w:rPr>
          <w:rFonts w:ascii="Times New Roman" w:eastAsia="Times New Roman" w:hAnsi="Times New Roman" w:cs="Times New Roman"/>
          <w:kern w:val="0"/>
          <w:sz w:val="24"/>
          <w:szCs w:val="24"/>
          <w:lang w:val="ro-MD" w:eastAsia="ro-MD"/>
          <w14:ligatures w14:val="none"/>
        </w:rPr>
        <w:t xml:space="preserve"> cu nivelurile EQF</w:t>
      </w:r>
      <w:r w:rsidR="003E1ACD">
        <w:rPr>
          <w:rFonts w:ascii="Times New Roman" w:eastAsia="Times New Roman" w:hAnsi="Times New Roman" w:cs="Times New Roman"/>
          <w:kern w:val="0"/>
          <w:sz w:val="24"/>
          <w:szCs w:val="24"/>
          <w:lang w:val="ro-MD" w:eastAsia="ro-MD"/>
          <w14:ligatures w14:val="none"/>
        </w:rPr>
        <w:t xml:space="preserve"> (vezi </w:t>
      </w:r>
      <w:r w:rsidR="003E1ACD" w:rsidRPr="00E859DA">
        <w:rPr>
          <w:rFonts w:ascii="Times New Roman" w:hAnsi="Times New Roman" w:cs="Times New Roman"/>
          <w:i/>
          <w:iCs/>
          <w:sz w:val="24"/>
          <w:szCs w:val="24"/>
        </w:rPr>
        <w:t>Anexă internă 2.A</w:t>
      </w:r>
      <w:r w:rsidR="003E1ACD" w:rsidRPr="00E859DA">
        <w:rPr>
          <w:rFonts w:ascii="Times New Roman" w:hAnsi="Times New Roman" w:cs="Times New Roman"/>
          <w:sz w:val="24"/>
          <w:szCs w:val="24"/>
        </w:rPr>
        <w:t>)</w:t>
      </w:r>
      <w:r w:rsidRPr="00AF5BCC">
        <w:rPr>
          <w:rFonts w:ascii="Times New Roman" w:eastAsia="Times New Roman" w:hAnsi="Times New Roman" w:cs="Times New Roman"/>
          <w:kern w:val="0"/>
          <w:sz w:val="24"/>
          <w:szCs w:val="24"/>
          <w:lang w:val="ro-MD" w:eastAsia="ro-MD"/>
          <w14:ligatures w14:val="none"/>
        </w:rPr>
        <w:t>, care demonstrează comparabilitatea completă între CNC și EQF.</w:t>
      </w:r>
      <w:r w:rsidR="00E71B54">
        <w:rPr>
          <w:rFonts w:ascii="Times New Roman" w:eastAsia="Times New Roman" w:hAnsi="Times New Roman" w:cs="Times New Roman"/>
          <w:kern w:val="0"/>
          <w:sz w:val="24"/>
          <w:szCs w:val="24"/>
          <w:lang w:val="ro-MD" w:eastAsia="ro-MD"/>
          <w14:ligatures w14:val="none"/>
        </w:rPr>
        <w:t xml:space="preserve"> </w:t>
      </w:r>
      <w:r w:rsidRPr="00AF5BCC">
        <w:rPr>
          <w:rFonts w:ascii="Times New Roman" w:eastAsia="Times New Roman" w:hAnsi="Times New Roman" w:cs="Times New Roman"/>
          <w:kern w:val="0"/>
          <w:sz w:val="24"/>
          <w:szCs w:val="24"/>
          <w:lang w:val="ro-MD" w:eastAsia="ro-MD"/>
          <w14:ligatures w14:val="none"/>
        </w:rPr>
        <w:t>Matricea include pentru fiecare nivel:</w:t>
      </w:r>
    </w:p>
    <w:p w14:paraId="32C0DE87" w14:textId="77777777" w:rsidR="00AF5BCC" w:rsidRPr="00AF5BCC" w:rsidRDefault="00AF5BCC" w:rsidP="00A41843">
      <w:pPr>
        <w:numPr>
          <w:ilvl w:val="0"/>
          <w:numId w:val="17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descriptorii CNC și EQF;</w:t>
      </w:r>
    </w:p>
    <w:p w14:paraId="2C25AD8C" w14:textId="77777777" w:rsidR="00AF5BCC" w:rsidRPr="00AF5BCC" w:rsidRDefault="00AF5BCC" w:rsidP="00A41843">
      <w:pPr>
        <w:numPr>
          <w:ilvl w:val="0"/>
          <w:numId w:val="17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exemple de calificări și acte de studii;</w:t>
      </w:r>
    </w:p>
    <w:p w14:paraId="3C7F98CB" w14:textId="77777777" w:rsidR="00AF5BCC" w:rsidRPr="00AF5BCC" w:rsidRDefault="00AF5BCC" w:rsidP="00A41843">
      <w:pPr>
        <w:numPr>
          <w:ilvl w:val="0"/>
          <w:numId w:val="17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gradul de comparabilitate („complet comparabil”).</w:t>
      </w:r>
    </w:p>
    <w:p w14:paraId="061581C9" w14:textId="77777777" w:rsidR="00AF5BCC" w:rsidRPr="00AF5BCC" w:rsidRDefault="00AF5BCC" w:rsidP="009C4567">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b/>
          <w:bCs/>
          <w:kern w:val="0"/>
          <w:sz w:val="24"/>
          <w:szCs w:val="24"/>
          <w:lang w:val="ro-MD" w:eastAsia="ro-MD"/>
          <w14:ligatures w14:val="none"/>
        </w:rPr>
        <w:t>Etapa 4</w:t>
      </w:r>
      <w:r w:rsidRPr="00AF5BCC">
        <w:rPr>
          <w:rFonts w:ascii="Times New Roman" w:eastAsia="Times New Roman" w:hAnsi="Times New Roman" w:cs="Times New Roman"/>
          <w:kern w:val="0"/>
          <w:sz w:val="24"/>
          <w:szCs w:val="24"/>
          <w:lang w:val="ro-MD" w:eastAsia="ro-MD"/>
          <w14:ligatures w14:val="none"/>
        </w:rPr>
        <w:t xml:space="preserve"> – Validarea prin consultare interinstituțională</w:t>
      </w:r>
    </w:p>
    <w:p w14:paraId="0220ADED" w14:textId="2C5D107A"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Rezultatele analizei au fost supuse consultării cu experți naționali și internaționali, reprezentanți ai MEC, ANACEC, Consiliului Național pentru Calificări, com</w:t>
      </w:r>
      <w:r w:rsidR="000C433E">
        <w:rPr>
          <w:rFonts w:ascii="Times New Roman" w:eastAsia="Times New Roman" w:hAnsi="Times New Roman" w:cs="Times New Roman"/>
          <w:kern w:val="0"/>
          <w:sz w:val="24"/>
          <w:szCs w:val="24"/>
          <w:lang w:val="ro-MD" w:eastAsia="ro-MD"/>
          <w14:ligatures w14:val="none"/>
        </w:rPr>
        <w:t>itetelor</w:t>
      </w:r>
      <w:r w:rsidR="000C433E" w:rsidRPr="000C433E">
        <w:rPr>
          <w:rFonts w:ascii="Times New Roman" w:eastAsia="Times New Roman" w:hAnsi="Times New Roman" w:cs="Times New Roman"/>
          <w:kern w:val="0"/>
          <w:sz w:val="24"/>
          <w:szCs w:val="24"/>
          <w:lang w:val="ro-MD" w:eastAsia="ro-MD"/>
          <w14:ligatures w14:val="none"/>
        </w:rPr>
        <w:t xml:space="preserve"> </w:t>
      </w:r>
      <w:r w:rsidR="000C433E" w:rsidRPr="00AF5BCC">
        <w:rPr>
          <w:rFonts w:ascii="Times New Roman" w:eastAsia="Times New Roman" w:hAnsi="Times New Roman" w:cs="Times New Roman"/>
          <w:kern w:val="0"/>
          <w:sz w:val="24"/>
          <w:szCs w:val="24"/>
          <w:lang w:val="ro-MD" w:eastAsia="ro-MD"/>
          <w14:ligatures w14:val="none"/>
        </w:rPr>
        <w:t>sectorial</w:t>
      </w:r>
      <w:r w:rsidR="000C433E">
        <w:rPr>
          <w:rFonts w:ascii="Times New Roman" w:eastAsia="Times New Roman" w:hAnsi="Times New Roman" w:cs="Times New Roman"/>
          <w:kern w:val="0"/>
          <w:sz w:val="24"/>
          <w:szCs w:val="24"/>
          <w:lang w:val="ro-MD" w:eastAsia="ro-MD"/>
          <w14:ligatures w14:val="none"/>
        </w:rPr>
        <w:t>e</w:t>
      </w:r>
      <w:r w:rsidRPr="00AF5BCC">
        <w:rPr>
          <w:rFonts w:ascii="Times New Roman" w:eastAsia="Times New Roman" w:hAnsi="Times New Roman" w:cs="Times New Roman"/>
          <w:kern w:val="0"/>
          <w:sz w:val="24"/>
          <w:szCs w:val="24"/>
          <w:lang w:val="ro-MD" w:eastAsia="ro-MD"/>
          <w14:ligatures w14:val="none"/>
        </w:rPr>
        <w:t>, furnizori de educație și angajatori.</w:t>
      </w:r>
      <w:r w:rsidR="0041218A">
        <w:rPr>
          <w:rFonts w:ascii="Times New Roman" w:eastAsia="Times New Roman" w:hAnsi="Times New Roman" w:cs="Times New Roman"/>
          <w:kern w:val="0"/>
          <w:sz w:val="24"/>
          <w:szCs w:val="24"/>
          <w:lang w:val="ro-MD" w:eastAsia="ro-MD"/>
          <w14:ligatures w14:val="none"/>
        </w:rPr>
        <w:t xml:space="preserve"> </w:t>
      </w:r>
      <w:r w:rsidRPr="00AF5BCC">
        <w:rPr>
          <w:rFonts w:ascii="Times New Roman" w:eastAsia="Times New Roman" w:hAnsi="Times New Roman" w:cs="Times New Roman"/>
          <w:kern w:val="0"/>
          <w:sz w:val="24"/>
          <w:szCs w:val="24"/>
          <w:lang w:val="ro-MD" w:eastAsia="ro-MD"/>
          <w14:ligatures w14:val="none"/>
        </w:rPr>
        <w:t>Validarea a confirmat că descriptorii CNC sunt identici conceptual și terminologic cu cei ai EQF.</w:t>
      </w:r>
    </w:p>
    <w:p w14:paraId="3ABD0F86" w14:textId="77777777" w:rsidR="00AF5BCC" w:rsidRPr="00AF5BCC" w:rsidRDefault="00AF5BCC" w:rsidP="009C4567">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b/>
          <w:bCs/>
          <w:kern w:val="0"/>
          <w:sz w:val="24"/>
          <w:szCs w:val="24"/>
          <w:lang w:val="ro-MD" w:eastAsia="ro-MD"/>
          <w14:ligatures w14:val="none"/>
        </w:rPr>
        <w:t>Etapa 5</w:t>
      </w:r>
      <w:r w:rsidRPr="00AF5BCC">
        <w:rPr>
          <w:rFonts w:ascii="Times New Roman" w:eastAsia="Times New Roman" w:hAnsi="Times New Roman" w:cs="Times New Roman"/>
          <w:kern w:val="0"/>
          <w:sz w:val="24"/>
          <w:szCs w:val="24"/>
          <w:lang w:val="ro-MD" w:eastAsia="ro-MD"/>
          <w14:ligatures w14:val="none"/>
        </w:rPr>
        <w:t xml:space="preserve"> – Confirmarea formală a corespunderii</w:t>
      </w:r>
    </w:p>
    <w:p w14:paraId="3E5663D3" w14:textId="11F701DC"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Etapa finală a constat în consacrarea legală a rezultatelor procesului de corelare prin </w:t>
      </w:r>
      <w:r w:rsidR="001B3809">
        <w:rPr>
          <w:rFonts w:ascii="Times New Roman" w:eastAsia="Times New Roman" w:hAnsi="Times New Roman" w:cs="Times New Roman"/>
          <w:kern w:val="0"/>
          <w:sz w:val="24"/>
          <w:szCs w:val="24"/>
          <w:lang w:val="ro-MD" w:eastAsia="ro-MD"/>
          <w14:ligatures w14:val="none"/>
        </w:rPr>
        <w:t>HG</w:t>
      </w:r>
      <w:r w:rsidRPr="00AF5BCC">
        <w:rPr>
          <w:rFonts w:ascii="Times New Roman" w:eastAsia="Times New Roman" w:hAnsi="Times New Roman" w:cs="Times New Roman"/>
          <w:kern w:val="0"/>
          <w:sz w:val="24"/>
          <w:szCs w:val="24"/>
          <w:lang w:val="ro-MD" w:eastAsia="ro-MD"/>
          <w14:ligatures w14:val="none"/>
        </w:rPr>
        <w:t xml:space="preserve"> nr. 330/2023, care include cele două tabele oficiale (Anexa 1 și Anexa 2) și demonstrează echivalența completă CNC–EQF.</w:t>
      </w:r>
    </w:p>
    <w:p w14:paraId="13407BEF" w14:textId="77777777" w:rsidR="00AF5BCC" w:rsidRPr="00AF5BCC" w:rsidRDefault="00AF5BCC"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AF5BCC">
        <w:rPr>
          <w:rFonts w:ascii="Times New Roman" w:eastAsia="Times New Roman" w:hAnsi="Times New Roman" w:cs="Times New Roman"/>
          <w:b/>
          <w:bCs/>
          <w:color w:val="3494BA" w:themeColor="accent1"/>
          <w:kern w:val="0"/>
          <w:sz w:val="24"/>
          <w:szCs w:val="24"/>
          <w:lang w:val="ro-MD" w:eastAsia="ro-MD"/>
          <w14:ligatures w14:val="none"/>
        </w:rPr>
        <w:t>5.4. Rezultatul procesului de referențiere</w:t>
      </w:r>
    </w:p>
    <w:p w14:paraId="2BDF47FB" w14:textId="74C04728"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 xml:space="preserve">Rezultatele procesului metodologic confirmă că nivelurile 1–8 ale </w:t>
      </w:r>
      <w:r w:rsidR="00271759">
        <w:rPr>
          <w:rFonts w:ascii="Times New Roman" w:eastAsia="Times New Roman" w:hAnsi="Times New Roman" w:cs="Times New Roman"/>
          <w:kern w:val="0"/>
          <w:sz w:val="24"/>
          <w:szCs w:val="24"/>
          <w:lang w:val="ro-MD" w:eastAsia="ro-MD"/>
          <w14:ligatures w14:val="none"/>
        </w:rPr>
        <w:t>CNC</w:t>
      </w:r>
      <w:r w:rsidRPr="00AF5BCC">
        <w:rPr>
          <w:rFonts w:ascii="Times New Roman" w:eastAsia="Times New Roman" w:hAnsi="Times New Roman" w:cs="Times New Roman"/>
          <w:kern w:val="0"/>
          <w:sz w:val="24"/>
          <w:szCs w:val="24"/>
          <w:lang w:val="ro-MD" w:eastAsia="ro-MD"/>
          <w14:ligatures w14:val="none"/>
        </w:rPr>
        <w:t xml:space="preserve"> din Republica Moldova sunt complet comparabile și compatibile cu nivelurile 1–8 ale EQF.</w:t>
      </w:r>
      <w:r w:rsidR="00A7709C">
        <w:rPr>
          <w:rFonts w:ascii="Times New Roman" w:eastAsia="Times New Roman" w:hAnsi="Times New Roman" w:cs="Times New Roman"/>
          <w:kern w:val="0"/>
          <w:sz w:val="24"/>
          <w:szCs w:val="24"/>
          <w:lang w:val="ro-MD" w:eastAsia="ro-MD"/>
          <w14:ligatures w14:val="none"/>
        </w:rPr>
        <w:t xml:space="preserve"> </w:t>
      </w:r>
      <w:r w:rsidRPr="00AF5BCC">
        <w:rPr>
          <w:rFonts w:ascii="Times New Roman" w:eastAsia="Times New Roman" w:hAnsi="Times New Roman" w:cs="Times New Roman"/>
          <w:kern w:val="0"/>
          <w:sz w:val="24"/>
          <w:szCs w:val="24"/>
          <w:lang w:val="ro-MD" w:eastAsia="ro-MD"/>
          <w14:ligatures w14:val="none"/>
        </w:rPr>
        <w:t xml:space="preserve">Această corespondență integrală este ilustrată prin Matricea de analiză și corelare a </w:t>
      </w:r>
      <w:r w:rsidR="00733A86">
        <w:rPr>
          <w:rFonts w:ascii="Times New Roman" w:eastAsia="Times New Roman" w:hAnsi="Times New Roman" w:cs="Times New Roman"/>
          <w:kern w:val="0"/>
          <w:sz w:val="24"/>
          <w:szCs w:val="24"/>
          <w:lang w:val="ro-MD" w:eastAsia="ro-MD"/>
          <w14:ligatures w14:val="none"/>
        </w:rPr>
        <w:t>CNC</w:t>
      </w:r>
      <w:r w:rsidRPr="00AF5BCC">
        <w:rPr>
          <w:rFonts w:ascii="Times New Roman" w:eastAsia="Times New Roman" w:hAnsi="Times New Roman" w:cs="Times New Roman"/>
          <w:kern w:val="0"/>
          <w:sz w:val="24"/>
          <w:szCs w:val="24"/>
          <w:lang w:val="ro-MD" w:eastAsia="ro-MD"/>
          <w14:ligatures w14:val="none"/>
        </w:rPr>
        <w:t xml:space="preserve"> cu descriptorii nivelurilor EQF, care reflectă:</w:t>
      </w:r>
    </w:p>
    <w:p w14:paraId="2FD93EF4" w14:textId="77777777" w:rsidR="00AF5BCC" w:rsidRPr="00AF5BCC" w:rsidRDefault="00AF5BCC" w:rsidP="00A41843">
      <w:pPr>
        <w:numPr>
          <w:ilvl w:val="0"/>
          <w:numId w:val="179"/>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identitatea lingvistică și conceptuală a descriptorilor;</w:t>
      </w:r>
    </w:p>
    <w:p w14:paraId="3C50D728" w14:textId="77777777" w:rsidR="00AF5BCC" w:rsidRPr="00AF5BCC" w:rsidRDefault="00AF5BCC" w:rsidP="00A41843">
      <w:pPr>
        <w:numPr>
          <w:ilvl w:val="0"/>
          <w:numId w:val="179"/>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progresia logică a rezultatelor învățării între niveluri;</w:t>
      </w:r>
    </w:p>
    <w:p w14:paraId="045ADC12" w14:textId="77777777" w:rsidR="00AF5BCC" w:rsidRPr="00AF5BCC" w:rsidRDefault="00AF5BCC" w:rsidP="00A41843">
      <w:pPr>
        <w:numPr>
          <w:ilvl w:val="0"/>
          <w:numId w:val="179"/>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coerența cu tipurile de programe de formare și actele de studii aferente fiecărui nivel.</w:t>
      </w:r>
    </w:p>
    <w:p w14:paraId="2CB95D68" w14:textId="77777777" w:rsidR="00AF5BCC" w:rsidRPr="00AF5BCC" w:rsidRDefault="00AF5BCC"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AF5BCC">
        <w:rPr>
          <w:rFonts w:ascii="Times New Roman" w:eastAsia="Times New Roman" w:hAnsi="Times New Roman" w:cs="Times New Roman"/>
          <w:kern w:val="0"/>
          <w:sz w:val="24"/>
          <w:szCs w:val="24"/>
          <w:lang w:val="ro-MD" w:eastAsia="ro-MD"/>
          <w14:ligatures w14:val="none"/>
        </w:rPr>
        <w:t>Astfel, Republica Moldova devine una dintre puținele țări care au atins o echivalență completă, formalizată și documentată între CNC și EQF, confirmând compatibilitatea deplină a sistemului național al calificărilor cu standardele europene de transparență și comparabilitate.</w:t>
      </w:r>
    </w:p>
    <w:p w14:paraId="0386CD48" w14:textId="594841E5" w:rsidR="007E7419" w:rsidRPr="007E7419" w:rsidRDefault="007E7419" w:rsidP="009C4567">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7E7419">
        <w:rPr>
          <w:rFonts w:ascii="Times New Roman" w:eastAsia="Times New Roman" w:hAnsi="Times New Roman" w:cs="Times New Roman"/>
          <w:b/>
          <w:bCs/>
          <w:color w:val="3494BA" w:themeColor="accent1"/>
          <w:kern w:val="0"/>
          <w:sz w:val="24"/>
          <w:szCs w:val="24"/>
          <w:lang w:val="ro-MD" w:eastAsia="ro-MD"/>
          <w14:ligatures w14:val="none"/>
        </w:rPr>
        <w:t xml:space="preserve">6. Dovada de conformitate </w:t>
      </w:r>
      <w:r w:rsidR="00F90AF7" w:rsidRPr="005E53FC">
        <w:rPr>
          <w:rFonts w:ascii="Times New Roman" w:eastAsia="Times New Roman" w:hAnsi="Times New Roman" w:cs="Times New Roman"/>
          <w:color w:val="3494BA" w:themeColor="accent1"/>
          <w:kern w:val="0"/>
          <w:sz w:val="24"/>
          <w:szCs w:val="24"/>
          <w:lang w:val="ro-MD" w:eastAsia="ro-MD"/>
          <w14:ligatures w14:val="none"/>
        </w:rPr>
        <w:t>(sinteză narativă)</w:t>
      </w:r>
    </w:p>
    <w:p w14:paraId="657DF4E8" w14:textId="7B7AEAF0" w:rsidR="007E7419" w:rsidRPr="007E7419" w:rsidRDefault="007E741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Procesul de corelare a nivelurilor CNC cu EQF a fost realizat în deplină conformitate cu principiile și criteriile stabilite de Grupul Consultativ EQF.</w:t>
      </w:r>
      <w:r w:rsidR="00A7709C">
        <w:rPr>
          <w:rFonts w:ascii="Times New Roman" w:eastAsia="Times New Roman" w:hAnsi="Times New Roman" w:cs="Times New Roman"/>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Analiza comparativă și procesul de validare interinstituțională au confirmat faptul că Republica Moldova a realizat o corespondență completă (1:1) între nivelurile CNC și nivelurile EQF.</w:t>
      </w:r>
    </w:p>
    <w:p w14:paraId="495B4895" w14:textId="173DB93A" w:rsidR="007E7419" w:rsidRPr="007E7419" w:rsidRDefault="007E7419" w:rsidP="0034246F">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b/>
          <w:bCs/>
          <w:color w:val="3494BA" w:themeColor="accent1"/>
          <w:kern w:val="0"/>
          <w:sz w:val="24"/>
          <w:szCs w:val="24"/>
          <w:lang w:val="ro-MD" w:eastAsia="ro-MD"/>
          <w14:ligatures w14:val="none"/>
        </w:rPr>
        <w:t>Dovada formală de conformitate</w:t>
      </w:r>
      <w:r w:rsidR="0034246F">
        <w:rPr>
          <w:rFonts w:ascii="Times New Roman" w:eastAsia="Times New Roman" w:hAnsi="Times New Roman" w:cs="Times New Roman"/>
          <w:b/>
          <w:bCs/>
          <w:color w:val="3494BA" w:themeColor="accent1"/>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 xml:space="preserve">Echivalența dintre CNC și EQF este documentată și consacrată legal prin </w:t>
      </w:r>
      <w:r w:rsidR="00D31C65">
        <w:rPr>
          <w:rFonts w:ascii="Times New Roman" w:eastAsia="Times New Roman" w:hAnsi="Times New Roman" w:cs="Times New Roman"/>
          <w:i/>
          <w:iCs/>
          <w:kern w:val="0"/>
          <w:sz w:val="24"/>
          <w:szCs w:val="24"/>
          <w:lang w:val="ro-MD" w:eastAsia="ro-MD"/>
          <w14:ligatures w14:val="none"/>
        </w:rPr>
        <w:t>HG</w:t>
      </w:r>
      <w:r w:rsidRPr="007E7419">
        <w:rPr>
          <w:rFonts w:ascii="Times New Roman" w:eastAsia="Times New Roman" w:hAnsi="Times New Roman" w:cs="Times New Roman"/>
          <w:i/>
          <w:iCs/>
          <w:kern w:val="0"/>
          <w:sz w:val="24"/>
          <w:szCs w:val="24"/>
          <w:lang w:val="ro-MD" w:eastAsia="ro-MD"/>
          <w14:ligatures w14:val="none"/>
        </w:rPr>
        <w:t xml:space="preserve"> nr. 330/2023 privind Cadrul Național al Calificărilor și Foaia de parcurs pentru operaționalizarea acestuia</w:t>
      </w:r>
      <w:r w:rsidRPr="007E7419">
        <w:rPr>
          <w:rFonts w:ascii="Times New Roman" w:eastAsia="Times New Roman" w:hAnsi="Times New Roman" w:cs="Times New Roman"/>
          <w:kern w:val="0"/>
          <w:sz w:val="24"/>
          <w:szCs w:val="24"/>
          <w:lang w:val="ro-MD" w:eastAsia="ro-MD"/>
          <w14:ligatures w14:val="none"/>
        </w:rPr>
        <w:t>.</w:t>
      </w:r>
      <w:r w:rsidR="00A7709C">
        <w:rPr>
          <w:rFonts w:ascii="Times New Roman" w:eastAsia="Times New Roman" w:hAnsi="Times New Roman" w:cs="Times New Roman"/>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Aceasta include:</w:t>
      </w:r>
    </w:p>
    <w:p w14:paraId="4DFC681A" w14:textId="77777777" w:rsidR="007E7419" w:rsidRPr="007E7419" w:rsidRDefault="007E7419" w:rsidP="00A41843">
      <w:pPr>
        <w:numPr>
          <w:ilvl w:val="0"/>
          <w:numId w:val="180"/>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 xml:space="preserve">Anexa 1 – </w:t>
      </w:r>
      <w:r w:rsidRPr="007E7419">
        <w:rPr>
          <w:rFonts w:ascii="Times New Roman" w:eastAsia="Times New Roman" w:hAnsi="Times New Roman" w:cs="Times New Roman"/>
          <w:i/>
          <w:iCs/>
          <w:kern w:val="0"/>
          <w:sz w:val="24"/>
          <w:szCs w:val="24"/>
          <w:lang w:val="ro-MD" w:eastAsia="ro-MD"/>
          <w14:ligatures w14:val="none"/>
        </w:rPr>
        <w:t>Descriptori de definire a nivelurilor Cadrului Național al Calificărilor</w:t>
      </w:r>
      <w:r w:rsidRPr="007E7419">
        <w:rPr>
          <w:rFonts w:ascii="Times New Roman" w:eastAsia="Times New Roman" w:hAnsi="Times New Roman" w:cs="Times New Roman"/>
          <w:kern w:val="0"/>
          <w:sz w:val="24"/>
          <w:szCs w:val="24"/>
          <w:lang w:val="ro-MD" w:eastAsia="ro-MD"/>
          <w14:ligatures w14:val="none"/>
        </w:rPr>
        <w:t xml:space="preserve">, care reproduc integral structura și formulările descriptorilor EQF pentru cele patru dimensiuni: </w:t>
      </w:r>
      <w:r w:rsidRPr="007E7419">
        <w:rPr>
          <w:rFonts w:ascii="Times New Roman" w:eastAsia="Times New Roman" w:hAnsi="Times New Roman" w:cs="Times New Roman"/>
          <w:i/>
          <w:iCs/>
          <w:kern w:val="0"/>
          <w:sz w:val="24"/>
          <w:szCs w:val="24"/>
          <w:lang w:val="ro-MD" w:eastAsia="ro-MD"/>
          <w14:ligatures w14:val="none"/>
        </w:rPr>
        <w:t>cunoștințe, aptitudini, responsabilitate și autonomie</w:t>
      </w:r>
      <w:r w:rsidRPr="007E7419">
        <w:rPr>
          <w:rFonts w:ascii="Times New Roman" w:eastAsia="Times New Roman" w:hAnsi="Times New Roman" w:cs="Times New Roman"/>
          <w:kern w:val="0"/>
          <w:sz w:val="24"/>
          <w:szCs w:val="24"/>
          <w:lang w:val="ro-MD" w:eastAsia="ro-MD"/>
          <w14:ligatures w14:val="none"/>
        </w:rPr>
        <w:t>;</w:t>
      </w:r>
    </w:p>
    <w:p w14:paraId="67327D77" w14:textId="77777777" w:rsidR="007E7419" w:rsidRPr="007E7419" w:rsidRDefault="007E7419" w:rsidP="00A41843">
      <w:pPr>
        <w:numPr>
          <w:ilvl w:val="0"/>
          <w:numId w:val="180"/>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 xml:space="preserve">Anexa 2 – </w:t>
      </w:r>
      <w:r w:rsidRPr="007E7419">
        <w:rPr>
          <w:rFonts w:ascii="Times New Roman" w:eastAsia="Times New Roman" w:hAnsi="Times New Roman" w:cs="Times New Roman"/>
          <w:i/>
          <w:iCs/>
          <w:kern w:val="0"/>
          <w:sz w:val="24"/>
          <w:szCs w:val="24"/>
          <w:lang w:val="ro-MD" w:eastAsia="ro-MD"/>
          <w14:ligatures w14:val="none"/>
        </w:rPr>
        <w:t>Tabelul de corespondență între nivelurile CNC, EQF și ISCED</w:t>
      </w:r>
      <w:r w:rsidRPr="007E7419">
        <w:rPr>
          <w:rFonts w:ascii="Times New Roman" w:eastAsia="Times New Roman" w:hAnsi="Times New Roman" w:cs="Times New Roman"/>
          <w:kern w:val="0"/>
          <w:sz w:val="24"/>
          <w:szCs w:val="24"/>
          <w:lang w:val="ro-MD" w:eastAsia="ro-MD"/>
          <w14:ligatures w14:val="none"/>
        </w:rPr>
        <w:t>, care prezintă:</w:t>
      </w:r>
    </w:p>
    <w:p w14:paraId="17043E23" w14:textId="77777777" w:rsidR="007E7419" w:rsidRPr="007E7419" w:rsidRDefault="007E7419" w:rsidP="00A41843">
      <w:pPr>
        <w:numPr>
          <w:ilvl w:val="1"/>
          <w:numId w:val="185"/>
        </w:numPr>
        <w:spacing w:before="120" w:after="120" w:line="276" w:lineRule="auto"/>
        <w:ind w:left="993" w:hanging="284"/>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lastRenderedPageBreak/>
        <w:t>tipurile de programe de educație generală și profesională aferente fiecărui nivel;</w:t>
      </w:r>
    </w:p>
    <w:p w14:paraId="18D07A84" w14:textId="77777777" w:rsidR="007E7419" w:rsidRPr="007E7419" w:rsidRDefault="007E7419" w:rsidP="00A41843">
      <w:pPr>
        <w:numPr>
          <w:ilvl w:val="1"/>
          <w:numId w:val="185"/>
        </w:numPr>
        <w:spacing w:before="120" w:after="120" w:line="276" w:lineRule="auto"/>
        <w:ind w:left="993" w:hanging="284"/>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condițiile de acces și evaluare a rezultatelor învățării;</w:t>
      </w:r>
    </w:p>
    <w:p w14:paraId="10F8DD77" w14:textId="77777777" w:rsidR="007E7419" w:rsidRPr="007E7419" w:rsidRDefault="007E7419" w:rsidP="00A41843">
      <w:pPr>
        <w:numPr>
          <w:ilvl w:val="1"/>
          <w:numId w:val="185"/>
        </w:numPr>
        <w:spacing w:before="120" w:after="120" w:line="276" w:lineRule="auto"/>
        <w:ind w:left="993" w:hanging="284"/>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actele de studii care confirmă nivelul de calificare al titularului.</w:t>
      </w:r>
    </w:p>
    <w:p w14:paraId="72C692D7" w14:textId="3DCB2B8B" w:rsidR="007E7419" w:rsidRPr="007E7419" w:rsidRDefault="007E741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Aceste două anexe constituie documentele oficiale de referință care atestă compatibilitatea deplină a CNC cu EQF, fiind parte integrantă a cadrului normativ național.</w:t>
      </w:r>
      <w:r w:rsidR="00A7709C">
        <w:rPr>
          <w:rFonts w:ascii="Times New Roman" w:eastAsia="Times New Roman" w:hAnsi="Times New Roman" w:cs="Times New Roman"/>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Prin urmare, Republica Moldova îndeplinește integral Criteriul 2 – „Nivelurile CNC corespund clar nivelurilor EQF și sunt descrise într-un mod comparabil și transparent”.</w:t>
      </w:r>
    </w:p>
    <w:p w14:paraId="554F509E" w14:textId="322433DD" w:rsidR="007E7419" w:rsidRPr="007E7419" w:rsidRDefault="007E7419" w:rsidP="0034246F">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b/>
          <w:bCs/>
          <w:color w:val="3494BA" w:themeColor="accent1"/>
          <w:kern w:val="0"/>
          <w:sz w:val="24"/>
          <w:szCs w:val="24"/>
          <w:lang w:val="ro-MD" w:eastAsia="ro-MD"/>
          <w14:ligatures w14:val="none"/>
        </w:rPr>
        <w:t>Coerența internă și compatibilitatea externă</w:t>
      </w:r>
      <w:r w:rsidR="0034246F">
        <w:rPr>
          <w:rFonts w:ascii="Times New Roman" w:eastAsia="Times New Roman" w:hAnsi="Times New Roman" w:cs="Times New Roman"/>
          <w:b/>
          <w:bCs/>
          <w:color w:val="3494BA" w:themeColor="accent1"/>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Analiza detaliată a descriptorilor, realizată în cadrul grupului de lucru național și validată de părțile interesate, a confirmat că:</w:t>
      </w:r>
    </w:p>
    <w:p w14:paraId="5ED4998F" w14:textId="77777777" w:rsidR="007E7419" w:rsidRPr="007E7419" w:rsidRDefault="007E7419" w:rsidP="00A41843">
      <w:pPr>
        <w:numPr>
          <w:ilvl w:val="0"/>
          <w:numId w:val="18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progresia între niveluri este logică și continuă, reflectând creșterea gradului de complexitate cognitivă și de autonomie;</w:t>
      </w:r>
    </w:p>
    <w:p w14:paraId="1D13ECD3" w14:textId="77777777" w:rsidR="007E7419" w:rsidRPr="007E7419" w:rsidRDefault="007E7419" w:rsidP="00A41843">
      <w:pPr>
        <w:numPr>
          <w:ilvl w:val="0"/>
          <w:numId w:val="18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formulările descriptorilor CNC sunt identice cu cele ale EQF, ceea ce elimină interpretările divergente și asigură compatibilitatea lingvistică și conceptuală;</w:t>
      </w:r>
    </w:p>
    <w:p w14:paraId="20712762" w14:textId="77777777" w:rsidR="007E7419" w:rsidRPr="007E7419" w:rsidRDefault="007E7419" w:rsidP="00A41843">
      <w:pPr>
        <w:numPr>
          <w:ilvl w:val="0"/>
          <w:numId w:val="181"/>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sistemul de calificări național este complet interoperabil cu EQF, QF-EHEA și ISCED, facilitând recunoașterea calificărilor, mobilitatea academică și profesională și transparența rezultatelor învățării.</w:t>
      </w:r>
    </w:p>
    <w:p w14:paraId="205766F1" w14:textId="7103BB4C" w:rsidR="007E7419" w:rsidRPr="007E7419" w:rsidRDefault="007E741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Această coerență internă și compatibilitate externă reflectă maturizarea sistemului național al calificărilor și alinierea Republicii Moldova la practicile europene de recunoaștere și validare a competențelor.</w:t>
      </w:r>
    </w:p>
    <w:p w14:paraId="3FABA1FE" w14:textId="486E206A" w:rsidR="007E7419" w:rsidRPr="007E7419" w:rsidRDefault="007E7419" w:rsidP="0034246F">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b/>
          <w:bCs/>
          <w:color w:val="3494BA" w:themeColor="accent1"/>
          <w:kern w:val="0"/>
          <w:sz w:val="24"/>
          <w:szCs w:val="24"/>
          <w:lang w:val="ro-MD" w:eastAsia="ro-MD"/>
          <w14:ligatures w14:val="none"/>
        </w:rPr>
        <w:t>Validarea și implicarea părților interesate</w:t>
      </w:r>
      <w:r w:rsidR="0034246F">
        <w:rPr>
          <w:rFonts w:ascii="Times New Roman" w:eastAsia="Times New Roman" w:hAnsi="Times New Roman" w:cs="Times New Roman"/>
          <w:b/>
          <w:bCs/>
          <w:color w:val="3494BA" w:themeColor="accent1"/>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Confirmarea corespunderii complete CNC–EQF s-a bazat pe un proces participativ și transparent, implicând:</w:t>
      </w:r>
    </w:p>
    <w:p w14:paraId="36725907" w14:textId="381133EB" w:rsidR="007E7419" w:rsidRPr="007E7419" w:rsidRDefault="007E7419" w:rsidP="00A41843">
      <w:pPr>
        <w:numPr>
          <w:ilvl w:val="0"/>
          <w:numId w:val="18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M</w:t>
      </w:r>
      <w:r w:rsidR="0084768D">
        <w:rPr>
          <w:rFonts w:ascii="Times New Roman" w:eastAsia="Times New Roman" w:hAnsi="Times New Roman" w:cs="Times New Roman"/>
          <w:kern w:val="0"/>
          <w:sz w:val="24"/>
          <w:szCs w:val="24"/>
          <w:lang w:val="ro-MD" w:eastAsia="ro-MD"/>
          <w14:ligatures w14:val="none"/>
        </w:rPr>
        <w:t>EC</w:t>
      </w:r>
      <w:r w:rsidRPr="007E7419">
        <w:rPr>
          <w:rFonts w:ascii="Times New Roman" w:eastAsia="Times New Roman" w:hAnsi="Times New Roman" w:cs="Times New Roman"/>
          <w:kern w:val="0"/>
          <w:sz w:val="24"/>
          <w:szCs w:val="24"/>
          <w:lang w:val="ro-MD" w:eastAsia="ro-MD"/>
          <w14:ligatures w14:val="none"/>
        </w:rPr>
        <w:t>, în calitate de autoritate națională de coordonare a CNC și Punct Național de Coordonare EQF;</w:t>
      </w:r>
    </w:p>
    <w:p w14:paraId="5BCE2D85" w14:textId="02BB60F2" w:rsidR="007E7419" w:rsidRPr="007E7419" w:rsidRDefault="007E7419" w:rsidP="00A41843">
      <w:pPr>
        <w:numPr>
          <w:ilvl w:val="0"/>
          <w:numId w:val="18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ANACEC, responsabilă de evaluarea externă și asigurarea calității calificărilor;</w:t>
      </w:r>
    </w:p>
    <w:p w14:paraId="0FB52834" w14:textId="77777777" w:rsidR="007E7419" w:rsidRPr="007E7419" w:rsidRDefault="007E7419" w:rsidP="00A41843">
      <w:pPr>
        <w:numPr>
          <w:ilvl w:val="0"/>
          <w:numId w:val="18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Consiliul Național pentru Calificări, în rol consultativ și strategic, privind avizarea standardelor și orientarea dezvoltării CNC;</w:t>
      </w:r>
    </w:p>
    <w:p w14:paraId="33D4010C" w14:textId="34DB5826" w:rsidR="007E7419" w:rsidRPr="007E7419" w:rsidRDefault="008C0B1F" w:rsidP="00A41843">
      <w:pPr>
        <w:numPr>
          <w:ilvl w:val="0"/>
          <w:numId w:val="18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 xml:space="preserve">Ministerele de resort, </w:t>
      </w:r>
      <w:r w:rsidR="007E7419" w:rsidRPr="007E7419">
        <w:rPr>
          <w:rFonts w:ascii="Times New Roman" w:eastAsia="Times New Roman" w:hAnsi="Times New Roman" w:cs="Times New Roman"/>
          <w:kern w:val="0"/>
          <w:sz w:val="24"/>
          <w:szCs w:val="24"/>
          <w:lang w:val="ro-MD" w:eastAsia="ro-MD"/>
          <w14:ligatures w14:val="none"/>
        </w:rPr>
        <w:t>furnizorii de educație și formare profesională, angajatorii și comitetele sectoriale, care au contribuit la verificarea relevanței calificărilor și la confirmarea gradului de comparabilitate cu standardele europene.</w:t>
      </w:r>
    </w:p>
    <w:p w14:paraId="109B9472" w14:textId="07929CB2" w:rsidR="007E7419" w:rsidRPr="007E7419" w:rsidRDefault="007E741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Acest proces de validare prin consens</w:t>
      </w:r>
      <w:r w:rsidR="0012007F">
        <w:rPr>
          <w:rFonts w:ascii="Times New Roman" w:eastAsia="Times New Roman" w:hAnsi="Times New Roman" w:cs="Times New Roman"/>
          <w:kern w:val="0"/>
          <w:sz w:val="24"/>
          <w:szCs w:val="24"/>
          <w:lang w:val="ro-MD" w:eastAsia="ro-MD"/>
          <w14:ligatures w14:val="none"/>
        </w:rPr>
        <w:t xml:space="preserve"> </w:t>
      </w:r>
      <w:r w:rsidRPr="007E7419">
        <w:rPr>
          <w:rFonts w:ascii="Times New Roman" w:eastAsia="Times New Roman" w:hAnsi="Times New Roman" w:cs="Times New Roman"/>
          <w:kern w:val="0"/>
          <w:sz w:val="24"/>
          <w:szCs w:val="24"/>
          <w:lang w:val="ro-MD" w:eastAsia="ro-MD"/>
          <w14:ligatures w14:val="none"/>
        </w:rPr>
        <w:t>consolid</w:t>
      </w:r>
      <w:r w:rsidR="0012007F">
        <w:rPr>
          <w:rFonts w:ascii="Times New Roman" w:eastAsia="Times New Roman" w:hAnsi="Times New Roman" w:cs="Times New Roman"/>
          <w:kern w:val="0"/>
          <w:sz w:val="24"/>
          <w:szCs w:val="24"/>
          <w:lang w:val="ro-MD" w:eastAsia="ro-MD"/>
          <w14:ligatures w14:val="none"/>
        </w:rPr>
        <w:t>ează</w:t>
      </w:r>
      <w:r w:rsidRPr="007E7419">
        <w:rPr>
          <w:rFonts w:ascii="Times New Roman" w:eastAsia="Times New Roman" w:hAnsi="Times New Roman" w:cs="Times New Roman"/>
          <w:kern w:val="0"/>
          <w:sz w:val="24"/>
          <w:szCs w:val="24"/>
          <w:lang w:val="ro-MD" w:eastAsia="ro-MD"/>
          <w14:ligatures w14:val="none"/>
        </w:rPr>
        <w:t xml:space="preserve"> încrederea instituțională în sistemul național al calificărilor și asigur</w:t>
      </w:r>
      <w:r w:rsidR="0012007F">
        <w:rPr>
          <w:rFonts w:ascii="Times New Roman" w:eastAsia="Times New Roman" w:hAnsi="Times New Roman" w:cs="Times New Roman"/>
          <w:kern w:val="0"/>
          <w:sz w:val="24"/>
          <w:szCs w:val="24"/>
          <w:lang w:val="ro-MD" w:eastAsia="ro-MD"/>
          <w14:ligatures w14:val="none"/>
        </w:rPr>
        <w:t>ă</w:t>
      </w:r>
      <w:r w:rsidRPr="007E7419">
        <w:rPr>
          <w:rFonts w:ascii="Times New Roman" w:eastAsia="Times New Roman" w:hAnsi="Times New Roman" w:cs="Times New Roman"/>
          <w:kern w:val="0"/>
          <w:sz w:val="24"/>
          <w:szCs w:val="24"/>
          <w:lang w:val="ro-MD" w:eastAsia="ro-MD"/>
          <w14:ligatures w14:val="none"/>
        </w:rPr>
        <w:t xml:space="preserve"> transparența și credibilitatea internațională a rezultatelor procesului de referențiere.</w:t>
      </w:r>
    </w:p>
    <w:p w14:paraId="3B9A8D0A" w14:textId="0EC8A7D1" w:rsidR="007E7419" w:rsidRPr="007E7419" w:rsidRDefault="00C058D1" w:rsidP="009C4567">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Pr>
          <w:rFonts w:ascii="Times New Roman" w:eastAsia="Times New Roman" w:hAnsi="Times New Roman" w:cs="Times New Roman"/>
          <w:b/>
          <w:bCs/>
          <w:color w:val="3494BA" w:themeColor="accent1"/>
          <w:kern w:val="0"/>
          <w:sz w:val="24"/>
          <w:szCs w:val="24"/>
          <w:lang w:val="ro-MD" w:eastAsia="ro-MD"/>
          <w14:ligatures w14:val="none"/>
        </w:rPr>
        <w:t xml:space="preserve">7. </w:t>
      </w:r>
      <w:r w:rsidR="007E7419" w:rsidRPr="007E7419">
        <w:rPr>
          <w:rFonts w:ascii="Times New Roman" w:eastAsia="Times New Roman" w:hAnsi="Times New Roman" w:cs="Times New Roman"/>
          <w:b/>
          <w:bCs/>
          <w:color w:val="3494BA" w:themeColor="accent1"/>
          <w:kern w:val="0"/>
          <w:sz w:val="24"/>
          <w:szCs w:val="24"/>
          <w:lang w:val="ro-MD" w:eastAsia="ro-MD"/>
          <w14:ligatures w14:val="none"/>
        </w:rPr>
        <w:t xml:space="preserve">Concluzii </w:t>
      </w:r>
    </w:p>
    <w:p w14:paraId="3321983E" w14:textId="77777777" w:rsidR="007E7419" w:rsidRPr="007E7419" w:rsidRDefault="007E741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Analiza realizată și documentele normative adoptate confirmă că:</w:t>
      </w:r>
    </w:p>
    <w:p w14:paraId="2ADA53AC" w14:textId="77777777" w:rsidR="007E7419" w:rsidRPr="007E7419" w:rsidRDefault="007E7419" w:rsidP="00A41843">
      <w:pPr>
        <w:numPr>
          <w:ilvl w:val="0"/>
          <w:numId w:val="18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CNC al Republicii Moldova este complet aliniat la EQF, atât structural, cât și conceptual;</w:t>
      </w:r>
    </w:p>
    <w:p w14:paraId="14C8BC76" w14:textId="77777777" w:rsidR="007E7419" w:rsidRPr="007E7419" w:rsidRDefault="007E7419" w:rsidP="00A41843">
      <w:pPr>
        <w:numPr>
          <w:ilvl w:val="0"/>
          <w:numId w:val="18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descrierea nivelurilor CNC reflectă fidel cele patru dimensiuni EQF, fără diferențe de formulare sau de interpretare;</w:t>
      </w:r>
    </w:p>
    <w:p w14:paraId="73F2BF93" w14:textId="69F9BF78" w:rsidR="007E7419" w:rsidRPr="007E7419" w:rsidRDefault="00AD4B3B" w:rsidP="00A41843">
      <w:pPr>
        <w:numPr>
          <w:ilvl w:val="0"/>
          <w:numId w:val="18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M</w:t>
      </w:r>
      <w:r w:rsidR="007E7419" w:rsidRPr="007E7419">
        <w:rPr>
          <w:rFonts w:ascii="Times New Roman" w:eastAsia="Times New Roman" w:hAnsi="Times New Roman" w:cs="Times New Roman"/>
          <w:kern w:val="0"/>
          <w:sz w:val="24"/>
          <w:szCs w:val="24"/>
          <w:lang w:val="ro-MD" w:eastAsia="ro-MD"/>
          <w14:ligatures w14:val="none"/>
        </w:rPr>
        <w:t>atricea de corelare CNC–EQF, elaborată în baza HG nr. 330/2023, constituie o dovadă clară și verificabilă a corespondentelor nivel-cu-nivel;</w:t>
      </w:r>
    </w:p>
    <w:p w14:paraId="42AC59E5" w14:textId="77777777" w:rsidR="007E7419" w:rsidRPr="007E7419" w:rsidRDefault="007E7419" w:rsidP="00A41843">
      <w:pPr>
        <w:numPr>
          <w:ilvl w:val="0"/>
          <w:numId w:val="18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lastRenderedPageBreak/>
        <w:t>integrarea ISCED în structura CNC consolidează comparabilitatea internațională a calificărilor și facilitează raportarea sistemului național în contextul global al educației și formării.</w:t>
      </w:r>
    </w:p>
    <w:p w14:paraId="69018AD1" w14:textId="77777777" w:rsidR="007E7419" w:rsidRPr="007E7419" w:rsidRDefault="007E7419" w:rsidP="009C456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Prin urmare, Republica Moldova îndeplinește integral Criteriul 2 al Procesului de Referențiere la EQF, demonstrând că nivelurile CNC sunt:</w:t>
      </w:r>
    </w:p>
    <w:p w14:paraId="7B3771F4" w14:textId="77777777" w:rsidR="007E7419" w:rsidRPr="007E7419" w:rsidRDefault="007E7419" w:rsidP="00A41843">
      <w:pPr>
        <w:numPr>
          <w:ilvl w:val="0"/>
          <w:numId w:val="18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complet compatibile cu nivelurile EQF;</w:t>
      </w:r>
    </w:p>
    <w:p w14:paraId="191B8B6A" w14:textId="77777777" w:rsidR="007E7419" w:rsidRPr="007E7419" w:rsidRDefault="007E7419" w:rsidP="00A41843">
      <w:pPr>
        <w:numPr>
          <w:ilvl w:val="0"/>
          <w:numId w:val="18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coerente intern și transparente extern;</w:t>
      </w:r>
    </w:p>
    <w:p w14:paraId="50C01907" w14:textId="77777777" w:rsidR="007E7419" w:rsidRPr="007E7419" w:rsidRDefault="007E7419" w:rsidP="00A41843">
      <w:pPr>
        <w:numPr>
          <w:ilvl w:val="0"/>
          <w:numId w:val="18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documentate legal și validate interinstituțional;</w:t>
      </w:r>
    </w:p>
    <w:p w14:paraId="748D123B" w14:textId="104A3E57" w:rsidR="007E7419" w:rsidRPr="007E7419" w:rsidRDefault="007E7419" w:rsidP="00A41843">
      <w:pPr>
        <w:numPr>
          <w:ilvl w:val="0"/>
          <w:numId w:val="18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E7419">
        <w:rPr>
          <w:rFonts w:ascii="Times New Roman" w:eastAsia="Times New Roman" w:hAnsi="Times New Roman" w:cs="Times New Roman"/>
          <w:kern w:val="0"/>
          <w:sz w:val="24"/>
          <w:szCs w:val="24"/>
          <w:lang w:val="ro-MD" w:eastAsia="ro-MD"/>
          <w14:ligatures w14:val="none"/>
        </w:rPr>
        <w:t xml:space="preserve">recunoscute de părțile interesate ca instrument esențial pentru asigurarea mobilității și comparabilității calificărilor în Spațiul European al </w:t>
      </w:r>
      <w:r w:rsidR="00A7709C">
        <w:rPr>
          <w:rFonts w:ascii="Times New Roman" w:eastAsia="Times New Roman" w:hAnsi="Times New Roman" w:cs="Times New Roman"/>
          <w:kern w:val="0"/>
          <w:sz w:val="24"/>
          <w:szCs w:val="24"/>
          <w:lang w:val="ro-MD" w:eastAsia="ro-MD"/>
          <w14:ligatures w14:val="none"/>
        </w:rPr>
        <w:t>î</w:t>
      </w:r>
      <w:r w:rsidRPr="007E7419">
        <w:rPr>
          <w:rFonts w:ascii="Times New Roman" w:eastAsia="Times New Roman" w:hAnsi="Times New Roman" w:cs="Times New Roman"/>
          <w:kern w:val="0"/>
          <w:sz w:val="24"/>
          <w:szCs w:val="24"/>
          <w:lang w:val="ro-MD" w:eastAsia="ro-MD"/>
          <w14:ligatures w14:val="none"/>
        </w:rPr>
        <w:t xml:space="preserve">nvățării pe </w:t>
      </w:r>
      <w:r w:rsidR="009C4567">
        <w:rPr>
          <w:rFonts w:ascii="Times New Roman" w:eastAsia="Times New Roman" w:hAnsi="Times New Roman" w:cs="Times New Roman"/>
          <w:kern w:val="0"/>
          <w:sz w:val="24"/>
          <w:szCs w:val="24"/>
          <w:lang w:val="ro-MD" w:eastAsia="ro-MD"/>
          <w14:ligatures w14:val="none"/>
        </w:rPr>
        <w:t>t</w:t>
      </w:r>
      <w:r w:rsidRPr="007E7419">
        <w:rPr>
          <w:rFonts w:ascii="Times New Roman" w:eastAsia="Times New Roman" w:hAnsi="Times New Roman" w:cs="Times New Roman"/>
          <w:kern w:val="0"/>
          <w:sz w:val="24"/>
          <w:szCs w:val="24"/>
          <w:lang w:val="ro-MD" w:eastAsia="ro-MD"/>
          <w14:ligatures w14:val="none"/>
        </w:rPr>
        <w:t xml:space="preserve">ot </w:t>
      </w:r>
      <w:r w:rsidR="009C4567">
        <w:rPr>
          <w:rFonts w:ascii="Times New Roman" w:eastAsia="Times New Roman" w:hAnsi="Times New Roman" w:cs="Times New Roman"/>
          <w:kern w:val="0"/>
          <w:sz w:val="24"/>
          <w:szCs w:val="24"/>
          <w:lang w:val="ro-MD" w:eastAsia="ro-MD"/>
          <w14:ligatures w14:val="none"/>
        </w:rPr>
        <w:t>p</w:t>
      </w:r>
      <w:r w:rsidRPr="007E7419">
        <w:rPr>
          <w:rFonts w:ascii="Times New Roman" w:eastAsia="Times New Roman" w:hAnsi="Times New Roman" w:cs="Times New Roman"/>
          <w:kern w:val="0"/>
          <w:sz w:val="24"/>
          <w:szCs w:val="24"/>
          <w:lang w:val="ro-MD" w:eastAsia="ro-MD"/>
          <w14:ligatures w14:val="none"/>
        </w:rPr>
        <w:t xml:space="preserve">arcursul </w:t>
      </w:r>
      <w:r w:rsidR="00A7709C">
        <w:rPr>
          <w:rFonts w:ascii="Times New Roman" w:eastAsia="Times New Roman" w:hAnsi="Times New Roman" w:cs="Times New Roman"/>
          <w:kern w:val="0"/>
          <w:sz w:val="24"/>
          <w:szCs w:val="24"/>
          <w:lang w:val="ro-MD" w:eastAsia="ro-MD"/>
          <w14:ligatures w14:val="none"/>
        </w:rPr>
        <w:t>v</w:t>
      </w:r>
      <w:r w:rsidRPr="007E7419">
        <w:rPr>
          <w:rFonts w:ascii="Times New Roman" w:eastAsia="Times New Roman" w:hAnsi="Times New Roman" w:cs="Times New Roman"/>
          <w:kern w:val="0"/>
          <w:sz w:val="24"/>
          <w:szCs w:val="24"/>
          <w:lang w:val="ro-MD" w:eastAsia="ro-MD"/>
          <w14:ligatures w14:val="none"/>
        </w:rPr>
        <w:t>ieții.</w:t>
      </w:r>
    </w:p>
    <w:p w14:paraId="0E42EF91" w14:textId="77777777" w:rsidR="003A43B7" w:rsidRPr="001F6026" w:rsidRDefault="003A43B7" w:rsidP="0028566F">
      <w:pPr>
        <w:spacing w:before="120" w:after="120" w:line="276" w:lineRule="auto"/>
        <w:jc w:val="both"/>
        <w:rPr>
          <w:rFonts w:ascii="Times New Roman" w:hAnsi="Times New Roman" w:cs="Times New Roman"/>
          <w:b/>
          <w:bCs/>
        </w:rPr>
      </w:pPr>
    </w:p>
    <w:p w14:paraId="0D9A5748" w14:textId="77777777" w:rsidR="0028566F" w:rsidRPr="001F6026" w:rsidRDefault="0028566F" w:rsidP="0028566F">
      <w:pPr>
        <w:spacing w:before="120" w:after="120" w:line="276" w:lineRule="auto"/>
        <w:jc w:val="both"/>
        <w:rPr>
          <w:rFonts w:ascii="Times New Roman" w:hAnsi="Times New Roman" w:cs="Times New Roman"/>
          <w:b/>
          <w:bCs/>
        </w:rPr>
      </w:pPr>
    </w:p>
    <w:p w14:paraId="75130B24" w14:textId="77777777" w:rsidR="0028566F" w:rsidRPr="001F6026" w:rsidRDefault="0028566F" w:rsidP="0028566F">
      <w:pPr>
        <w:spacing w:before="120" w:after="120" w:line="276" w:lineRule="auto"/>
        <w:jc w:val="both"/>
        <w:rPr>
          <w:rFonts w:ascii="Times New Roman" w:hAnsi="Times New Roman" w:cs="Times New Roman"/>
          <w:b/>
          <w:bCs/>
        </w:rPr>
      </w:pPr>
    </w:p>
    <w:p w14:paraId="769F67CD" w14:textId="77777777" w:rsidR="0028566F" w:rsidRPr="001F6026" w:rsidRDefault="0028566F" w:rsidP="0028566F">
      <w:pPr>
        <w:spacing w:before="120" w:after="120" w:line="276" w:lineRule="auto"/>
        <w:jc w:val="both"/>
        <w:rPr>
          <w:rFonts w:ascii="Times New Roman" w:hAnsi="Times New Roman" w:cs="Times New Roman"/>
          <w:b/>
          <w:bCs/>
        </w:rPr>
        <w:sectPr w:rsidR="0028566F" w:rsidRPr="001F6026" w:rsidSect="009E52AB">
          <w:pgSz w:w="11906" w:h="16838"/>
          <w:pgMar w:top="1134" w:right="851" w:bottom="1134" w:left="851" w:header="709" w:footer="709"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cols w:space="708"/>
          <w:docGrid w:linePitch="360"/>
        </w:sectPr>
      </w:pPr>
    </w:p>
    <w:p w14:paraId="5C5E09E6" w14:textId="300AE1A7" w:rsidR="0028566F" w:rsidRPr="0085338A" w:rsidRDefault="00096F98" w:rsidP="0028566F">
      <w:pPr>
        <w:spacing w:before="120" w:after="120" w:line="276" w:lineRule="auto"/>
        <w:jc w:val="center"/>
        <w:rPr>
          <w:rFonts w:ascii="Times New Roman" w:hAnsi="Times New Roman" w:cs="Times New Roman"/>
          <w:b/>
          <w:bCs/>
          <w:sz w:val="24"/>
          <w:szCs w:val="24"/>
        </w:rPr>
      </w:pPr>
      <w:r w:rsidRPr="0085338A">
        <w:rPr>
          <w:rFonts w:ascii="Times New Roman" w:hAnsi="Times New Roman" w:cs="Times New Roman"/>
          <w:b/>
          <w:bCs/>
          <w:sz w:val="24"/>
          <w:szCs w:val="24"/>
        </w:rPr>
        <w:lastRenderedPageBreak/>
        <w:t>Anexă internă 2.A – Matricea de corelare a nivelurilor CNC</w:t>
      </w:r>
      <w:r w:rsidR="0085338A">
        <w:rPr>
          <w:rFonts w:ascii="Times New Roman" w:hAnsi="Times New Roman" w:cs="Times New Roman"/>
          <w:b/>
          <w:bCs/>
          <w:sz w:val="24"/>
          <w:szCs w:val="24"/>
        </w:rPr>
        <w:t>-</w:t>
      </w:r>
      <w:r w:rsidRPr="0085338A">
        <w:rPr>
          <w:rFonts w:ascii="Times New Roman" w:hAnsi="Times New Roman" w:cs="Times New Roman"/>
          <w:b/>
          <w:bCs/>
          <w:sz w:val="24"/>
          <w:szCs w:val="24"/>
        </w:rPr>
        <w:t>EQF</w:t>
      </w:r>
    </w:p>
    <w:tbl>
      <w:tblPr>
        <w:tblStyle w:val="aff"/>
        <w:tblW w:w="0" w:type="auto"/>
        <w:tblLook w:val="04A0" w:firstRow="1" w:lastRow="0" w:firstColumn="1" w:lastColumn="0" w:noHBand="0" w:noVBand="1"/>
      </w:tblPr>
      <w:tblGrid>
        <w:gridCol w:w="661"/>
        <w:gridCol w:w="2532"/>
        <w:gridCol w:w="3039"/>
        <w:gridCol w:w="2977"/>
        <w:gridCol w:w="1559"/>
        <w:gridCol w:w="2127"/>
        <w:gridCol w:w="1665"/>
      </w:tblGrid>
      <w:tr w:rsidR="0028566F" w:rsidRPr="006E736E" w14:paraId="1DD1152A" w14:textId="77777777" w:rsidTr="001A025E">
        <w:tc>
          <w:tcPr>
            <w:tcW w:w="661" w:type="dxa"/>
            <w:shd w:val="clear" w:color="auto" w:fill="E4E7E8" w:themeFill="accent4" w:themeFillTint="33"/>
            <w:vAlign w:val="center"/>
          </w:tcPr>
          <w:p w14:paraId="1EAEA216"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Nivel</w:t>
            </w:r>
          </w:p>
        </w:tc>
        <w:tc>
          <w:tcPr>
            <w:tcW w:w="2532" w:type="dxa"/>
            <w:shd w:val="clear" w:color="auto" w:fill="E4E7E8" w:themeFill="accent4" w:themeFillTint="33"/>
            <w:vAlign w:val="center"/>
          </w:tcPr>
          <w:p w14:paraId="2C8CDE31"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 xml:space="preserve">Cunoștințe </w:t>
            </w:r>
          </w:p>
          <w:p w14:paraId="3334BA1F"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(CNC vs EQF)</w:t>
            </w:r>
          </w:p>
        </w:tc>
        <w:tc>
          <w:tcPr>
            <w:tcW w:w="3039" w:type="dxa"/>
            <w:shd w:val="clear" w:color="auto" w:fill="E4E7E8" w:themeFill="accent4" w:themeFillTint="33"/>
            <w:vAlign w:val="center"/>
          </w:tcPr>
          <w:p w14:paraId="08D4F335"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Aptitudini / Abilități (CNC vs EQF)</w:t>
            </w:r>
          </w:p>
        </w:tc>
        <w:tc>
          <w:tcPr>
            <w:tcW w:w="2977" w:type="dxa"/>
            <w:shd w:val="clear" w:color="auto" w:fill="E4E7E8" w:themeFill="accent4" w:themeFillTint="33"/>
            <w:vAlign w:val="center"/>
          </w:tcPr>
          <w:p w14:paraId="6C82F7B7"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 xml:space="preserve">Responsabilitate și autonomie </w:t>
            </w:r>
          </w:p>
          <w:p w14:paraId="776621E9"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(CNC vs EQF)</w:t>
            </w:r>
          </w:p>
        </w:tc>
        <w:tc>
          <w:tcPr>
            <w:tcW w:w="1559" w:type="dxa"/>
            <w:shd w:val="clear" w:color="auto" w:fill="E4E7E8" w:themeFill="accent4" w:themeFillTint="33"/>
            <w:vAlign w:val="center"/>
          </w:tcPr>
          <w:p w14:paraId="242FE05B"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Exemple de calificări (Moldova)</w:t>
            </w:r>
          </w:p>
        </w:tc>
        <w:tc>
          <w:tcPr>
            <w:tcW w:w="2127" w:type="dxa"/>
            <w:shd w:val="clear" w:color="auto" w:fill="E4E7E8" w:themeFill="accent4" w:themeFillTint="33"/>
            <w:vAlign w:val="center"/>
          </w:tcPr>
          <w:p w14:paraId="42054E0F" w14:textId="77049551"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Exemple de a</w:t>
            </w:r>
            <w:r w:rsidRPr="006E736E">
              <w:rPr>
                <w:rFonts w:ascii="Times New Roman" w:eastAsia="Times New Roman" w:hAnsi="Times New Roman" w:cs="Times New Roman"/>
                <w:b/>
                <w:sz w:val="20"/>
                <w:szCs w:val="20"/>
                <w:lang w:eastAsia="ru-RU"/>
              </w:rPr>
              <w:t>cte de studii care se eliberează</w:t>
            </w:r>
          </w:p>
        </w:tc>
        <w:tc>
          <w:tcPr>
            <w:tcW w:w="1665" w:type="dxa"/>
            <w:shd w:val="clear" w:color="auto" w:fill="E4E7E8" w:themeFill="accent4" w:themeFillTint="33"/>
            <w:vAlign w:val="center"/>
          </w:tcPr>
          <w:p w14:paraId="60906073"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Grad de comparabilitate CNC–EQF</w:t>
            </w:r>
          </w:p>
        </w:tc>
      </w:tr>
      <w:tr w:rsidR="0028566F" w:rsidRPr="006E736E" w14:paraId="3B0D8BBE" w14:textId="77777777" w:rsidTr="001A025E">
        <w:tc>
          <w:tcPr>
            <w:tcW w:w="661" w:type="dxa"/>
            <w:vAlign w:val="center"/>
          </w:tcPr>
          <w:p w14:paraId="7925A99F"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1</w:t>
            </w:r>
          </w:p>
        </w:tc>
        <w:tc>
          <w:tcPr>
            <w:tcW w:w="2532" w:type="dxa"/>
            <w:vAlign w:val="center"/>
          </w:tcPr>
          <w:p w14:paraId="34E92FE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Cunoştinţe generale </w:t>
            </w:r>
            <w:r w:rsidRPr="006E736E">
              <w:rPr>
                <w:rFonts w:ascii="Times New Roman" w:eastAsia="Times New Roman" w:hAnsi="Times New Roman" w:cs="Times New Roman"/>
                <w:i/>
                <w:sz w:val="20"/>
                <w:szCs w:val="20"/>
              </w:rPr>
              <w:t>de bază</w:t>
            </w:r>
            <w:r w:rsidRPr="006E736E">
              <w:rPr>
                <w:rFonts w:ascii="Times New Roman" w:hAnsi="Times New Roman" w:cs="Times New Roman"/>
                <w:sz w:val="20"/>
                <w:szCs w:val="20"/>
              </w:rPr>
              <w:t xml:space="preserve">. </w:t>
            </w:r>
          </w:p>
          <w:p w14:paraId="70DF5D33"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Cunoștințe generale de bază.</w:t>
            </w:r>
          </w:p>
        </w:tc>
        <w:tc>
          <w:tcPr>
            <w:tcW w:w="3039" w:type="dxa"/>
            <w:vAlign w:val="center"/>
          </w:tcPr>
          <w:p w14:paraId="440754C7"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Aptitudini </w:t>
            </w:r>
            <w:r w:rsidRPr="006E736E">
              <w:rPr>
                <w:rFonts w:ascii="Times New Roman" w:eastAsia="Times New Roman" w:hAnsi="Times New Roman" w:cs="Times New Roman"/>
                <w:i/>
                <w:sz w:val="20"/>
                <w:szCs w:val="20"/>
              </w:rPr>
              <w:t>de bază</w:t>
            </w:r>
            <w:r w:rsidRPr="006E736E">
              <w:rPr>
                <w:rFonts w:ascii="Times New Roman" w:eastAsia="Times New Roman" w:hAnsi="Times New Roman" w:cs="Times New Roman"/>
                <w:sz w:val="20"/>
                <w:szCs w:val="20"/>
              </w:rPr>
              <w:t xml:space="preserve"> necesare pentru a executa </w:t>
            </w:r>
            <w:r w:rsidRPr="006E736E">
              <w:rPr>
                <w:rFonts w:ascii="Times New Roman" w:eastAsia="Times New Roman" w:hAnsi="Times New Roman" w:cs="Times New Roman"/>
                <w:i/>
                <w:sz w:val="20"/>
                <w:szCs w:val="20"/>
              </w:rPr>
              <w:t>sarcini simple</w:t>
            </w:r>
            <w:r w:rsidRPr="006E736E">
              <w:rPr>
                <w:rFonts w:ascii="Times New Roman" w:hAnsi="Times New Roman" w:cs="Times New Roman"/>
                <w:sz w:val="20"/>
                <w:szCs w:val="20"/>
              </w:rPr>
              <w:t xml:space="preserve">. </w:t>
            </w:r>
          </w:p>
          <w:p w14:paraId="684C3BD2"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Abilități de bază necesare pentru a executa sarcini simple.</w:t>
            </w:r>
          </w:p>
        </w:tc>
        <w:tc>
          <w:tcPr>
            <w:tcW w:w="2977" w:type="dxa"/>
            <w:vAlign w:val="center"/>
          </w:tcPr>
          <w:p w14:paraId="4F9FC5D9"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Muncă sau studiu sub </w:t>
            </w:r>
            <w:r w:rsidRPr="006E736E">
              <w:rPr>
                <w:rFonts w:ascii="Times New Roman" w:eastAsia="Times New Roman" w:hAnsi="Times New Roman" w:cs="Times New Roman"/>
                <w:i/>
                <w:sz w:val="20"/>
                <w:szCs w:val="20"/>
              </w:rPr>
              <w:t>supraveghere directă</w:t>
            </w:r>
            <w:r w:rsidRPr="006E736E">
              <w:rPr>
                <w:rFonts w:ascii="Times New Roman" w:eastAsia="Times New Roman" w:hAnsi="Times New Roman" w:cs="Times New Roman"/>
                <w:sz w:val="20"/>
                <w:szCs w:val="20"/>
              </w:rPr>
              <w:t xml:space="preserve"> într-un </w:t>
            </w:r>
            <w:r w:rsidRPr="006E736E">
              <w:rPr>
                <w:rFonts w:ascii="Times New Roman" w:eastAsia="Times New Roman" w:hAnsi="Times New Roman" w:cs="Times New Roman"/>
                <w:i/>
                <w:sz w:val="20"/>
                <w:szCs w:val="20"/>
              </w:rPr>
              <w:t>context structurat</w:t>
            </w:r>
            <w:r w:rsidRPr="006E736E">
              <w:rPr>
                <w:rFonts w:ascii="Times New Roman" w:hAnsi="Times New Roman" w:cs="Times New Roman"/>
                <w:sz w:val="20"/>
                <w:szCs w:val="20"/>
              </w:rPr>
              <w:t xml:space="preserve">. </w:t>
            </w:r>
          </w:p>
          <w:p w14:paraId="3F75F883"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Munca sau studiul sub supraveghere directă într-un context structurat.</w:t>
            </w:r>
          </w:p>
        </w:tc>
        <w:tc>
          <w:tcPr>
            <w:tcW w:w="1559" w:type="dxa"/>
          </w:tcPr>
          <w:p w14:paraId="56AA41E3" w14:textId="571B3818"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Muncitor necalificat</w:t>
            </w:r>
          </w:p>
          <w:p w14:paraId="5CAE73A9"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Lucrător în construcții, nivel de bază</w:t>
            </w:r>
          </w:p>
        </w:tc>
        <w:tc>
          <w:tcPr>
            <w:tcW w:w="2127" w:type="dxa"/>
            <w:vAlign w:val="center"/>
          </w:tcPr>
          <w:p w14:paraId="2B97FE33"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 xml:space="preserve">Adeverință de absolvire a învățământului special; </w:t>
            </w:r>
          </w:p>
          <w:p w14:paraId="00FFC246"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eastAsia="Times New Roman" w:hAnsi="Times New Roman" w:cs="Times New Roman"/>
                <w:sz w:val="20"/>
                <w:szCs w:val="20"/>
              </w:rPr>
              <w:t>Certificat de competență profesională</w:t>
            </w:r>
          </w:p>
        </w:tc>
        <w:tc>
          <w:tcPr>
            <w:tcW w:w="1665" w:type="dxa"/>
            <w:vAlign w:val="center"/>
          </w:tcPr>
          <w:p w14:paraId="6ECC9F70"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Complet comparabil</w:t>
            </w:r>
          </w:p>
        </w:tc>
      </w:tr>
      <w:tr w:rsidR="0028566F" w:rsidRPr="006E736E" w14:paraId="3DD5ECE9" w14:textId="77777777" w:rsidTr="001A025E">
        <w:tc>
          <w:tcPr>
            <w:tcW w:w="661" w:type="dxa"/>
            <w:vAlign w:val="center"/>
          </w:tcPr>
          <w:p w14:paraId="11B6C760"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2</w:t>
            </w:r>
          </w:p>
        </w:tc>
        <w:tc>
          <w:tcPr>
            <w:tcW w:w="2532" w:type="dxa"/>
            <w:vAlign w:val="center"/>
          </w:tcPr>
          <w:p w14:paraId="2C0B6F10"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Cunoştinţe </w:t>
            </w:r>
            <w:r w:rsidRPr="006E736E">
              <w:rPr>
                <w:rFonts w:ascii="Times New Roman" w:eastAsia="Times New Roman" w:hAnsi="Times New Roman" w:cs="Times New Roman"/>
                <w:i/>
                <w:sz w:val="20"/>
                <w:szCs w:val="20"/>
              </w:rPr>
              <w:t>faptice de bază</w:t>
            </w:r>
            <w:r w:rsidRPr="006E736E">
              <w:rPr>
                <w:rFonts w:ascii="Times New Roman" w:eastAsia="Times New Roman" w:hAnsi="Times New Roman" w:cs="Times New Roman"/>
                <w:sz w:val="20"/>
                <w:szCs w:val="20"/>
              </w:rPr>
              <w:t xml:space="preserve"> într-un domeniu de muncă sau de studiu</w:t>
            </w:r>
            <w:r w:rsidRPr="006E736E">
              <w:rPr>
                <w:rFonts w:ascii="Times New Roman" w:hAnsi="Times New Roman" w:cs="Times New Roman"/>
                <w:sz w:val="20"/>
                <w:szCs w:val="20"/>
              </w:rPr>
              <w:t xml:space="preserve">. </w:t>
            </w:r>
          </w:p>
          <w:p w14:paraId="4DB093B3"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Cunoștințe faptice de bază într-un domeniu de muncă sau de studiu.</w:t>
            </w:r>
          </w:p>
        </w:tc>
        <w:tc>
          <w:tcPr>
            <w:tcW w:w="3039" w:type="dxa"/>
            <w:vAlign w:val="center"/>
          </w:tcPr>
          <w:p w14:paraId="0A1F208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Aptitudini cognitive și practice de bază, necesare pentru utilizarea informațiilor relevante, în scopul executării </w:t>
            </w:r>
            <w:r w:rsidRPr="006E736E">
              <w:rPr>
                <w:rFonts w:ascii="Times New Roman" w:eastAsia="Times New Roman" w:hAnsi="Times New Roman" w:cs="Times New Roman"/>
                <w:i/>
                <w:sz w:val="20"/>
                <w:szCs w:val="20"/>
              </w:rPr>
              <w:t>sarcinilor și al rezolvării problemelor de rutină</w:t>
            </w:r>
            <w:r w:rsidRPr="006E736E">
              <w:rPr>
                <w:rFonts w:ascii="Times New Roman" w:eastAsia="Times New Roman" w:hAnsi="Times New Roman" w:cs="Times New Roman"/>
                <w:sz w:val="20"/>
                <w:szCs w:val="20"/>
              </w:rPr>
              <w:t xml:space="preserve"> prin utilizarea unor reguli și instrumente simple</w:t>
            </w:r>
            <w:r w:rsidRPr="006E736E">
              <w:rPr>
                <w:rFonts w:ascii="Times New Roman" w:hAnsi="Times New Roman" w:cs="Times New Roman"/>
                <w:sz w:val="20"/>
                <w:szCs w:val="20"/>
              </w:rPr>
              <w:t xml:space="preserve">. </w:t>
            </w:r>
          </w:p>
          <w:p w14:paraId="672FC776"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Aptitudini cognitive și practice de bază, necesare pentru utilizarea informațiilor relevante în scopul executării sarcinilor și al rezolvării problemelor de rutină prin utilizarea unor reguli și instrumente simple.</w:t>
            </w:r>
          </w:p>
        </w:tc>
        <w:tc>
          <w:tcPr>
            <w:tcW w:w="2977" w:type="dxa"/>
            <w:vAlign w:val="center"/>
          </w:tcPr>
          <w:p w14:paraId="2F03F3B4"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Munca sau studiul </w:t>
            </w:r>
            <w:r w:rsidRPr="006E736E">
              <w:rPr>
                <w:rFonts w:ascii="Times New Roman" w:eastAsia="Times New Roman" w:hAnsi="Times New Roman" w:cs="Times New Roman"/>
                <w:i/>
                <w:sz w:val="20"/>
                <w:szCs w:val="20"/>
              </w:rPr>
              <w:t>sub supraveghere</w:t>
            </w:r>
            <w:r w:rsidRPr="006E736E">
              <w:rPr>
                <w:rFonts w:ascii="Times New Roman" w:eastAsia="Times New Roman" w:hAnsi="Times New Roman" w:cs="Times New Roman"/>
                <w:sz w:val="20"/>
                <w:szCs w:val="20"/>
              </w:rPr>
              <w:t xml:space="preserve">, cu </w:t>
            </w:r>
            <w:r w:rsidRPr="006E736E">
              <w:rPr>
                <w:rFonts w:ascii="Times New Roman" w:eastAsia="Times New Roman" w:hAnsi="Times New Roman" w:cs="Times New Roman"/>
                <w:i/>
                <w:sz w:val="20"/>
                <w:szCs w:val="20"/>
              </w:rPr>
              <w:t>un anumit grad de autonomie</w:t>
            </w:r>
            <w:r w:rsidRPr="006E736E">
              <w:rPr>
                <w:rFonts w:ascii="Times New Roman" w:hAnsi="Times New Roman" w:cs="Times New Roman"/>
                <w:sz w:val="20"/>
                <w:szCs w:val="20"/>
              </w:rPr>
              <w:t xml:space="preserve">. </w:t>
            </w:r>
          </w:p>
          <w:p w14:paraId="45A90134"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Munca sau studiul sub supraveghere, cu un anumit grad de autonomie.</w:t>
            </w:r>
          </w:p>
        </w:tc>
        <w:tc>
          <w:tcPr>
            <w:tcW w:w="1559" w:type="dxa"/>
            <w:vAlign w:val="center"/>
          </w:tcPr>
          <w:p w14:paraId="391E8CB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Ajutor de bucătar</w:t>
            </w:r>
          </w:p>
          <w:p w14:paraId="4FFA587E"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Operator mașini-unelte simple</w:t>
            </w:r>
          </w:p>
        </w:tc>
        <w:tc>
          <w:tcPr>
            <w:tcW w:w="2127" w:type="dxa"/>
            <w:vAlign w:val="center"/>
          </w:tcPr>
          <w:p w14:paraId="5221B0C4"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Certificat de studii gimnaziale</w:t>
            </w:r>
          </w:p>
          <w:p w14:paraId="6894C44C" w14:textId="22F89512" w:rsidR="0028566F" w:rsidRPr="006E736E" w:rsidRDefault="0028566F" w:rsidP="006E736E">
            <w:pPr>
              <w:spacing w:before="120" w:after="120"/>
              <w:rPr>
                <w:rFonts w:ascii="Times New Roman" w:eastAsia="Times New Roman" w:hAnsi="Times New Roman" w:cs="Times New Roman"/>
                <w:sz w:val="20"/>
                <w:szCs w:val="20"/>
                <w:shd w:val="clear" w:color="auto" w:fill="FFFFFF"/>
              </w:rPr>
            </w:pPr>
            <w:r w:rsidRPr="006E736E">
              <w:rPr>
                <w:rFonts w:ascii="Times New Roman" w:eastAsia="Times New Roman" w:hAnsi="Times New Roman" w:cs="Times New Roman"/>
                <w:sz w:val="20"/>
                <w:szCs w:val="20"/>
                <w:lang w:eastAsia="ru-RU"/>
              </w:rPr>
              <w:t xml:space="preserve">Certificat de studii gimnaziale și </w:t>
            </w:r>
            <w:r w:rsidRPr="006E736E">
              <w:rPr>
                <w:rFonts w:ascii="Times New Roman" w:eastAsia="Times New Roman" w:hAnsi="Times New Roman" w:cs="Times New Roman"/>
                <w:sz w:val="20"/>
                <w:szCs w:val="20"/>
                <w:shd w:val="clear" w:color="auto" w:fill="FFFFFF"/>
              </w:rPr>
              <w:t>Certificat de calificare profesională</w:t>
            </w:r>
          </w:p>
          <w:p w14:paraId="2E3B7E0A" w14:textId="77777777" w:rsidR="0028566F" w:rsidRPr="006E736E" w:rsidRDefault="0028566F" w:rsidP="006E736E">
            <w:pPr>
              <w:spacing w:before="120" w:after="120"/>
              <w:jc w:val="both"/>
              <w:rPr>
                <w:rFonts w:ascii="Times New Roman" w:eastAsia="Times New Roman" w:hAnsi="Times New Roman" w:cs="Times New Roman"/>
                <w:sz w:val="20"/>
                <w:szCs w:val="20"/>
                <w:shd w:val="clear" w:color="auto" w:fill="FFFFFF"/>
              </w:rPr>
            </w:pPr>
            <w:r w:rsidRPr="006E736E">
              <w:rPr>
                <w:rFonts w:ascii="Times New Roman" w:eastAsia="Times New Roman" w:hAnsi="Times New Roman" w:cs="Times New Roman"/>
                <w:sz w:val="20"/>
                <w:szCs w:val="20"/>
              </w:rPr>
              <w:t>Certificat de competență profesională</w:t>
            </w:r>
          </w:p>
          <w:p w14:paraId="3B5F04B9" w14:textId="3846CF38" w:rsidR="0028566F" w:rsidRPr="006E736E" w:rsidRDefault="0028566F" w:rsidP="006E736E">
            <w:pPr>
              <w:spacing w:before="120" w:after="120"/>
              <w:jc w:val="both"/>
              <w:rPr>
                <w:rFonts w:ascii="Times New Roman" w:hAnsi="Times New Roman" w:cs="Times New Roman"/>
                <w:b/>
                <w:bCs/>
                <w:sz w:val="20"/>
                <w:szCs w:val="20"/>
              </w:rPr>
            </w:pPr>
          </w:p>
        </w:tc>
        <w:tc>
          <w:tcPr>
            <w:tcW w:w="1665" w:type="dxa"/>
            <w:vAlign w:val="center"/>
          </w:tcPr>
          <w:p w14:paraId="474504CC"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Complet comparabil</w:t>
            </w:r>
          </w:p>
        </w:tc>
      </w:tr>
      <w:tr w:rsidR="0028566F" w:rsidRPr="006E736E" w14:paraId="3343924C" w14:textId="77777777" w:rsidTr="001A025E">
        <w:tc>
          <w:tcPr>
            <w:tcW w:w="661" w:type="dxa"/>
            <w:vAlign w:val="center"/>
          </w:tcPr>
          <w:p w14:paraId="52EE8893"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3</w:t>
            </w:r>
          </w:p>
        </w:tc>
        <w:tc>
          <w:tcPr>
            <w:tcW w:w="2532" w:type="dxa"/>
            <w:vAlign w:val="center"/>
          </w:tcPr>
          <w:p w14:paraId="23FA58C1" w14:textId="77777777" w:rsidR="0028566F" w:rsidRPr="006E736E" w:rsidRDefault="0028566F" w:rsidP="006E736E">
            <w:pPr>
              <w:pStyle w:val="af8"/>
              <w:spacing w:before="120" w:beforeAutospacing="0" w:after="120" w:afterAutospacing="0"/>
              <w:rPr>
                <w:sz w:val="20"/>
                <w:szCs w:val="20"/>
                <w:lang w:eastAsia="ru-RU"/>
              </w:rPr>
            </w:pPr>
            <w:r w:rsidRPr="006E736E">
              <w:rPr>
                <w:sz w:val="20"/>
                <w:szCs w:val="20"/>
              </w:rPr>
              <w:t xml:space="preserve">CNC: </w:t>
            </w:r>
            <w:r w:rsidRPr="006E736E">
              <w:rPr>
                <w:sz w:val="20"/>
                <w:szCs w:val="20"/>
                <w:lang w:eastAsia="ru-RU"/>
              </w:rPr>
              <w:t xml:space="preserve">Cunoștințe </w:t>
            </w:r>
            <w:r w:rsidRPr="006E736E">
              <w:rPr>
                <w:i/>
                <w:sz w:val="20"/>
                <w:szCs w:val="20"/>
                <w:lang w:eastAsia="ru-RU"/>
              </w:rPr>
              <w:t>faptice</w:t>
            </w:r>
            <w:r w:rsidRPr="006E736E">
              <w:rPr>
                <w:sz w:val="20"/>
                <w:szCs w:val="20"/>
                <w:lang w:eastAsia="ru-RU"/>
              </w:rPr>
              <w:t xml:space="preserve">, cunoașterea unor </w:t>
            </w:r>
            <w:r w:rsidRPr="006E736E">
              <w:rPr>
                <w:i/>
                <w:sz w:val="20"/>
                <w:szCs w:val="20"/>
                <w:lang w:eastAsia="ru-RU"/>
              </w:rPr>
              <w:t xml:space="preserve">principii, procese și concepte generale </w:t>
            </w:r>
            <w:r w:rsidRPr="006E736E">
              <w:rPr>
                <w:sz w:val="20"/>
                <w:szCs w:val="20"/>
                <w:lang w:eastAsia="ru-RU"/>
              </w:rPr>
              <w:t>dintr-un domeniu de muncă sau de studiu</w:t>
            </w:r>
            <w:r w:rsidRPr="006E736E">
              <w:rPr>
                <w:sz w:val="20"/>
                <w:szCs w:val="20"/>
              </w:rPr>
              <w:t xml:space="preserve">. </w:t>
            </w:r>
          </w:p>
          <w:p w14:paraId="562BA66C"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Cunoștințe faptice, cunoașterea unor principii, procese și concepte generale dintr-un domeniu de muncă sau de studiu.</w:t>
            </w:r>
          </w:p>
        </w:tc>
        <w:tc>
          <w:tcPr>
            <w:tcW w:w="3039" w:type="dxa"/>
            <w:vAlign w:val="center"/>
          </w:tcPr>
          <w:p w14:paraId="639C73EB"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O gamă de aptitudini cognitive și practice necesare pentru executarea sarcinilor și soluționarea problemelor prin </w:t>
            </w:r>
            <w:r w:rsidRPr="006E736E">
              <w:rPr>
                <w:rFonts w:ascii="Times New Roman" w:eastAsia="Times New Roman" w:hAnsi="Times New Roman" w:cs="Times New Roman"/>
                <w:i/>
                <w:sz w:val="20"/>
                <w:szCs w:val="20"/>
              </w:rPr>
              <w:t>selectarea și aplicarea de metode, instrumente, materiale și informații de bază</w:t>
            </w:r>
            <w:r w:rsidRPr="006E736E">
              <w:rPr>
                <w:rFonts w:ascii="Times New Roman" w:hAnsi="Times New Roman" w:cs="Times New Roman"/>
                <w:sz w:val="20"/>
                <w:szCs w:val="20"/>
              </w:rPr>
              <w:t xml:space="preserve">. </w:t>
            </w:r>
          </w:p>
          <w:p w14:paraId="0417F3CA"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 xml:space="preserve">EQF: O gamă de aptitudini cognitive și practice necesare pentru executarea sarcinilor și rezolvarea problemelor prin selectarea și aplicarea de metode, </w:t>
            </w:r>
            <w:r w:rsidRPr="006E736E">
              <w:rPr>
                <w:rFonts w:ascii="Times New Roman" w:hAnsi="Times New Roman" w:cs="Times New Roman"/>
                <w:sz w:val="20"/>
                <w:szCs w:val="20"/>
              </w:rPr>
              <w:lastRenderedPageBreak/>
              <w:t>instrumente, materiale și informații de bază.</w:t>
            </w:r>
          </w:p>
        </w:tc>
        <w:tc>
          <w:tcPr>
            <w:tcW w:w="2977" w:type="dxa"/>
            <w:vAlign w:val="center"/>
          </w:tcPr>
          <w:p w14:paraId="25F031B3" w14:textId="77777777" w:rsidR="0028566F" w:rsidRPr="006E736E" w:rsidRDefault="0028566F" w:rsidP="006E736E">
            <w:pPr>
              <w:tabs>
                <w:tab w:val="left" w:pos="175"/>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lastRenderedPageBreak/>
              <w:t xml:space="preserve">CNC: </w:t>
            </w:r>
            <w:r w:rsidRPr="006E736E">
              <w:rPr>
                <w:rFonts w:ascii="Times New Roman" w:eastAsia="Times New Roman" w:hAnsi="Times New Roman" w:cs="Times New Roman"/>
                <w:sz w:val="20"/>
                <w:szCs w:val="20"/>
              </w:rPr>
              <w:t xml:space="preserve">Asumarea </w:t>
            </w:r>
            <w:r w:rsidRPr="006E736E">
              <w:rPr>
                <w:rFonts w:ascii="Times New Roman" w:eastAsia="Times New Roman" w:hAnsi="Times New Roman" w:cs="Times New Roman"/>
                <w:i/>
                <w:sz w:val="20"/>
                <w:szCs w:val="20"/>
              </w:rPr>
              <w:t>responsabilității</w:t>
            </w:r>
            <w:r w:rsidRPr="006E736E">
              <w:rPr>
                <w:rFonts w:ascii="Times New Roman" w:eastAsia="Times New Roman" w:hAnsi="Times New Roman" w:cs="Times New Roman"/>
                <w:sz w:val="20"/>
                <w:szCs w:val="20"/>
              </w:rPr>
              <w:t xml:space="preserve"> pentru executarea sarcinilor într-un domeniu de muncă sau de studiu;</w:t>
            </w:r>
          </w:p>
          <w:p w14:paraId="0AAF650A"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i/>
                <w:sz w:val="20"/>
                <w:szCs w:val="20"/>
              </w:rPr>
              <w:t>Adaptarea propriului comportament</w:t>
            </w:r>
            <w:r w:rsidRPr="006E736E">
              <w:rPr>
                <w:rFonts w:ascii="Times New Roman" w:eastAsia="Times New Roman" w:hAnsi="Times New Roman" w:cs="Times New Roman"/>
                <w:sz w:val="20"/>
                <w:szCs w:val="20"/>
              </w:rPr>
              <w:t xml:space="preserve"> la circumstanțe, pentru soluționarea problemelor</w:t>
            </w:r>
            <w:r w:rsidRPr="006E736E">
              <w:rPr>
                <w:rFonts w:ascii="Times New Roman" w:hAnsi="Times New Roman" w:cs="Times New Roman"/>
                <w:sz w:val="20"/>
                <w:szCs w:val="20"/>
              </w:rPr>
              <w:t xml:space="preserve">. </w:t>
            </w:r>
          </w:p>
          <w:p w14:paraId="05C3EF47"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EQF: Asumarea responsabilității pentru executarea sarcinilor într-un domeniu de muncă sau de studiu</w:t>
            </w:r>
          </w:p>
          <w:p w14:paraId="48BF2493"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lastRenderedPageBreak/>
              <w:t>Adaptarea propriului comportament la circumstanțe, pentru rezolvarea problemelor</w:t>
            </w:r>
          </w:p>
        </w:tc>
        <w:tc>
          <w:tcPr>
            <w:tcW w:w="1559" w:type="dxa"/>
            <w:vAlign w:val="center"/>
          </w:tcPr>
          <w:p w14:paraId="67EAF491"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lastRenderedPageBreak/>
              <w:t>Electrician în construcții;</w:t>
            </w:r>
          </w:p>
          <w:p w14:paraId="3BB53E5C"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Mecanic auto; Brutar;</w:t>
            </w:r>
          </w:p>
          <w:p w14:paraId="3326278A"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Îngrijitor de copii</w:t>
            </w:r>
          </w:p>
        </w:tc>
        <w:tc>
          <w:tcPr>
            <w:tcW w:w="2127" w:type="dxa"/>
            <w:vAlign w:val="center"/>
          </w:tcPr>
          <w:p w14:paraId="59C7A3FC" w14:textId="77777777" w:rsidR="0028566F" w:rsidRPr="006E736E" w:rsidRDefault="0028566F" w:rsidP="006E736E">
            <w:pPr>
              <w:spacing w:before="120" w:after="120"/>
              <w:jc w:val="both"/>
              <w:rPr>
                <w:rFonts w:ascii="Times New Roman" w:eastAsia="Times New Roman" w:hAnsi="Times New Roman" w:cs="Times New Roman"/>
                <w:sz w:val="20"/>
                <w:szCs w:val="20"/>
              </w:rPr>
            </w:pPr>
            <w:r w:rsidRPr="006E736E">
              <w:rPr>
                <w:rFonts w:ascii="Times New Roman" w:eastAsia="Times New Roman" w:hAnsi="Times New Roman" w:cs="Times New Roman"/>
                <w:sz w:val="20"/>
                <w:szCs w:val="20"/>
              </w:rPr>
              <w:t>Certificat de studii liceale</w:t>
            </w:r>
          </w:p>
          <w:p w14:paraId="5AEAE5FE" w14:textId="77777777" w:rsidR="0028566F" w:rsidRPr="006E736E" w:rsidRDefault="0028566F" w:rsidP="006E736E">
            <w:pPr>
              <w:spacing w:before="120" w:after="120"/>
              <w:jc w:val="both"/>
              <w:rPr>
                <w:rFonts w:ascii="Times New Roman" w:eastAsia="Times New Roman" w:hAnsi="Times New Roman" w:cs="Times New Roman"/>
                <w:sz w:val="20"/>
                <w:szCs w:val="20"/>
                <w:shd w:val="clear" w:color="auto" w:fill="FFFFFF"/>
              </w:rPr>
            </w:pPr>
            <w:r w:rsidRPr="006E736E">
              <w:rPr>
                <w:rFonts w:ascii="Times New Roman" w:eastAsia="Times New Roman" w:hAnsi="Times New Roman" w:cs="Times New Roman"/>
                <w:sz w:val="20"/>
                <w:szCs w:val="20"/>
                <w:shd w:val="clear" w:color="auto" w:fill="FFFFFF"/>
              </w:rPr>
              <w:t>Certificat de calificare profesională</w:t>
            </w:r>
          </w:p>
          <w:p w14:paraId="00862D40"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Certificat de calificare şi supliment descriptiv al certificatului</w:t>
            </w:r>
          </w:p>
          <w:p w14:paraId="368299E9" w14:textId="77777777" w:rsidR="0028566F" w:rsidRPr="006E736E" w:rsidRDefault="0028566F" w:rsidP="006E736E">
            <w:pPr>
              <w:spacing w:before="120" w:after="120"/>
              <w:jc w:val="both"/>
              <w:rPr>
                <w:rFonts w:ascii="Times New Roman" w:eastAsia="Times New Roman" w:hAnsi="Times New Roman" w:cs="Times New Roman"/>
                <w:sz w:val="20"/>
                <w:szCs w:val="20"/>
              </w:rPr>
            </w:pPr>
            <w:r w:rsidRPr="006E736E">
              <w:rPr>
                <w:rFonts w:ascii="Times New Roman" w:eastAsia="Times New Roman" w:hAnsi="Times New Roman" w:cs="Times New Roman"/>
                <w:sz w:val="20"/>
                <w:szCs w:val="20"/>
              </w:rPr>
              <w:t>Certificat de perfecționare</w:t>
            </w:r>
          </w:p>
          <w:p w14:paraId="4B57592F" w14:textId="77777777" w:rsidR="0028566F" w:rsidRPr="006E736E" w:rsidRDefault="0028566F" w:rsidP="006E736E">
            <w:pPr>
              <w:spacing w:before="120" w:after="120"/>
              <w:jc w:val="both"/>
              <w:rPr>
                <w:rFonts w:ascii="Times New Roman" w:eastAsia="Times New Roman" w:hAnsi="Times New Roman" w:cs="Times New Roman"/>
                <w:sz w:val="20"/>
                <w:szCs w:val="20"/>
              </w:rPr>
            </w:pPr>
            <w:r w:rsidRPr="006E736E">
              <w:rPr>
                <w:rFonts w:ascii="Times New Roman" w:eastAsia="Times New Roman" w:hAnsi="Times New Roman" w:cs="Times New Roman"/>
                <w:sz w:val="20"/>
                <w:szCs w:val="20"/>
              </w:rPr>
              <w:lastRenderedPageBreak/>
              <w:t>Certificat de recalificare</w:t>
            </w:r>
          </w:p>
          <w:p w14:paraId="729C7FE2" w14:textId="6F1D51A1"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eastAsia="Times New Roman" w:hAnsi="Times New Roman" w:cs="Times New Roman"/>
                <w:sz w:val="20"/>
                <w:szCs w:val="20"/>
              </w:rPr>
              <w:t>Certificat de competență</w:t>
            </w:r>
            <w:r w:rsidR="00BF4AAC" w:rsidRPr="006E736E">
              <w:rPr>
                <w:rFonts w:ascii="Times New Roman" w:eastAsia="Times New Roman" w:hAnsi="Times New Roman" w:cs="Times New Roman"/>
                <w:sz w:val="20"/>
                <w:szCs w:val="20"/>
              </w:rPr>
              <w:t xml:space="preserve"> </w:t>
            </w:r>
            <w:r w:rsidRPr="006E736E">
              <w:rPr>
                <w:rFonts w:ascii="Times New Roman" w:eastAsia="Times New Roman" w:hAnsi="Times New Roman" w:cs="Times New Roman"/>
                <w:sz w:val="20"/>
                <w:szCs w:val="20"/>
              </w:rPr>
              <w:t>profesională</w:t>
            </w:r>
          </w:p>
        </w:tc>
        <w:tc>
          <w:tcPr>
            <w:tcW w:w="1665" w:type="dxa"/>
            <w:vAlign w:val="center"/>
          </w:tcPr>
          <w:p w14:paraId="78E2E3A1"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lastRenderedPageBreak/>
              <w:t>Complet comparabil</w:t>
            </w:r>
          </w:p>
        </w:tc>
      </w:tr>
      <w:tr w:rsidR="0028566F" w:rsidRPr="006E736E" w14:paraId="71395491" w14:textId="77777777" w:rsidTr="001A025E">
        <w:tc>
          <w:tcPr>
            <w:tcW w:w="661" w:type="dxa"/>
            <w:vAlign w:val="center"/>
          </w:tcPr>
          <w:p w14:paraId="42503C5C"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lastRenderedPageBreak/>
              <w:t>4</w:t>
            </w:r>
          </w:p>
        </w:tc>
        <w:tc>
          <w:tcPr>
            <w:tcW w:w="2532" w:type="dxa"/>
            <w:vAlign w:val="center"/>
          </w:tcPr>
          <w:p w14:paraId="1B286B98" w14:textId="77777777" w:rsidR="0028566F" w:rsidRPr="006E736E" w:rsidRDefault="0028566F" w:rsidP="006E736E">
            <w:pPr>
              <w:pStyle w:val="af8"/>
              <w:spacing w:before="120" w:beforeAutospacing="0" w:after="120" w:afterAutospacing="0"/>
              <w:rPr>
                <w:sz w:val="20"/>
                <w:szCs w:val="20"/>
                <w:lang w:eastAsia="ru-RU"/>
              </w:rPr>
            </w:pPr>
            <w:r w:rsidRPr="006E736E">
              <w:rPr>
                <w:sz w:val="20"/>
                <w:szCs w:val="20"/>
              </w:rPr>
              <w:t xml:space="preserve">CNC: </w:t>
            </w:r>
            <w:r w:rsidRPr="006E736E">
              <w:rPr>
                <w:sz w:val="20"/>
                <w:szCs w:val="20"/>
                <w:lang w:eastAsia="ru-RU"/>
              </w:rPr>
              <w:t xml:space="preserve">Cunoștințe </w:t>
            </w:r>
            <w:r w:rsidRPr="006E736E">
              <w:rPr>
                <w:i/>
                <w:sz w:val="20"/>
                <w:szCs w:val="20"/>
                <w:lang w:eastAsia="ru-RU"/>
              </w:rPr>
              <w:t>faptice și teoretice în contexte largi</w:t>
            </w:r>
            <w:r w:rsidRPr="006E736E">
              <w:rPr>
                <w:sz w:val="20"/>
                <w:szCs w:val="20"/>
                <w:lang w:eastAsia="ru-RU"/>
              </w:rPr>
              <w:t>, în cadrul unui domeniu de muncă sau de studiu</w:t>
            </w:r>
            <w:r w:rsidRPr="006E736E">
              <w:rPr>
                <w:sz w:val="20"/>
                <w:szCs w:val="20"/>
              </w:rPr>
              <w:t xml:space="preserve">. </w:t>
            </w:r>
          </w:p>
          <w:p w14:paraId="78B45558"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Cunoștințe faptice și teoretice în contexte largi, în cadrul unui domeniu de muncă sau de studiu.</w:t>
            </w:r>
          </w:p>
        </w:tc>
        <w:tc>
          <w:tcPr>
            <w:tcW w:w="3039" w:type="dxa"/>
            <w:vAlign w:val="center"/>
          </w:tcPr>
          <w:p w14:paraId="393B1AD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O gamă de aptitudini cognitive și practice necesare pentru </w:t>
            </w:r>
            <w:r w:rsidRPr="006E736E">
              <w:rPr>
                <w:rFonts w:ascii="Times New Roman" w:eastAsia="Times New Roman" w:hAnsi="Times New Roman" w:cs="Times New Roman"/>
                <w:i/>
                <w:sz w:val="20"/>
                <w:szCs w:val="20"/>
              </w:rPr>
              <w:t>găsirea de soluții la probleme specifice</w:t>
            </w:r>
            <w:r w:rsidRPr="006E736E">
              <w:rPr>
                <w:rFonts w:ascii="Times New Roman" w:eastAsia="Times New Roman" w:hAnsi="Times New Roman" w:cs="Times New Roman"/>
                <w:sz w:val="20"/>
                <w:szCs w:val="20"/>
              </w:rPr>
              <w:t xml:space="preserve"> într-un domeniu de muncă sau de studiu</w:t>
            </w:r>
            <w:r w:rsidRPr="006E736E">
              <w:rPr>
                <w:rFonts w:ascii="Times New Roman" w:hAnsi="Times New Roman" w:cs="Times New Roman"/>
                <w:sz w:val="20"/>
                <w:szCs w:val="20"/>
              </w:rPr>
              <w:t xml:space="preserve">. </w:t>
            </w:r>
          </w:p>
          <w:p w14:paraId="2B8165FA"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O gamă de aptitudini cognitive și practice necesare pentru găsirea de soluții la probleme specifice, într-un domeniu de muncă sau de studiu.</w:t>
            </w:r>
          </w:p>
        </w:tc>
        <w:tc>
          <w:tcPr>
            <w:tcW w:w="2977" w:type="dxa"/>
            <w:vAlign w:val="center"/>
          </w:tcPr>
          <w:p w14:paraId="1E31E052" w14:textId="77777777" w:rsidR="0028566F" w:rsidRPr="006E736E" w:rsidRDefault="0028566F" w:rsidP="006E736E">
            <w:pPr>
              <w:tabs>
                <w:tab w:val="left" w:pos="176"/>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i/>
                <w:sz w:val="20"/>
                <w:szCs w:val="20"/>
              </w:rPr>
              <w:t>Autogestionare în cadrul liniilor directoare</w:t>
            </w:r>
            <w:r w:rsidRPr="006E736E">
              <w:rPr>
                <w:rFonts w:ascii="Times New Roman" w:eastAsia="Times New Roman" w:hAnsi="Times New Roman" w:cs="Times New Roman"/>
                <w:sz w:val="20"/>
                <w:szCs w:val="20"/>
              </w:rPr>
              <w:t xml:space="preserve"> aferente unor </w:t>
            </w:r>
            <w:r w:rsidRPr="006E736E">
              <w:rPr>
                <w:rFonts w:ascii="Times New Roman" w:eastAsia="Times New Roman" w:hAnsi="Times New Roman" w:cs="Times New Roman"/>
                <w:i/>
                <w:sz w:val="20"/>
                <w:szCs w:val="20"/>
              </w:rPr>
              <w:t>contexte</w:t>
            </w:r>
            <w:r w:rsidRPr="006E736E">
              <w:rPr>
                <w:rFonts w:ascii="Times New Roman" w:eastAsia="Times New Roman" w:hAnsi="Times New Roman" w:cs="Times New Roman"/>
                <w:sz w:val="20"/>
                <w:szCs w:val="20"/>
              </w:rPr>
              <w:t xml:space="preserve"> de muncă sau de studiu </w:t>
            </w:r>
            <w:r w:rsidRPr="006E736E">
              <w:rPr>
                <w:rFonts w:ascii="Times New Roman" w:eastAsia="Times New Roman" w:hAnsi="Times New Roman" w:cs="Times New Roman"/>
                <w:i/>
                <w:sz w:val="20"/>
                <w:szCs w:val="20"/>
              </w:rPr>
              <w:t>în general previzibile</w:t>
            </w:r>
            <w:r w:rsidRPr="006E736E">
              <w:rPr>
                <w:rFonts w:ascii="Times New Roman" w:eastAsia="Times New Roman" w:hAnsi="Times New Roman" w:cs="Times New Roman"/>
                <w:sz w:val="20"/>
                <w:szCs w:val="20"/>
              </w:rPr>
              <w:t xml:space="preserve">, </w:t>
            </w:r>
            <w:r w:rsidRPr="006E736E">
              <w:rPr>
                <w:rFonts w:ascii="Times New Roman" w:eastAsia="Times New Roman" w:hAnsi="Times New Roman" w:cs="Times New Roman"/>
                <w:i/>
                <w:sz w:val="20"/>
                <w:szCs w:val="20"/>
              </w:rPr>
              <w:t>dar care se pot schimba;</w:t>
            </w:r>
          </w:p>
          <w:p w14:paraId="7A775B9D"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sz w:val="20"/>
                <w:szCs w:val="20"/>
              </w:rPr>
              <w:t xml:space="preserve">Supravegherea activității de rutină a altor persoane, preluând </w:t>
            </w:r>
            <w:r w:rsidRPr="006E736E">
              <w:rPr>
                <w:rFonts w:ascii="Times New Roman" w:eastAsia="Times New Roman" w:hAnsi="Times New Roman" w:cs="Times New Roman"/>
                <w:i/>
                <w:sz w:val="20"/>
                <w:szCs w:val="20"/>
              </w:rPr>
              <w:t>o anumită responsabilitate pentru evaluarea și îmbunătățirea activităților de muncă sau de studiu</w:t>
            </w:r>
            <w:r w:rsidRPr="006E736E">
              <w:rPr>
                <w:rFonts w:ascii="Times New Roman" w:hAnsi="Times New Roman" w:cs="Times New Roman"/>
                <w:sz w:val="20"/>
                <w:szCs w:val="20"/>
              </w:rPr>
              <w:t xml:space="preserve">. </w:t>
            </w:r>
          </w:p>
          <w:p w14:paraId="50028E3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EQF: Autogestionare în cadrul liniilor directoare aferente unor contexte de muncă sau de studiu în general previzibile, dar care se pot schimba</w:t>
            </w:r>
          </w:p>
          <w:p w14:paraId="0D16E1AC"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Supravegherea activității de rutină a altor persoane, preluând o anumită responsabilitate pentru evaluarea și îmbunătățirea activităților de muncă sau de studiu.</w:t>
            </w:r>
          </w:p>
        </w:tc>
        <w:tc>
          <w:tcPr>
            <w:tcW w:w="1559" w:type="dxa"/>
            <w:vAlign w:val="center"/>
          </w:tcPr>
          <w:p w14:paraId="41DC497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Contabil; Tehnician constructor; </w:t>
            </w:r>
          </w:p>
          <w:p w14:paraId="3AFB4D19"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Felcer veterinar;</w:t>
            </w:r>
          </w:p>
          <w:p w14:paraId="55C97D04"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Agent de turism; </w:t>
            </w:r>
          </w:p>
          <w:p w14:paraId="2DCDE07D"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Tehnician în electronică</w:t>
            </w:r>
          </w:p>
        </w:tc>
        <w:tc>
          <w:tcPr>
            <w:tcW w:w="2127" w:type="dxa"/>
            <w:vAlign w:val="center"/>
          </w:tcPr>
          <w:p w14:paraId="4E29F3AD"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Diplomă de Bacalaureat cu anexă</w:t>
            </w:r>
          </w:p>
          <w:p w14:paraId="3A760CA3"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Diplomă de studii profesionale cu supliment descriptiv</w:t>
            </w:r>
          </w:p>
          <w:p w14:paraId="5DCFAC6B"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Certificat de perfecționare</w:t>
            </w:r>
          </w:p>
          <w:p w14:paraId="03167199"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 xml:space="preserve">Certificat de recalificare </w:t>
            </w:r>
          </w:p>
          <w:p w14:paraId="0F109D34" w14:textId="77777777" w:rsidR="0028566F" w:rsidRPr="006E736E" w:rsidRDefault="0028566F" w:rsidP="006E736E">
            <w:pPr>
              <w:spacing w:before="120" w:after="120"/>
              <w:jc w:val="both"/>
              <w:rPr>
                <w:rFonts w:ascii="Times New Roman" w:eastAsia="Times New Roman" w:hAnsi="Times New Roman" w:cs="Times New Roman"/>
                <w:sz w:val="20"/>
                <w:szCs w:val="20"/>
                <w:lang w:eastAsia="ru-RU"/>
              </w:rPr>
            </w:pPr>
            <w:r w:rsidRPr="006E736E">
              <w:rPr>
                <w:rFonts w:ascii="Times New Roman" w:eastAsia="Times New Roman" w:hAnsi="Times New Roman" w:cs="Times New Roman"/>
                <w:sz w:val="20"/>
                <w:szCs w:val="20"/>
                <w:lang w:eastAsia="ru-RU"/>
              </w:rPr>
              <w:t>Certificat de specializare</w:t>
            </w:r>
          </w:p>
          <w:p w14:paraId="0B6B843A" w14:textId="77777777" w:rsidR="0028566F" w:rsidRPr="006E736E" w:rsidRDefault="0028566F" w:rsidP="006E736E">
            <w:pPr>
              <w:spacing w:before="120" w:after="120"/>
              <w:rPr>
                <w:rFonts w:ascii="Times New Roman" w:hAnsi="Times New Roman" w:cs="Times New Roman"/>
                <w:b/>
                <w:bCs/>
                <w:sz w:val="20"/>
                <w:szCs w:val="20"/>
              </w:rPr>
            </w:pPr>
            <w:r w:rsidRPr="006E736E">
              <w:rPr>
                <w:rFonts w:ascii="Times New Roman" w:eastAsia="Times New Roman" w:hAnsi="Times New Roman" w:cs="Times New Roman"/>
                <w:sz w:val="20"/>
                <w:szCs w:val="20"/>
              </w:rPr>
              <w:t>Certificat de competență profesională</w:t>
            </w:r>
          </w:p>
        </w:tc>
        <w:tc>
          <w:tcPr>
            <w:tcW w:w="1665" w:type="dxa"/>
            <w:vAlign w:val="center"/>
          </w:tcPr>
          <w:p w14:paraId="36BC4F41"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Complet comparabil</w:t>
            </w:r>
          </w:p>
        </w:tc>
      </w:tr>
      <w:tr w:rsidR="0028566F" w:rsidRPr="006E736E" w14:paraId="2B919FBB" w14:textId="77777777" w:rsidTr="001A025E">
        <w:tc>
          <w:tcPr>
            <w:tcW w:w="661" w:type="dxa"/>
            <w:vAlign w:val="center"/>
          </w:tcPr>
          <w:p w14:paraId="3F6E245B"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5</w:t>
            </w:r>
          </w:p>
        </w:tc>
        <w:tc>
          <w:tcPr>
            <w:tcW w:w="2532" w:type="dxa"/>
            <w:vAlign w:val="center"/>
          </w:tcPr>
          <w:p w14:paraId="7F757D43" w14:textId="77777777" w:rsidR="0028566F" w:rsidRPr="006E736E" w:rsidRDefault="0028566F" w:rsidP="006E736E">
            <w:pPr>
              <w:tabs>
                <w:tab w:val="left" w:pos="193"/>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Cunoştinţe </w:t>
            </w:r>
            <w:r w:rsidRPr="006E736E">
              <w:rPr>
                <w:rFonts w:ascii="Times New Roman" w:eastAsia="Times New Roman" w:hAnsi="Times New Roman" w:cs="Times New Roman"/>
                <w:i/>
                <w:sz w:val="20"/>
                <w:szCs w:val="20"/>
              </w:rPr>
              <w:t>faptice şi teoretice cuprinzătoare</w:t>
            </w:r>
            <w:r w:rsidRPr="006E736E">
              <w:rPr>
                <w:rFonts w:ascii="Times New Roman" w:eastAsia="Times New Roman" w:hAnsi="Times New Roman" w:cs="Times New Roman"/>
                <w:sz w:val="20"/>
                <w:szCs w:val="20"/>
              </w:rPr>
              <w:t xml:space="preserve">, specializate într-un domeniu de muncă sau de studiu; </w:t>
            </w:r>
          </w:p>
          <w:p w14:paraId="59537B1C"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i/>
                <w:sz w:val="20"/>
                <w:szCs w:val="20"/>
              </w:rPr>
              <w:t>Conștientizarea limitelor cunoștințelor</w:t>
            </w:r>
            <w:r w:rsidRPr="006E736E">
              <w:rPr>
                <w:rFonts w:ascii="Times New Roman" w:eastAsia="Times New Roman" w:hAnsi="Times New Roman" w:cs="Times New Roman"/>
                <w:sz w:val="20"/>
                <w:szCs w:val="20"/>
              </w:rPr>
              <w:t xml:space="preserve"> respective</w:t>
            </w:r>
            <w:r w:rsidRPr="006E736E">
              <w:rPr>
                <w:rFonts w:ascii="Times New Roman" w:hAnsi="Times New Roman" w:cs="Times New Roman"/>
                <w:sz w:val="20"/>
                <w:szCs w:val="20"/>
              </w:rPr>
              <w:t xml:space="preserve">. </w:t>
            </w:r>
          </w:p>
          <w:p w14:paraId="72A6C01A"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 xml:space="preserve">EQF: Cunoștințe faptice și teoretice cuprinzătoare, specializate, într-un domeniu de muncă sau de studiu și </w:t>
            </w:r>
            <w:r w:rsidRPr="006E736E">
              <w:rPr>
                <w:rFonts w:ascii="Times New Roman" w:hAnsi="Times New Roman" w:cs="Times New Roman"/>
                <w:sz w:val="20"/>
                <w:szCs w:val="20"/>
              </w:rPr>
              <w:lastRenderedPageBreak/>
              <w:t>conștientizarea limitelor cunoștințelor respective.</w:t>
            </w:r>
          </w:p>
        </w:tc>
        <w:tc>
          <w:tcPr>
            <w:tcW w:w="3039" w:type="dxa"/>
            <w:vAlign w:val="center"/>
          </w:tcPr>
          <w:p w14:paraId="0224AAF9"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lastRenderedPageBreak/>
              <w:t xml:space="preserve">CNC: </w:t>
            </w:r>
            <w:r w:rsidRPr="006E736E">
              <w:rPr>
                <w:rFonts w:ascii="Times New Roman" w:eastAsia="Times New Roman" w:hAnsi="Times New Roman" w:cs="Times New Roman"/>
                <w:sz w:val="20"/>
                <w:szCs w:val="20"/>
              </w:rPr>
              <w:t xml:space="preserve">O gamă amplă de aptitudini cognitive și practice necesare pentru </w:t>
            </w:r>
            <w:r w:rsidRPr="006E736E">
              <w:rPr>
                <w:rFonts w:ascii="Times New Roman" w:eastAsia="Times New Roman" w:hAnsi="Times New Roman" w:cs="Times New Roman"/>
                <w:i/>
                <w:sz w:val="20"/>
                <w:szCs w:val="20"/>
              </w:rPr>
              <w:t>conceperea de soluții creative la probleme abstracte</w:t>
            </w:r>
            <w:r w:rsidRPr="006E736E">
              <w:rPr>
                <w:rFonts w:ascii="Times New Roman" w:hAnsi="Times New Roman" w:cs="Times New Roman"/>
                <w:sz w:val="20"/>
                <w:szCs w:val="20"/>
              </w:rPr>
              <w:t xml:space="preserve">. </w:t>
            </w:r>
          </w:p>
          <w:p w14:paraId="53BFB9F2"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O gamă amplă de aptitudini cognitive și practice necesare pentru conceperea de soluții creative la probleme abstracte.</w:t>
            </w:r>
          </w:p>
        </w:tc>
        <w:tc>
          <w:tcPr>
            <w:tcW w:w="2977" w:type="dxa"/>
            <w:vAlign w:val="center"/>
          </w:tcPr>
          <w:p w14:paraId="7D4D4830" w14:textId="77777777" w:rsidR="0028566F" w:rsidRPr="006E736E" w:rsidRDefault="0028566F" w:rsidP="006E736E">
            <w:pPr>
              <w:tabs>
                <w:tab w:val="left" w:pos="176"/>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i/>
                <w:sz w:val="20"/>
                <w:szCs w:val="20"/>
              </w:rPr>
              <w:t>Gestionare și supraveghere în situații</w:t>
            </w:r>
            <w:r w:rsidRPr="006E736E">
              <w:rPr>
                <w:rFonts w:ascii="Times New Roman" w:eastAsia="Times New Roman" w:hAnsi="Times New Roman" w:cs="Times New Roman"/>
                <w:sz w:val="20"/>
                <w:szCs w:val="20"/>
              </w:rPr>
              <w:t xml:space="preserve"> de muncă sau de studiu în care </w:t>
            </w:r>
            <w:r w:rsidRPr="006E736E">
              <w:rPr>
                <w:rFonts w:ascii="Times New Roman" w:eastAsia="Times New Roman" w:hAnsi="Times New Roman" w:cs="Times New Roman"/>
                <w:i/>
                <w:sz w:val="20"/>
                <w:szCs w:val="20"/>
              </w:rPr>
              <w:t>schimbările sunt imprevizibile</w:t>
            </w:r>
            <w:r w:rsidRPr="006E736E">
              <w:rPr>
                <w:rFonts w:ascii="Times New Roman" w:eastAsia="Times New Roman" w:hAnsi="Times New Roman" w:cs="Times New Roman"/>
                <w:sz w:val="20"/>
                <w:szCs w:val="20"/>
              </w:rPr>
              <w:t>;</w:t>
            </w:r>
          </w:p>
          <w:p w14:paraId="18D75107"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i/>
                <w:sz w:val="20"/>
                <w:szCs w:val="20"/>
              </w:rPr>
              <w:t>Revizuirea și dezvoltarea performanțelor proprii</w:t>
            </w:r>
            <w:r w:rsidRPr="006E736E">
              <w:rPr>
                <w:rFonts w:ascii="Times New Roman" w:eastAsia="Times New Roman" w:hAnsi="Times New Roman" w:cs="Times New Roman"/>
                <w:sz w:val="20"/>
                <w:szCs w:val="20"/>
              </w:rPr>
              <w:t xml:space="preserve"> și pe cele ale altora</w:t>
            </w:r>
            <w:r w:rsidRPr="006E736E">
              <w:rPr>
                <w:rFonts w:ascii="Times New Roman" w:hAnsi="Times New Roman" w:cs="Times New Roman"/>
                <w:sz w:val="20"/>
                <w:szCs w:val="20"/>
              </w:rPr>
              <w:t xml:space="preserve">. </w:t>
            </w:r>
          </w:p>
          <w:p w14:paraId="174C2920"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EQF: Gestionare și supraveghere în situații de muncă sau de studiu </w:t>
            </w:r>
            <w:r w:rsidRPr="006E736E">
              <w:rPr>
                <w:rFonts w:ascii="Times New Roman" w:hAnsi="Times New Roman" w:cs="Times New Roman"/>
                <w:sz w:val="20"/>
                <w:szCs w:val="20"/>
              </w:rPr>
              <w:lastRenderedPageBreak/>
              <w:t>în care schimbările sunt imprevizibile</w:t>
            </w:r>
          </w:p>
          <w:p w14:paraId="5FD2713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Revizuirea și dezvoltarea performanțelor proprii și ale altora.</w:t>
            </w:r>
          </w:p>
        </w:tc>
        <w:tc>
          <w:tcPr>
            <w:tcW w:w="1559" w:type="dxa"/>
            <w:vAlign w:val="center"/>
          </w:tcPr>
          <w:p w14:paraId="274E147D"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lastRenderedPageBreak/>
              <w:t>Învățător;</w:t>
            </w:r>
          </w:p>
          <w:p w14:paraId="7974BA27"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Educator;</w:t>
            </w:r>
          </w:p>
          <w:p w14:paraId="0E165398"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Conducător muzical</w:t>
            </w:r>
          </w:p>
        </w:tc>
        <w:tc>
          <w:tcPr>
            <w:tcW w:w="2127" w:type="dxa"/>
            <w:vAlign w:val="center"/>
          </w:tcPr>
          <w:p w14:paraId="0991B794" w14:textId="77777777" w:rsidR="0028566F" w:rsidRPr="006E736E" w:rsidRDefault="0028566F" w:rsidP="006E736E">
            <w:pPr>
              <w:spacing w:before="120" w:after="120"/>
              <w:rPr>
                <w:rFonts w:ascii="Times New Roman" w:hAnsi="Times New Roman" w:cs="Times New Roman"/>
                <w:sz w:val="20"/>
                <w:szCs w:val="20"/>
              </w:rPr>
            </w:pPr>
            <w:r w:rsidRPr="006E736E">
              <w:rPr>
                <w:rFonts w:ascii="Times New Roman" w:hAnsi="Times New Roman" w:cs="Times New Roman"/>
                <w:sz w:val="20"/>
                <w:szCs w:val="20"/>
              </w:rPr>
              <w:t>Diplomă de studii profesionale cu supliment descriptiv</w:t>
            </w:r>
          </w:p>
          <w:p w14:paraId="363C5593" w14:textId="77777777" w:rsidR="0028566F" w:rsidRPr="006E736E" w:rsidRDefault="0028566F" w:rsidP="006E736E">
            <w:pPr>
              <w:spacing w:before="120" w:after="120"/>
              <w:rPr>
                <w:rFonts w:ascii="Times New Roman" w:hAnsi="Times New Roman" w:cs="Times New Roman"/>
                <w:sz w:val="20"/>
                <w:szCs w:val="20"/>
              </w:rPr>
            </w:pPr>
            <w:r w:rsidRPr="006E736E">
              <w:rPr>
                <w:rFonts w:ascii="Times New Roman" w:hAnsi="Times New Roman" w:cs="Times New Roman"/>
                <w:sz w:val="20"/>
                <w:szCs w:val="20"/>
              </w:rPr>
              <w:t>Certificat de perfecționare</w:t>
            </w:r>
          </w:p>
          <w:p w14:paraId="43ABB3B5" w14:textId="77777777" w:rsidR="0028566F" w:rsidRPr="006E736E" w:rsidRDefault="0028566F" w:rsidP="006E736E">
            <w:pPr>
              <w:spacing w:before="120" w:after="120"/>
              <w:rPr>
                <w:rFonts w:ascii="Times New Roman" w:hAnsi="Times New Roman" w:cs="Times New Roman"/>
                <w:sz w:val="20"/>
                <w:szCs w:val="20"/>
              </w:rPr>
            </w:pPr>
            <w:r w:rsidRPr="006E736E">
              <w:rPr>
                <w:rFonts w:ascii="Times New Roman" w:hAnsi="Times New Roman" w:cs="Times New Roman"/>
                <w:sz w:val="20"/>
                <w:szCs w:val="20"/>
              </w:rPr>
              <w:t>Certificat de recalificare</w:t>
            </w:r>
          </w:p>
          <w:p w14:paraId="2D19EF49" w14:textId="77777777" w:rsidR="0028566F" w:rsidRPr="006E736E" w:rsidRDefault="0028566F" w:rsidP="006E736E">
            <w:pPr>
              <w:spacing w:before="120" w:after="120"/>
              <w:rPr>
                <w:rFonts w:ascii="Times New Roman" w:hAnsi="Times New Roman" w:cs="Times New Roman"/>
                <w:sz w:val="20"/>
                <w:szCs w:val="20"/>
              </w:rPr>
            </w:pPr>
            <w:r w:rsidRPr="006E736E">
              <w:rPr>
                <w:rFonts w:ascii="Times New Roman" w:hAnsi="Times New Roman" w:cs="Times New Roman"/>
                <w:sz w:val="20"/>
                <w:szCs w:val="20"/>
              </w:rPr>
              <w:t xml:space="preserve">Certificat de specializare </w:t>
            </w:r>
          </w:p>
          <w:p w14:paraId="56FD96C4" w14:textId="77777777" w:rsidR="0028566F" w:rsidRPr="006E736E" w:rsidRDefault="0028566F" w:rsidP="006E736E">
            <w:pPr>
              <w:spacing w:before="120" w:after="120"/>
              <w:rPr>
                <w:rFonts w:ascii="Times New Roman" w:hAnsi="Times New Roman" w:cs="Times New Roman"/>
                <w:sz w:val="20"/>
                <w:szCs w:val="20"/>
              </w:rPr>
            </w:pPr>
            <w:r w:rsidRPr="006E736E">
              <w:rPr>
                <w:rFonts w:ascii="Times New Roman" w:hAnsi="Times New Roman" w:cs="Times New Roman"/>
                <w:sz w:val="20"/>
                <w:szCs w:val="20"/>
              </w:rPr>
              <w:lastRenderedPageBreak/>
              <w:t>Certificat de competență profesională</w:t>
            </w:r>
          </w:p>
        </w:tc>
        <w:tc>
          <w:tcPr>
            <w:tcW w:w="1665" w:type="dxa"/>
            <w:vAlign w:val="center"/>
          </w:tcPr>
          <w:p w14:paraId="598DAF79"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lastRenderedPageBreak/>
              <w:t>Complet comparabil</w:t>
            </w:r>
          </w:p>
        </w:tc>
      </w:tr>
      <w:tr w:rsidR="0028566F" w:rsidRPr="006E736E" w14:paraId="1CDB036F" w14:textId="77777777" w:rsidTr="001A025E">
        <w:tc>
          <w:tcPr>
            <w:tcW w:w="661" w:type="dxa"/>
            <w:vAlign w:val="center"/>
          </w:tcPr>
          <w:p w14:paraId="0CA99C8F"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lastRenderedPageBreak/>
              <w:t>6</w:t>
            </w:r>
          </w:p>
        </w:tc>
        <w:tc>
          <w:tcPr>
            <w:tcW w:w="2532" w:type="dxa"/>
            <w:vAlign w:val="center"/>
          </w:tcPr>
          <w:p w14:paraId="61E7C255"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Cunoștințe </w:t>
            </w:r>
            <w:r w:rsidRPr="006E736E">
              <w:rPr>
                <w:rFonts w:ascii="Times New Roman" w:eastAsia="Times New Roman" w:hAnsi="Times New Roman" w:cs="Times New Roman"/>
                <w:i/>
                <w:sz w:val="20"/>
                <w:szCs w:val="20"/>
              </w:rPr>
              <w:t>avansate</w:t>
            </w:r>
            <w:r w:rsidRPr="006E736E">
              <w:rPr>
                <w:rFonts w:ascii="Times New Roman" w:eastAsia="Times New Roman" w:hAnsi="Times New Roman" w:cs="Times New Roman"/>
                <w:sz w:val="20"/>
                <w:szCs w:val="20"/>
              </w:rPr>
              <w:t xml:space="preserve"> într-un domeniu de muncă sau de studiu, care implică </w:t>
            </w:r>
            <w:r w:rsidRPr="006E736E">
              <w:rPr>
                <w:rFonts w:ascii="Times New Roman" w:eastAsia="Times New Roman" w:hAnsi="Times New Roman" w:cs="Times New Roman"/>
                <w:i/>
                <w:sz w:val="20"/>
                <w:szCs w:val="20"/>
              </w:rPr>
              <w:t>înțelegerea critică a teoriilor și principiilor</w:t>
            </w:r>
            <w:r w:rsidRPr="006E736E">
              <w:rPr>
                <w:rFonts w:ascii="Times New Roman" w:hAnsi="Times New Roman" w:cs="Times New Roman"/>
                <w:sz w:val="20"/>
                <w:szCs w:val="20"/>
              </w:rPr>
              <w:t xml:space="preserve">. </w:t>
            </w:r>
          </w:p>
          <w:p w14:paraId="1317336A"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Cunoștințe avansate într-un domeniu de muncă sau de studiu, care implică înțelegerea critică a teoriilor și principiilor.</w:t>
            </w:r>
          </w:p>
        </w:tc>
        <w:tc>
          <w:tcPr>
            <w:tcW w:w="3039" w:type="dxa"/>
            <w:vAlign w:val="center"/>
          </w:tcPr>
          <w:p w14:paraId="7C1C18A2"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Aptitudini </w:t>
            </w:r>
            <w:r w:rsidRPr="006E736E">
              <w:rPr>
                <w:rFonts w:ascii="Times New Roman" w:eastAsia="Times New Roman" w:hAnsi="Times New Roman" w:cs="Times New Roman"/>
                <w:i/>
                <w:sz w:val="20"/>
                <w:szCs w:val="20"/>
              </w:rPr>
              <w:t>avansate, care denotă</w:t>
            </w:r>
            <w:r w:rsidRPr="006E736E">
              <w:rPr>
                <w:rFonts w:ascii="Times New Roman" w:eastAsia="Times New Roman" w:hAnsi="Times New Roman" w:cs="Times New Roman"/>
                <w:sz w:val="20"/>
                <w:szCs w:val="20"/>
              </w:rPr>
              <w:t xml:space="preserve"> </w:t>
            </w:r>
            <w:r w:rsidRPr="006E736E">
              <w:rPr>
                <w:rFonts w:ascii="Times New Roman" w:eastAsia="Times New Roman" w:hAnsi="Times New Roman" w:cs="Times New Roman"/>
                <w:i/>
                <w:sz w:val="20"/>
                <w:szCs w:val="20"/>
              </w:rPr>
              <w:t>control și inovare</w:t>
            </w:r>
            <w:r w:rsidRPr="006E736E">
              <w:rPr>
                <w:rFonts w:ascii="Times New Roman" w:eastAsia="Times New Roman" w:hAnsi="Times New Roman" w:cs="Times New Roman"/>
                <w:sz w:val="20"/>
                <w:szCs w:val="20"/>
              </w:rPr>
              <w:t xml:space="preserve">, necesare pentru </w:t>
            </w:r>
            <w:r w:rsidRPr="006E736E">
              <w:rPr>
                <w:rFonts w:ascii="Times New Roman" w:eastAsia="Times New Roman" w:hAnsi="Times New Roman" w:cs="Times New Roman"/>
                <w:i/>
                <w:sz w:val="20"/>
                <w:szCs w:val="20"/>
              </w:rPr>
              <w:t>a rezolva probleme complexe și imprevizibile</w:t>
            </w:r>
            <w:r w:rsidRPr="006E736E">
              <w:rPr>
                <w:rFonts w:ascii="Times New Roman" w:eastAsia="Times New Roman" w:hAnsi="Times New Roman" w:cs="Times New Roman"/>
                <w:sz w:val="20"/>
                <w:szCs w:val="20"/>
              </w:rPr>
              <w:t xml:space="preserve"> într-un domeniu de muncă sau de studiu specializat</w:t>
            </w:r>
            <w:r w:rsidRPr="006E736E">
              <w:rPr>
                <w:rFonts w:ascii="Times New Roman" w:hAnsi="Times New Roman" w:cs="Times New Roman"/>
                <w:sz w:val="20"/>
                <w:szCs w:val="20"/>
              </w:rPr>
              <w:t xml:space="preserve">. </w:t>
            </w:r>
          </w:p>
          <w:p w14:paraId="5CEA08B8"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Aptitudini avansate, care denotă control și inovare, necesare pentru a rezolva probleme complexe și imprevizibile într-un domeniu de muncă sau de studiu specializat.</w:t>
            </w:r>
          </w:p>
        </w:tc>
        <w:tc>
          <w:tcPr>
            <w:tcW w:w="2977" w:type="dxa"/>
            <w:vAlign w:val="center"/>
          </w:tcPr>
          <w:p w14:paraId="195D5D14" w14:textId="77777777" w:rsidR="0028566F" w:rsidRPr="006E736E" w:rsidRDefault="0028566F" w:rsidP="006E736E">
            <w:pPr>
              <w:tabs>
                <w:tab w:val="left" w:pos="176"/>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i/>
                <w:sz w:val="20"/>
                <w:szCs w:val="20"/>
              </w:rPr>
              <w:t>Gestionarea de activități sau proiecte</w:t>
            </w:r>
            <w:r w:rsidRPr="006E736E">
              <w:rPr>
                <w:rFonts w:ascii="Times New Roman" w:eastAsia="Times New Roman" w:hAnsi="Times New Roman" w:cs="Times New Roman"/>
                <w:sz w:val="20"/>
                <w:szCs w:val="20"/>
              </w:rPr>
              <w:t xml:space="preserve"> </w:t>
            </w:r>
            <w:r w:rsidRPr="006E736E">
              <w:rPr>
                <w:rFonts w:ascii="Times New Roman" w:eastAsia="Times New Roman" w:hAnsi="Times New Roman" w:cs="Times New Roman"/>
                <w:i/>
                <w:sz w:val="20"/>
                <w:szCs w:val="20"/>
              </w:rPr>
              <w:t>tehnice sau profesionale complexe</w:t>
            </w:r>
            <w:r w:rsidRPr="006E736E">
              <w:rPr>
                <w:rFonts w:ascii="Times New Roman" w:eastAsia="Times New Roman" w:hAnsi="Times New Roman" w:cs="Times New Roman"/>
                <w:sz w:val="20"/>
                <w:szCs w:val="20"/>
              </w:rPr>
              <w:t xml:space="preserve">, prin </w:t>
            </w:r>
            <w:r w:rsidRPr="006E736E">
              <w:rPr>
                <w:rFonts w:ascii="Times New Roman" w:eastAsia="Times New Roman" w:hAnsi="Times New Roman" w:cs="Times New Roman"/>
                <w:i/>
                <w:sz w:val="20"/>
                <w:szCs w:val="20"/>
              </w:rPr>
              <w:t>asumarea responsabilității pentru luarea deciziilor</w:t>
            </w:r>
            <w:r w:rsidRPr="006E736E">
              <w:rPr>
                <w:rFonts w:ascii="Times New Roman" w:eastAsia="Times New Roman" w:hAnsi="Times New Roman" w:cs="Times New Roman"/>
                <w:sz w:val="20"/>
                <w:szCs w:val="20"/>
              </w:rPr>
              <w:t xml:space="preserve"> în </w:t>
            </w:r>
            <w:r w:rsidRPr="006E736E">
              <w:rPr>
                <w:rFonts w:ascii="Times New Roman" w:eastAsia="Times New Roman" w:hAnsi="Times New Roman" w:cs="Times New Roman"/>
                <w:i/>
                <w:sz w:val="20"/>
                <w:szCs w:val="20"/>
              </w:rPr>
              <w:t>situații</w:t>
            </w:r>
            <w:r w:rsidRPr="006E736E">
              <w:rPr>
                <w:rFonts w:ascii="Times New Roman" w:eastAsia="Times New Roman" w:hAnsi="Times New Roman" w:cs="Times New Roman"/>
                <w:sz w:val="20"/>
                <w:szCs w:val="20"/>
              </w:rPr>
              <w:t xml:space="preserve"> de muncă sau de studiu </w:t>
            </w:r>
            <w:r w:rsidRPr="006E736E">
              <w:rPr>
                <w:rFonts w:ascii="Times New Roman" w:eastAsia="Times New Roman" w:hAnsi="Times New Roman" w:cs="Times New Roman"/>
                <w:i/>
                <w:sz w:val="20"/>
                <w:szCs w:val="20"/>
              </w:rPr>
              <w:t>imprevizibile</w:t>
            </w:r>
            <w:r w:rsidRPr="006E736E">
              <w:rPr>
                <w:rFonts w:ascii="Times New Roman" w:eastAsia="Times New Roman" w:hAnsi="Times New Roman" w:cs="Times New Roman"/>
                <w:sz w:val="20"/>
                <w:szCs w:val="20"/>
              </w:rPr>
              <w:t>;</w:t>
            </w:r>
          </w:p>
          <w:p w14:paraId="2DC880C3"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i/>
                <w:sz w:val="20"/>
                <w:szCs w:val="20"/>
              </w:rPr>
              <w:t>Asumarea responsabilității pentru gestionarea dezvoltării profesionale</w:t>
            </w:r>
            <w:r w:rsidRPr="006E736E">
              <w:rPr>
                <w:rFonts w:ascii="Times New Roman" w:eastAsia="Times New Roman" w:hAnsi="Times New Roman" w:cs="Times New Roman"/>
                <w:sz w:val="20"/>
                <w:szCs w:val="20"/>
              </w:rPr>
              <w:t xml:space="preserve"> a persoanelor și a grupurilor</w:t>
            </w:r>
            <w:r w:rsidRPr="006E736E">
              <w:rPr>
                <w:rFonts w:ascii="Times New Roman" w:hAnsi="Times New Roman" w:cs="Times New Roman"/>
                <w:sz w:val="20"/>
                <w:szCs w:val="20"/>
              </w:rPr>
              <w:t>.</w:t>
            </w:r>
          </w:p>
          <w:p w14:paraId="00009109"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EQF: Gestionarea de activități sau proiecte tehnice sau profesionale complexe, prin asumarea responsabilității pentru luarea deciziilor în situații de muncă sau de studiu imprevizibile</w:t>
            </w:r>
          </w:p>
          <w:p w14:paraId="30C8B1BB"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Asumarea responsabilității pentru gestionarea dezvoltării profesionale a indivizilor și a grupurilor.</w:t>
            </w:r>
          </w:p>
        </w:tc>
        <w:tc>
          <w:tcPr>
            <w:tcW w:w="1559" w:type="dxa"/>
            <w:vAlign w:val="center"/>
          </w:tcPr>
          <w:p w14:paraId="1E5713E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Inginer licențiat</w:t>
            </w:r>
          </w:p>
          <w:p w14:paraId="0DA33254"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Licențiat în Științe ale Educației</w:t>
            </w:r>
          </w:p>
          <w:p w14:paraId="48CE76D7"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Licențiat în Administrație publică</w:t>
            </w:r>
          </w:p>
          <w:p w14:paraId="33B1E408" w14:textId="77777777" w:rsidR="0028566F" w:rsidRPr="006E736E" w:rsidRDefault="0028566F" w:rsidP="006E736E">
            <w:pPr>
              <w:spacing w:before="120" w:after="120"/>
              <w:jc w:val="both"/>
              <w:rPr>
                <w:rFonts w:ascii="Times New Roman" w:hAnsi="Times New Roman" w:cs="Times New Roman"/>
                <w:b/>
                <w:bCs/>
                <w:sz w:val="20"/>
                <w:szCs w:val="20"/>
              </w:rPr>
            </w:pPr>
          </w:p>
        </w:tc>
        <w:tc>
          <w:tcPr>
            <w:tcW w:w="2127" w:type="dxa"/>
            <w:vAlign w:val="center"/>
          </w:tcPr>
          <w:p w14:paraId="4A85DD2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Diplomă de studii superioare de Licenţă (echivalent cu Bachelor, versiunea engleză) și supliment la diplomă, redactat în limbile română şi engleză.</w:t>
            </w:r>
          </w:p>
          <w:p w14:paraId="0C81D745" w14:textId="5C2322C0"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Certificat de perfecționare</w:t>
            </w:r>
          </w:p>
          <w:p w14:paraId="6C2C2B1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Certificat de recalificare</w:t>
            </w:r>
          </w:p>
          <w:p w14:paraId="757DCD9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Certificat de specializare </w:t>
            </w:r>
          </w:p>
          <w:p w14:paraId="764541EB"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Certificat de competență profesională</w:t>
            </w:r>
          </w:p>
        </w:tc>
        <w:tc>
          <w:tcPr>
            <w:tcW w:w="1665" w:type="dxa"/>
            <w:vAlign w:val="center"/>
          </w:tcPr>
          <w:p w14:paraId="59FEBE65"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Complet comparabil</w:t>
            </w:r>
          </w:p>
        </w:tc>
      </w:tr>
      <w:tr w:rsidR="0028566F" w:rsidRPr="006E736E" w14:paraId="5815E6FC" w14:textId="77777777" w:rsidTr="001A025E">
        <w:tc>
          <w:tcPr>
            <w:tcW w:w="661" w:type="dxa"/>
            <w:vAlign w:val="center"/>
          </w:tcPr>
          <w:p w14:paraId="191F6B87"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t>7</w:t>
            </w:r>
          </w:p>
        </w:tc>
        <w:tc>
          <w:tcPr>
            <w:tcW w:w="2532" w:type="dxa"/>
            <w:vAlign w:val="center"/>
          </w:tcPr>
          <w:p w14:paraId="656CE857" w14:textId="77777777" w:rsidR="0028566F" w:rsidRPr="006E736E" w:rsidRDefault="0028566F" w:rsidP="00D370EA">
            <w:pPr>
              <w:tabs>
                <w:tab w:val="left" w:pos="176"/>
              </w:tabs>
              <w:spacing w:after="120"/>
              <w:rPr>
                <w:rFonts w:ascii="Times New Roman" w:eastAsia="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Cunoștințe </w:t>
            </w:r>
            <w:r w:rsidRPr="006E736E">
              <w:rPr>
                <w:rFonts w:ascii="Times New Roman" w:eastAsia="Times New Roman" w:hAnsi="Times New Roman" w:cs="Times New Roman"/>
                <w:i/>
                <w:sz w:val="20"/>
                <w:szCs w:val="20"/>
              </w:rPr>
              <w:t>înalt specializate,</w:t>
            </w:r>
            <w:r w:rsidRPr="006E736E">
              <w:rPr>
                <w:rFonts w:ascii="Times New Roman" w:eastAsia="Times New Roman" w:hAnsi="Times New Roman" w:cs="Times New Roman"/>
                <w:sz w:val="20"/>
                <w:szCs w:val="20"/>
              </w:rPr>
              <w:t xml:space="preserve"> unele dintre ele situându-se </w:t>
            </w:r>
            <w:r w:rsidRPr="006E736E">
              <w:rPr>
                <w:rFonts w:ascii="Times New Roman" w:eastAsia="Times New Roman" w:hAnsi="Times New Roman" w:cs="Times New Roman"/>
                <w:i/>
                <w:sz w:val="20"/>
                <w:szCs w:val="20"/>
              </w:rPr>
              <w:t>în avangarda nivelului de cunoștințe</w:t>
            </w:r>
            <w:r w:rsidRPr="006E736E">
              <w:rPr>
                <w:rFonts w:ascii="Times New Roman" w:eastAsia="Times New Roman" w:hAnsi="Times New Roman" w:cs="Times New Roman"/>
                <w:sz w:val="20"/>
                <w:szCs w:val="20"/>
              </w:rPr>
              <w:t xml:space="preserve"> dintr-un domeniu de muncă sau de studiu, ca </w:t>
            </w:r>
            <w:r w:rsidRPr="006E736E">
              <w:rPr>
                <w:rFonts w:ascii="Times New Roman" w:eastAsia="Times New Roman" w:hAnsi="Times New Roman" w:cs="Times New Roman"/>
                <w:i/>
                <w:sz w:val="20"/>
                <w:szCs w:val="20"/>
              </w:rPr>
              <w:t>bază a unei gândiri și/sau cercetări originale</w:t>
            </w:r>
            <w:r w:rsidRPr="006E736E">
              <w:rPr>
                <w:rFonts w:ascii="Times New Roman" w:eastAsia="Times New Roman" w:hAnsi="Times New Roman" w:cs="Times New Roman"/>
                <w:sz w:val="20"/>
                <w:szCs w:val="20"/>
              </w:rPr>
              <w:t>;</w:t>
            </w:r>
          </w:p>
          <w:p w14:paraId="1E1A4AB1"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i/>
                <w:sz w:val="20"/>
                <w:szCs w:val="20"/>
              </w:rPr>
              <w:t>Conștientizare critică a cunoștințelor</w:t>
            </w:r>
            <w:r w:rsidRPr="006E736E">
              <w:rPr>
                <w:rFonts w:ascii="Times New Roman" w:eastAsia="Times New Roman" w:hAnsi="Times New Roman" w:cs="Times New Roman"/>
                <w:sz w:val="20"/>
                <w:szCs w:val="20"/>
              </w:rPr>
              <w:t xml:space="preserve"> dintr-un domeniu și a </w:t>
            </w:r>
            <w:r w:rsidRPr="006E736E">
              <w:rPr>
                <w:rFonts w:ascii="Times New Roman" w:eastAsia="Times New Roman" w:hAnsi="Times New Roman" w:cs="Times New Roman"/>
                <w:i/>
                <w:sz w:val="20"/>
                <w:szCs w:val="20"/>
              </w:rPr>
              <w:t>cunoștințelor</w:t>
            </w:r>
            <w:r w:rsidRPr="006E736E">
              <w:rPr>
                <w:rFonts w:ascii="Times New Roman" w:eastAsia="Times New Roman" w:hAnsi="Times New Roman" w:cs="Times New Roman"/>
                <w:sz w:val="20"/>
                <w:szCs w:val="20"/>
              </w:rPr>
              <w:t xml:space="preserve"> </w:t>
            </w:r>
            <w:r w:rsidRPr="006E736E">
              <w:rPr>
                <w:rFonts w:ascii="Times New Roman" w:eastAsia="Times New Roman" w:hAnsi="Times New Roman" w:cs="Times New Roman"/>
                <w:sz w:val="20"/>
                <w:szCs w:val="20"/>
              </w:rPr>
              <w:lastRenderedPageBreak/>
              <w:t>aflate la granița dintre diferite domenii</w:t>
            </w:r>
            <w:r w:rsidRPr="006E736E">
              <w:rPr>
                <w:rFonts w:ascii="Times New Roman" w:hAnsi="Times New Roman" w:cs="Times New Roman"/>
                <w:sz w:val="20"/>
                <w:szCs w:val="20"/>
              </w:rPr>
              <w:t xml:space="preserve">. </w:t>
            </w:r>
          </w:p>
          <w:p w14:paraId="71B0302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EQF: Cunoștințe foarte specializate, unele dintre ele situându-se în avangarda nivelului de cunoștințe dintr-un domeniu de muncă sau de studiu, ca bază a unei gândiri și/sau cercetări originale</w:t>
            </w:r>
          </w:p>
          <w:p w14:paraId="0F344FCB"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Conștientizare critică a cunoștințelor dintr-un domeniu și a cunoștințelor aflate la granița dintre diferite domenii.</w:t>
            </w:r>
          </w:p>
        </w:tc>
        <w:tc>
          <w:tcPr>
            <w:tcW w:w="3039" w:type="dxa"/>
            <w:vAlign w:val="center"/>
          </w:tcPr>
          <w:p w14:paraId="64E5C987" w14:textId="77777777" w:rsidR="0028566F" w:rsidRPr="006E736E" w:rsidRDefault="0028566F" w:rsidP="006E736E">
            <w:pPr>
              <w:tabs>
                <w:tab w:val="left" w:pos="176"/>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lastRenderedPageBreak/>
              <w:t xml:space="preserve">CNC: </w:t>
            </w:r>
            <w:r w:rsidRPr="006E736E">
              <w:rPr>
                <w:rFonts w:ascii="Times New Roman" w:eastAsia="Times New Roman" w:hAnsi="Times New Roman" w:cs="Times New Roman"/>
                <w:sz w:val="20"/>
                <w:szCs w:val="20"/>
              </w:rPr>
              <w:t xml:space="preserve">Aptitudini de </w:t>
            </w:r>
            <w:r w:rsidRPr="006E736E">
              <w:rPr>
                <w:rFonts w:ascii="Times New Roman" w:eastAsia="Times New Roman" w:hAnsi="Times New Roman" w:cs="Times New Roman"/>
                <w:i/>
                <w:sz w:val="20"/>
                <w:szCs w:val="20"/>
              </w:rPr>
              <w:t>specialitate</w:t>
            </w:r>
            <w:r w:rsidRPr="006E736E">
              <w:rPr>
                <w:rFonts w:ascii="Times New Roman" w:eastAsia="Times New Roman" w:hAnsi="Times New Roman" w:cs="Times New Roman"/>
                <w:sz w:val="20"/>
                <w:szCs w:val="20"/>
              </w:rPr>
              <w:t xml:space="preserve"> pentru </w:t>
            </w:r>
            <w:r w:rsidRPr="006E736E">
              <w:rPr>
                <w:rFonts w:ascii="Times New Roman" w:eastAsia="Times New Roman" w:hAnsi="Times New Roman" w:cs="Times New Roman"/>
                <w:i/>
                <w:sz w:val="20"/>
                <w:szCs w:val="20"/>
              </w:rPr>
              <w:t>rezolvarea problemelor în materie de cercetare și/sau inovare</w:t>
            </w:r>
            <w:r w:rsidRPr="006E736E">
              <w:rPr>
                <w:rFonts w:ascii="Times New Roman" w:eastAsia="Times New Roman" w:hAnsi="Times New Roman" w:cs="Times New Roman"/>
                <w:sz w:val="20"/>
                <w:szCs w:val="20"/>
              </w:rPr>
              <w:t>,</w:t>
            </w:r>
          </w:p>
          <w:p w14:paraId="5E713561" w14:textId="77777777" w:rsidR="0028566F" w:rsidRPr="006E736E" w:rsidRDefault="0028566F" w:rsidP="006E736E">
            <w:pPr>
              <w:tabs>
                <w:tab w:val="left" w:pos="176"/>
              </w:tabs>
              <w:spacing w:before="120" w:after="120"/>
              <w:rPr>
                <w:rFonts w:ascii="Times New Roman" w:hAnsi="Times New Roman" w:cs="Times New Roman"/>
                <w:sz w:val="20"/>
                <w:szCs w:val="20"/>
              </w:rPr>
            </w:pPr>
            <w:r w:rsidRPr="006E736E">
              <w:rPr>
                <w:rFonts w:ascii="Times New Roman" w:eastAsia="Times New Roman" w:hAnsi="Times New Roman" w:cs="Times New Roman"/>
                <w:sz w:val="20"/>
                <w:szCs w:val="20"/>
              </w:rPr>
              <w:t xml:space="preserve">pentru </w:t>
            </w:r>
            <w:r w:rsidRPr="006E736E">
              <w:rPr>
                <w:rFonts w:ascii="Times New Roman" w:eastAsia="Times New Roman" w:hAnsi="Times New Roman" w:cs="Times New Roman"/>
                <w:i/>
                <w:sz w:val="20"/>
                <w:szCs w:val="20"/>
              </w:rPr>
              <w:t>dezvoltarea de noi cunoștințe și proceduri</w:t>
            </w:r>
            <w:r w:rsidRPr="006E736E">
              <w:rPr>
                <w:rFonts w:ascii="Times New Roman" w:eastAsia="Times New Roman" w:hAnsi="Times New Roman" w:cs="Times New Roman"/>
                <w:sz w:val="20"/>
                <w:szCs w:val="20"/>
              </w:rPr>
              <w:t xml:space="preserve"> și pentru integrarea cunoștințelor din diferite domenii</w:t>
            </w:r>
            <w:r w:rsidRPr="006E736E">
              <w:rPr>
                <w:rFonts w:ascii="Times New Roman" w:hAnsi="Times New Roman" w:cs="Times New Roman"/>
                <w:sz w:val="20"/>
                <w:szCs w:val="20"/>
              </w:rPr>
              <w:t xml:space="preserve">. </w:t>
            </w:r>
          </w:p>
          <w:p w14:paraId="3819B550"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 xml:space="preserve">EQF: Aptitudini de specialitate pentru rezolvarea problemelor în materie de cercetare și/sau inovare, </w:t>
            </w:r>
            <w:r w:rsidRPr="006E736E">
              <w:rPr>
                <w:rFonts w:ascii="Times New Roman" w:hAnsi="Times New Roman" w:cs="Times New Roman"/>
                <w:sz w:val="20"/>
                <w:szCs w:val="20"/>
              </w:rPr>
              <w:lastRenderedPageBreak/>
              <w:t>pentru dezvoltarea de noi cunoștințe și proceduri și pentru integrarea cunoștințelor din diferite domenii.</w:t>
            </w:r>
          </w:p>
        </w:tc>
        <w:tc>
          <w:tcPr>
            <w:tcW w:w="2977" w:type="dxa"/>
            <w:vAlign w:val="center"/>
          </w:tcPr>
          <w:p w14:paraId="4D4D8731" w14:textId="77777777" w:rsidR="0028566F" w:rsidRPr="006E736E" w:rsidRDefault="0028566F" w:rsidP="006E736E">
            <w:pPr>
              <w:tabs>
                <w:tab w:val="left" w:pos="176"/>
              </w:tabs>
              <w:spacing w:before="120" w:after="120"/>
              <w:rPr>
                <w:rFonts w:ascii="Times New Roman" w:eastAsia="Times New Roman" w:hAnsi="Times New Roman" w:cs="Times New Roman"/>
                <w:sz w:val="20"/>
                <w:szCs w:val="20"/>
              </w:rPr>
            </w:pPr>
            <w:r w:rsidRPr="006E736E">
              <w:rPr>
                <w:rFonts w:ascii="Times New Roman" w:hAnsi="Times New Roman" w:cs="Times New Roman"/>
                <w:sz w:val="20"/>
                <w:szCs w:val="20"/>
              </w:rPr>
              <w:lastRenderedPageBreak/>
              <w:t xml:space="preserve">CNC: </w:t>
            </w:r>
            <w:r w:rsidRPr="006E736E">
              <w:rPr>
                <w:rFonts w:ascii="Times New Roman" w:eastAsia="Times New Roman" w:hAnsi="Times New Roman" w:cs="Times New Roman"/>
                <w:i/>
                <w:sz w:val="20"/>
                <w:szCs w:val="20"/>
              </w:rPr>
              <w:t>Gestionarea și transformarea situațiilor</w:t>
            </w:r>
            <w:r w:rsidRPr="006E736E">
              <w:rPr>
                <w:rFonts w:ascii="Times New Roman" w:eastAsia="Times New Roman" w:hAnsi="Times New Roman" w:cs="Times New Roman"/>
                <w:sz w:val="20"/>
                <w:szCs w:val="20"/>
              </w:rPr>
              <w:t xml:space="preserve"> de muncă sau de studiu, care sunt </w:t>
            </w:r>
            <w:r w:rsidRPr="006E736E">
              <w:rPr>
                <w:rFonts w:ascii="Times New Roman" w:eastAsia="Times New Roman" w:hAnsi="Times New Roman" w:cs="Times New Roman"/>
                <w:i/>
                <w:sz w:val="20"/>
                <w:szCs w:val="20"/>
              </w:rPr>
              <w:t>complexe, imprevizibile</w:t>
            </w:r>
            <w:r w:rsidRPr="006E736E">
              <w:rPr>
                <w:rFonts w:ascii="Times New Roman" w:eastAsia="Times New Roman" w:hAnsi="Times New Roman" w:cs="Times New Roman"/>
                <w:sz w:val="20"/>
                <w:szCs w:val="20"/>
              </w:rPr>
              <w:t xml:space="preserve"> și necesită noi abordări strategice;</w:t>
            </w:r>
          </w:p>
          <w:p w14:paraId="3248476E"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eastAsia="Times New Roman" w:hAnsi="Times New Roman" w:cs="Times New Roman"/>
                <w:i/>
                <w:sz w:val="20"/>
                <w:szCs w:val="20"/>
              </w:rPr>
              <w:t>Asumarea responsabilității pentru a contribui la cunoștințele și practicile profesionale și/sau pentru revizuirea performanței strategice a echipelor</w:t>
            </w:r>
            <w:r w:rsidRPr="006E736E">
              <w:rPr>
                <w:rFonts w:ascii="Times New Roman" w:hAnsi="Times New Roman" w:cs="Times New Roman"/>
                <w:sz w:val="20"/>
                <w:szCs w:val="20"/>
              </w:rPr>
              <w:t xml:space="preserve">. </w:t>
            </w:r>
          </w:p>
          <w:p w14:paraId="19E91EA1"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lastRenderedPageBreak/>
              <w:t>EQF: Gestionarea și transformarea situațiilor de muncă sau de studiu care sunt complexe, imprevizibile și necesită noi abordări strategice</w:t>
            </w:r>
          </w:p>
          <w:p w14:paraId="1F48CDE6"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Asumarea responsabilității pentru a contribui la cunoștințele și practicile profesionale și/sau pentru revizuirea performanței strategice a echipelor.</w:t>
            </w:r>
          </w:p>
        </w:tc>
        <w:tc>
          <w:tcPr>
            <w:tcW w:w="1559" w:type="dxa"/>
            <w:vAlign w:val="center"/>
          </w:tcPr>
          <w:p w14:paraId="470FA800"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lastRenderedPageBreak/>
              <w:t>Master în Inginerie</w:t>
            </w:r>
          </w:p>
          <w:p w14:paraId="3EACF1B9"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Master în Informatică</w:t>
            </w:r>
          </w:p>
          <w:p w14:paraId="0BC22B5D"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Master în Științe ale educației</w:t>
            </w:r>
          </w:p>
        </w:tc>
        <w:tc>
          <w:tcPr>
            <w:tcW w:w="2127" w:type="dxa"/>
            <w:vAlign w:val="center"/>
          </w:tcPr>
          <w:p w14:paraId="33064A81"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Diplomă de studii superioare de Master și supliment la diplomă</w:t>
            </w:r>
          </w:p>
          <w:p w14:paraId="136507CA"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Diplomă de studii superioare integrate (Licență și Master) și supliment la diplomă</w:t>
            </w:r>
          </w:p>
          <w:p w14:paraId="25E88A74"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Certificat de competență profesională</w:t>
            </w:r>
          </w:p>
        </w:tc>
        <w:tc>
          <w:tcPr>
            <w:tcW w:w="1665" w:type="dxa"/>
            <w:vAlign w:val="center"/>
          </w:tcPr>
          <w:p w14:paraId="65145536"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Complet comparabil</w:t>
            </w:r>
          </w:p>
        </w:tc>
      </w:tr>
      <w:tr w:rsidR="0028566F" w:rsidRPr="006E736E" w14:paraId="232AD458" w14:textId="77777777" w:rsidTr="001A025E">
        <w:tc>
          <w:tcPr>
            <w:tcW w:w="661" w:type="dxa"/>
            <w:vAlign w:val="center"/>
          </w:tcPr>
          <w:p w14:paraId="5B4B40BD" w14:textId="77777777" w:rsidR="0028566F" w:rsidRPr="006E736E" w:rsidRDefault="0028566F" w:rsidP="006E736E">
            <w:pPr>
              <w:spacing w:before="120" w:after="120"/>
              <w:jc w:val="center"/>
              <w:rPr>
                <w:rFonts w:ascii="Times New Roman" w:hAnsi="Times New Roman" w:cs="Times New Roman"/>
                <w:b/>
                <w:bCs/>
                <w:sz w:val="20"/>
                <w:szCs w:val="20"/>
              </w:rPr>
            </w:pPr>
            <w:r w:rsidRPr="006E736E">
              <w:rPr>
                <w:rFonts w:ascii="Times New Roman" w:hAnsi="Times New Roman" w:cs="Times New Roman"/>
                <w:b/>
                <w:bCs/>
                <w:sz w:val="20"/>
                <w:szCs w:val="20"/>
              </w:rPr>
              <w:lastRenderedPageBreak/>
              <w:t>8</w:t>
            </w:r>
          </w:p>
        </w:tc>
        <w:tc>
          <w:tcPr>
            <w:tcW w:w="2532" w:type="dxa"/>
            <w:vAlign w:val="center"/>
          </w:tcPr>
          <w:p w14:paraId="70FF81C7"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Cunoștințe </w:t>
            </w:r>
            <w:r w:rsidRPr="006E736E">
              <w:rPr>
                <w:rFonts w:ascii="Times New Roman" w:hAnsi="Times New Roman" w:cs="Times New Roman"/>
                <w:i/>
                <w:sz w:val="20"/>
                <w:szCs w:val="20"/>
              </w:rPr>
              <w:t>la cel mai avansat nivel</w:t>
            </w:r>
            <w:r w:rsidRPr="006E736E">
              <w:rPr>
                <w:rFonts w:ascii="Times New Roman" w:hAnsi="Times New Roman" w:cs="Times New Roman"/>
                <w:sz w:val="20"/>
                <w:szCs w:val="20"/>
              </w:rPr>
              <w:t xml:space="preserve"> dintr-un domeniu de muncă sau de studiu, sau aflate la granița dintre diferite domenii. </w:t>
            </w:r>
          </w:p>
          <w:p w14:paraId="15229772"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Cunoștințe la cel mai avansat nivel dintr-un domeniu de muncă sau de studiu sau aflate la granița dintre diferite domenii.</w:t>
            </w:r>
          </w:p>
        </w:tc>
        <w:tc>
          <w:tcPr>
            <w:tcW w:w="3039" w:type="dxa"/>
            <w:vAlign w:val="center"/>
          </w:tcPr>
          <w:p w14:paraId="6B18B678"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sz w:val="20"/>
                <w:szCs w:val="20"/>
              </w:rPr>
              <w:t xml:space="preserve">Aptitudini și tehnici din </w:t>
            </w:r>
            <w:r w:rsidRPr="006E736E">
              <w:rPr>
                <w:rFonts w:ascii="Times New Roman" w:eastAsia="Times New Roman" w:hAnsi="Times New Roman" w:cs="Times New Roman"/>
                <w:i/>
                <w:sz w:val="20"/>
                <w:szCs w:val="20"/>
              </w:rPr>
              <w:t>cele mai avansate și specializate</w:t>
            </w:r>
            <w:r w:rsidRPr="006E736E">
              <w:rPr>
                <w:rFonts w:ascii="Times New Roman" w:eastAsia="Times New Roman" w:hAnsi="Times New Roman" w:cs="Times New Roman"/>
                <w:sz w:val="20"/>
                <w:szCs w:val="20"/>
              </w:rPr>
              <w:t xml:space="preserve">, inclusiv abilitatea de </w:t>
            </w:r>
            <w:r w:rsidRPr="006E736E">
              <w:rPr>
                <w:rFonts w:ascii="Times New Roman" w:eastAsia="Times New Roman" w:hAnsi="Times New Roman" w:cs="Times New Roman"/>
                <w:i/>
                <w:sz w:val="20"/>
                <w:szCs w:val="20"/>
              </w:rPr>
              <w:t>sinteză și evaluare</w:t>
            </w:r>
            <w:r w:rsidRPr="006E736E">
              <w:rPr>
                <w:rFonts w:ascii="Times New Roman" w:eastAsia="Times New Roman" w:hAnsi="Times New Roman" w:cs="Times New Roman"/>
                <w:sz w:val="20"/>
                <w:szCs w:val="20"/>
              </w:rPr>
              <w:t xml:space="preserve"> necesară pentru </w:t>
            </w:r>
            <w:r w:rsidRPr="006E736E">
              <w:rPr>
                <w:rFonts w:ascii="Times New Roman" w:eastAsia="Times New Roman" w:hAnsi="Times New Roman" w:cs="Times New Roman"/>
                <w:i/>
                <w:sz w:val="20"/>
                <w:szCs w:val="20"/>
              </w:rPr>
              <w:t xml:space="preserve">rezolvarea problemelor critice de cercetare și/sau inovare </w:t>
            </w:r>
            <w:r w:rsidRPr="006E736E">
              <w:rPr>
                <w:rFonts w:ascii="Times New Roman" w:eastAsia="Times New Roman" w:hAnsi="Times New Roman" w:cs="Times New Roman"/>
                <w:sz w:val="20"/>
                <w:szCs w:val="20"/>
              </w:rPr>
              <w:t xml:space="preserve">și pentru extinderea </w:t>
            </w:r>
            <w:r w:rsidRPr="006E736E">
              <w:rPr>
                <w:rFonts w:ascii="Times New Roman" w:eastAsia="Times New Roman" w:hAnsi="Times New Roman" w:cs="Times New Roman"/>
                <w:i/>
                <w:sz w:val="20"/>
                <w:szCs w:val="20"/>
              </w:rPr>
              <w:t>și redefinirea cunoștințelor sau a practicilor profesionale existente</w:t>
            </w:r>
            <w:r w:rsidRPr="006E736E">
              <w:rPr>
                <w:rFonts w:ascii="Times New Roman" w:hAnsi="Times New Roman" w:cs="Times New Roman"/>
                <w:sz w:val="20"/>
                <w:szCs w:val="20"/>
              </w:rPr>
              <w:t>.</w:t>
            </w:r>
          </w:p>
          <w:p w14:paraId="2E1D136E"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Aptitudinile și tehnicile cele mai avansate și specializate, inclusiv abilitatea de sinteză și evaluare, necesară pentru rezolvarea problemelor critice de cercetare și/sau inovare și pentru extinderea și redefinirea cunoștințelor sau a practicilor profesionale existente.</w:t>
            </w:r>
          </w:p>
        </w:tc>
        <w:tc>
          <w:tcPr>
            <w:tcW w:w="2977" w:type="dxa"/>
            <w:vAlign w:val="center"/>
          </w:tcPr>
          <w:p w14:paraId="2C7F23ED"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 xml:space="preserve">CNC: </w:t>
            </w:r>
            <w:r w:rsidRPr="006E736E">
              <w:rPr>
                <w:rFonts w:ascii="Times New Roman" w:eastAsia="Times New Roman" w:hAnsi="Times New Roman" w:cs="Times New Roman"/>
                <w:i/>
                <w:sz w:val="20"/>
                <w:szCs w:val="20"/>
              </w:rPr>
              <w:t>Demonstrarea unui nivel ridicat de autoritate, de inovare, de autonomie, de integritate</w:t>
            </w:r>
            <w:r w:rsidRPr="006E736E">
              <w:rPr>
                <w:rFonts w:ascii="Times New Roman" w:eastAsia="Times New Roman" w:hAnsi="Times New Roman" w:cs="Times New Roman"/>
                <w:sz w:val="20"/>
                <w:szCs w:val="20"/>
              </w:rPr>
              <w:t xml:space="preserve"> științifică și profesională, precum și a unui </w:t>
            </w:r>
            <w:r w:rsidRPr="006E736E">
              <w:rPr>
                <w:rFonts w:ascii="Times New Roman" w:eastAsia="Times New Roman" w:hAnsi="Times New Roman" w:cs="Times New Roman"/>
                <w:i/>
                <w:sz w:val="20"/>
                <w:szCs w:val="20"/>
              </w:rPr>
              <w:t>angajament susținut pentru dezvoltarea de noi idei sau procese aflate în avangarda</w:t>
            </w:r>
            <w:r w:rsidRPr="006E736E">
              <w:rPr>
                <w:rFonts w:ascii="Times New Roman" w:eastAsia="Times New Roman" w:hAnsi="Times New Roman" w:cs="Times New Roman"/>
                <w:sz w:val="20"/>
                <w:szCs w:val="20"/>
              </w:rPr>
              <w:t xml:space="preserve"> unor situații de muncă sau de studiu, inclusiv în materie de cercetare</w:t>
            </w:r>
            <w:r w:rsidRPr="006E736E">
              <w:rPr>
                <w:rFonts w:ascii="Times New Roman" w:hAnsi="Times New Roman" w:cs="Times New Roman"/>
                <w:sz w:val="20"/>
                <w:szCs w:val="20"/>
              </w:rPr>
              <w:t xml:space="preserve">. </w:t>
            </w:r>
          </w:p>
          <w:p w14:paraId="24920115"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EQF: Demonstrarea unui nivel ridicat de autoritate, de inovare, de autonomie, de integritate științifică și profesională, precum și a unui angajament susținut pentru dezvoltarea de noi idei sau procese aflate în avangarda unor situații de muncă sau de studiu, inclusiv în materie de cercetare.</w:t>
            </w:r>
          </w:p>
        </w:tc>
        <w:tc>
          <w:tcPr>
            <w:tcW w:w="1559" w:type="dxa"/>
            <w:vAlign w:val="center"/>
          </w:tcPr>
          <w:p w14:paraId="10404F22"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Doctor în Informatică</w:t>
            </w:r>
          </w:p>
          <w:p w14:paraId="0E28904A"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Doctor în Științe inginerești</w:t>
            </w:r>
          </w:p>
          <w:p w14:paraId="45341E8E"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Doctor în Științe ale Educației</w:t>
            </w:r>
          </w:p>
        </w:tc>
        <w:tc>
          <w:tcPr>
            <w:tcW w:w="2127" w:type="dxa"/>
            <w:vAlign w:val="center"/>
          </w:tcPr>
          <w:p w14:paraId="7B8505D9"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Diplomă de Doctor și titlul de doctor (în domeniul respectiv)</w:t>
            </w:r>
          </w:p>
          <w:p w14:paraId="393E54FC" w14:textId="77777777" w:rsidR="0028566F" w:rsidRPr="006E736E" w:rsidRDefault="0028566F" w:rsidP="006E736E">
            <w:pPr>
              <w:spacing w:before="120" w:after="120"/>
              <w:jc w:val="both"/>
              <w:rPr>
                <w:rFonts w:ascii="Times New Roman" w:hAnsi="Times New Roman" w:cs="Times New Roman"/>
                <w:sz w:val="20"/>
                <w:szCs w:val="20"/>
              </w:rPr>
            </w:pPr>
            <w:r w:rsidRPr="006E736E">
              <w:rPr>
                <w:rFonts w:ascii="Times New Roman" w:hAnsi="Times New Roman" w:cs="Times New Roman"/>
                <w:sz w:val="20"/>
                <w:szCs w:val="20"/>
              </w:rPr>
              <w:t>Titlul de doctor habilitat</w:t>
            </w:r>
          </w:p>
        </w:tc>
        <w:tc>
          <w:tcPr>
            <w:tcW w:w="1665" w:type="dxa"/>
            <w:vAlign w:val="center"/>
          </w:tcPr>
          <w:p w14:paraId="274F2AD4" w14:textId="77777777" w:rsidR="0028566F" w:rsidRPr="006E736E" w:rsidRDefault="0028566F" w:rsidP="006E736E">
            <w:pPr>
              <w:spacing w:before="120" w:after="120"/>
              <w:jc w:val="both"/>
              <w:rPr>
                <w:rFonts w:ascii="Times New Roman" w:hAnsi="Times New Roman" w:cs="Times New Roman"/>
                <w:b/>
                <w:bCs/>
                <w:sz w:val="20"/>
                <w:szCs w:val="20"/>
              </w:rPr>
            </w:pPr>
            <w:r w:rsidRPr="006E736E">
              <w:rPr>
                <w:rFonts w:ascii="Times New Roman" w:hAnsi="Times New Roman" w:cs="Times New Roman"/>
                <w:sz w:val="20"/>
                <w:szCs w:val="20"/>
              </w:rPr>
              <w:t>Complet comparabil</w:t>
            </w:r>
          </w:p>
        </w:tc>
      </w:tr>
    </w:tbl>
    <w:p w14:paraId="3D20F8D4" w14:textId="77777777" w:rsidR="0028566F" w:rsidRPr="001F6026" w:rsidRDefault="0028566F" w:rsidP="0028566F">
      <w:pPr>
        <w:spacing w:before="120" w:after="120" w:line="276" w:lineRule="auto"/>
        <w:jc w:val="both"/>
        <w:rPr>
          <w:rFonts w:ascii="Times New Roman" w:hAnsi="Times New Roman" w:cs="Times New Roman"/>
        </w:rPr>
      </w:pPr>
    </w:p>
    <w:p w14:paraId="34F6B415" w14:textId="77777777" w:rsidR="0028566F" w:rsidRPr="0020102C" w:rsidRDefault="0028566F" w:rsidP="0028566F">
      <w:pPr>
        <w:spacing w:before="120" w:after="120" w:line="276" w:lineRule="auto"/>
        <w:jc w:val="both"/>
        <w:rPr>
          <w:rFonts w:ascii="Times New Roman" w:hAnsi="Times New Roman" w:cs="Times New Roman"/>
        </w:rPr>
        <w:sectPr w:rsidR="0028566F" w:rsidRPr="0020102C" w:rsidSect="009E52AB">
          <w:pgSz w:w="16838" w:h="11906" w:orient="landscape"/>
          <w:pgMar w:top="851" w:right="1134" w:bottom="851" w:left="1134" w:header="709" w:footer="709"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cols w:space="708"/>
          <w:docGrid w:linePitch="360"/>
        </w:sectPr>
      </w:pPr>
    </w:p>
    <w:p w14:paraId="22687766" w14:textId="2D437398" w:rsidR="004110BC" w:rsidRPr="001F6026" w:rsidRDefault="00561FBB" w:rsidP="004110BC">
      <w:pPr>
        <w:spacing w:before="120" w:after="120" w:line="276" w:lineRule="auto"/>
        <w:jc w:val="both"/>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lastRenderedPageBreak/>
        <w:t xml:space="preserve">CRITERIUL 3. </w:t>
      </w:r>
      <w:r w:rsidR="004110BC" w:rsidRPr="001F6026">
        <w:rPr>
          <w:rFonts w:ascii="Times New Roman" w:hAnsi="Times New Roman" w:cs="Times New Roman"/>
          <w:b/>
          <w:bCs/>
          <w:color w:val="3494BA" w:themeColor="accent1"/>
          <w:sz w:val="24"/>
          <w:szCs w:val="24"/>
        </w:rPr>
        <w:t>Rezultatele învățării și corelarea lor cu EQF și QF-EHEA</w:t>
      </w:r>
    </w:p>
    <w:tbl>
      <w:tblPr>
        <w:tblStyle w:val="aff"/>
        <w:tblW w:w="0" w:type="auto"/>
        <w:tblBorders>
          <w:top w:val="single" w:sz="8" w:space="0" w:color="7FC0DB" w:themeColor="accent1" w:themeTint="99"/>
          <w:left w:val="single" w:sz="8" w:space="0" w:color="7FC0DB" w:themeColor="accent1" w:themeTint="99"/>
          <w:bottom w:val="single" w:sz="8" w:space="0" w:color="7FC0DB" w:themeColor="accent1" w:themeTint="99"/>
          <w:right w:val="single" w:sz="8" w:space="0" w:color="7FC0DB" w:themeColor="accent1" w:themeTint="99"/>
          <w:insideH w:val="single" w:sz="8" w:space="0" w:color="7FC0DB" w:themeColor="accent1" w:themeTint="99"/>
          <w:insideV w:val="single" w:sz="8" w:space="0" w:color="7FC0DB" w:themeColor="accent1" w:themeTint="99"/>
        </w:tblBorders>
        <w:tblLook w:val="04A0" w:firstRow="1" w:lastRow="0" w:firstColumn="1" w:lastColumn="0" w:noHBand="0" w:noVBand="1"/>
      </w:tblPr>
      <w:tblGrid>
        <w:gridCol w:w="9618"/>
      </w:tblGrid>
      <w:tr w:rsidR="004110BC" w:rsidRPr="001F6026" w14:paraId="085AB0AB" w14:textId="77777777" w:rsidTr="00B81475">
        <w:tc>
          <w:tcPr>
            <w:tcW w:w="9618" w:type="dxa"/>
          </w:tcPr>
          <w:p w14:paraId="1CB93609" w14:textId="71CD5B95" w:rsidR="004110BC" w:rsidRPr="001F6026" w:rsidRDefault="004110BC" w:rsidP="00B81475">
            <w:pPr>
              <w:spacing w:before="120" w:after="120" w:line="276" w:lineRule="auto"/>
              <w:jc w:val="both"/>
              <w:outlineLvl w:val="2"/>
              <w:rPr>
                <w:rFonts w:ascii="Times New Roman" w:eastAsia="Times New Roman" w:hAnsi="Times New Roman" w:cs="Times New Roman"/>
                <w:kern w:val="0"/>
                <w:sz w:val="24"/>
                <w:szCs w:val="24"/>
                <w:lang w:eastAsia="ro-MD"/>
                <w14:ligatures w14:val="none"/>
              </w:rPr>
            </w:pPr>
            <w:bookmarkStart w:id="13" w:name="_Hlk206328661"/>
            <w:r w:rsidRPr="001F6026">
              <w:rPr>
                <w:rFonts w:ascii="Times New Roman" w:hAnsi="Times New Roman" w:cs="Times New Roman"/>
                <w:sz w:val="24"/>
                <w:szCs w:val="24"/>
              </w:rPr>
              <w:t>Cadrele sau sistemele naționale ale calificărilor și calificările acestora sunt bazate pe principiul și obiectivul rezultatelor învățării și sunt legate de mecanisme de validare a învățării nonformale și informale, precum și de sisteme de credite, după caz.</w:t>
            </w:r>
          </w:p>
        </w:tc>
      </w:tr>
    </w:tbl>
    <w:p w14:paraId="48A2DECD" w14:textId="75B9E459" w:rsidR="000772DE" w:rsidRDefault="000772DE" w:rsidP="004110BC">
      <w:pPr>
        <w:spacing w:before="120" w:after="120" w:line="276" w:lineRule="auto"/>
        <w:jc w:val="both"/>
        <w:outlineLvl w:val="2"/>
        <w:rPr>
          <w:rFonts w:ascii="Times New Roman" w:hAnsi="Times New Roman" w:cs="Times New Roman"/>
          <w:b/>
          <w:bCs/>
          <w:color w:val="3494BA" w:themeColor="accent1"/>
          <w:sz w:val="24"/>
          <w:szCs w:val="24"/>
        </w:rPr>
      </w:pPr>
      <w:bookmarkStart w:id="14" w:name="_Hlk210303416"/>
      <w:bookmarkEnd w:id="13"/>
      <w:r>
        <w:rPr>
          <w:rFonts w:ascii="Times New Roman" w:hAnsi="Times New Roman" w:cs="Times New Roman"/>
          <w:b/>
          <w:bCs/>
          <w:color w:val="3494BA" w:themeColor="accent1"/>
          <w:sz w:val="24"/>
          <w:szCs w:val="24"/>
        </w:rPr>
        <w:t>Aspecte cheie</w:t>
      </w:r>
      <w:r w:rsidRPr="000772DE">
        <w:rPr>
          <w:rFonts w:hAnsi="Symbol"/>
          <w:b/>
          <w:bCs/>
          <w:color w:val="3494BA" w:themeColor="accent1"/>
        </w:rPr>
        <w:t xml:space="preserve"> </w:t>
      </w:r>
      <w:r w:rsidRPr="000772DE">
        <w:rPr>
          <w:rFonts w:ascii="Times New Roman" w:hAnsi="Times New Roman" w:cs="Times New Roman"/>
          <w:b/>
          <w:bCs/>
          <w:color w:val="3494BA" w:themeColor="accent1"/>
          <w:sz w:val="24"/>
          <w:szCs w:val="24"/>
        </w:rPr>
        <w:t xml:space="preserve">pentru Criteriul </w:t>
      </w:r>
      <w:bookmarkEnd w:id="14"/>
      <w:r w:rsidR="001D3D1C">
        <w:rPr>
          <w:rFonts w:ascii="Times New Roman" w:hAnsi="Times New Roman" w:cs="Times New Roman"/>
          <w:b/>
          <w:bCs/>
          <w:color w:val="3494BA" w:themeColor="accent1"/>
          <w:sz w:val="24"/>
          <w:szCs w:val="24"/>
        </w:rPr>
        <w:t>3</w:t>
      </w:r>
      <w:r w:rsidRPr="000772DE">
        <w:rPr>
          <w:rFonts w:ascii="Times New Roman" w:hAnsi="Times New Roman" w:cs="Times New Roman"/>
          <w:b/>
          <w:bCs/>
          <w:color w:val="3494BA" w:themeColor="accent1"/>
          <w:sz w:val="24"/>
          <w:szCs w:val="24"/>
        </w:rPr>
        <w:t>:</w:t>
      </w:r>
      <w:r w:rsidR="004110BC" w:rsidRPr="001F6026">
        <w:rPr>
          <w:rFonts w:ascii="Times New Roman" w:hAnsi="Times New Roman" w:cs="Times New Roman"/>
          <w:b/>
          <w:bCs/>
          <w:color w:val="3494BA" w:themeColor="accent1"/>
          <w:sz w:val="24"/>
          <w:szCs w:val="24"/>
        </w:rPr>
        <w:t xml:space="preserve"> </w:t>
      </w:r>
    </w:p>
    <w:p w14:paraId="49824F22" w14:textId="708A17F3" w:rsidR="0028744C" w:rsidRPr="004F40DC" w:rsidRDefault="0028744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4F40DC">
        <w:rPr>
          <w:rFonts w:ascii="Times New Roman" w:eastAsia="Times New Roman" w:hAnsi="Times New Roman" w:cs="Times New Roman"/>
          <w:color w:val="3494BA" w:themeColor="accent1"/>
          <w:kern w:val="0"/>
          <w:sz w:val="24"/>
          <w:szCs w:val="24"/>
          <w:lang w:eastAsia="ro-MD"/>
          <w14:ligatures w14:val="none"/>
        </w:rPr>
        <w:t>Rezultatele învățării (LOs) ca instrument de traducere, care promovează transparența și crește încrederea.</w:t>
      </w:r>
    </w:p>
    <w:p w14:paraId="76B51FA5" w14:textId="0D00E7A2" w:rsidR="0028744C" w:rsidRPr="004F40DC" w:rsidRDefault="0028744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A63678">
        <w:rPr>
          <w:rFonts w:ascii="Times New Roman" w:eastAsia="Times New Roman" w:hAnsi="Times New Roman" w:cs="Times New Roman"/>
          <w:b/>
          <w:bCs/>
          <w:color w:val="3494BA" w:themeColor="accent1"/>
          <w:kern w:val="0"/>
          <w:sz w:val="24"/>
          <w:szCs w:val="24"/>
          <w:lang w:eastAsia="ro-MD"/>
          <w14:ligatures w14:val="none"/>
        </w:rPr>
        <w:t>Utilizarea rezultatelor învățării în țară</w:t>
      </w:r>
      <w:r w:rsidRPr="004F40DC">
        <w:rPr>
          <w:rFonts w:ascii="Times New Roman" w:eastAsia="Times New Roman" w:hAnsi="Times New Roman" w:cs="Times New Roman"/>
          <w:color w:val="3494BA" w:themeColor="accent1"/>
          <w:kern w:val="0"/>
          <w:sz w:val="24"/>
          <w:szCs w:val="24"/>
          <w:lang w:eastAsia="ro-MD"/>
          <w14:ligatures w14:val="none"/>
        </w:rPr>
        <w:t xml:space="preserve"> (</w:t>
      </w:r>
      <w:r w:rsidRPr="00A63678">
        <w:rPr>
          <w:rFonts w:ascii="Times New Roman" w:eastAsia="Times New Roman" w:hAnsi="Times New Roman" w:cs="Times New Roman"/>
          <w:b/>
          <w:bCs/>
          <w:color w:val="3494BA" w:themeColor="accent1"/>
          <w:kern w:val="0"/>
          <w:sz w:val="24"/>
          <w:szCs w:val="24"/>
          <w:lang w:eastAsia="ro-MD"/>
          <w14:ligatures w14:val="none"/>
        </w:rPr>
        <w:t xml:space="preserve">la diferite niveluri </w:t>
      </w:r>
      <w:r w:rsidRPr="004F40DC">
        <w:rPr>
          <w:rFonts w:ascii="Times New Roman" w:eastAsia="Times New Roman" w:hAnsi="Times New Roman" w:cs="Times New Roman"/>
          <w:color w:val="3494BA" w:themeColor="accent1"/>
          <w:kern w:val="0"/>
          <w:sz w:val="24"/>
          <w:szCs w:val="24"/>
          <w:lang w:eastAsia="ro-MD"/>
          <w14:ligatures w14:val="none"/>
        </w:rPr>
        <w:t>și în diferite subsisteme de educație și formare).</w:t>
      </w:r>
    </w:p>
    <w:p w14:paraId="1A5F3586" w14:textId="20651474" w:rsidR="0028744C" w:rsidRPr="004F40DC" w:rsidRDefault="0028744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4F40DC">
        <w:rPr>
          <w:rFonts w:ascii="Times New Roman" w:eastAsia="Times New Roman" w:hAnsi="Times New Roman" w:cs="Times New Roman"/>
          <w:color w:val="3494BA" w:themeColor="accent1"/>
          <w:kern w:val="0"/>
          <w:sz w:val="24"/>
          <w:szCs w:val="24"/>
          <w:lang w:eastAsia="ro-MD"/>
          <w14:ligatures w14:val="none"/>
        </w:rPr>
        <w:t xml:space="preserve">Integrarea validării </w:t>
      </w:r>
      <w:r w:rsidR="000F7169" w:rsidRPr="000F7169">
        <w:rPr>
          <w:rFonts w:ascii="Times New Roman" w:eastAsia="Times New Roman" w:hAnsi="Times New Roman" w:cs="Times New Roman"/>
          <w:color w:val="3494BA" w:themeColor="accent1"/>
          <w:kern w:val="0"/>
          <w:sz w:val="24"/>
          <w:szCs w:val="24"/>
          <w:lang w:eastAsia="ro-MD"/>
          <w14:ligatures w14:val="none"/>
        </w:rPr>
        <w:t>a învățării nonformale și informale</w:t>
      </w:r>
      <w:r w:rsidR="00471BD5">
        <w:rPr>
          <w:rFonts w:ascii="Times New Roman" w:eastAsia="Times New Roman" w:hAnsi="Times New Roman" w:cs="Times New Roman"/>
          <w:color w:val="3494BA" w:themeColor="accent1"/>
          <w:kern w:val="0"/>
          <w:sz w:val="24"/>
          <w:szCs w:val="24"/>
          <w:lang w:eastAsia="ro-MD"/>
          <w14:ligatures w14:val="none"/>
        </w:rPr>
        <w:t xml:space="preserve"> (</w:t>
      </w:r>
      <w:r w:rsidR="00471BD5" w:rsidRPr="00471BD5">
        <w:rPr>
          <w:rFonts w:ascii="Times New Roman" w:eastAsia="Times New Roman" w:hAnsi="Times New Roman" w:cs="Times New Roman"/>
          <w:b/>
          <w:bCs/>
          <w:color w:val="3494BA" w:themeColor="accent1"/>
          <w:kern w:val="0"/>
          <w:sz w:val="24"/>
          <w:szCs w:val="24"/>
          <w:lang w:eastAsia="ro-MD"/>
          <w14:ligatures w14:val="none"/>
        </w:rPr>
        <w:t>Exemple</w:t>
      </w:r>
      <w:r w:rsidR="00471BD5">
        <w:rPr>
          <w:rFonts w:ascii="Times New Roman" w:eastAsia="Times New Roman" w:hAnsi="Times New Roman" w:cs="Times New Roman"/>
          <w:color w:val="3494BA" w:themeColor="accent1"/>
          <w:kern w:val="0"/>
          <w:sz w:val="24"/>
          <w:szCs w:val="24"/>
          <w:lang w:eastAsia="ro-MD"/>
          <w14:ligatures w14:val="none"/>
        </w:rPr>
        <w:t>)</w:t>
      </w:r>
      <w:r w:rsidRPr="004F40DC">
        <w:rPr>
          <w:rFonts w:ascii="Times New Roman" w:eastAsia="Times New Roman" w:hAnsi="Times New Roman" w:cs="Times New Roman"/>
          <w:color w:val="3494BA" w:themeColor="accent1"/>
          <w:kern w:val="0"/>
          <w:sz w:val="24"/>
          <w:szCs w:val="24"/>
          <w:lang w:eastAsia="ro-MD"/>
          <w14:ligatures w14:val="none"/>
        </w:rPr>
        <w:t>.</w:t>
      </w:r>
    </w:p>
    <w:p w14:paraId="1A3848D8" w14:textId="05E83113" w:rsidR="004110BC" w:rsidRPr="004F40DC" w:rsidRDefault="0028744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4F40DC">
        <w:rPr>
          <w:rFonts w:ascii="Times New Roman" w:eastAsia="Times New Roman" w:hAnsi="Times New Roman" w:cs="Times New Roman"/>
          <w:color w:val="3494BA" w:themeColor="accent1"/>
          <w:kern w:val="0"/>
          <w:sz w:val="24"/>
          <w:szCs w:val="24"/>
          <w:lang w:eastAsia="ro-MD"/>
          <w14:ligatures w14:val="none"/>
        </w:rPr>
        <w:t>Prezentarea sistemelor de credite</w:t>
      </w:r>
      <w:r w:rsidR="00170B51">
        <w:rPr>
          <w:rFonts w:ascii="Times New Roman" w:eastAsia="Times New Roman" w:hAnsi="Times New Roman" w:cs="Times New Roman"/>
          <w:color w:val="3494BA" w:themeColor="accent1"/>
          <w:kern w:val="0"/>
          <w:sz w:val="24"/>
          <w:szCs w:val="24"/>
          <w:lang w:eastAsia="ro-MD"/>
          <w14:ligatures w14:val="none"/>
        </w:rPr>
        <w:t xml:space="preserve"> (</w:t>
      </w:r>
      <w:r w:rsidR="00170B51" w:rsidRPr="00170B51">
        <w:rPr>
          <w:rFonts w:ascii="Times New Roman" w:eastAsia="Times New Roman" w:hAnsi="Times New Roman" w:cs="Times New Roman"/>
          <w:b/>
          <w:bCs/>
          <w:color w:val="3494BA" w:themeColor="accent1"/>
          <w:kern w:val="0"/>
          <w:sz w:val="24"/>
          <w:szCs w:val="24"/>
          <w:lang w:eastAsia="ro-MD"/>
          <w14:ligatures w14:val="none"/>
        </w:rPr>
        <w:t>VET, HE</w:t>
      </w:r>
      <w:r w:rsidR="00170B51">
        <w:rPr>
          <w:rFonts w:ascii="Times New Roman" w:eastAsia="Times New Roman" w:hAnsi="Times New Roman" w:cs="Times New Roman"/>
          <w:color w:val="3494BA" w:themeColor="accent1"/>
          <w:kern w:val="0"/>
          <w:sz w:val="24"/>
          <w:szCs w:val="24"/>
          <w:lang w:eastAsia="ro-MD"/>
          <w14:ligatures w14:val="none"/>
        </w:rPr>
        <w:t>)</w:t>
      </w:r>
      <w:r w:rsidR="004110BC" w:rsidRPr="004F40DC">
        <w:rPr>
          <w:rFonts w:ascii="Times New Roman" w:eastAsia="Times New Roman" w:hAnsi="Times New Roman" w:cs="Times New Roman"/>
          <w:color w:val="3494BA" w:themeColor="accent1"/>
          <w:kern w:val="0"/>
          <w:sz w:val="24"/>
          <w:szCs w:val="24"/>
          <w:lang w:eastAsia="ro-MD"/>
          <w14:ligatures w14:val="none"/>
        </w:rPr>
        <w:t>.</w:t>
      </w:r>
    </w:p>
    <w:p w14:paraId="48DFE091" w14:textId="77777777" w:rsidR="004263AF" w:rsidRPr="00417436" w:rsidRDefault="004263AF" w:rsidP="0022305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417436">
        <w:rPr>
          <w:rFonts w:ascii="Times New Roman" w:eastAsia="Times New Roman" w:hAnsi="Times New Roman" w:cs="Times New Roman"/>
          <w:b/>
          <w:bCs/>
          <w:color w:val="3494BA" w:themeColor="accent1"/>
          <w:kern w:val="0"/>
          <w:sz w:val="24"/>
          <w:szCs w:val="24"/>
          <w:lang w:val="ro-MD" w:eastAsia="ro-MD"/>
          <w14:ligatures w14:val="none"/>
        </w:rPr>
        <w:t>1. Fundamentul conceptului de „rezultate ale învățării” în CNC</w:t>
      </w:r>
    </w:p>
    <w:p w14:paraId="4FB6E381" w14:textId="77777777"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 xml:space="preserve">Cadrul Național al Calificărilor (CNC) al Republicii Moldova se bazează pe principiul fundamental al formării, evaluării și recunoașterii calificărilor prin prisma rezultatelor învățării – adică a ceea ce o persoană </w:t>
      </w:r>
      <w:r w:rsidRPr="00417436">
        <w:rPr>
          <w:rFonts w:ascii="Times New Roman" w:eastAsia="Times New Roman" w:hAnsi="Times New Roman" w:cs="Times New Roman"/>
          <w:i/>
          <w:iCs/>
          <w:kern w:val="0"/>
          <w:sz w:val="24"/>
          <w:szCs w:val="24"/>
          <w:lang w:val="ro-MD" w:eastAsia="ro-MD"/>
          <w14:ligatures w14:val="none"/>
        </w:rPr>
        <w:t>știe</w:t>
      </w:r>
      <w:r w:rsidRPr="0022305E">
        <w:rPr>
          <w:rFonts w:ascii="Times New Roman" w:eastAsia="Times New Roman" w:hAnsi="Times New Roman" w:cs="Times New Roman"/>
          <w:kern w:val="0"/>
          <w:sz w:val="24"/>
          <w:szCs w:val="24"/>
          <w:lang w:val="ro-MD" w:eastAsia="ro-MD"/>
          <w14:ligatures w14:val="none"/>
        </w:rPr>
        <w:t xml:space="preserve">, </w:t>
      </w:r>
      <w:r w:rsidRPr="00417436">
        <w:rPr>
          <w:rFonts w:ascii="Times New Roman" w:eastAsia="Times New Roman" w:hAnsi="Times New Roman" w:cs="Times New Roman"/>
          <w:i/>
          <w:iCs/>
          <w:kern w:val="0"/>
          <w:sz w:val="24"/>
          <w:szCs w:val="24"/>
          <w:lang w:val="ro-MD" w:eastAsia="ro-MD"/>
          <w14:ligatures w14:val="none"/>
        </w:rPr>
        <w:t>înțelege</w:t>
      </w:r>
      <w:r w:rsidRPr="0022305E">
        <w:rPr>
          <w:rFonts w:ascii="Times New Roman" w:eastAsia="Times New Roman" w:hAnsi="Times New Roman" w:cs="Times New Roman"/>
          <w:kern w:val="0"/>
          <w:sz w:val="24"/>
          <w:szCs w:val="24"/>
          <w:lang w:val="ro-MD" w:eastAsia="ro-MD"/>
          <w14:ligatures w14:val="none"/>
        </w:rPr>
        <w:t xml:space="preserve"> și </w:t>
      </w:r>
      <w:r w:rsidRPr="00417436">
        <w:rPr>
          <w:rFonts w:ascii="Times New Roman" w:eastAsia="Times New Roman" w:hAnsi="Times New Roman" w:cs="Times New Roman"/>
          <w:i/>
          <w:iCs/>
          <w:kern w:val="0"/>
          <w:sz w:val="24"/>
          <w:szCs w:val="24"/>
          <w:lang w:val="ro-MD" w:eastAsia="ro-MD"/>
          <w14:ligatures w14:val="none"/>
        </w:rPr>
        <w:t>este capabilă să facă</w:t>
      </w:r>
      <w:r w:rsidRPr="0022305E">
        <w:rPr>
          <w:rFonts w:ascii="Times New Roman" w:eastAsia="Times New Roman" w:hAnsi="Times New Roman" w:cs="Times New Roman"/>
          <w:kern w:val="0"/>
          <w:sz w:val="24"/>
          <w:szCs w:val="24"/>
          <w:lang w:val="ro-MD" w:eastAsia="ro-MD"/>
          <w14:ligatures w14:val="none"/>
        </w:rPr>
        <w:t xml:space="preserve"> la </w:t>
      </w:r>
      <w:r w:rsidRPr="00417436">
        <w:rPr>
          <w:rFonts w:ascii="Times New Roman" w:eastAsia="Times New Roman" w:hAnsi="Times New Roman" w:cs="Times New Roman"/>
          <w:i/>
          <w:iCs/>
          <w:kern w:val="0"/>
          <w:sz w:val="24"/>
          <w:szCs w:val="24"/>
          <w:lang w:val="ro-MD" w:eastAsia="ro-MD"/>
          <w14:ligatures w14:val="none"/>
        </w:rPr>
        <w:t>finalul unui proces de învățare</w:t>
      </w:r>
      <w:r w:rsidRPr="0022305E">
        <w:rPr>
          <w:rFonts w:ascii="Times New Roman" w:eastAsia="Times New Roman" w:hAnsi="Times New Roman" w:cs="Times New Roman"/>
          <w:kern w:val="0"/>
          <w:sz w:val="24"/>
          <w:szCs w:val="24"/>
          <w:lang w:val="ro-MD" w:eastAsia="ro-MD"/>
          <w14:ligatures w14:val="none"/>
        </w:rPr>
        <w:t>.</w:t>
      </w:r>
    </w:p>
    <w:p w14:paraId="3642BAFC" w14:textId="77777777"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Conform Hotărârii Guvernului nr. 330/2023 privind CNC, rezultatele învățării constituie elementul obligatoriu al fiecărei calificări și sunt utilizate pentru:</w:t>
      </w:r>
    </w:p>
    <w:p w14:paraId="390C1756" w14:textId="17C82F7E" w:rsidR="004263AF" w:rsidRPr="0022305E" w:rsidRDefault="004263AF" w:rsidP="00A41843">
      <w:pPr>
        <w:numPr>
          <w:ilvl w:val="0"/>
          <w:numId w:val="18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definirea nivelului de calificare;</w:t>
      </w:r>
    </w:p>
    <w:p w14:paraId="1FE80427" w14:textId="173792E2" w:rsidR="004263AF" w:rsidRPr="0022305E" w:rsidRDefault="004263AF" w:rsidP="00A41843">
      <w:pPr>
        <w:numPr>
          <w:ilvl w:val="0"/>
          <w:numId w:val="18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includerea calificării în RNC;</w:t>
      </w:r>
    </w:p>
    <w:p w14:paraId="22F411B4" w14:textId="77777777" w:rsidR="004263AF" w:rsidRPr="0022305E" w:rsidRDefault="004263AF" w:rsidP="00A41843">
      <w:pPr>
        <w:numPr>
          <w:ilvl w:val="0"/>
          <w:numId w:val="18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elaborarea standardelor de calificare, a curriculumului și a procedurilor de evaluare;</w:t>
      </w:r>
    </w:p>
    <w:p w14:paraId="0857EF73" w14:textId="77777777" w:rsidR="004263AF" w:rsidRPr="0022305E" w:rsidRDefault="004263AF" w:rsidP="00A41843">
      <w:pPr>
        <w:numPr>
          <w:ilvl w:val="0"/>
          <w:numId w:val="18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dezvoltarea mecanismelor de validare și certificare a competențelor.</w:t>
      </w:r>
    </w:p>
    <w:p w14:paraId="3089C613" w14:textId="77777777"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Fiecare nivel al CNC este definit printr-un set de descriptori ai rezultatelor învățării – structurați pe trei dimensiuni:</w:t>
      </w:r>
    </w:p>
    <w:p w14:paraId="3080A2B1" w14:textId="77777777" w:rsidR="004263AF" w:rsidRPr="0022305E" w:rsidRDefault="004263AF" w:rsidP="00A41843">
      <w:pPr>
        <w:numPr>
          <w:ilvl w:val="0"/>
          <w:numId w:val="189"/>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Cunoștințe (teoretice și/sau factuale);</w:t>
      </w:r>
    </w:p>
    <w:p w14:paraId="51EE2755" w14:textId="77777777" w:rsidR="004263AF" w:rsidRPr="0022305E" w:rsidRDefault="004263AF" w:rsidP="00A41843">
      <w:pPr>
        <w:numPr>
          <w:ilvl w:val="0"/>
          <w:numId w:val="189"/>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Aptitudini (cognitive, practice, sociale);</w:t>
      </w:r>
    </w:p>
    <w:p w14:paraId="3867C936" w14:textId="77777777" w:rsidR="004263AF" w:rsidRPr="0022305E" w:rsidRDefault="004263AF" w:rsidP="00A41843">
      <w:pPr>
        <w:numPr>
          <w:ilvl w:val="0"/>
          <w:numId w:val="189"/>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Responsabilitate și autonomie.</w:t>
      </w:r>
    </w:p>
    <w:p w14:paraId="009EF496" w14:textId="04CB6C72"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Acești descriptori reflectă coerența deplină cu EQF, fapt confirmat de tabelele incluse în Anexele 1 și 2 la HG nr. 330/2023, care prezintă corespondența 1:1 între nivelurile CNC și EQF.</w:t>
      </w:r>
    </w:p>
    <w:p w14:paraId="1403187A" w14:textId="70AF8489"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CNC are astfel o structură compatibilă conceptual și metodologic cu EQF și QF-EHEA, permițând compararea și recunoașterea calificărilor, indiferent de contextul în care acestea au fost dobândite – formal, nonformal sau informal.</w:t>
      </w:r>
    </w:p>
    <w:p w14:paraId="55CEAA5B" w14:textId="76C7C1BA" w:rsidR="004263AF" w:rsidRPr="008D3F9B" w:rsidRDefault="004263AF" w:rsidP="0022305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8D3F9B">
        <w:rPr>
          <w:rFonts w:ascii="Times New Roman" w:eastAsia="Times New Roman" w:hAnsi="Times New Roman" w:cs="Times New Roman"/>
          <w:b/>
          <w:bCs/>
          <w:color w:val="3494BA" w:themeColor="accent1"/>
          <w:kern w:val="0"/>
          <w:sz w:val="24"/>
          <w:szCs w:val="24"/>
          <w:lang w:val="ro-MD" w:eastAsia="ro-MD"/>
          <w14:ligatures w14:val="none"/>
        </w:rPr>
        <w:t xml:space="preserve">2. Rolul rezultatelor învățării în </w:t>
      </w:r>
      <w:r w:rsidR="00FF7D3B">
        <w:rPr>
          <w:rFonts w:ascii="Times New Roman" w:eastAsia="Times New Roman" w:hAnsi="Times New Roman" w:cs="Times New Roman"/>
          <w:b/>
          <w:bCs/>
          <w:color w:val="3494BA" w:themeColor="accent1"/>
          <w:kern w:val="0"/>
          <w:sz w:val="24"/>
          <w:szCs w:val="24"/>
          <w:lang w:val="ro-MD" w:eastAsia="ro-MD"/>
          <w14:ligatures w14:val="none"/>
        </w:rPr>
        <w:t>dezvolta</w:t>
      </w:r>
      <w:r w:rsidR="00510AC2">
        <w:rPr>
          <w:rFonts w:ascii="Times New Roman" w:eastAsia="Times New Roman" w:hAnsi="Times New Roman" w:cs="Times New Roman"/>
          <w:b/>
          <w:bCs/>
          <w:color w:val="3494BA" w:themeColor="accent1"/>
          <w:kern w:val="0"/>
          <w:sz w:val="24"/>
          <w:szCs w:val="24"/>
          <w:lang w:val="ro-MD" w:eastAsia="ro-MD"/>
          <w14:ligatures w14:val="none"/>
        </w:rPr>
        <w:t>rea</w:t>
      </w:r>
      <w:r w:rsidRPr="00EF463A">
        <w:rPr>
          <w:rFonts w:ascii="Times New Roman" w:eastAsia="Times New Roman" w:hAnsi="Times New Roman" w:cs="Times New Roman"/>
          <w:b/>
          <w:bCs/>
          <w:color w:val="3494BA" w:themeColor="accent1"/>
          <w:kern w:val="0"/>
          <w:sz w:val="24"/>
          <w:szCs w:val="24"/>
          <w:lang w:val="ro-MD" w:eastAsia="ro-MD"/>
          <w14:ligatures w14:val="none"/>
        </w:rPr>
        <w:t xml:space="preserve"> calificărilor și </w:t>
      </w:r>
      <w:r w:rsidR="008D3F9B" w:rsidRPr="00EF463A">
        <w:rPr>
          <w:rFonts w:ascii="Times New Roman" w:eastAsia="Times New Roman" w:hAnsi="Times New Roman" w:cs="Times New Roman"/>
          <w:b/>
          <w:bCs/>
          <w:color w:val="3494BA" w:themeColor="accent1"/>
          <w:kern w:val="0"/>
          <w:sz w:val="24"/>
          <w:szCs w:val="24"/>
          <w:lang w:val="ro-MD" w:eastAsia="ro-MD"/>
          <w14:ligatures w14:val="none"/>
        </w:rPr>
        <w:t xml:space="preserve">a </w:t>
      </w:r>
      <w:r w:rsidRPr="00EF463A">
        <w:rPr>
          <w:rFonts w:ascii="Times New Roman" w:eastAsia="Times New Roman" w:hAnsi="Times New Roman" w:cs="Times New Roman"/>
          <w:b/>
          <w:bCs/>
          <w:color w:val="3494BA" w:themeColor="accent1"/>
          <w:kern w:val="0"/>
          <w:sz w:val="24"/>
          <w:szCs w:val="24"/>
          <w:lang w:val="ro-MD" w:eastAsia="ro-MD"/>
          <w14:ligatures w14:val="none"/>
        </w:rPr>
        <w:t>standardelor</w:t>
      </w:r>
    </w:p>
    <w:p w14:paraId="746A3B13" w14:textId="4C05C384"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Rezultatele învățării sunt nucleul tuturor calificărilor din sistemul educațional și de formare profesională. Potrivit HG nr. 330/2023</w:t>
      </w:r>
      <w:r w:rsidR="00E92EB5">
        <w:rPr>
          <w:rFonts w:ascii="Times New Roman" w:eastAsia="Times New Roman" w:hAnsi="Times New Roman" w:cs="Times New Roman"/>
          <w:kern w:val="0"/>
          <w:sz w:val="24"/>
          <w:szCs w:val="24"/>
          <w:lang w:val="ro-MD" w:eastAsia="ro-MD"/>
          <w14:ligatures w14:val="none"/>
        </w:rPr>
        <w:t>, rezultatele învățării</w:t>
      </w:r>
      <w:r w:rsidRPr="0022305E">
        <w:rPr>
          <w:rFonts w:ascii="Times New Roman" w:eastAsia="Times New Roman" w:hAnsi="Times New Roman" w:cs="Times New Roman"/>
          <w:kern w:val="0"/>
          <w:sz w:val="24"/>
          <w:szCs w:val="24"/>
          <w:lang w:val="ro-MD" w:eastAsia="ro-MD"/>
          <w14:ligatures w14:val="none"/>
        </w:rPr>
        <w:t>:</w:t>
      </w:r>
    </w:p>
    <w:p w14:paraId="2A6935D3" w14:textId="3486868E" w:rsidR="004263AF" w:rsidRPr="0022305E" w:rsidRDefault="008A75AF" w:rsidP="00A41843">
      <w:pPr>
        <w:numPr>
          <w:ilvl w:val="0"/>
          <w:numId w:val="190"/>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C3EA7">
        <w:rPr>
          <w:rFonts w:ascii="Times New Roman" w:eastAsia="Times New Roman" w:hAnsi="Times New Roman" w:cs="Times New Roman"/>
          <w:kern w:val="0"/>
          <w:sz w:val="24"/>
          <w:szCs w:val="24"/>
          <w:lang w:val="ro-MD" w:eastAsia="ro-MD"/>
          <w14:ligatures w14:val="none"/>
        </w:rPr>
        <w:t>sunt utilizate la transpunerea cerințelor pentru calificarea</w:t>
      </w:r>
      <w:r w:rsidRPr="0022305E">
        <w:rPr>
          <w:rFonts w:ascii="Times New Roman" w:eastAsia="Times New Roman" w:hAnsi="Times New Roman" w:cs="Times New Roman"/>
          <w:kern w:val="0"/>
          <w:sz w:val="24"/>
          <w:szCs w:val="24"/>
          <w:lang w:val="ro-MD" w:eastAsia="ro-MD"/>
          <w14:ligatures w14:val="none"/>
        </w:rPr>
        <w:t xml:space="preserve"> </w:t>
      </w:r>
      <w:r w:rsidR="00913A0C" w:rsidRPr="00DC3EA7">
        <w:rPr>
          <w:rFonts w:ascii="Times New Roman" w:eastAsia="Times New Roman" w:hAnsi="Times New Roman" w:cs="Times New Roman"/>
          <w:kern w:val="0"/>
          <w:sz w:val="24"/>
          <w:szCs w:val="24"/>
          <w:lang w:val="ro-MD" w:eastAsia="ro-MD"/>
          <w14:ligatures w14:val="none"/>
        </w:rPr>
        <w:t>absolvenților și angajaților, formulate în standardele ocupaționale</w:t>
      </w:r>
      <w:r w:rsidR="00DC3EA7" w:rsidRPr="00DC3EA7">
        <w:rPr>
          <w:rFonts w:ascii="Times New Roman" w:eastAsia="Times New Roman" w:hAnsi="Times New Roman" w:cs="Times New Roman"/>
          <w:kern w:val="0"/>
          <w:sz w:val="24"/>
          <w:szCs w:val="24"/>
          <w:lang w:val="ro-MD" w:eastAsia="ro-MD"/>
          <w14:ligatures w14:val="none"/>
        </w:rPr>
        <w:t xml:space="preserve"> </w:t>
      </w:r>
      <w:r w:rsidR="00DC3EA7">
        <w:rPr>
          <w:rFonts w:ascii="Times New Roman" w:eastAsia="Times New Roman" w:hAnsi="Times New Roman" w:cs="Times New Roman"/>
          <w:kern w:val="0"/>
          <w:sz w:val="24"/>
          <w:szCs w:val="24"/>
          <w:lang w:val="ro-MD" w:eastAsia="ro-MD"/>
          <w14:ligatures w14:val="none"/>
        </w:rPr>
        <w:t>(nivel 3-5)</w:t>
      </w:r>
      <w:r w:rsidR="00EF463A">
        <w:rPr>
          <w:rFonts w:ascii="Times New Roman" w:eastAsia="Times New Roman" w:hAnsi="Times New Roman" w:cs="Times New Roman"/>
          <w:kern w:val="0"/>
          <w:sz w:val="24"/>
          <w:szCs w:val="24"/>
          <w:lang w:val="ro-MD" w:eastAsia="ro-MD"/>
          <w14:ligatures w14:val="none"/>
        </w:rPr>
        <w:t xml:space="preserve"> </w:t>
      </w:r>
      <w:r w:rsidR="007E14F3">
        <w:rPr>
          <w:rFonts w:ascii="Times New Roman" w:eastAsia="Times New Roman" w:hAnsi="Times New Roman" w:cs="Times New Roman"/>
          <w:kern w:val="0"/>
          <w:sz w:val="24"/>
          <w:szCs w:val="24"/>
          <w:lang w:val="ro-MD" w:eastAsia="ro-MD"/>
          <w14:ligatures w14:val="none"/>
        </w:rPr>
        <w:t>sau</w:t>
      </w:r>
      <w:r w:rsidR="00D820C5">
        <w:rPr>
          <w:rFonts w:ascii="Times New Roman" w:eastAsia="Times New Roman" w:hAnsi="Times New Roman" w:cs="Times New Roman"/>
          <w:kern w:val="0"/>
          <w:sz w:val="24"/>
          <w:szCs w:val="24"/>
          <w:lang w:val="ro-MD" w:eastAsia="ro-MD"/>
          <w14:ligatures w14:val="none"/>
        </w:rPr>
        <w:t xml:space="preserve"> în</w:t>
      </w:r>
      <w:r w:rsidR="00DC3EA7">
        <w:rPr>
          <w:rFonts w:ascii="Times New Roman" w:eastAsia="Times New Roman" w:hAnsi="Times New Roman" w:cs="Times New Roman"/>
          <w:kern w:val="0"/>
          <w:sz w:val="24"/>
          <w:szCs w:val="24"/>
          <w:lang w:val="ro-MD" w:eastAsia="ro-MD"/>
          <w14:ligatures w14:val="none"/>
        </w:rPr>
        <w:t xml:space="preserve"> </w:t>
      </w:r>
      <w:r w:rsidR="00DC3EA7" w:rsidRPr="00DC3EA7">
        <w:rPr>
          <w:rFonts w:ascii="Times New Roman" w:eastAsia="Times New Roman" w:hAnsi="Times New Roman" w:cs="Times New Roman"/>
          <w:kern w:val="0"/>
          <w:sz w:val="24"/>
          <w:szCs w:val="24"/>
          <w:lang w:val="ro-MD" w:eastAsia="ro-MD"/>
          <w14:ligatures w14:val="none"/>
        </w:rPr>
        <w:t xml:space="preserve">standardele </w:t>
      </w:r>
      <w:r w:rsidR="00913A0C" w:rsidRPr="00DC3EA7">
        <w:rPr>
          <w:rFonts w:ascii="Times New Roman" w:eastAsia="Times New Roman" w:hAnsi="Times New Roman" w:cs="Times New Roman"/>
          <w:kern w:val="0"/>
          <w:sz w:val="24"/>
          <w:szCs w:val="24"/>
          <w:lang w:val="ro-MD" w:eastAsia="ro-MD"/>
          <w14:ligatures w14:val="none"/>
        </w:rPr>
        <w:t>de competență</w:t>
      </w:r>
      <w:r w:rsidR="00EF463A">
        <w:rPr>
          <w:rFonts w:ascii="Times New Roman" w:eastAsia="Times New Roman" w:hAnsi="Times New Roman" w:cs="Times New Roman"/>
          <w:kern w:val="0"/>
          <w:sz w:val="24"/>
          <w:szCs w:val="24"/>
          <w:lang w:val="ro-MD" w:eastAsia="ro-MD"/>
          <w14:ligatures w14:val="none"/>
        </w:rPr>
        <w:t xml:space="preserve"> </w:t>
      </w:r>
      <w:r w:rsidR="00DC3EA7">
        <w:rPr>
          <w:rFonts w:ascii="Times New Roman" w:eastAsia="Times New Roman" w:hAnsi="Times New Roman" w:cs="Times New Roman"/>
          <w:kern w:val="0"/>
          <w:sz w:val="24"/>
          <w:szCs w:val="24"/>
          <w:lang w:val="ro-MD" w:eastAsia="ro-MD"/>
          <w14:ligatures w14:val="none"/>
        </w:rPr>
        <w:t>(nivel 6-8)</w:t>
      </w:r>
      <w:r w:rsidR="00913A0C" w:rsidRPr="00DC3EA7">
        <w:rPr>
          <w:rFonts w:ascii="Times New Roman" w:eastAsia="Times New Roman" w:hAnsi="Times New Roman" w:cs="Times New Roman"/>
          <w:kern w:val="0"/>
          <w:sz w:val="24"/>
          <w:szCs w:val="24"/>
          <w:lang w:val="ro-MD" w:eastAsia="ro-MD"/>
          <w14:ligatures w14:val="none"/>
        </w:rPr>
        <w:t>, în standardele de calificare și cele educaționale</w:t>
      </w:r>
      <w:r w:rsidR="004263AF" w:rsidRPr="0022305E">
        <w:rPr>
          <w:rFonts w:ascii="Times New Roman" w:eastAsia="Times New Roman" w:hAnsi="Times New Roman" w:cs="Times New Roman"/>
          <w:kern w:val="0"/>
          <w:sz w:val="24"/>
          <w:szCs w:val="24"/>
          <w:lang w:val="ro-MD" w:eastAsia="ro-MD"/>
          <w14:ligatures w14:val="none"/>
        </w:rPr>
        <w:t>;</w:t>
      </w:r>
    </w:p>
    <w:p w14:paraId="2142A51D" w14:textId="46915109" w:rsidR="004263AF" w:rsidRDefault="004263AF" w:rsidP="00A41843">
      <w:pPr>
        <w:numPr>
          <w:ilvl w:val="0"/>
          <w:numId w:val="190"/>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lastRenderedPageBreak/>
        <w:t xml:space="preserve">sprijină planificarea traseelor flexibile de învățare, compararea calificărilor </w:t>
      </w:r>
      <w:r w:rsidR="00E10553" w:rsidRPr="00E10553">
        <w:rPr>
          <w:rFonts w:ascii="Times New Roman" w:eastAsia="Times New Roman" w:hAnsi="Times New Roman" w:cs="Times New Roman"/>
          <w:kern w:val="0"/>
          <w:sz w:val="24"/>
          <w:szCs w:val="24"/>
          <w14:ligatures w14:val="none"/>
        </w:rPr>
        <w:t>obținute în diferite contexte</w:t>
      </w:r>
      <w:r w:rsidR="00E10553" w:rsidRPr="0022305E">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și dezvoltarea mecanismelor de evaluare</w:t>
      </w:r>
      <w:r w:rsidR="00617D7F">
        <w:rPr>
          <w:rFonts w:ascii="Times New Roman" w:eastAsia="Times New Roman" w:hAnsi="Times New Roman" w:cs="Times New Roman"/>
          <w:kern w:val="0"/>
          <w:sz w:val="24"/>
          <w:szCs w:val="24"/>
          <w:lang w:val="ro-MD" w:eastAsia="ro-MD"/>
          <w14:ligatures w14:val="none"/>
        </w:rPr>
        <w:t>,</w:t>
      </w:r>
      <w:r w:rsidRPr="0022305E">
        <w:rPr>
          <w:rFonts w:ascii="Times New Roman" w:eastAsia="Times New Roman" w:hAnsi="Times New Roman" w:cs="Times New Roman"/>
          <w:kern w:val="0"/>
          <w:sz w:val="24"/>
          <w:szCs w:val="24"/>
          <w:lang w:val="ro-MD" w:eastAsia="ro-MD"/>
          <w14:ligatures w14:val="none"/>
        </w:rPr>
        <w:t xml:space="preserve"> </w:t>
      </w:r>
      <w:r w:rsidR="00A0186A" w:rsidRPr="00A0186A">
        <w:rPr>
          <w:rFonts w:ascii="Times New Roman" w:eastAsia="Times New Roman" w:hAnsi="Times New Roman" w:cs="Times New Roman"/>
          <w:kern w:val="0"/>
          <w:sz w:val="24"/>
          <w:szCs w:val="24"/>
          <w:lang w:val="ro-MD" w:eastAsia="ro-MD"/>
          <w14:ligatures w14:val="none"/>
        </w:rPr>
        <w:t>validare</w:t>
      </w:r>
      <w:r w:rsidR="00032558">
        <w:rPr>
          <w:rFonts w:ascii="Times New Roman" w:eastAsia="Times New Roman" w:hAnsi="Times New Roman" w:cs="Times New Roman"/>
          <w:kern w:val="0"/>
          <w:sz w:val="24"/>
          <w:szCs w:val="24"/>
          <w:lang w:val="ro-MD" w:eastAsia="ro-MD"/>
          <w14:ligatures w14:val="none"/>
        </w:rPr>
        <w:t>,</w:t>
      </w:r>
      <w:r w:rsidRPr="0022305E">
        <w:rPr>
          <w:rFonts w:ascii="Times New Roman" w:eastAsia="Times New Roman" w:hAnsi="Times New Roman" w:cs="Times New Roman"/>
          <w:kern w:val="0"/>
          <w:sz w:val="24"/>
          <w:szCs w:val="24"/>
          <w:lang w:val="ro-MD" w:eastAsia="ro-MD"/>
          <w14:ligatures w14:val="none"/>
        </w:rPr>
        <w:t xml:space="preserve"> recunoaștere</w:t>
      </w:r>
      <w:r w:rsidR="004256AE" w:rsidRPr="004256AE">
        <w:rPr>
          <w:rFonts w:ascii="Times New Roman" w:eastAsia="Times New Roman" w:hAnsi="Times New Roman" w:cs="Times New Roman"/>
          <w:kern w:val="0"/>
          <w:sz w:val="24"/>
          <w:szCs w:val="24"/>
          <w:lang w:val="ro-MD" w:eastAsia="ro-MD"/>
          <w14:ligatures w14:val="none"/>
        </w:rPr>
        <w:t xml:space="preserve"> și certificare a calificărilor</w:t>
      </w:r>
      <w:r w:rsidRPr="0022305E">
        <w:rPr>
          <w:rFonts w:ascii="Times New Roman" w:eastAsia="Times New Roman" w:hAnsi="Times New Roman" w:cs="Times New Roman"/>
          <w:kern w:val="0"/>
          <w:sz w:val="24"/>
          <w:szCs w:val="24"/>
          <w:lang w:val="ro-MD" w:eastAsia="ro-MD"/>
          <w14:ligatures w14:val="none"/>
        </w:rPr>
        <w:t>;</w:t>
      </w:r>
    </w:p>
    <w:p w14:paraId="5DCBD1CE" w14:textId="1B107E91" w:rsidR="00B93B4D" w:rsidRPr="00B93B4D" w:rsidRDefault="00B93B4D" w:rsidP="00A41843">
      <w:pPr>
        <w:pStyle w:val="a7"/>
        <w:numPr>
          <w:ilvl w:val="0"/>
          <w:numId w:val="190"/>
        </w:numPr>
        <w:rPr>
          <w:rFonts w:ascii="Times New Roman" w:eastAsia="Times New Roman" w:hAnsi="Times New Roman" w:cs="Times New Roman"/>
          <w:kern w:val="0"/>
          <w:sz w:val="24"/>
          <w:szCs w:val="24"/>
          <w:lang w:val="ro-MD" w:eastAsia="ro-MD"/>
          <w14:ligatures w14:val="none"/>
        </w:rPr>
      </w:pPr>
      <w:r w:rsidRPr="00B93B4D">
        <w:rPr>
          <w:rFonts w:ascii="Times New Roman" w:eastAsia="Times New Roman" w:hAnsi="Times New Roman" w:cs="Times New Roman"/>
          <w:kern w:val="0"/>
          <w:sz w:val="24"/>
          <w:szCs w:val="24"/>
          <w:lang w:val="ro-MD" w:eastAsia="ro-MD"/>
          <w14:ligatures w14:val="none"/>
        </w:rPr>
        <w:t>aplicarea unor criterii unificate de evaluare a calificări</w:t>
      </w:r>
      <w:r w:rsidR="00C819A6">
        <w:rPr>
          <w:rFonts w:ascii="Times New Roman" w:eastAsia="Times New Roman" w:hAnsi="Times New Roman" w:cs="Times New Roman"/>
          <w:kern w:val="0"/>
          <w:sz w:val="24"/>
          <w:szCs w:val="24"/>
          <w:lang w:val="ro-MD" w:eastAsia="ro-MD"/>
          <w14:ligatures w14:val="none"/>
        </w:rPr>
        <w:t>i</w:t>
      </w:r>
      <w:r w:rsidRPr="00B93B4D">
        <w:rPr>
          <w:rFonts w:ascii="Times New Roman" w:eastAsia="Times New Roman" w:hAnsi="Times New Roman" w:cs="Times New Roman"/>
          <w:kern w:val="0"/>
          <w:sz w:val="24"/>
          <w:szCs w:val="24"/>
          <w:lang w:val="ro-MD" w:eastAsia="ro-MD"/>
          <w14:ligatures w14:val="none"/>
        </w:rPr>
        <w:t xml:space="preserve"> absolvenților de programe formale și a calificării obținute în alte contexte de învățare;</w:t>
      </w:r>
    </w:p>
    <w:p w14:paraId="14C50BA0" w14:textId="77777777" w:rsidR="004263AF" w:rsidRPr="0022305E" w:rsidRDefault="004263AF" w:rsidP="00A41843">
      <w:pPr>
        <w:numPr>
          <w:ilvl w:val="0"/>
          <w:numId w:val="190"/>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integrează competențele-cheie europene, necesare pentru dezvoltarea personală, angajabilitate și incluziune socială.</w:t>
      </w:r>
    </w:p>
    <w:p w14:paraId="5842471C" w14:textId="397E37A0" w:rsidR="0034728B" w:rsidRPr="007C648A" w:rsidRDefault="0034728B" w:rsidP="0034728B">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C648A">
        <w:rPr>
          <w:rFonts w:ascii="Times New Roman" w:eastAsia="Times New Roman" w:hAnsi="Times New Roman" w:cs="Times New Roman"/>
          <w:kern w:val="0"/>
          <w:sz w:val="24"/>
          <w:szCs w:val="24"/>
          <w:lang w:val="ro-MD" w:eastAsia="ro-MD"/>
          <w14:ligatures w14:val="none"/>
        </w:rPr>
        <w:t xml:space="preserve">Definirea rezultatelor învățării la diferite niveluri ale </w:t>
      </w:r>
      <w:r w:rsidR="00F64ADD">
        <w:rPr>
          <w:rFonts w:ascii="Times New Roman" w:eastAsia="Times New Roman" w:hAnsi="Times New Roman" w:cs="Times New Roman"/>
          <w:kern w:val="0"/>
          <w:sz w:val="24"/>
          <w:szCs w:val="24"/>
          <w:lang w:val="ro-MD" w:eastAsia="ro-MD"/>
          <w14:ligatures w14:val="none"/>
        </w:rPr>
        <w:t>CNC</w:t>
      </w:r>
      <w:r w:rsidRPr="007C648A">
        <w:rPr>
          <w:rFonts w:ascii="Times New Roman" w:eastAsia="Times New Roman" w:hAnsi="Times New Roman" w:cs="Times New Roman"/>
          <w:kern w:val="0"/>
          <w:sz w:val="24"/>
          <w:szCs w:val="24"/>
          <w:lang w:val="ro-MD" w:eastAsia="ro-MD"/>
          <w14:ligatures w14:val="none"/>
        </w:rPr>
        <w:t xml:space="preserve"> și pentru diverse sectoare economice se realizează în conformitate cu</w:t>
      </w:r>
      <w:r w:rsidRPr="0009729E">
        <w:rPr>
          <w:rFonts w:ascii="Times New Roman" w:eastAsia="Times New Roman" w:hAnsi="Times New Roman" w:cs="Times New Roman"/>
          <w:i/>
          <w:iCs/>
          <w:kern w:val="0"/>
          <w:sz w:val="24"/>
          <w:szCs w:val="24"/>
          <w:lang w:val="ro-MD" w:eastAsia="ro-MD"/>
          <w14:ligatures w14:val="none"/>
        </w:rPr>
        <w:t xml:space="preserve"> </w:t>
      </w:r>
      <w:r w:rsidR="0009729E" w:rsidRPr="0009729E">
        <w:rPr>
          <w:rFonts w:ascii="Times New Roman" w:eastAsia="Times New Roman" w:hAnsi="Times New Roman" w:cs="Times New Roman"/>
          <w:i/>
          <w:iCs/>
          <w:kern w:val="0"/>
          <w:sz w:val="24"/>
          <w:szCs w:val="24"/>
          <w:lang w:val="ro-MD" w:eastAsia="ro-MD"/>
          <w14:ligatures w14:val="none"/>
        </w:rPr>
        <w:t>Ghidului metodologic pentru transpunerea competențelor profesionale în rezultate ale învățării</w:t>
      </w:r>
      <w:r w:rsidR="003F1844">
        <w:rPr>
          <w:rStyle w:val="afc"/>
          <w:rFonts w:ascii="Times New Roman" w:eastAsia="Times New Roman" w:hAnsi="Times New Roman" w:cs="Times New Roman"/>
          <w:kern w:val="0"/>
          <w:sz w:val="24"/>
          <w:szCs w:val="24"/>
          <w:lang w:val="ro-MD" w:eastAsia="ro-MD"/>
          <w14:ligatures w14:val="none"/>
        </w:rPr>
        <w:footnoteReference w:id="36"/>
      </w:r>
      <w:r w:rsidR="004263AF" w:rsidRPr="0022305E">
        <w:rPr>
          <w:rFonts w:ascii="Times New Roman" w:eastAsia="Times New Roman" w:hAnsi="Times New Roman" w:cs="Times New Roman"/>
          <w:kern w:val="0"/>
          <w:sz w:val="24"/>
          <w:szCs w:val="24"/>
          <w:lang w:val="ro-MD" w:eastAsia="ro-MD"/>
          <w14:ligatures w14:val="none"/>
        </w:rPr>
        <w:t xml:space="preserve">, </w:t>
      </w:r>
      <w:r w:rsidRPr="007C648A">
        <w:rPr>
          <w:rFonts w:ascii="Times New Roman" w:eastAsia="Times New Roman" w:hAnsi="Times New Roman" w:cs="Times New Roman"/>
          <w:kern w:val="0"/>
          <w:sz w:val="24"/>
          <w:szCs w:val="24"/>
          <w:lang w:val="ro-MD" w:eastAsia="ro-MD"/>
          <w14:ligatures w14:val="none"/>
        </w:rPr>
        <w:t>Acest document stabilește principiile, terminologia și pașii operaționali de transpunere a competențelor profesionale definite în standardele ocupaționale sau standardele de competență în rezultate ale învățării incluse în standarde de calificare.</w:t>
      </w:r>
    </w:p>
    <w:p w14:paraId="344AB282" w14:textId="28A2E5E3" w:rsidR="00643FD1" w:rsidRPr="008405FF" w:rsidRDefault="001B5E46"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 xml:space="preserve">Procesul de transpunere a </w:t>
      </w:r>
      <w:r w:rsidR="00032B92">
        <w:rPr>
          <w:rFonts w:ascii="Times New Roman" w:eastAsia="Times New Roman" w:hAnsi="Times New Roman" w:cs="Times New Roman"/>
          <w:kern w:val="0"/>
          <w:sz w:val="24"/>
          <w:szCs w:val="24"/>
          <w:lang w:val="ro-MD" w:eastAsia="ro-MD"/>
          <w14:ligatures w14:val="none"/>
        </w:rPr>
        <w:t>competențelor profesionale în rezultate ale învățării</w:t>
      </w:r>
      <w:r w:rsidR="00E0720A">
        <w:rPr>
          <w:rFonts w:ascii="Times New Roman" w:eastAsia="Times New Roman" w:hAnsi="Times New Roman" w:cs="Times New Roman"/>
          <w:kern w:val="0"/>
          <w:sz w:val="24"/>
          <w:szCs w:val="24"/>
          <w:lang w:val="ro-MD" w:eastAsia="ro-MD"/>
          <w14:ligatures w14:val="none"/>
        </w:rPr>
        <w:t xml:space="preserve">, precum și </w:t>
      </w:r>
      <w:r w:rsidR="009212DF">
        <w:rPr>
          <w:rFonts w:ascii="Times New Roman" w:eastAsia="Times New Roman" w:hAnsi="Times New Roman" w:cs="Times New Roman"/>
          <w:kern w:val="0"/>
          <w:sz w:val="24"/>
          <w:szCs w:val="24"/>
          <w:lang w:val="ro-MD" w:eastAsia="ro-MD"/>
          <w14:ligatures w14:val="none"/>
        </w:rPr>
        <w:t>cerințele de formulare a acestora,</w:t>
      </w:r>
      <w:r w:rsidR="00032B92">
        <w:rPr>
          <w:rFonts w:ascii="Times New Roman" w:eastAsia="Times New Roman" w:hAnsi="Times New Roman" w:cs="Times New Roman"/>
          <w:kern w:val="0"/>
          <w:sz w:val="24"/>
          <w:szCs w:val="24"/>
          <w:lang w:val="ro-MD" w:eastAsia="ro-MD"/>
          <w14:ligatures w14:val="none"/>
        </w:rPr>
        <w:t xml:space="preserve"> </w:t>
      </w:r>
      <w:r w:rsidR="00560A0A">
        <w:rPr>
          <w:rFonts w:ascii="Times New Roman" w:eastAsia="Times New Roman" w:hAnsi="Times New Roman" w:cs="Times New Roman"/>
          <w:kern w:val="0"/>
          <w:sz w:val="24"/>
          <w:szCs w:val="24"/>
          <w:lang w:val="ro-MD" w:eastAsia="ro-MD"/>
          <w14:ligatures w14:val="none"/>
        </w:rPr>
        <w:t>este detali</w:t>
      </w:r>
      <w:r w:rsidR="00EE79EB">
        <w:rPr>
          <w:rFonts w:ascii="Times New Roman" w:eastAsia="Times New Roman" w:hAnsi="Times New Roman" w:cs="Times New Roman"/>
          <w:kern w:val="0"/>
          <w:sz w:val="24"/>
          <w:szCs w:val="24"/>
          <w:lang w:val="ro-MD" w:eastAsia="ro-MD"/>
          <w14:ligatures w14:val="none"/>
        </w:rPr>
        <w:t>at</w:t>
      </w:r>
      <w:r w:rsidR="007440CD">
        <w:rPr>
          <w:rFonts w:ascii="Times New Roman" w:eastAsia="Times New Roman" w:hAnsi="Times New Roman" w:cs="Times New Roman"/>
          <w:kern w:val="0"/>
          <w:sz w:val="24"/>
          <w:szCs w:val="24"/>
          <w:lang w:val="ro-MD" w:eastAsia="ro-MD"/>
          <w14:ligatures w14:val="none"/>
        </w:rPr>
        <w:t xml:space="preserve"> și</w:t>
      </w:r>
      <w:r w:rsidR="00560A0A">
        <w:rPr>
          <w:rFonts w:ascii="Times New Roman" w:eastAsia="Times New Roman" w:hAnsi="Times New Roman" w:cs="Times New Roman"/>
          <w:kern w:val="0"/>
          <w:sz w:val="24"/>
          <w:szCs w:val="24"/>
          <w:lang w:val="ro-MD" w:eastAsia="ro-MD"/>
          <w14:ligatures w14:val="none"/>
        </w:rPr>
        <w:t xml:space="preserve"> </w:t>
      </w:r>
      <w:r w:rsidR="00D953A5">
        <w:rPr>
          <w:rFonts w:ascii="Times New Roman" w:eastAsia="Times New Roman" w:hAnsi="Times New Roman" w:cs="Times New Roman"/>
          <w:kern w:val="0"/>
          <w:sz w:val="24"/>
          <w:szCs w:val="24"/>
          <w:lang w:val="ro-MD" w:eastAsia="ro-MD"/>
          <w14:ligatures w14:val="none"/>
        </w:rPr>
        <w:t xml:space="preserve">în </w:t>
      </w:r>
      <w:bookmarkStart w:id="15" w:name="_Hlk210816040"/>
      <w:r w:rsidR="00493A5D" w:rsidRPr="00CC3DA2">
        <w:rPr>
          <w:rFonts w:ascii="Times New Roman" w:eastAsia="Times New Roman" w:hAnsi="Times New Roman" w:cs="Times New Roman"/>
          <w:i/>
          <w:iCs/>
          <w:kern w:val="0"/>
          <w:sz w:val="24"/>
          <w:szCs w:val="24"/>
          <w:lang w:val="ro-MD" w:eastAsia="ro-MD"/>
          <w14:ligatures w14:val="none"/>
        </w:rPr>
        <w:t>Metodologia de elaborare, validare și aprobare a standardelor de calificare</w:t>
      </w:r>
      <w:bookmarkEnd w:id="15"/>
      <w:r w:rsidR="004651D7">
        <w:rPr>
          <w:rFonts w:ascii="Times New Roman" w:eastAsia="Times New Roman" w:hAnsi="Times New Roman" w:cs="Times New Roman"/>
          <w:i/>
          <w:iCs/>
          <w:kern w:val="0"/>
          <w:sz w:val="24"/>
          <w:szCs w:val="24"/>
          <w:lang w:val="ro-MD" w:eastAsia="ro-MD"/>
          <w14:ligatures w14:val="none"/>
        </w:rPr>
        <w:t xml:space="preserve"> </w:t>
      </w:r>
      <w:r w:rsidR="004651D7" w:rsidRPr="004651D7">
        <w:rPr>
          <w:rFonts w:ascii="Times New Roman" w:eastAsia="Times New Roman" w:hAnsi="Times New Roman" w:cs="Times New Roman"/>
          <w:kern w:val="0"/>
          <w:sz w:val="24"/>
          <w:szCs w:val="24"/>
          <w:lang w:val="ro-MD" w:eastAsia="ro-MD"/>
          <w14:ligatures w14:val="none"/>
        </w:rPr>
        <w:t>(Anexele 9 și 10)</w:t>
      </w:r>
      <w:r w:rsidR="00E6245A" w:rsidRPr="004651D7">
        <w:rPr>
          <w:rStyle w:val="afc"/>
          <w:rFonts w:ascii="Times New Roman" w:eastAsia="Times New Roman" w:hAnsi="Times New Roman" w:cs="Times New Roman"/>
          <w:kern w:val="0"/>
          <w:sz w:val="24"/>
          <w:szCs w:val="24"/>
          <w:lang w:val="ro-MD" w:eastAsia="ro-MD"/>
          <w14:ligatures w14:val="none"/>
        </w:rPr>
        <w:footnoteReference w:id="37"/>
      </w:r>
      <w:r w:rsidR="00614672" w:rsidRPr="004651D7">
        <w:rPr>
          <w:rFonts w:ascii="Times New Roman" w:eastAsia="Times New Roman" w:hAnsi="Times New Roman" w:cs="Times New Roman"/>
          <w:kern w:val="0"/>
          <w:sz w:val="24"/>
          <w:szCs w:val="24"/>
          <w:lang w:val="ro-MD" w:eastAsia="ro-MD"/>
          <w14:ligatures w14:val="none"/>
        </w:rPr>
        <w:t>,</w:t>
      </w:r>
      <w:r w:rsidR="00614672">
        <w:rPr>
          <w:rFonts w:ascii="Times New Roman" w:eastAsia="Times New Roman" w:hAnsi="Times New Roman" w:cs="Times New Roman"/>
          <w:kern w:val="0"/>
          <w:sz w:val="24"/>
          <w:szCs w:val="24"/>
          <w:lang w:val="ro-MD" w:eastAsia="ro-MD"/>
          <w14:ligatures w14:val="none"/>
        </w:rPr>
        <w:t xml:space="preserve"> </w:t>
      </w:r>
      <w:r w:rsidR="00CC3DA2" w:rsidRPr="008405FF">
        <w:rPr>
          <w:rFonts w:ascii="Times New Roman" w:eastAsia="Times New Roman" w:hAnsi="Times New Roman" w:cs="Times New Roman"/>
          <w:kern w:val="0"/>
          <w:sz w:val="24"/>
          <w:szCs w:val="24"/>
          <w:lang w:val="ro-MD" w:eastAsia="ro-MD"/>
          <w14:ligatures w14:val="none"/>
        </w:rPr>
        <w:t>care</w:t>
      </w:r>
      <w:r w:rsidR="008405FF" w:rsidRPr="008405FF">
        <w:rPr>
          <w:rFonts w:ascii="Times New Roman" w:hAnsi="Times New Roman" w:cs="Times New Roman"/>
          <w:sz w:val="24"/>
          <w:szCs w:val="24"/>
        </w:rPr>
        <w:t xml:space="preserve"> reglementa </w:t>
      </w:r>
      <w:r w:rsidR="007440CD">
        <w:rPr>
          <w:rFonts w:ascii="Times New Roman" w:hAnsi="Times New Roman" w:cs="Times New Roman"/>
          <w:sz w:val="24"/>
          <w:szCs w:val="24"/>
        </w:rPr>
        <w:t xml:space="preserve">structura, conținutul și etapele </w:t>
      </w:r>
      <w:r w:rsidR="004651D7">
        <w:rPr>
          <w:rFonts w:ascii="Times New Roman" w:hAnsi="Times New Roman" w:cs="Times New Roman"/>
          <w:sz w:val="24"/>
          <w:szCs w:val="24"/>
        </w:rPr>
        <w:t xml:space="preserve">de </w:t>
      </w:r>
      <w:r w:rsidR="008405FF" w:rsidRPr="008405FF">
        <w:rPr>
          <w:rFonts w:ascii="Times New Roman" w:hAnsi="Times New Roman" w:cs="Times New Roman"/>
          <w:sz w:val="24"/>
          <w:szCs w:val="24"/>
        </w:rPr>
        <w:t xml:space="preserve">elaborare/actualizare, evaluare, validare, avizare și aprobare a standardelor de calificare, </w:t>
      </w:r>
      <w:r w:rsidR="003C7590">
        <w:rPr>
          <w:rFonts w:ascii="Times New Roman" w:hAnsi="Times New Roman" w:cs="Times New Roman"/>
          <w:sz w:val="24"/>
          <w:szCs w:val="24"/>
        </w:rPr>
        <w:t>contribuind la</w:t>
      </w:r>
      <w:r w:rsidR="008405FF" w:rsidRPr="008405FF">
        <w:rPr>
          <w:rFonts w:ascii="Times New Roman" w:hAnsi="Times New Roman" w:cs="Times New Roman"/>
          <w:sz w:val="24"/>
          <w:szCs w:val="24"/>
        </w:rPr>
        <w:t xml:space="preserve"> dezvoltarea unui sistem național integrat </w:t>
      </w:r>
      <w:r w:rsidR="00454569" w:rsidRPr="007C648A">
        <w:rPr>
          <w:rFonts w:ascii="Times New Roman" w:eastAsia="Times New Roman" w:hAnsi="Times New Roman" w:cs="Times New Roman"/>
          <w:kern w:val="0"/>
          <w:sz w:val="24"/>
          <w:szCs w:val="24"/>
          <w:lang w:val="ro-MD" w:eastAsia="ro-MD"/>
          <w14:ligatures w14:val="none"/>
        </w:rPr>
        <w:t>al calificărilor, care acoperă toate nivelurile și tipurile de calificări din perspectiva învățării pe tot parcursul vieții</w:t>
      </w:r>
      <w:r w:rsidR="008405FF">
        <w:rPr>
          <w:rFonts w:ascii="Times New Roman" w:hAnsi="Times New Roman" w:cs="Times New Roman"/>
          <w:sz w:val="24"/>
          <w:szCs w:val="24"/>
        </w:rPr>
        <w:t>.</w:t>
      </w:r>
    </w:p>
    <w:p w14:paraId="665BB48B" w14:textId="74E112F0" w:rsidR="004263AF" w:rsidRDefault="002D7857"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 xml:space="preserve">În continuare este ilustrat procesul de transpunere </w:t>
      </w:r>
      <w:r w:rsidR="00643FD1">
        <w:rPr>
          <w:rFonts w:ascii="Times New Roman" w:eastAsia="Times New Roman" w:hAnsi="Times New Roman" w:cs="Times New Roman"/>
          <w:kern w:val="0"/>
          <w:sz w:val="24"/>
          <w:szCs w:val="24"/>
          <w:lang w:val="ro-MD" w:eastAsia="ro-MD"/>
          <w14:ligatures w14:val="none"/>
        </w:rPr>
        <w:t xml:space="preserve">a </w:t>
      </w:r>
      <w:r>
        <w:rPr>
          <w:rFonts w:ascii="Times New Roman" w:eastAsia="Times New Roman" w:hAnsi="Times New Roman" w:cs="Times New Roman"/>
          <w:kern w:val="0"/>
          <w:sz w:val="24"/>
          <w:szCs w:val="24"/>
          <w:lang w:val="ro-MD" w:eastAsia="ro-MD"/>
          <w14:ligatures w14:val="none"/>
        </w:rPr>
        <w:t>competențelor profesionale</w:t>
      </w:r>
      <w:r w:rsidR="00894829">
        <w:rPr>
          <w:rFonts w:ascii="Times New Roman" w:eastAsia="Times New Roman" w:hAnsi="Times New Roman" w:cs="Times New Roman"/>
          <w:kern w:val="0"/>
          <w:sz w:val="24"/>
          <w:szCs w:val="24"/>
          <w:lang w:val="ro-MD" w:eastAsia="ro-MD"/>
          <w14:ligatures w14:val="none"/>
        </w:rPr>
        <w:t xml:space="preserve"> </w:t>
      </w:r>
      <w:r>
        <w:rPr>
          <w:rFonts w:ascii="Times New Roman" w:eastAsia="Times New Roman" w:hAnsi="Times New Roman" w:cs="Times New Roman"/>
          <w:kern w:val="0"/>
          <w:sz w:val="24"/>
          <w:szCs w:val="24"/>
          <w:lang w:val="ro-MD" w:eastAsia="ro-MD"/>
          <w14:ligatures w14:val="none"/>
        </w:rPr>
        <w:t xml:space="preserve">din </w:t>
      </w:r>
      <w:r w:rsidR="00894829">
        <w:rPr>
          <w:rFonts w:ascii="Times New Roman" w:eastAsia="Times New Roman" w:hAnsi="Times New Roman" w:cs="Times New Roman"/>
          <w:kern w:val="0"/>
          <w:sz w:val="24"/>
          <w:szCs w:val="24"/>
          <w:lang w:val="ro-MD" w:eastAsia="ro-MD"/>
          <w14:ligatures w14:val="none"/>
        </w:rPr>
        <w:t>standardul</w:t>
      </w:r>
      <w:r>
        <w:rPr>
          <w:rFonts w:ascii="Times New Roman" w:eastAsia="Times New Roman" w:hAnsi="Times New Roman" w:cs="Times New Roman"/>
          <w:kern w:val="0"/>
          <w:sz w:val="24"/>
          <w:szCs w:val="24"/>
          <w:lang w:val="ro-MD" w:eastAsia="ro-MD"/>
          <w14:ligatures w14:val="none"/>
        </w:rPr>
        <w:t xml:space="preserve"> ocupațional</w:t>
      </w:r>
      <w:r w:rsidR="00894829">
        <w:rPr>
          <w:rFonts w:ascii="Times New Roman" w:eastAsia="Times New Roman" w:hAnsi="Times New Roman" w:cs="Times New Roman"/>
          <w:kern w:val="0"/>
          <w:sz w:val="24"/>
          <w:szCs w:val="24"/>
          <w:lang w:val="ro-MD" w:eastAsia="ro-MD"/>
          <w14:ligatures w14:val="none"/>
        </w:rPr>
        <w:t xml:space="preserve"> </w:t>
      </w:r>
      <w:r w:rsidR="00894829" w:rsidRPr="003A2E36">
        <w:rPr>
          <w:rFonts w:ascii="Times New Roman" w:eastAsia="Times New Roman" w:hAnsi="Times New Roman" w:cs="Times New Roman"/>
          <w:i/>
          <w:iCs/>
          <w:kern w:val="0"/>
          <w:sz w:val="24"/>
          <w:szCs w:val="24"/>
          <w:lang w:val="ro-MD" w:eastAsia="ro-MD"/>
          <w14:ligatures w14:val="none"/>
        </w:rPr>
        <w:t>Electrician</w:t>
      </w:r>
      <w:r w:rsidR="00F53CF3">
        <w:rPr>
          <w:rFonts w:ascii="Times New Roman" w:eastAsia="Times New Roman" w:hAnsi="Times New Roman" w:cs="Times New Roman"/>
          <w:i/>
          <w:iCs/>
          <w:kern w:val="0"/>
          <w:sz w:val="24"/>
          <w:szCs w:val="24"/>
          <w:lang w:val="ro-MD" w:eastAsia="ro-MD"/>
          <w14:ligatures w14:val="none"/>
        </w:rPr>
        <w:t>-E</w:t>
      </w:r>
      <w:r w:rsidR="00F53CF3" w:rsidRPr="003A2E36">
        <w:rPr>
          <w:rFonts w:ascii="Times New Roman" w:eastAsia="Times New Roman" w:hAnsi="Times New Roman" w:cs="Times New Roman"/>
          <w:i/>
          <w:iCs/>
          <w:kern w:val="0"/>
          <w:sz w:val="24"/>
          <w:szCs w:val="24"/>
          <w:lang w:val="ro-MD" w:eastAsia="ro-MD"/>
          <w14:ligatures w14:val="none"/>
        </w:rPr>
        <w:t>lectronist</w:t>
      </w:r>
      <w:r w:rsidR="00F53CF3">
        <w:rPr>
          <w:rFonts w:ascii="Times New Roman" w:eastAsia="Times New Roman" w:hAnsi="Times New Roman" w:cs="Times New Roman"/>
          <w:i/>
          <w:iCs/>
          <w:kern w:val="0"/>
          <w:sz w:val="24"/>
          <w:szCs w:val="24"/>
          <w:lang w:val="ro-MD" w:eastAsia="ro-MD"/>
          <w14:ligatures w14:val="none"/>
        </w:rPr>
        <w:t xml:space="preserve"> </w:t>
      </w:r>
      <w:r w:rsidR="00191672">
        <w:rPr>
          <w:rFonts w:ascii="Times New Roman" w:eastAsia="Times New Roman" w:hAnsi="Times New Roman" w:cs="Times New Roman"/>
          <w:i/>
          <w:iCs/>
          <w:kern w:val="0"/>
          <w:sz w:val="24"/>
          <w:szCs w:val="24"/>
          <w:lang w:val="ro-MD" w:eastAsia="ro-MD"/>
          <w14:ligatures w14:val="none"/>
        </w:rPr>
        <w:t>A</w:t>
      </w:r>
      <w:r w:rsidR="00894829" w:rsidRPr="003A2E36">
        <w:rPr>
          <w:rFonts w:ascii="Times New Roman" w:eastAsia="Times New Roman" w:hAnsi="Times New Roman" w:cs="Times New Roman"/>
          <w:i/>
          <w:iCs/>
          <w:kern w:val="0"/>
          <w:sz w:val="24"/>
          <w:szCs w:val="24"/>
          <w:lang w:val="ro-MD" w:eastAsia="ro-MD"/>
          <w14:ligatures w14:val="none"/>
        </w:rPr>
        <w:t>uto</w:t>
      </w:r>
      <w:r w:rsidR="003A2E36">
        <w:rPr>
          <w:rStyle w:val="afc"/>
          <w:rFonts w:ascii="Times New Roman" w:eastAsia="Times New Roman" w:hAnsi="Times New Roman" w:cs="Times New Roman"/>
          <w:i/>
          <w:iCs/>
          <w:kern w:val="0"/>
          <w:sz w:val="24"/>
          <w:szCs w:val="24"/>
          <w:lang w:val="ro-MD" w:eastAsia="ro-MD"/>
          <w14:ligatures w14:val="none"/>
        </w:rPr>
        <w:footnoteReference w:id="38"/>
      </w:r>
      <w:r w:rsidR="00894829">
        <w:rPr>
          <w:rFonts w:ascii="Times New Roman" w:eastAsia="Times New Roman" w:hAnsi="Times New Roman" w:cs="Times New Roman"/>
          <w:kern w:val="0"/>
          <w:sz w:val="24"/>
          <w:szCs w:val="24"/>
          <w:lang w:val="ro-MD" w:eastAsia="ro-MD"/>
          <w14:ligatures w14:val="none"/>
        </w:rPr>
        <w:t xml:space="preserve"> (nivel 3 CNC) </w:t>
      </w:r>
      <w:r w:rsidR="00643FD1">
        <w:rPr>
          <w:rFonts w:ascii="Times New Roman" w:eastAsia="Times New Roman" w:hAnsi="Times New Roman" w:cs="Times New Roman"/>
          <w:kern w:val="0"/>
          <w:sz w:val="24"/>
          <w:szCs w:val="24"/>
          <w:lang w:val="ro-MD" w:eastAsia="ro-MD"/>
          <w14:ligatures w14:val="none"/>
        </w:rPr>
        <w:t xml:space="preserve">în rezultate ale învățării </w:t>
      </w:r>
      <w:r w:rsidR="00530CB1">
        <w:rPr>
          <w:rFonts w:ascii="Times New Roman" w:eastAsia="Times New Roman" w:hAnsi="Times New Roman" w:cs="Times New Roman"/>
          <w:kern w:val="0"/>
          <w:sz w:val="24"/>
          <w:szCs w:val="24"/>
          <w:lang w:val="ro-MD" w:eastAsia="ro-MD"/>
          <w14:ligatures w14:val="none"/>
        </w:rPr>
        <w:t xml:space="preserve">formulate </w:t>
      </w:r>
      <w:r w:rsidR="00673E88">
        <w:rPr>
          <w:rFonts w:ascii="Times New Roman" w:eastAsia="Times New Roman" w:hAnsi="Times New Roman" w:cs="Times New Roman"/>
          <w:kern w:val="0"/>
          <w:sz w:val="24"/>
          <w:szCs w:val="24"/>
          <w:lang w:val="ro-MD" w:eastAsia="ro-MD"/>
          <w14:ligatures w14:val="none"/>
        </w:rPr>
        <w:t>în standardul de calificare</w:t>
      </w:r>
      <w:r w:rsidR="00EC31EA" w:rsidRPr="00EC31EA">
        <w:rPr>
          <w:rFonts w:ascii="Times New Roman" w:eastAsia="Times New Roman" w:hAnsi="Times New Roman" w:cs="Times New Roman"/>
          <w:kern w:val="0"/>
          <w:sz w:val="24"/>
          <w:szCs w:val="24"/>
          <w:lang w:val="ro-MD" w:eastAsia="ro-MD"/>
          <w14:ligatures w14:val="none"/>
        </w:rPr>
        <w:t xml:space="preserve"> </w:t>
      </w:r>
      <w:r w:rsidR="00EC31EA" w:rsidRPr="007C648A">
        <w:rPr>
          <w:rFonts w:ascii="Times New Roman" w:eastAsia="Times New Roman" w:hAnsi="Times New Roman" w:cs="Times New Roman"/>
          <w:kern w:val="0"/>
          <w:sz w:val="24"/>
          <w:szCs w:val="24"/>
          <w:lang w:val="ro-MD" w:eastAsia="ro-MD"/>
          <w14:ligatures w14:val="none"/>
        </w:rPr>
        <w:t>corespunzător</w:t>
      </w:r>
      <w:r w:rsidR="001359CA">
        <w:rPr>
          <w:rStyle w:val="afc"/>
          <w:rFonts w:ascii="Times New Roman" w:eastAsia="Times New Roman" w:hAnsi="Times New Roman" w:cs="Times New Roman"/>
          <w:kern w:val="0"/>
          <w:sz w:val="24"/>
          <w:szCs w:val="24"/>
          <w:lang w:val="ro-MD" w:eastAsia="ro-MD"/>
          <w14:ligatures w14:val="none"/>
        </w:rPr>
        <w:footnoteReference w:id="39"/>
      </w:r>
      <w:r w:rsidR="00673E88">
        <w:rPr>
          <w:rFonts w:ascii="Times New Roman" w:eastAsia="Times New Roman" w:hAnsi="Times New Roman" w:cs="Times New Roman"/>
          <w:kern w:val="0"/>
          <w:sz w:val="24"/>
          <w:szCs w:val="24"/>
          <w:lang w:val="ro-MD" w:eastAsia="ro-MD"/>
          <w14:ligatures w14:val="none"/>
        </w:rPr>
        <w:t xml:space="preserve"> și ulterior </w:t>
      </w:r>
      <w:r w:rsidR="00EC31EA" w:rsidRPr="007C648A">
        <w:rPr>
          <w:rFonts w:ascii="Times New Roman" w:eastAsia="Times New Roman" w:hAnsi="Times New Roman" w:cs="Times New Roman"/>
          <w:kern w:val="0"/>
          <w:sz w:val="24"/>
          <w:szCs w:val="24"/>
          <w:lang w:val="ro-MD" w:eastAsia="ro-MD"/>
          <w14:ligatures w14:val="none"/>
        </w:rPr>
        <w:t>integrate în curriculumul de formar</w:t>
      </w:r>
      <w:r w:rsidR="00CB6D9F">
        <w:rPr>
          <w:rFonts w:ascii="Times New Roman" w:eastAsia="Times New Roman" w:hAnsi="Times New Roman" w:cs="Times New Roman"/>
          <w:kern w:val="0"/>
          <w:sz w:val="24"/>
          <w:szCs w:val="24"/>
          <w:lang w:val="ro-MD" w:eastAsia="ro-MD"/>
          <w14:ligatures w14:val="none"/>
        </w:rPr>
        <w:t xml:space="preserve">e </w:t>
      </w:r>
      <w:r w:rsidR="00EC31EA" w:rsidRPr="007C648A">
        <w:rPr>
          <w:rFonts w:ascii="Times New Roman" w:eastAsia="Times New Roman" w:hAnsi="Times New Roman" w:cs="Times New Roman"/>
          <w:kern w:val="0"/>
          <w:sz w:val="24"/>
          <w:szCs w:val="24"/>
          <w:lang w:val="ro-MD" w:eastAsia="ro-MD"/>
          <w14:ligatures w14:val="none"/>
        </w:rPr>
        <w:t>profesională</w:t>
      </w:r>
      <w:r w:rsidR="00E6134A">
        <w:rPr>
          <w:rStyle w:val="afc"/>
          <w:rFonts w:ascii="Times New Roman" w:eastAsia="Times New Roman" w:hAnsi="Times New Roman" w:cs="Times New Roman"/>
          <w:kern w:val="0"/>
          <w:sz w:val="24"/>
          <w:szCs w:val="24"/>
          <w:lang w:val="ro-MD" w:eastAsia="ro-MD"/>
          <w14:ligatures w14:val="none"/>
        </w:rPr>
        <w:footnoteReference w:id="40"/>
      </w:r>
      <w:r w:rsidR="00673E88">
        <w:rPr>
          <w:rFonts w:ascii="Times New Roman" w:eastAsia="Times New Roman" w:hAnsi="Times New Roman" w:cs="Times New Roman"/>
          <w:kern w:val="0"/>
          <w:sz w:val="24"/>
          <w:szCs w:val="24"/>
          <w:lang w:val="ro-MD" w:eastAsia="ro-MD"/>
          <w14:ligatures w14:val="none"/>
        </w:rPr>
        <w:t xml:space="preserve">. </w:t>
      </w:r>
    </w:p>
    <w:p w14:paraId="6327034A" w14:textId="1CD50BF2" w:rsidR="00B95045" w:rsidRPr="0022305E" w:rsidRDefault="00A517A4"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noProof/>
          <w:kern w:val="0"/>
          <w:sz w:val="24"/>
          <w:szCs w:val="24"/>
          <w:lang w:val="en-US"/>
        </w:rPr>
        <w:drawing>
          <wp:inline distT="0" distB="0" distL="0" distR="0" wp14:anchorId="34380A19" wp14:editId="4AEE443E">
            <wp:extent cx="5486400" cy="1498600"/>
            <wp:effectExtent l="0" t="0" r="19050" b="0"/>
            <wp:docPr id="127060938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2E2AE5EC" w14:textId="05454859" w:rsidR="00D91910" w:rsidRPr="003916B3" w:rsidRDefault="00AA5B20" w:rsidP="00AA5B20">
      <w:pPr>
        <w:pStyle w:val="ad"/>
        <w:tabs>
          <w:tab w:val="left" w:pos="851"/>
          <w:tab w:val="left" w:pos="993"/>
          <w:tab w:val="left" w:pos="1134"/>
        </w:tabs>
        <w:jc w:val="both"/>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Astfel, c</w:t>
      </w:r>
      <w:r w:rsidR="00D91910" w:rsidRPr="00AA5B20">
        <w:rPr>
          <w:rFonts w:ascii="Times New Roman" w:eastAsia="Times New Roman" w:hAnsi="Times New Roman" w:cs="Times New Roman"/>
          <w:sz w:val="24"/>
          <w:szCs w:val="24"/>
          <w:lang w:val="ro-MD" w:eastAsia="ro-MD"/>
        </w:rPr>
        <w:t>onform GH 330/2023, p.</w:t>
      </w:r>
      <w:r w:rsidR="009866D8">
        <w:rPr>
          <w:rFonts w:ascii="Times New Roman" w:eastAsia="Times New Roman" w:hAnsi="Times New Roman" w:cs="Times New Roman"/>
          <w:sz w:val="24"/>
          <w:szCs w:val="24"/>
          <w:lang w:val="ro-MD" w:eastAsia="ro-MD"/>
        </w:rPr>
        <w:t xml:space="preserve"> 44, r</w:t>
      </w:r>
      <w:r w:rsidR="00D91910" w:rsidRPr="00AA5B20">
        <w:rPr>
          <w:rFonts w:ascii="Times New Roman" w:eastAsia="Times New Roman" w:hAnsi="Times New Roman" w:cs="Times New Roman"/>
          <w:sz w:val="24"/>
          <w:szCs w:val="24"/>
          <w:lang w:val="ro-MD" w:eastAsia="ro-MD"/>
        </w:rPr>
        <w:t>ezultatele învățării sunt parte a standardelor de asigurare a calității</w:t>
      </w:r>
      <w:r w:rsidR="005D38C6">
        <w:rPr>
          <w:rFonts w:ascii="Times New Roman" w:eastAsia="Times New Roman" w:hAnsi="Times New Roman" w:cs="Times New Roman"/>
          <w:sz w:val="24"/>
          <w:szCs w:val="24"/>
          <w:lang w:val="ro-MD" w:eastAsia="ro-MD"/>
        </w:rPr>
        <w:t>, fiind</w:t>
      </w:r>
      <w:r w:rsidR="00D91910" w:rsidRPr="00AA5B20">
        <w:rPr>
          <w:rFonts w:ascii="Times New Roman" w:eastAsia="Times New Roman" w:hAnsi="Times New Roman" w:cs="Times New Roman"/>
          <w:sz w:val="24"/>
          <w:szCs w:val="24"/>
          <w:lang w:val="ro-MD" w:eastAsia="ro-MD"/>
        </w:rPr>
        <w:t xml:space="preserve"> utilizate la elaborarea standardelor de calificare, curricula programelor de formare, </w:t>
      </w:r>
      <w:r w:rsidR="00D91910" w:rsidRPr="003916B3">
        <w:rPr>
          <w:rFonts w:ascii="Times New Roman" w:eastAsia="Times New Roman" w:hAnsi="Times New Roman" w:cs="Times New Roman"/>
          <w:sz w:val="24"/>
          <w:szCs w:val="24"/>
          <w:lang w:val="ro-MD" w:eastAsia="ro-MD"/>
        </w:rPr>
        <w:t>unităților de conținut/modulelor/disciplinelor</w:t>
      </w:r>
      <w:r w:rsidR="002E6307" w:rsidRPr="003916B3">
        <w:rPr>
          <w:rFonts w:ascii="Times New Roman" w:eastAsia="Times New Roman" w:hAnsi="Times New Roman" w:cs="Times New Roman"/>
          <w:sz w:val="24"/>
          <w:szCs w:val="24"/>
          <w:lang w:val="ro-MD" w:eastAsia="ro-MD"/>
        </w:rPr>
        <w:t xml:space="preserve"> și instrumentelor de evaluare</w:t>
      </w:r>
      <w:r w:rsidR="00AD07B5" w:rsidRPr="003916B3">
        <w:rPr>
          <w:rFonts w:ascii="Times New Roman" w:eastAsia="Times New Roman" w:hAnsi="Times New Roman" w:cs="Times New Roman"/>
          <w:sz w:val="24"/>
          <w:szCs w:val="24"/>
          <w:lang w:val="ro-MD" w:eastAsia="ro-MD"/>
        </w:rPr>
        <w:t>.</w:t>
      </w:r>
    </w:p>
    <w:p w14:paraId="26F3450E" w14:textId="77777777" w:rsidR="00AD07B5" w:rsidRPr="003916B3" w:rsidRDefault="00AD07B5" w:rsidP="00AD07B5">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3916B3">
        <w:rPr>
          <w:rFonts w:ascii="Times New Roman" w:eastAsia="Times New Roman" w:hAnsi="Times New Roman" w:cs="Times New Roman"/>
          <w:b/>
          <w:bCs/>
          <w:color w:val="3494BA" w:themeColor="accent1"/>
          <w:kern w:val="0"/>
          <w:sz w:val="24"/>
          <w:szCs w:val="24"/>
          <w:lang w:val="ro-MD" w:eastAsia="ro-MD"/>
          <w14:ligatures w14:val="none"/>
        </w:rPr>
        <w:t>6. Curriculumul bazat pe rezultate ale învățării</w:t>
      </w:r>
    </w:p>
    <w:p w14:paraId="5DAD03EC" w14:textId="1CFC8D8D" w:rsidR="00AD07B5" w:rsidRPr="003916B3" w:rsidRDefault="00EA2600" w:rsidP="00EE4EBD">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3916B3">
        <w:rPr>
          <w:rFonts w:ascii="Times New Roman" w:hAnsi="Times New Roman" w:cs="Times New Roman"/>
          <w:sz w:val="24"/>
          <w:szCs w:val="24"/>
        </w:rPr>
        <w:lastRenderedPageBreak/>
        <w:t xml:space="preserve">În vederea operaționalizării prevederilor </w:t>
      </w:r>
      <w:r w:rsidR="00473538">
        <w:rPr>
          <w:rFonts w:ascii="Times New Roman" w:hAnsi="Times New Roman" w:cs="Times New Roman"/>
          <w:sz w:val="24"/>
          <w:szCs w:val="24"/>
        </w:rPr>
        <w:t>HG</w:t>
      </w:r>
      <w:r w:rsidRPr="003916B3">
        <w:rPr>
          <w:rFonts w:ascii="Times New Roman" w:hAnsi="Times New Roman" w:cs="Times New Roman"/>
          <w:sz w:val="24"/>
          <w:szCs w:val="24"/>
        </w:rPr>
        <w:t xml:space="preserve"> nr. 330/2023, prin Ordinul MEC nr. 1652/2024 a fost actualizat </w:t>
      </w:r>
      <w:r w:rsidRPr="003916B3">
        <w:rPr>
          <w:rFonts w:ascii="Times New Roman" w:hAnsi="Times New Roman" w:cs="Times New Roman"/>
          <w:i/>
          <w:iCs/>
          <w:sz w:val="24"/>
          <w:szCs w:val="24"/>
        </w:rPr>
        <w:t xml:space="preserve">Cadrul de referință al Curriculumului pentru </w:t>
      </w:r>
      <w:r w:rsidR="002B72CC">
        <w:rPr>
          <w:rFonts w:ascii="Times New Roman" w:hAnsi="Times New Roman" w:cs="Times New Roman"/>
          <w:i/>
          <w:iCs/>
          <w:sz w:val="24"/>
          <w:szCs w:val="24"/>
        </w:rPr>
        <w:t>ÎPT</w:t>
      </w:r>
      <w:r w:rsidR="0097149A" w:rsidRPr="003916B3">
        <w:rPr>
          <w:rStyle w:val="afc"/>
          <w:rFonts w:ascii="Times New Roman" w:hAnsi="Times New Roman" w:cs="Times New Roman"/>
          <w:sz w:val="24"/>
          <w:szCs w:val="24"/>
        </w:rPr>
        <w:footnoteReference w:id="41"/>
      </w:r>
      <w:r w:rsidRPr="003916B3">
        <w:rPr>
          <w:rFonts w:ascii="Times New Roman" w:hAnsi="Times New Roman" w:cs="Times New Roman"/>
          <w:sz w:val="24"/>
          <w:szCs w:val="24"/>
        </w:rPr>
        <w:t xml:space="preserve">, care </w:t>
      </w:r>
      <w:r w:rsidR="0097149A" w:rsidRPr="003916B3">
        <w:rPr>
          <w:rFonts w:ascii="Times New Roman" w:hAnsi="Times New Roman" w:cs="Times New Roman"/>
          <w:sz w:val="24"/>
          <w:szCs w:val="24"/>
        </w:rPr>
        <w:t>reconceptualizată</w:t>
      </w:r>
      <w:r w:rsidRPr="003916B3">
        <w:rPr>
          <w:rFonts w:ascii="Times New Roman" w:hAnsi="Times New Roman" w:cs="Times New Roman"/>
          <w:sz w:val="24"/>
          <w:szCs w:val="24"/>
        </w:rPr>
        <w:t xml:space="preserve"> abordările curriculare, orientând demersul didactic </w:t>
      </w:r>
      <w:r w:rsidR="00B96D28">
        <w:rPr>
          <w:rFonts w:ascii="Times New Roman" w:hAnsi="Times New Roman" w:cs="Times New Roman"/>
          <w:sz w:val="24"/>
          <w:szCs w:val="24"/>
        </w:rPr>
        <w:t>spre formarea</w:t>
      </w:r>
      <w:r w:rsidRPr="003916B3">
        <w:rPr>
          <w:rFonts w:ascii="Times New Roman" w:hAnsi="Times New Roman" w:cs="Times New Roman"/>
          <w:sz w:val="24"/>
          <w:szCs w:val="24"/>
        </w:rPr>
        <w:t xml:space="preserve"> rezultatelor învățării în procesul </w:t>
      </w:r>
      <w:r w:rsidR="003118E3">
        <w:rPr>
          <w:rFonts w:ascii="Times New Roman" w:hAnsi="Times New Roman" w:cs="Times New Roman"/>
          <w:sz w:val="24"/>
          <w:szCs w:val="24"/>
        </w:rPr>
        <w:t>educațional</w:t>
      </w:r>
      <w:r w:rsidRPr="003916B3">
        <w:rPr>
          <w:rFonts w:ascii="Times New Roman" w:hAnsi="Times New Roman" w:cs="Times New Roman"/>
          <w:sz w:val="24"/>
          <w:szCs w:val="24"/>
        </w:rPr>
        <w:t>.</w:t>
      </w:r>
      <w:r w:rsidR="00EE4EBD" w:rsidRPr="003916B3">
        <w:rPr>
          <w:rFonts w:ascii="Times New Roman" w:hAnsi="Times New Roman" w:cs="Times New Roman"/>
          <w:sz w:val="24"/>
          <w:szCs w:val="24"/>
        </w:rPr>
        <w:t xml:space="preserve"> </w:t>
      </w:r>
      <w:r w:rsidRPr="003916B3">
        <w:rPr>
          <w:rFonts w:ascii="Times New Roman" w:hAnsi="Times New Roman" w:cs="Times New Roman"/>
          <w:sz w:val="24"/>
          <w:szCs w:val="24"/>
        </w:rPr>
        <w:t>Acest cadru stabilește principiile de proiectare curriculară bazate pe competențe</w:t>
      </w:r>
      <w:r w:rsidR="008D115D">
        <w:rPr>
          <w:rFonts w:ascii="Times New Roman" w:hAnsi="Times New Roman" w:cs="Times New Roman"/>
          <w:sz w:val="24"/>
          <w:szCs w:val="24"/>
        </w:rPr>
        <w:t xml:space="preserve"> profesionale</w:t>
      </w:r>
      <w:r w:rsidRPr="003916B3">
        <w:rPr>
          <w:rFonts w:ascii="Times New Roman" w:hAnsi="Times New Roman" w:cs="Times New Roman"/>
          <w:sz w:val="24"/>
          <w:szCs w:val="24"/>
        </w:rPr>
        <w:t>, precum și pe rezultate</w:t>
      </w:r>
      <w:r w:rsidR="00663EA3">
        <w:rPr>
          <w:rFonts w:ascii="Times New Roman" w:hAnsi="Times New Roman" w:cs="Times New Roman"/>
          <w:sz w:val="24"/>
          <w:szCs w:val="24"/>
        </w:rPr>
        <w:t xml:space="preserve"> de învățare</w:t>
      </w:r>
      <w:r w:rsidRPr="003916B3">
        <w:rPr>
          <w:rFonts w:ascii="Times New Roman" w:hAnsi="Times New Roman" w:cs="Times New Roman"/>
          <w:sz w:val="24"/>
          <w:szCs w:val="24"/>
        </w:rPr>
        <w:t xml:space="preserve"> observabile și măsurabile</w:t>
      </w:r>
      <w:r w:rsidR="003916B3" w:rsidRPr="003916B3">
        <w:rPr>
          <w:rFonts w:ascii="Times New Roman" w:hAnsi="Times New Roman" w:cs="Times New Roman"/>
          <w:sz w:val="24"/>
          <w:szCs w:val="24"/>
        </w:rPr>
        <w:t>,</w:t>
      </w:r>
      <w:r w:rsidR="00AD07B5" w:rsidRPr="003916B3">
        <w:rPr>
          <w:rFonts w:ascii="Times New Roman" w:eastAsia="Times New Roman" w:hAnsi="Times New Roman" w:cs="Times New Roman"/>
          <w:kern w:val="0"/>
          <w:sz w:val="24"/>
          <w:szCs w:val="24"/>
          <w:lang w:val="ro-MD" w:eastAsia="ro-MD"/>
          <w14:ligatures w14:val="none"/>
        </w:rPr>
        <w:t xml:space="preserve"> corelate cu descriptorii CNC/EQF.</w:t>
      </w:r>
    </w:p>
    <w:p w14:paraId="03E8C21D" w14:textId="77777777" w:rsidR="00792DDD" w:rsidRDefault="00AD07B5" w:rsidP="00E3731A">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 xml:space="preserve">Concomitent, </w:t>
      </w:r>
      <w:r w:rsidRPr="003B4A00">
        <w:rPr>
          <w:rFonts w:ascii="Times New Roman" w:eastAsia="Times New Roman" w:hAnsi="Times New Roman" w:cs="Times New Roman"/>
          <w:i/>
          <w:iCs/>
          <w:kern w:val="0"/>
          <w:sz w:val="24"/>
          <w:szCs w:val="24"/>
          <w:lang w:val="ro-MD" w:eastAsia="ro-MD"/>
          <w14:ligatures w14:val="none"/>
        </w:rPr>
        <w:t>Ghidul metodologic de elaborare a curriculumului pentru ÎPT</w:t>
      </w:r>
      <w:r w:rsidR="003B4A00">
        <w:rPr>
          <w:rStyle w:val="afc"/>
          <w:rFonts w:ascii="Times New Roman" w:eastAsia="Times New Roman" w:hAnsi="Times New Roman" w:cs="Times New Roman"/>
          <w:i/>
          <w:iCs/>
          <w:kern w:val="0"/>
          <w:sz w:val="24"/>
          <w:szCs w:val="24"/>
          <w:lang w:val="ro-MD" w:eastAsia="ro-MD"/>
          <w14:ligatures w14:val="none"/>
        </w:rPr>
        <w:footnoteReference w:id="42"/>
      </w:r>
      <w:r w:rsidRPr="0022305E">
        <w:rPr>
          <w:rFonts w:ascii="Times New Roman" w:eastAsia="Times New Roman" w:hAnsi="Times New Roman" w:cs="Times New Roman"/>
          <w:kern w:val="0"/>
          <w:sz w:val="24"/>
          <w:szCs w:val="24"/>
          <w:lang w:val="ro-MD" w:eastAsia="ro-MD"/>
          <w14:ligatures w14:val="none"/>
        </w:rPr>
        <w:t xml:space="preserve"> oferă structura de referință pentru formularea și evaluarea rezultatelor învățării la nivel de </w:t>
      </w:r>
      <w:r w:rsidR="0077022D">
        <w:rPr>
          <w:rFonts w:ascii="Times New Roman" w:eastAsia="Times New Roman" w:hAnsi="Times New Roman" w:cs="Times New Roman"/>
          <w:kern w:val="0"/>
          <w:sz w:val="24"/>
          <w:szCs w:val="24"/>
          <w:lang w:val="ro-MD" w:eastAsia="ro-MD"/>
          <w14:ligatures w14:val="none"/>
        </w:rPr>
        <w:t xml:space="preserve">program, </w:t>
      </w:r>
      <w:r w:rsidRPr="0022305E">
        <w:rPr>
          <w:rFonts w:ascii="Times New Roman" w:eastAsia="Times New Roman" w:hAnsi="Times New Roman" w:cs="Times New Roman"/>
          <w:kern w:val="0"/>
          <w:sz w:val="24"/>
          <w:szCs w:val="24"/>
          <w:lang w:val="ro-MD" w:eastAsia="ro-MD"/>
          <w14:ligatures w14:val="none"/>
        </w:rPr>
        <w:t>modul</w:t>
      </w:r>
      <w:r w:rsidR="0077022D">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unitate</w:t>
      </w:r>
      <w:r w:rsidR="0077022D">
        <w:rPr>
          <w:rFonts w:ascii="Times New Roman" w:eastAsia="Times New Roman" w:hAnsi="Times New Roman" w:cs="Times New Roman"/>
          <w:kern w:val="0"/>
          <w:sz w:val="24"/>
          <w:szCs w:val="24"/>
          <w:lang w:val="ro-MD" w:eastAsia="ro-MD"/>
          <w14:ligatures w14:val="none"/>
        </w:rPr>
        <w:t xml:space="preserve"> de învățare</w:t>
      </w:r>
      <w:r w:rsidRPr="0022305E">
        <w:rPr>
          <w:rFonts w:ascii="Times New Roman" w:eastAsia="Times New Roman" w:hAnsi="Times New Roman" w:cs="Times New Roman"/>
          <w:kern w:val="0"/>
          <w:sz w:val="24"/>
          <w:szCs w:val="24"/>
          <w:lang w:val="ro-MD" w:eastAsia="ro-MD"/>
          <w14:ligatures w14:val="none"/>
        </w:rPr>
        <w:t>, asigurând coerența între standarde</w:t>
      </w:r>
      <w:r w:rsidR="00037D4D">
        <w:rPr>
          <w:rFonts w:ascii="Times New Roman" w:eastAsia="Times New Roman" w:hAnsi="Times New Roman" w:cs="Times New Roman"/>
          <w:kern w:val="0"/>
          <w:sz w:val="24"/>
          <w:szCs w:val="24"/>
          <w:lang w:val="ro-MD" w:eastAsia="ro-MD"/>
          <w14:ligatures w14:val="none"/>
        </w:rPr>
        <w:t>le ocupaționale</w:t>
      </w:r>
      <w:r w:rsidRPr="0022305E">
        <w:rPr>
          <w:rFonts w:ascii="Times New Roman" w:eastAsia="Times New Roman" w:hAnsi="Times New Roman" w:cs="Times New Roman"/>
          <w:kern w:val="0"/>
          <w:sz w:val="24"/>
          <w:szCs w:val="24"/>
          <w:lang w:val="ro-MD" w:eastAsia="ro-MD"/>
          <w14:ligatures w14:val="none"/>
        </w:rPr>
        <w:t xml:space="preserve">, </w:t>
      </w:r>
      <w:r w:rsidR="00037D4D">
        <w:rPr>
          <w:rFonts w:ascii="Times New Roman" w:eastAsia="Times New Roman" w:hAnsi="Times New Roman" w:cs="Times New Roman"/>
          <w:kern w:val="0"/>
          <w:sz w:val="24"/>
          <w:szCs w:val="24"/>
          <w:lang w:val="ro-MD" w:eastAsia="ro-MD"/>
          <w14:ligatures w14:val="none"/>
        </w:rPr>
        <w:t>standardele de calificare</w:t>
      </w:r>
      <w:r w:rsidR="00F3252E">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curriculum și evaluare.</w:t>
      </w:r>
      <w:r>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Prin aceste documente, se consolidează trecerea de la o abordare centrată pe conținut la una orientată spre performanțe și rezultate concrete ale învățării.</w:t>
      </w:r>
      <w:r w:rsidR="00376204">
        <w:rPr>
          <w:rFonts w:ascii="Times New Roman" w:eastAsia="Times New Roman" w:hAnsi="Times New Roman" w:cs="Times New Roman"/>
          <w:kern w:val="0"/>
          <w:sz w:val="24"/>
          <w:szCs w:val="24"/>
          <w:lang w:val="ro-MD" w:eastAsia="ro-MD"/>
          <w14:ligatures w14:val="none"/>
        </w:rPr>
        <w:t xml:space="preserve"> </w:t>
      </w:r>
    </w:p>
    <w:p w14:paraId="56B11E76" w14:textId="6EAEDE9C" w:rsidR="00317292" w:rsidRDefault="00317292" w:rsidP="00E3731A">
      <w:pPr>
        <w:spacing w:before="120" w:after="120" w:line="276" w:lineRule="auto"/>
        <w:jc w:val="both"/>
        <w:rPr>
          <w:rFonts w:ascii="Times New Roman" w:hAnsi="Times New Roman" w:cs="Times New Roman"/>
          <w:sz w:val="24"/>
          <w:szCs w:val="24"/>
        </w:rPr>
      </w:pPr>
      <w:r w:rsidRPr="00E30371">
        <w:rPr>
          <w:rFonts w:ascii="Times New Roman" w:hAnsi="Times New Roman" w:cs="Times New Roman"/>
          <w:sz w:val="24"/>
          <w:szCs w:val="24"/>
        </w:rPr>
        <w:t>În urma actualizării cadrului metodologic de elaborare a curriculei pentru învățământul profesional tehnic, prin Ordinul MEC nr. 1818/2024</w:t>
      </w:r>
      <w:r w:rsidR="00E3731A">
        <w:rPr>
          <w:rFonts w:ascii="Times New Roman" w:hAnsi="Times New Roman" w:cs="Times New Roman"/>
          <w:sz w:val="24"/>
          <w:szCs w:val="24"/>
        </w:rPr>
        <w:t xml:space="preserve"> </w:t>
      </w:r>
      <w:r w:rsidR="00E3731A">
        <w:rPr>
          <w:rFonts w:ascii="Times New Roman" w:eastAsia="Times New Roman" w:hAnsi="Times New Roman" w:cs="Times New Roman"/>
          <w:kern w:val="0"/>
          <w:sz w:val="24"/>
          <w:szCs w:val="24"/>
          <w:lang w:val="ro-MD" w:eastAsia="ro-MD"/>
          <w14:ligatures w14:val="none"/>
        </w:rPr>
        <w:t>(</w:t>
      </w:r>
      <w:hyperlink r:id="rId68" w:history="1">
        <w:r w:rsidR="00E3731A" w:rsidRPr="0019710F">
          <w:rPr>
            <w:rStyle w:val="aff0"/>
            <w:rFonts w:ascii="Times New Roman" w:eastAsia="Times New Roman" w:hAnsi="Times New Roman" w:cs="Times New Roman"/>
            <w:kern w:val="0"/>
            <w:sz w:val="24"/>
            <w:szCs w:val="24"/>
            <w:lang w:val="ro-MD" w:eastAsia="ro-MD"/>
            <w14:ligatures w14:val="none"/>
          </w:rPr>
          <w:t>link</w:t>
        </w:r>
      </w:hyperlink>
      <w:r w:rsidR="00E3731A">
        <w:rPr>
          <w:rFonts w:ascii="Times New Roman" w:eastAsia="Times New Roman" w:hAnsi="Times New Roman" w:cs="Times New Roman"/>
          <w:kern w:val="0"/>
          <w:sz w:val="24"/>
          <w:szCs w:val="24"/>
          <w:lang w:val="ro-MD" w:eastAsia="ro-MD"/>
          <w14:ligatures w14:val="none"/>
        </w:rPr>
        <w:t>)</w:t>
      </w:r>
      <w:r w:rsidRPr="00E30371">
        <w:rPr>
          <w:rFonts w:ascii="Times New Roman" w:hAnsi="Times New Roman" w:cs="Times New Roman"/>
          <w:sz w:val="24"/>
          <w:szCs w:val="24"/>
        </w:rPr>
        <w:t xml:space="preserve"> </w:t>
      </w:r>
      <w:r w:rsidR="00E3731A" w:rsidRPr="00FC4D24">
        <w:rPr>
          <w:rFonts w:ascii="Times New Roman" w:eastAsia="Times New Roman" w:hAnsi="Times New Roman" w:cs="Times New Roman"/>
          <w:i/>
          <w:iCs/>
          <w:kern w:val="0"/>
          <w:sz w:val="24"/>
          <w:szCs w:val="24"/>
          <w:lang w:val="ro-MD" w:eastAsia="ro-MD"/>
          <w14:ligatures w14:val="none"/>
        </w:rPr>
        <w:t>Cu privire la aprobarea listei programelor de formare profesională tehnică secundară pentru care urmează să fie actualizat curriculumul</w:t>
      </w:r>
      <w:r w:rsidR="00E3731A" w:rsidRPr="00E30371">
        <w:rPr>
          <w:rFonts w:ascii="Times New Roman" w:hAnsi="Times New Roman" w:cs="Times New Roman"/>
          <w:sz w:val="24"/>
          <w:szCs w:val="24"/>
        </w:rPr>
        <w:t xml:space="preserve"> </w:t>
      </w:r>
      <w:r w:rsidRPr="00E30371">
        <w:rPr>
          <w:rFonts w:ascii="Times New Roman" w:hAnsi="Times New Roman" w:cs="Times New Roman"/>
          <w:sz w:val="24"/>
          <w:szCs w:val="24"/>
        </w:rPr>
        <w:t>au fost supuse actualizării curriculele pentru toate cele 73 de programe de formare profesională de nivel 3 CNC.</w:t>
      </w:r>
    </w:p>
    <w:p w14:paraId="077EA2B3" w14:textId="69535739" w:rsidR="004F6E45" w:rsidRDefault="004826D9" w:rsidP="00E3731A">
      <w:pPr>
        <w:spacing w:before="120" w:after="120" w:line="276" w:lineRule="auto"/>
        <w:jc w:val="both"/>
        <w:rPr>
          <w:rFonts w:ascii="Times New Roman" w:hAnsi="Times New Roman" w:cs="Times New Roman"/>
          <w:sz w:val="24"/>
          <w:szCs w:val="24"/>
        </w:rPr>
      </w:pPr>
      <w:r w:rsidRPr="004826D9">
        <w:rPr>
          <w:rFonts w:ascii="Times New Roman" w:hAnsi="Times New Roman" w:cs="Times New Roman"/>
          <w:sz w:val="24"/>
          <w:szCs w:val="24"/>
        </w:rPr>
        <w:t xml:space="preserve">În completarea cadrului metodologic, </w:t>
      </w:r>
      <w:r w:rsidRPr="007479D2">
        <w:rPr>
          <w:rFonts w:ascii="Times New Roman" w:hAnsi="Times New Roman" w:cs="Times New Roman"/>
          <w:i/>
          <w:iCs/>
          <w:sz w:val="24"/>
          <w:szCs w:val="24"/>
          <w:lang w:val="ro-MD"/>
        </w:rPr>
        <w:t>Metodologi</w:t>
      </w:r>
      <w:r w:rsidR="00EA3590">
        <w:rPr>
          <w:rFonts w:ascii="Times New Roman" w:hAnsi="Times New Roman" w:cs="Times New Roman"/>
          <w:i/>
          <w:iCs/>
          <w:sz w:val="24"/>
          <w:szCs w:val="24"/>
          <w:lang w:val="ro-MD"/>
        </w:rPr>
        <w:t>a</w:t>
      </w:r>
      <w:r w:rsidRPr="007479D2">
        <w:rPr>
          <w:rFonts w:ascii="Times New Roman" w:hAnsi="Times New Roman" w:cs="Times New Roman"/>
          <w:i/>
          <w:iCs/>
          <w:sz w:val="24"/>
          <w:szCs w:val="24"/>
          <w:lang w:val="ro-MD"/>
        </w:rPr>
        <w:t xml:space="preserve"> de elaborare a programelor de formare profesională a adulților și a curriculumului în cadrul învățării pe tot parcursul vieții</w:t>
      </w:r>
      <w:r w:rsidR="008E71C5">
        <w:rPr>
          <w:rStyle w:val="afc"/>
          <w:rFonts w:ascii="Times New Roman" w:hAnsi="Times New Roman" w:cs="Times New Roman"/>
          <w:i/>
          <w:iCs/>
          <w:sz w:val="24"/>
          <w:szCs w:val="24"/>
          <w:lang w:val="ro-MD"/>
        </w:rPr>
        <w:footnoteReference w:id="43"/>
      </w:r>
      <w:r w:rsidR="007479D2">
        <w:rPr>
          <w:rFonts w:ascii="Times New Roman" w:hAnsi="Times New Roman" w:cs="Times New Roman"/>
          <w:sz w:val="24"/>
          <w:szCs w:val="24"/>
          <w:lang w:val="ro-MD"/>
        </w:rPr>
        <w:t xml:space="preserve"> </w:t>
      </w:r>
      <w:r w:rsidRPr="004826D9">
        <w:rPr>
          <w:rFonts w:ascii="Times New Roman" w:hAnsi="Times New Roman" w:cs="Times New Roman"/>
          <w:sz w:val="24"/>
          <w:szCs w:val="24"/>
        </w:rPr>
        <w:t>extinde aplicarea principiilor bazate pe rezultate ale învățării și asupra educației adulților.</w:t>
      </w:r>
      <w:r>
        <w:rPr>
          <w:rFonts w:ascii="Times New Roman" w:hAnsi="Times New Roman" w:cs="Times New Roman"/>
          <w:sz w:val="24"/>
          <w:szCs w:val="24"/>
        </w:rPr>
        <w:t xml:space="preserve"> </w:t>
      </w:r>
      <w:r w:rsidRPr="004826D9">
        <w:rPr>
          <w:rFonts w:ascii="Times New Roman" w:hAnsi="Times New Roman" w:cs="Times New Roman"/>
          <w:sz w:val="24"/>
          <w:szCs w:val="24"/>
        </w:rPr>
        <w:t>Documentul stabilește un cadru reglementar coerent pentru dezvoltarea, evaluarea și integrarea programelor de formare continuă</w:t>
      </w:r>
      <w:r w:rsidR="007479D2">
        <w:rPr>
          <w:rFonts w:ascii="Times New Roman" w:hAnsi="Times New Roman" w:cs="Times New Roman"/>
          <w:sz w:val="24"/>
          <w:szCs w:val="24"/>
        </w:rPr>
        <w:t xml:space="preserve">, </w:t>
      </w:r>
      <w:r w:rsidRPr="004826D9">
        <w:rPr>
          <w:rFonts w:ascii="Times New Roman" w:hAnsi="Times New Roman" w:cs="Times New Roman"/>
          <w:sz w:val="24"/>
          <w:szCs w:val="24"/>
        </w:rPr>
        <w:t>inclusiv de recalificare, perfecționare, specializare și microcalificări</w:t>
      </w:r>
      <w:r w:rsidR="00043AF2">
        <w:rPr>
          <w:rFonts w:ascii="Times New Roman" w:hAnsi="Times New Roman" w:cs="Times New Roman"/>
          <w:sz w:val="24"/>
          <w:szCs w:val="24"/>
        </w:rPr>
        <w:t>,</w:t>
      </w:r>
      <w:r w:rsidRPr="004826D9">
        <w:rPr>
          <w:rFonts w:ascii="Times New Roman" w:hAnsi="Times New Roman" w:cs="Times New Roman"/>
          <w:sz w:val="24"/>
          <w:szCs w:val="24"/>
        </w:rPr>
        <w:t xml:space="preserve"> în oferta națională de calificări</w:t>
      </w:r>
      <w:r w:rsidR="00E31456" w:rsidRPr="00E31456">
        <w:rPr>
          <w:rFonts w:ascii="Times New Roman" w:eastAsia="Times New Roman" w:hAnsi="Times New Roman" w:cs="Times New Roman"/>
          <w:kern w:val="0"/>
          <w:sz w:val="24"/>
          <w:szCs w:val="24"/>
          <w:lang w:val="ro-MD" w:eastAsia="ro-MD"/>
          <w14:ligatures w14:val="none"/>
        </w:rPr>
        <w:t xml:space="preserve"> </w:t>
      </w:r>
      <w:r w:rsidR="00E31456" w:rsidRPr="00DE0F1B">
        <w:rPr>
          <w:rFonts w:ascii="Times New Roman" w:eastAsia="Times New Roman" w:hAnsi="Times New Roman" w:cs="Times New Roman"/>
          <w:kern w:val="0"/>
          <w:sz w:val="24"/>
          <w:szCs w:val="24"/>
          <w:lang w:val="ro-MD" w:eastAsia="ro-MD"/>
          <w14:ligatures w14:val="none"/>
        </w:rPr>
        <w:t>pentru nivelurile 1–7 CNC</w:t>
      </w:r>
      <w:r w:rsidRPr="004826D9">
        <w:rPr>
          <w:rFonts w:ascii="Times New Roman" w:hAnsi="Times New Roman" w:cs="Times New Roman"/>
          <w:sz w:val="24"/>
          <w:szCs w:val="24"/>
        </w:rPr>
        <w:t>.</w:t>
      </w:r>
      <w:r>
        <w:rPr>
          <w:rFonts w:ascii="Times New Roman" w:hAnsi="Times New Roman" w:cs="Times New Roman"/>
          <w:sz w:val="24"/>
          <w:szCs w:val="24"/>
        </w:rPr>
        <w:t xml:space="preserve"> </w:t>
      </w:r>
      <w:r w:rsidRPr="004826D9">
        <w:rPr>
          <w:rFonts w:ascii="Times New Roman" w:hAnsi="Times New Roman" w:cs="Times New Roman"/>
          <w:sz w:val="24"/>
          <w:szCs w:val="24"/>
        </w:rPr>
        <w:t xml:space="preserve">Astfel, metodologia consolidează transparența și coerența </w:t>
      </w:r>
      <w:r w:rsidR="00C95DD3">
        <w:rPr>
          <w:rFonts w:ascii="Times New Roman" w:hAnsi="Times New Roman" w:cs="Times New Roman"/>
          <w:sz w:val="24"/>
          <w:szCs w:val="24"/>
        </w:rPr>
        <w:t xml:space="preserve">rezultatelor învățării </w:t>
      </w:r>
      <w:r w:rsidRPr="004826D9">
        <w:rPr>
          <w:rFonts w:ascii="Times New Roman" w:hAnsi="Times New Roman" w:cs="Times New Roman"/>
          <w:sz w:val="24"/>
          <w:szCs w:val="24"/>
        </w:rPr>
        <w:t xml:space="preserve">cu descriptorii CNC și EQF, </w:t>
      </w:r>
      <w:r w:rsidR="00E83FFC" w:rsidRPr="00DE0F1B">
        <w:rPr>
          <w:rFonts w:ascii="Times New Roman" w:eastAsia="Times New Roman" w:hAnsi="Times New Roman" w:cs="Times New Roman"/>
          <w:kern w:val="0"/>
          <w:sz w:val="24"/>
          <w:szCs w:val="24"/>
          <w:lang w:val="ro-MD" w:eastAsia="ro-MD"/>
          <w14:ligatures w14:val="none"/>
        </w:rPr>
        <w:t>contribuind la extinderea ofertei educaționale flexibile.</w:t>
      </w:r>
      <w:r w:rsidRPr="004826D9">
        <w:rPr>
          <w:rFonts w:ascii="Times New Roman" w:hAnsi="Times New Roman" w:cs="Times New Roman"/>
          <w:sz w:val="24"/>
          <w:szCs w:val="24"/>
        </w:rPr>
        <w:t xml:space="preserve"> </w:t>
      </w:r>
    </w:p>
    <w:p w14:paraId="381112A6" w14:textId="77777777" w:rsidR="00854581" w:rsidRPr="0035600B" w:rsidRDefault="00854581" w:rsidP="00D13E6D">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35600B">
        <w:rPr>
          <w:rFonts w:ascii="Times New Roman" w:eastAsia="Times New Roman" w:hAnsi="Times New Roman" w:cs="Times New Roman"/>
          <w:b/>
          <w:bCs/>
          <w:color w:val="3494BA" w:themeColor="accent1"/>
          <w:kern w:val="0"/>
          <w:sz w:val="24"/>
          <w:szCs w:val="24"/>
          <w:lang w:val="ro-MD" w:eastAsia="ro-MD"/>
          <w14:ligatures w14:val="none"/>
        </w:rPr>
        <w:t>3. Evaluarea rezultatelor învățării în vederea acordării calificării</w:t>
      </w:r>
    </w:p>
    <w:p w14:paraId="02053430" w14:textId="2F4DB147" w:rsidR="00854581" w:rsidRPr="0022305E" w:rsidRDefault="00854581" w:rsidP="00D13E6D">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 xml:space="preserve">Evaluarea calificărilor este strict bazată pe rezultate ale învățării, în conformitate cu criteriile </w:t>
      </w:r>
      <w:r w:rsidR="00666BAC">
        <w:rPr>
          <w:rFonts w:ascii="Times New Roman" w:eastAsia="Times New Roman" w:hAnsi="Times New Roman" w:cs="Times New Roman"/>
          <w:kern w:val="0"/>
          <w:sz w:val="24"/>
          <w:szCs w:val="24"/>
          <w:lang w:val="ro-MD" w:eastAsia="ro-MD"/>
          <w14:ligatures w14:val="none"/>
        </w:rPr>
        <w:t xml:space="preserve">de evaluare </w:t>
      </w:r>
      <w:r w:rsidRPr="0022305E">
        <w:rPr>
          <w:rFonts w:ascii="Times New Roman" w:eastAsia="Times New Roman" w:hAnsi="Times New Roman" w:cs="Times New Roman"/>
          <w:kern w:val="0"/>
          <w:sz w:val="24"/>
          <w:szCs w:val="24"/>
          <w:lang w:val="ro-MD" w:eastAsia="ro-MD"/>
          <w14:ligatures w14:val="none"/>
        </w:rPr>
        <w:t>și indicatorii de performanță stabiliți în standardele de calificare și cu descriptorii de nivel CNC.</w:t>
      </w:r>
      <w:r w:rsidR="00BB7372">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Procedurile sunt reglementate de HG nr. 330/2023 (p. 70–77) și vizează următoarele obiective:</w:t>
      </w:r>
    </w:p>
    <w:p w14:paraId="1CAFCCAA" w14:textId="77777777" w:rsidR="00854581" w:rsidRPr="0022305E" w:rsidRDefault="00854581" w:rsidP="00A41843">
      <w:pPr>
        <w:numPr>
          <w:ilvl w:val="0"/>
          <w:numId w:val="19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măsurarea gradului de atingere a rezultatelor scontate;</w:t>
      </w:r>
    </w:p>
    <w:p w14:paraId="1F4B4438" w14:textId="77777777" w:rsidR="00854581" w:rsidRPr="0022305E" w:rsidRDefault="00854581" w:rsidP="00A41843">
      <w:pPr>
        <w:numPr>
          <w:ilvl w:val="0"/>
          <w:numId w:val="19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asigurarea coerenței și transparenței procesului de evaluare;</w:t>
      </w:r>
    </w:p>
    <w:p w14:paraId="2584D423" w14:textId="77777777" w:rsidR="00854581" w:rsidRPr="0022305E" w:rsidRDefault="00854581" w:rsidP="00A41843">
      <w:pPr>
        <w:numPr>
          <w:ilvl w:val="0"/>
          <w:numId w:val="193"/>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garantarea echității și a recunoașterii valorii calificărilor.</w:t>
      </w:r>
    </w:p>
    <w:p w14:paraId="73CB1A9A" w14:textId="09F6AA6F" w:rsidR="00854581" w:rsidRPr="0022305E" w:rsidRDefault="00854581"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 xml:space="preserve">Procesul de evaluare se desfășoară la mai multe etape – diagnostic, formativă, sumativă și finală – și se bazează pe principii precum: relevanță, obiectivitate, echitate, validitate, siguranță, </w:t>
      </w:r>
      <w:r w:rsidR="005C1964" w:rsidRPr="0090457A">
        <w:rPr>
          <w:rFonts w:ascii="Times New Roman" w:eastAsia="Times New Roman" w:hAnsi="Times New Roman" w:cs="Times New Roman"/>
          <w:kern w:val="0"/>
          <w:sz w:val="24"/>
          <w:szCs w:val="24"/>
          <w:lang w:val="ro-MD" w:eastAsia="ro-MD"/>
          <w14:ligatures w14:val="none"/>
        </w:rPr>
        <w:t>flexibilitate</w:t>
      </w:r>
      <w:r w:rsidR="0090457A" w:rsidRPr="0090457A">
        <w:rPr>
          <w:rFonts w:ascii="Times New Roman" w:eastAsia="Times New Roman" w:hAnsi="Times New Roman" w:cs="Times New Roman"/>
          <w:kern w:val="0"/>
          <w:sz w:val="24"/>
          <w:szCs w:val="24"/>
          <w:lang w:val="ro-MD" w:eastAsia="ro-MD"/>
          <w14:ligatures w14:val="none"/>
        </w:rPr>
        <w:t>,</w:t>
      </w:r>
      <w:r w:rsidR="005C1964" w:rsidRPr="0022305E">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suficiență, cost-eficiență și transparență.</w:t>
      </w:r>
    </w:p>
    <w:p w14:paraId="51C8889F" w14:textId="2EFC31FB" w:rsidR="00854581" w:rsidRPr="0022305E" w:rsidRDefault="00854581" w:rsidP="009D7900">
      <w:pPr>
        <w:spacing w:before="120" w:after="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Evaluarea finală este realizată de furnizorii autorizați sau acreditați, iar ANACEC are un rol esențial în garantarea calității procesului.</w:t>
      </w:r>
      <w:r w:rsidR="00377613">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Prin procedurile sale de evaluare externă, ANACEC verifică dacă:</w:t>
      </w:r>
    </w:p>
    <w:p w14:paraId="152E0D36" w14:textId="121C1C04" w:rsidR="00854581" w:rsidRPr="0022305E" w:rsidRDefault="00854581" w:rsidP="00A41843">
      <w:pPr>
        <w:numPr>
          <w:ilvl w:val="0"/>
          <w:numId w:val="194"/>
        </w:numPr>
        <w:spacing w:after="120" w:line="276" w:lineRule="auto"/>
        <w:ind w:left="714" w:hanging="357"/>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programele de studii la toate nivelurile sunt formulate și organizate pe baza rezultatelor învățării;</w:t>
      </w:r>
    </w:p>
    <w:p w14:paraId="22BD951B" w14:textId="4F1F0391" w:rsidR="00854581" w:rsidRDefault="00D86BF1" w:rsidP="00A41843">
      <w:pPr>
        <w:numPr>
          <w:ilvl w:val="0"/>
          <w:numId w:val="19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1715E">
        <w:rPr>
          <w:rFonts w:ascii="Times New Roman" w:eastAsia="Times New Roman" w:hAnsi="Times New Roman" w:cs="Times New Roman"/>
          <w:kern w:val="0"/>
          <w:sz w:val="24"/>
          <w:szCs w:val="24"/>
          <w14:ligatures w14:val="none"/>
        </w:rPr>
        <w:lastRenderedPageBreak/>
        <w:t xml:space="preserve">nivelul de complexitate al rezultatelor </w:t>
      </w:r>
      <w:r w:rsidR="006E1271">
        <w:rPr>
          <w:rFonts w:ascii="Times New Roman" w:eastAsia="Times New Roman" w:hAnsi="Times New Roman" w:cs="Times New Roman"/>
          <w:kern w:val="0"/>
          <w:sz w:val="24"/>
          <w:szCs w:val="24"/>
          <w14:ligatures w14:val="none"/>
        </w:rPr>
        <w:t xml:space="preserve">învățării </w:t>
      </w:r>
      <w:r w:rsidR="00FB39F6">
        <w:rPr>
          <w:rFonts w:ascii="Times New Roman" w:eastAsia="Times New Roman" w:hAnsi="Times New Roman" w:cs="Times New Roman"/>
          <w:kern w:val="0"/>
          <w:sz w:val="24"/>
          <w:szCs w:val="24"/>
          <w14:ligatures w14:val="none"/>
        </w:rPr>
        <w:t>este</w:t>
      </w:r>
      <w:r w:rsidR="006E1271" w:rsidRPr="006E1271">
        <w:rPr>
          <w:rFonts w:ascii="Times New Roman" w:eastAsia="Times New Roman" w:hAnsi="Times New Roman" w:cs="Times New Roman"/>
          <w:kern w:val="0"/>
          <w:sz w:val="24"/>
          <w:szCs w:val="24"/>
          <w14:ligatures w14:val="none"/>
        </w:rPr>
        <w:t xml:space="preserve"> corelat cu descriptorii CNC, EQF și QF-EHEA, fapt reflectat în rapoartele de evaluare externă (</w:t>
      </w:r>
      <w:r w:rsidR="000E29FA">
        <w:rPr>
          <w:rFonts w:ascii="Times New Roman" w:eastAsia="Times New Roman" w:hAnsi="Times New Roman" w:cs="Times New Roman"/>
          <w:kern w:val="0"/>
          <w:sz w:val="24"/>
          <w:szCs w:val="24"/>
          <w14:ligatures w14:val="none"/>
        </w:rPr>
        <w:t xml:space="preserve">Evaluări în ÎS </w:t>
      </w:r>
      <w:hyperlink r:id="rId69" w:history="1">
        <w:r w:rsidR="006E1271" w:rsidRPr="006E1271">
          <w:rPr>
            <w:rStyle w:val="aff0"/>
            <w:rFonts w:ascii="Times New Roman" w:eastAsia="Times New Roman" w:hAnsi="Times New Roman" w:cs="Times New Roman"/>
            <w:kern w:val="0"/>
            <w:sz w:val="24"/>
            <w:szCs w:val="24"/>
            <w14:ligatures w14:val="none"/>
          </w:rPr>
          <w:t>link</w:t>
        </w:r>
      </w:hyperlink>
      <w:r w:rsidR="006E1271" w:rsidRPr="006E1271">
        <w:rPr>
          <w:rFonts w:ascii="Times New Roman" w:eastAsia="Times New Roman" w:hAnsi="Times New Roman" w:cs="Times New Roman"/>
          <w:kern w:val="0"/>
          <w:sz w:val="24"/>
          <w:szCs w:val="24"/>
          <w14:ligatures w14:val="none"/>
        </w:rPr>
        <w:t xml:space="preserve">, </w:t>
      </w:r>
      <w:r w:rsidR="004C0AFA">
        <w:rPr>
          <w:rFonts w:ascii="Times New Roman" w:eastAsia="Times New Roman" w:hAnsi="Times New Roman" w:cs="Times New Roman"/>
          <w:kern w:val="0"/>
          <w:sz w:val="24"/>
          <w:szCs w:val="24"/>
          <w14:ligatures w14:val="none"/>
        </w:rPr>
        <w:t xml:space="preserve">Evaluări în </w:t>
      </w:r>
      <w:r w:rsidR="005757EA">
        <w:rPr>
          <w:rFonts w:ascii="Times New Roman" w:eastAsia="Times New Roman" w:hAnsi="Times New Roman" w:cs="Times New Roman"/>
          <w:kern w:val="0"/>
          <w:sz w:val="24"/>
          <w:szCs w:val="24"/>
          <w14:ligatures w14:val="none"/>
        </w:rPr>
        <w:t>Î</w:t>
      </w:r>
      <w:r w:rsidR="004C0AFA">
        <w:rPr>
          <w:rFonts w:ascii="Times New Roman" w:eastAsia="Times New Roman" w:hAnsi="Times New Roman" w:cs="Times New Roman"/>
          <w:kern w:val="0"/>
          <w:sz w:val="24"/>
          <w:szCs w:val="24"/>
          <w14:ligatures w14:val="none"/>
        </w:rPr>
        <w:t xml:space="preserve">PT și Formare continuă </w:t>
      </w:r>
      <w:hyperlink r:id="rId70" w:history="1">
        <w:r w:rsidR="006E1271" w:rsidRPr="006E1271">
          <w:rPr>
            <w:rStyle w:val="aff0"/>
            <w:rFonts w:ascii="Times New Roman" w:eastAsia="Times New Roman" w:hAnsi="Times New Roman" w:cs="Times New Roman"/>
            <w:kern w:val="0"/>
            <w:sz w:val="24"/>
            <w:szCs w:val="24"/>
            <w14:ligatures w14:val="none"/>
          </w:rPr>
          <w:t>link</w:t>
        </w:r>
      </w:hyperlink>
      <w:r w:rsidR="006E1271" w:rsidRPr="006E1271">
        <w:rPr>
          <w:rFonts w:ascii="Times New Roman" w:eastAsia="Times New Roman" w:hAnsi="Times New Roman" w:cs="Times New Roman"/>
          <w:kern w:val="0"/>
          <w:sz w:val="24"/>
          <w:szCs w:val="24"/>
          <w14:ligatures w14:val="none"/>
        </w:rPr>
        <w:t>)</w:t>
      </w:r>
      <w:r w:rsidR="00854581" w:rsidRPr="0022305E">
        <w:rPr>
          <w:rFonts w:ascii="Times New Roman" w:eastAsia="Times New Roman" w:hAnsi="Times New Roman" w:cs="Times New Roman"/>
          <w:kern w:val="0"/>
          <w:sz w:val="24"/>
          <w:szCs w:val="24"/>
          <w:lang w:val="ro-MD" w:eastAsia="ro-MD"/>
          <w14:ligatures w14:val="none"/>
        </w:rPr>
        <w:t>;</w:t>
      </w:r>
    </w:p>
    <w:p w14:paraId="2299FBE1" w14:textId="6C581FD0" w:rsidR="0071715E" w:rsidRPr="0022305E" w:rsidRDefault="002146E5" w:rsidP="00A41843">
      <w:pPr>
        <w:numPr>
          <w:ilvl w:val="0"/>
          <w:numId w:val="19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71715E">
        <w:rPr>
          <w:rFonts w:ascii="Times New Roman" w:eastAsia="Times New Roman" w:hAnsi="Times New Roman" w:cs="Times New Roman"/>
          <w:kern w:val="0"/>
          <w:sz w:val="24"/>
          <w:szCs w:val="24"/>
          <w14:ligatures w14:val="none"/>
        </w:rPr>
        <w:t>metodel</w:t>
      </w:r>
      <w:r>
        <w:rPr>
          <w:rFonts w:ascii="Times New Roman" w:eastAsia="Times New Roman" w:hAnsi="Times New Roman" w:cs="Times New Roman"/>
          <w:kern w:val="0"/>
          <w:sz w:val="24"/>
          <w:szCs w:val="24"/>
          <w14:ligatures w14:val="none"/>
        </w:rPr>
        <w:t>e</w:t>
      </w:r>
      <w:r w:rsidRPr="0071715E">
        <w:rPr>
          <w:rFonts w:ascii="Times New Roman" w:eastAsia="Times New Roman" w:hAnsi="Times New Roman" w:cs="Times New Roman"/>
          <w:kern w:val="0"/>
          <w:sz w:val="24"/>
          <w:szCs w:val="24"/>
          <w14:ligatures w14:val="none"/>
        </w:rPr>
        <w:t xml:space="preserve"> de evaluare a </w:t>
      </w:r>
      <w:r w:rsidR="00A213FD">
        <w:rPr>
          <w:rFonts w:ascii="Times New Roman" w:eastAsia="Times New Roman" w:hAnsi="Times New Roman" w:cs="Times New Roman"/>
          <w:kern w:val="0"/>
          <w:sz w:val="24"/>
          <w:szCs w:val="24"/>
          <w14:ligatures w14:val="none"/>
        </w:rPr>
        <w:t xml:space="preserve">rezultatelor </w:t>
      </w:r>
      <w:r w:rsidR="00BE25A2">
        <w:rPr>
          <w:rFonts w:ascii="Times New Roman" w:eastAsia="Times New Roman" w:hAnsi="Times New Roman" w:cs="Times New Roman"/>
          <w:kern w:val="0"/>
          <w:sz w:val="24"/>
          <w:szCs w:val="24"/>
          <w14:ligatures w14:val="none"/>
        </w:rPr>
        <w:t>învăț</w:t>
      </w:r>
      <w:r w:rsidR="00A213FD">
        <w:rPr>
          <w:rFonts w:ascii="Times New Roman" w:eastAsia="Times New Roman" w:hAnsi="Times New Roman" w:cs="Times New Roman"/>
          <w:kern w:val="0"/>
          <w:sz w:val="24"/>
          <w:szCs w:val="24"/>
          <w14:ligatures w14:val="none"/>
        </w:rPr>
        <w:t>ării</w:t>
      </w:r>
      <w:r w:rsidRPr="0053454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sunt aplicate corect, asigurând</w:t>
      </w:r>
      <w:r w:rsidR="00E749F1">
        <w:rPr>
          <w:rFonts w:ascii="Times New Roman" w:hAnsi="Times New Roman" w:cs="Times New Roman"/>
          <w:sz w:val="24"/>
          <w:szCs w:val="24"/>
        </w:rPr>
        <w:t xml:space="preserve"> </w:t>
      </w:r>
      <w:r w:rsidR="001A1DDC" w:rsidRPr="001A1DDC">
        <w:rPr>
          <w:rFonts w:ascii="Times New Roman" w:hAnsi="Times New Roman" w:cs="Times New Roman"/>
          <w:sz w:val="24"/>
          <w:szCs w:val="24"/>
        </w:rPr>
        <w:t>calitatea</w:t>
      </w:r>
      <w:r w:rsidR="001A1DDC" w:rsidRPr="001A1DDC">
        <w:rPr>
          <w:rFonts w:ascii="Times New Roman" w:eastAsia="Times New Roman" w:hAnsi="Times New Roman" w:cs="Times New Roman"/>
          <w:kern w:val="0"/>
          <w:sz w:val="24"/>
          <w:szCs w:val="24"/>
          <w14:ligatures w14:val="none"/>
        </w:rPr>
        <w:t xml:space="preserve"> </w:t>
      </w:r>
      <w:r w:rsidR="0071715E" w:rsidRPr="0071715E">
        <w:rPr>
          <w:rFonts w:ascii="Times New Roman" w:eastAsia="Times New Roman" w:hAnsi="Times New Roman" w:cs="Times New Roman"/>
          <w:kern w:val="0"/>
          <w:sz w:val="24"/>
          <w:szCs w:val="24"/>
          <w14:ligatures w14:val="none"/>
        </w:rPr>
        <w:t>evaluării în vederea acordării calificării</w:t>
      </w:r>
      <w:r w:rsidR="00B12D36">
        <w:rPr>
          <w:rFonts w:ascii="Times New Roman" w:eastAsia="Times New Roman" w:hAnsi="Times New Roman" w:cs="Times New Roman"/>
          <w:kern w:val="0"/>
          <w:sz w:val="24"/>
          <w:szCs w:val="24"/>
          <w14:ligatures w14:val="none"/>
        </w:rPr>
        <w:t xml:space="preserve">; </w:t>
      </w:r>
    </w:p>
    <w:p w14:paraId="5E0DE108" w14:textId="7AE180F8" w:rsidR="00854581" w:rsidRPr="0022305E" w:rsidRDefault="00854581" w:rsidP="00A41843">
      <w:pPr>
        <w:numPr>
          <w:ilvl w:val="0"/>
          <w:numId w:val="19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sistemele de credite (ECTS/ECVET) reflectă corespunzător volumul de muncă</w:t>
      </w:r>
      <w:r w:rsidR="00C81466" w:rsidRPr="00C81466">
        <w:rPr>
          <w:rFonts w:ascii="Times New Roman" w:hAnsi="Times New Roman" w:cs="Times New Roman"/>
          <w:color w:val="3494BA" w:themeColor="accent1"/>
          <w:sz w:val="24"/>
          <w:szCs w:val="24"/>
        </w:rPr>
        <w:t xml:space="preserve"> </w:t>
      </w:r>
      <w:r w:rsidR="00C81466" w:rsidRPr="00C81466">
        <w:rPr>
          <w:rFonts w:ascii="Times New Roman" w:hAnsi="Times New Roman" w:cs="Times New Roman"/>
          <w:sz w:val="24"/>
          <w:szCs w:val="24"/>
        </w:rPr>
        <w:t>al studenților și al elevilor</w:t>
      </w:r>
      <w:r w:rsidRPr="00C81466">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raportat la competențele dobândite;</w:t>
      </w:r>
    </w:p>
    <w:p w14:paraId="557EE0E6" w14:textId="77777777" w:rsidR="00854581" w:rsidRPr="0022305E" w:rsidRDefault="00854581" w:rsidP="00A41843">
      <w:pPr>
        <w:numPr>
          <w:ilvl w:val="0"/>
          <w:numId w:val="194"/>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mecanismele instituționale de recunoaștere a rezultatelor învățării sunt aplicate corect.</w:t>
      </w:r>
    </w:p>
    <w:p w14:paraId="2B7F5AC4" w14:textId="54436EA7" w:rsidR="004263AF" w:rsidRPr="000A55D0" w:rsidRDefault="00854581" w:rsidP="00193020">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Prin ghidurile metodologice</w:t>
      </w:r>
      <w:r w:rsidR="00B651BF">
        <w:rPr>
          <w:rStyle w:val="afc"/>
          <w:rFonts w:ascii="Times New Roman" w:eastAsia="Times New Roman" w:hAnsi="Times New Roman" w:cs="Times New Roman"/>
          <w:kern w:val="0"/>
          <w:sz w:val="24"/>
          <w:szCs w:val="24"/>
          <w:lang w:val="ro-MD" w:eastAsia="ro-MD"/>
          <w14:ligatures w14:val="none"/>
        </w:rPr>
        <w:footnoteReference w:id="44"/>
      </w:r>
      <w:r w:rsidRPr="0022305E">
        <w:rPr>
          <w:rFonts w:ascii="Times New Roman" w:eastAsia="Times New Roman" w:hAnsi="Times New Roman" w:cs="Times New Roman"/>
          <w:kern w:val="0"/>
          <w:sz w:val="24"/>
          <w:szCs w:val="24"/>
          <w:lang w:val="ro-MD" w:eastAsia="ro-MD"/>
          <w14:ligatures w14:val="none"/>
        </w:rPr>
        <w:t xml:space="preserve"> și standardele de evaluare utilizate, ANACEC contribuie la asigurarea coerenței dintre curriculumul național, standardele ocupaționale și standardele de calificare, consolidând în același timp transparența calificărilor și încrederea publică.</w:t>
      </w:r>
      <w:r w:rsidR="00621DB2">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 xml:space="preserve">De asemenea, prin participarea activă în rețele internaționale precum ENQA și EQAVET, Agenția sprijină alinierea permanentă a practicilor naționale la standardele europene privind rezultatele învățării și </w:t>
      </w:r>
      <w:r w:rsidRPr="000A55D0">
        <w:rPr>
          <w:rFonts w:ascii="Times New Roman" w:eastAsia="Times New Roman" w:hAnsi="Times New Roman" w:cs="Times New Roman"/>
          <w:kern w:val="0"/>
          <w:sz w:val="24"/>
          <w:szCs w:val="24"/>
          <w:lang w:val="ro-MD" w:eastAsia="ro-MD"/>
          <w14:ligatures w14:val="none"/>
        </w:rPr>
        <w:t>recunoașterea calificărilor.</w:t>
      </w:r>
    </w:p>
    <w:p w14:paraId="4FC9CD85" w14:textId="77777777" w:rsidR="004263AF" w:rsidRPr="00DC596F" w:rsidRDefault="004263AF" w:rsidP="00DC596F">
      <w:pPr>
        <w:spacing w:before="120" w:after="120" w:line="276" w:lineRule="auto"/>
        <w:jc w:val="both"/>
        <w:outlineLvl w:val="2"/>
        <w:rPr>
          <w:rFonts w:ascii="Times New Roman" w:eastAsia="Times New Roman" w:hAnsi="Times New Roman" w:cs="Times New Roman"/>
          <w:color w:val="3494BA" w:themeColor="accent1"/>
          <w:kern w:val="0"/>
          <w:sz w:val="24"/>
          <w:szCs w:val="24"/>
          <w:lang w:val="ro-MD" w:eastAsia="ro-MD"/>
          <w14:ligatures w14:val="none"/>
        </w:rPr>
      </w:pPr>
      <w:r w:rsidRPr="000A55D0">
        <w:rPr>
          <w:rFonts w:ascii="Times New Roman" w:eastAsia="Times New Roman" w:hAnsi="Times New Roman" w:cs="Times New Roman"/>
          <w:b/>
          <w:bCs/>
          <w:color w:val="3494BA" w:themeColor="accent1"/>
          <w:kern w:val="0"/>
          <w:sz w:val="24"/>
          <w:szCs w:val="24"/>
          <w:lang w:val="ro-MD" w:eastAsia="ro-MD"/>
          <w14:ligatures w14:val="none"/>
        </w:rPr>
        <w:t xml:space="preserve">4. </w:t>
      </w:r>
      <w:r w:rsidRPr="0006737F">
        <w:rPr>
          <w:rFonts w:ascii="Times New Roman" w:eastAsia="Times New Roman" w:hAnsi="Times New Roman" w:cs="Times New Roman"/>
          <w:b/>
          <w:bCs/>
          <w:color w:val="3494BA" w:themeColor="accent1"/>
          <w:kern w:val="0"/>
          <w:sz w:val="24"/>
          <w:szCs w:val="24"/>
          <w:lang w:val="ro-MD" w:eastAsia="ro-MD"/>
          <w14:ligatures w14:val="none"/>
        </w:rPr>
        <w:t>Volumul rezultatelor învățării și sistemele de credite</w:t>
      </w:r>
    </w:p>
    <w:p w14:paraId="3F4239E1" w14:textId="4F931493" w:rsidR="0028332D" w:rsidRDefault="008B2DAD" w:rsidP="00C201BF">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C596F">
        <w:rPr>
          <w:rFonts w:ascii="Times New Roman" w:eastAsia="Times New Roman" w:hAnsi="Times New Roman" w:cs="Times New Roman"/>
          <w:i/>
          <w:iCs/>
          <w:color w:val="3494BA" w:themeColor="accent1"/>
          <w:kern w:val="0"/>
          <w:sz w:val="24"/>
          <w:szCs w:val="24"/>
          <w:lang w:val="ro-MD" w:eastAsia="ro-MD"/>
          <w14:ligatures w14:val="none"/>
        </w:rPr>
        <w:t>Fundamentul legislativ</w:t>
      </w:r>
      <w:r w:rsidR="00C201BF">
        <w:rPr>
          <w:rFonts w:ascii="Times New Roman" w:eastAsia="Times New Roman" w:hAnsi="Times New Roman" w:cs="Times New Roman"/>
          <w:i/>
          <w:iCs/>
          <w:color w:val="3494BA" w:themeColor="accent1"/>
          <w:kern w:val="0"/>
          <w:sz w:val="24"/>
          <w:szCs w:val="24"/>
          <w:lang w:val="ro-MD" w:eastAsia="ro-MD"/>
          <w14:ligatures w14:val="none"/>
        </w:rPr>
        <w:t xml:space="preserve">: </w:t>
      </w:r>
      <w:r w:rsidR="0028332D" w:rsidRPr="0028332D">
        <w:rPr>
          <w:rFonts w:ascii="Times New Roman" w:eastAsia="Times New Roman" w:hAnsi="Times New Roman" w:cs="Times New Roman"/>
          <w:kern w:val="0"/>
          <w:sz w:val="24"/>
          <w:szCs w:val="24"/>
          <w:lang w:val="ro-MD" w:eastAsia="ro-MD"/>
          <w14:ligatures w14:val="none"/>
        </w:rPr>
        <w:t>Aplicarea sistemelor de credite de studii în Republica Moldova este reglementată prin Codul educației nr. 152/2014 și H</w:t>
      </w:r>
      <w:r w:rsidR="00DC596F">
        <w:rPr>
          <w:rFonts w:ascii="Times New Roman" w:eastAsia="Times New Roman" w:hAnsi="Times New Roman" w:cs="Times New Roman"/>
          <w:kern w:val="0"/>
          <w:sz w:val="24"/>
          <w:szCs w:val="24"/>
          <w:lang w:val="ro-MD" w:eastAsia="ro-MD"/>
          <w14:ligatures w14:val="none"/>
        </w:rPr>
        <w:t xml:space="preserve">G </w:t>
      </w:r>
      <w:r w:rsidR="0028332D" w:rsidRPr="0028332D">
        <w:rPr>
          <w:rFonts w:ascii="Times New Roman" w:eastAsia="Times New Roman" w:hAnsi="Times New Roman" w:cs="Times New Roman"/>
          <w:kern w:val="0"/>
          <w:sz w:val="24"/>
          <w:szCs w:val="24"/>
          <w:lang w:val="ro-MD" w:eastAsia="ro-MD"/>
          <w14:ligatures w14:val="none"/>
        </w:rPr>
        <w:t>nr. 330/2023 privind aprobarea CNC.</w:t>
      </w:r>
      <w:r w:rsidR="00DC596F">
        <w:rPr>
          <w:rFonts w:ascii="Times New Roman" w:eastAsia="Times New Roman" w:hAnsi="Times New Roman" w:cs="Times New Roman"/>
          <w:kern w:val="0"/>
          <w:sz w:val="24"/>
          <w:szCs w:val="24"/>
          <w:lang w:val="ro-MD" w:eastAsia="ro-MD"/>
          <w14:ligatures w14:val="none"/>
        </w:rPr>
        <w:t xml:space="preserve"> </w:t>
      </w:r>
      <w:r w:rsidR="0028332D" w:rsidRPr="0028332D">
        <w:rPr>
          <w:rFonts w:ascii="Times New Roman" w:eastAsia="Times New Roman" w:hAnsi="Times New Roman" w:cs="Times New Roman"/>
          <w:kern w:val="0"/>
          <w:sz w:val="24"/>
          <w:szCs w:val="24"/>
          <w:lang w:val="ro-MD" w:eastAsia="ro-MD"/>
          <w14:ligatures w14:val="none"/>
        </w:rPr>
        <w:t>Aceste acte normative stabilesc că volumul rezultatelor învățării și dimensiunea calificării se exprimă în credite de studii, ceea ce permite cuantificarea, acumularea și transferul rezultatelor învățării în conformitate cu practicile europene și cu principiile EQF.</w:t>
      </w:r>
    </w:p>
    <w:p w14:paraId="45CE25FA" w14:textId="33897F23" w:rsidR="00DB537C" w:rsidRPr="008B2DAD" w:rsidRDefault="00DB537C" w:rsidP="00DB537C">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i/>
          <w:iCs/>
          <w:color w:val="3494BA" w:themeColor="accent1"/>
          <w:kern w:val="0"/>
          <w:sz w:val="24"/>
          <w:szCs w:val="24"/>
          <w:lang w:val="ro-MD" w:eastAsia="ro-MD"/>
          <w14:ligatures w14:val="none"/>
        </w:rPr>
        <w:t>Principiile aplicării sistemului de credite în CNC</w:t>
      </w:r>
      <w:r>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8B2DAD">
        <w:rPr>
          <w:rFonts w:ascii="Times New Roman" w:eastAsia="Times New Roman" w:hAnsi="Times New Roman" w:cs="Times New Roman"/>
          <w:kern w:val="0"/>
          <w:sz w:val="24"/>
          <w:szCs w:val="24"/>
          <w:lang w:val="ro-MD" w:eastAsia="ro-MD"/>
          <w14:ligatures w14:val="none"/>
        </w:rPr>
        <w:t xml:space="preserve">Conform </w:t>
      </w:r>
      <w:r w:rsidR="00444873">
        <w:rPr>
          <w:rFonts w:ascii="Times New Roman" w:eastAsia="Times New Roman" w:hAnsi="Times New Roman" w:cs="Times New Roman"/>
          <w:kern w:val="0"/>
          <w:sz w:val="24"/>
          <w:szCs w:val="24"/>
          <w:lang w:val="ro-MD" w:eastAsia="ro-MD"/>
          <w14:ligatures w14:val="none"/>
        </w:rPr>
        <w:t>HG</w:t>
      </w:r>
      <w:r w:rsidRPr="008B2DAD">
        <w:rPr>
          <w:rFonts w:ascii="Times New Roman" w:eastAsia="Times New Roman" w:hAnsi="Times New Roman" w:cs="Times New Roman"/>
          <w:kern w:val="0"/>
          <w:sz w:val="24"/>
          <w:szCs w:val="24"/>
          <w:lang w:val="ro-MD" w:eastAsia="ro-MD"/>
          <w14:ligatures w14:val="none"/>
        </w:rPr>
        <w:t xml:space="preserve"> nr. 330/2023, volumul rezultatelor învățării și dimensiunea calificării</w:t>
      </w:r>
      <w:r w:rsidR="00C746F9">
        <w:rPr>
          <w:rFonts w:ascii="Times New Roman" w:eastAsia="Times New Roman" w:hAnsi="Times New Roman" w:cs="Times New Roman"/>
          <w:kern w:val="0"/>
          <w:sz w:val="24"/>
          <w:szCs w:val="24"/>
          <w:lang w:val="ro-MD" w:eastAsia="ro-MD"/>
          <w14:ligatures w14:val="none"/>
        </w:rPr>
        <w:t xml:space="preserve">, </w:t>
      </w:r>
      <w:r w:rsidRPr="008B2DAD">
        <w:rPr>
          <w:rFonts w:ascii="Times New Roman" w:eastAsia="Times New Roman" w:hAnsi="Times New Roman" w:cs="Times New Roman"/>
          <w:kern w:val="0"/>
          <w:sz w:val="24"/>
          <w:szCs w:val="24"/>
          <w:lang w:val="ro-MD" w:eastAsia="ro-MD"/>
          <w14:ligatures w14:val="none"/>
        </w:rPr>
        <w:t xml:space="preserve">exprimă în credite de studii sau ore, </w:t>
      </w:r>
      <w:r w:rsidR="00C746F9">
        <w:rPr>
          <w:rFonts w:ascii="Times New Roman" w:eastAsia="Times New Roman" w:hAnsi="Times New Roman" w:cs="Times New Roman"/>
          <w:kern w:val="0"/>
          <w:sz w:val="24"/>
          <w:szCs w:val="24"/>
          <w:lang w:val="ro-MD" w:eastAsia="ro-MD"/>
          <w14:ligatures w14:val="none"/>
        </w:rPr>
        <w:t xml:space="preserve">este </w:t>
      </w:r>
      <w:r w:rsidRPr="008B2DAD">
        <w:rPr>
          <w:rFonts w:ascii="Times New Roman" w:eastAsia="Times New Roman" w:hAnsi="Times New Roman" w:cs="Times New Roman"/>
          <w:kern w:val="0"/>
          <w:sz w:val="24"/>
          <w:szCs w:val="24"/>
          <w:lang w:val="ro-MD" w:eastAsia="ro-MD"/>
          <w14:ligatures w14:val="none"/>
        </w:rPr>
        <w:t>proporțional cu timpul necesar atingerii rezultatelor stabilite pentru nivelul și profilul respectiv.</w:t>
      </w:r>
      <w:r>
        <w:rPr>
          <w:rFonts w:ascii="Times New Roman" w:eastAsia="Times New Roman" w:hAnsi="Times New Roman" w:cs="Times New Roman"/>
          <w:kern w:val="0"/>
          <w:sz w:val="24"/>
          <w:szCs w:val="24"/>
          <w:lang w:val="ro-MD" w:eastAsia="ro-MD"/>
          <w14:ligatures w14:val="none"/>
        </w:rPr>
        <w:t xml:space="preserve"> </w:t>
      </w:r>
      <w:r w:rsidRPr="008B2DAD">
        <w:rPr>
          <w:rFonts w:ascii="Times New Roman" w:eastAsia="Times New Roman" w:hAnsi="Times New Roman" w:cs="Times New Roman"/>
          <w:kern w:val="0"/>
          <w:sz w:val="24"/>
          <w:szCs w:val="24"/>
          <w:lang w:val="ro-MD" w:eastAsia="ro-MD"/>
          <w14:ligatures w14:val="none"/>
        </w:rPr>
        <w:t xml:space="preserve">Creditele </w:t>
      </w:r>
      <w:r w:rsidR="00623C7C">
        <w:rPr>
          <w:rFonts w:ascii="Times New Roman" w:eastAsia="Times New Roman" w:hAnsi="Times New Roman" w:cs="Times New Roman"/>
          <w:kern w:val="0"/>
          <w:sz w:val="24"/>
          <w:szCs w:val="24"/>
          <w:lang w:val="ro-MD" w:eastAsia="ro-MD"/>
          <w14:ligatures w14:val="none"/>
        </w:rPr>
        <w:t xml:space="preserve">de studii </w:t>
      </w:r>
      <w:r w:rsidRPr="008B2DAD">
        <w:rPr>
          <w:rFonts w:ascii="Times New Roman" w:eastAsia="Times New Roman" w:hAnsi="Times New Roman" w:cs="Times New Roman"/>
          <w:kern w:val="0"/>
          <w:sz w:val="24"/>
          <w:szCs w:val="24"/>
          <w:lang w:val="ro-MD" w:eastAsia="ro-MD"/>
          <w14:ligatures w14:val="none"/>
        </w:rPr>
        <w:t>reprezintă o caracteristică esențială a calificărilor din CNC, aplicabilă atât calificărilor complete, cât și celor parțiale sau unităților de rezultate ale învățării.</w:t>
      </w:r>
    </w:p>
    <w:p w14:paraId="1093CEC6" w14:textId="77777777" w:rsidR="00DB537C" w:rsidRPr="008B2DAD" w:rsidRDefault="00DB537C" w:rsidP="00DB537C">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Aplicarea sistemelor europene de credite – ECVET în învățământul profesional tehnic și ECTS în învățământul superior – se bazează pe următoarele principii fundamentale:</w:t>
      </w:r>
    </w:p>
    <w:p w14:paraId="11704B70" w14:textId="77777777" w:rsidR="00DB537C" w:rsidRPr="008B2DA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sprijinirea parcursurilor flexibile de învățare;</w:t>
      </w:r>
    </w:p>
    <w:p w14:paraId="1C0AC26F" w14:textId="77777777" w:rsidR="00DB537C" w:rsidRPr="008B2DA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cuantificarea rezultatelor învățării pentru transfer și progres continuu;</w:t>
      </w:r>
    </w:p>
    <w:p w14:paraId="63D1DF62" w14:textId="77777777" w:rsidR="00DB537C" w:rsidRPr="008B2DA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facilitarea mobilității academice și profesionale între sisteme și țări;</w:t>
      </w:r>
    </w:p>
    <w:p w14:paraId="0573A240" w14:textId="77777777" w:rsidR="00DB537C" w:rsidRPr="008B2DA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asigurarea calității într-un mod transparent și verificabil;</w:t>
      </w:r>
    </w:p>
    <w:p w14:paraId="40241717" w14:textId="77777777" w:rsidR="00DB537C" w:rsidRPr="008B2DA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documentarea creditelor cu menționarea rezultatelor învățării și a instituției competente;</w:t>
      </w:r>
    </w:p>
    <w:p w14:paraId="43969CC8" w14:textId="77777777" w:rsidR="00DB537C" w:rsidRPr="008B2DA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t>sinergia între sistemele de credite și mecanismele de validare a învățării anterioare;</w:t>
      </w:r>
    </w:p>
    <w:p w14:paraId="72A828BD" w14:textId="02154DE0" w:rsidR="00DB537C" w:rsidRPr="0028332D" w:rsidRDefault="00DB537C" w:rsidP="00A41843">
      <w:pPr>
        <w:numPr>
          <w:ilvl w:val="0"/>
          <w:numId w:val="195"/>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kern w:val="0"/>
          <w:sz w:val="24"/>
          <w:szCs w:val="24"/>
          <w:lang w:val="ro-MD" w:eastAsia="ro-MD"/>
          <w14:ligatures w14:val="none"/>
        </w:rPr>
        <w:lastRenderedPageBreak/>
        <w:t>cooperarea națională și internațională pentru dezvoltarea sistemului de credite.</w:t>
      </w:r>
    </w:p>
    <w:p w14:paraId="232F22C3" w14:textId="3351C91D" w:rsidR="00D11023" w:rsidRPr="00D11023" w:rsidRDefault="0028332D" w:rsidP="00D11023">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28332D">
        <w:rPr>
          <w:rFonts w:ascii="Times New Roman" w:eastAsia="Times New Roman" w:hAnsi="Times New Roman" w:cs="Times New Roman"/>
          <w:i/>
          <w:iCs/>
          <w:color w:val="3494BA" w:themeColor="accent1"/>
          <w:kern w:val="0"/>
          <w:sz w:val="24"/>
          <w:szCs w:val="24"/>
          <w:lang w:val="ro-MD" w:eastAsia="ro-MD"/>
          <w14:ligatures w14:val="none"/>
        </w:rPr>
        <w:t>Învățământul profesional tehnic</w:t>
      </w:r>
      <w:r w:rsidR="00C201BF" w:rsidRPr="00B32E0D">
        <w:rPr>
          <w:rFonts w:ascii="Times New Roman" w:eastAsia="Times New Roman" w:hAnsi="Times New Roman" w:cs="Times New Roman"/>
          <w:i/>
          <w:iCs/>
          <w:color w:val="3494BA" w:themeColor="accent1"/>
          <w:kern w:val="0"/>
          <w:sz w:val="24"/>
          <w:szCs w:val="24"/>
          <w:lang w:val="ro-MD" w:eastAsia="ro-MD"/>
          <w14:ligatures w14:val="none"/>
        </w:rPr>
        <w:t xml:space="preserve">: </w:t>
      </w:r>
      <w:r w:rsidR="00D11023" w:rsidRPr="00D11023">
        <w:rPr>
          <w:rFonts w:ascii="Times New Roman" w:eastAsia="Times New Roman" w:hAnsi="Times New Roman" w:cs="Times New Roman"/>
          <w:kern w:val="0"/>
          <w:sz w:val="24"/>
          <w:szCs w:val="24"/>
          <w:lang w:val="ro-MD" w:eastAsia="ro-MD"/>
          <w14:ligatures w14:val="none"/>
        </w:rPr>
        <w:t>Conform art. 66 alin. (7) din Codul educației, în învățământul profesional tehnic, volumul rezultatelor învățării și dimensiunea calificării se exprimă în credite de studii, conform Sistemului European de Credite pentru Educație și Formare Profesională (ECVET). Acest sistem permite cuantificarea și recunoașterea competențelor dobândite în contexte formale, nonformale și informale, asigurând flexibilitatea traseelor de formare, transferul și acumularea competențelor, precum și mobilitatea beneficiarilor între instituții și subsisteme educaționale.</w:t>
      </w:r>
    </w:p>
    <w:p w14:paraId="7DA0AECC" w14:textId="205D1849" w:rsidR="00D11023" w:rsidRPr="00AA5144" w:rsidRDefault="00D11023" w:rsidP="00AA5144">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D11023">
        <w:rPr>
          <w:rFonts w:ascii="Times New Roman" w:eastAsia="Times New Roman" w:hAnsi="Times New Roman" w:cs="Times New Roman"/>
          <w:kern w:val="0"/>
          <w:sz w:val="24"/>
          <w:szCs w:val="24"/>
          <w:lang w:val="ro-MD" w:eastAsia="ro-MD"/>
          <w14:ligatures w14:val="none"/>
        </w:rPr>
        <w:t xml:space="preserve">Pentru implementarea coerentă a acestor principii, a fost aprobat </w:t>
      </w:r>
      <w:r w:rsidR="00A446E3" w:rsidRPr="00B32E0D">
        <w:rPr>
          <w:rStyle w:val="afd"/>
          <w:rFonts w:ascii="Times New Roman" w:hAnsi="Times New Roman" w:cs="Times New Roman"/>
          <w:sz w:val="24"/>
          <w:szCs w:val="24"/>
        </w:rPr>
        <w:t>Ghidul de implementare a Sistemului de Credite de Studii în învățământul mediu de specialitate</w:t>
      </w:r>
      <w:r w:rsidR="00A446E3">
        <w:rPr>
          <w:rStyle w:val="afc"/>
          <w:rFonts w:ascii="Times New Roman" w:hAnsi="Times New Roman" w:cs="Times New Roman"/>
          <w:i/>
          <w:iCs/>
          <w:sz w:val="24"/>
          <w:szCs w:val="24"/>
        </w:rPr>
        <w:footnoteReference w:id="45"/>
      </w:r>
      <w:r w:rsidRPr="00D11023">
        <w:rPr>
          <w:rFonts w:ascii="Times New Roman" w:eastAsia="Times New Roman" w:hAnsi="Times New Roman" w:cs="Times New Roman"/>
          <w:kern w:val="0"/>
          <w:sz w:val="24"/>
          <w:szCs w:val="24"/>
          <w:lang w:val="ro-MD" w:eastAsia="ro-MD"/>
          <w14:ligatures w14:val="none"/>
        </w:rPr>
        <w:t xml:space="preserve">, elaborat pentru uniformizarea și monitorizarea procedurilor de acumulare a creditelor la nivel național și internațional. Complementar, </w:t>
      </w:r>
      <w:r w:rsidRPr="00766C3B">
        <w:rPr>
          <w:rFonts w:ascii="Times New Roman" w:eastAsia="Times New Roman" w:hAnsi="Times New Roman" w:cs="Times New Roman"/>
          <w:i/>
          <w:iCs/>
          <w:kern w:val="0"/>
          <w:sz w:val="24"/>
          <w:szCs w:val="24"/>
          <w:lang w:val="ro-MD" w:eastAsia="ro-MD"/>
          <w14:ligatures w14:val="none"/>
        </w:rPr>
        <w:t>Regulamentul de organizare a studiilor în învățământul profesional tehnic postsecundar și postsecundar nonterțiar în baza Sistemului de Credite de Studii Transferabile</w:t>
      </w:r>
      <w:r w:rsidR="00766C3B">
        <w:rPr>
          <w:rStyle w:val="afc"/>
          <w:rFonts w:ascii="Times New Roman" w:eastAsia="Times New Roman" w:hAnsi="Times New Roman" w:cs="Times New Roman"/>
          <w:i/>
          <w:iCs/>
          <w:kern w:val="0"/>
          <w:sz w:val="24"/>
          <w:szCs w:val="24"/>
          <w:lang w:val="ro-MD" w:eastAsia="ro-MD"/>
          <w14:ligatures w14:val="none"/>
        </w:rPr>
        <w:footnoteReference w:id="46"/>
      </w:r>
      <w:r w:rsidRPr="00D11023">
        <w:rPr>
          <w:rFonts w:ascii="Times New Roman" w:eastAsia="Times New Roman" w:hAnsi="Times New Roman" w:cs="Times New Roman"/>
          <w:kern w:val="0"/>
          <w:sz w:val="24"/>
          <w:szCs w:val="24"/>
          <w:lang w:val="ro-MD" w:eastAsia="ro-MD"/>
          <w14:ligatures w14:val="none"/>
        </w:rPr>
        <w:t xml:space="preserve"> consolidează cadrul normativ de aplicare a </w:t>
      </w:r>
      <w:r w:rsidRPr="00AA5144">
        <w:rPr>
          <w:rFonts w:ascii="Times New Roman" w:eastAsia="Times New Roman" w:hAnsi="Times New Roman" w:cs="Times New Roman"/>
          <w:kern w:val="0"/>
          <w:sz w:val="24"/>
          <w:szCs w:val="24"/>
          <w:lang w:val="ro-MD" w:eastAsia="ro-MD"/>
          <w14:ligatures w14:val="none"/>
        </w:rPr>
        <w:t>creditelor și asigură compatibilitatea acestuia cu principiile ECVET și EQF.</w:t>
      </w:r>
    </w:p>
    <w:p w14:paraId="5545C72A" w14:textId="77777777" w:rsidR="00B10E2A" w:rsidRPr="00AA5144" w:rsidRDefault="0028332D" w:rsidP="00AA5144">
      <w:pPr>
        <w:pStyle w:val="af8"/>
        <w:spacing w:before="120" w:beforeAutospacing="0" w:after="120" w:afterAutospacing="0" w:line="276" w:lineRule="auto"/>
        <w:jc w:val="both"/>
        <w:rPr>
          <w:lang w:val="ro-MD"/>
        </w:rPr>
      </w:pPr>
      <w:r w:rsidRPr="0028332D">
        <w:rPr>
          <w:i/>
          <w:iCs/>
          <w:color w:val="3494BA" w:themeColor="accent1"/>
          <w:lang w:val="ro-MD"/>
        </w:rPr>
        <w:t>Învățământul superior</w:t>
      </w:r>
      <w:r w:rsidR="00C201BF" w:rsidRPr="00AA5144">
        <w:rPr>
          <w:i/>
          <w:iCs/>
          <w:color w:val="3494BA" w:themeColor="accent1"/>
          <w:lang w:val="ro-MD"/>
        </w:rPr>
        <w:t xml:space="preserve">: </w:t>
      </w:r>
      <w:r w:rsidR="00B10E2A" w:rsidRPr="00AA5144">
        <w:t xml:space="preserve">Conform </w:t>
      </w:r>
      <w:r w:rsidR="00B10E2A" w:rsidRPr="00AA5144">
        <w:rPr>
          <w:rStyle w:val="af9"/>
          <w:rFonts w:eastAsiaTheme="majorEastAsia"/>
          <w:b w:val="0"/>
          <w:bCs w:val="0"/>
        </w:rPr>
        <w:t>art. 88</w:t>
      </w:r>
      <w:r w:rsidR="00B10E2A" w:rsidRPr="00AA5144">
        <w:t xml:space="preserve"> din </w:t>
      </w:r>
      <w:r w:rsidR="00B10E2A" w:rsidRPr="00AA5144">
        <w:rPr>
          <w:rStyle w:val="af9"/>
          <w:rFonts w:eastAsiaTheme="majorEastAsia"/>
          <w:b w:val="0"/>
          <w:bCs w:val="0"/>
        </w:rPr>
        <w:t>Codul educației nr. 152/2014</w:t>
      </w:r>
      <w:r w:rsidR="00B10E2A" w:rsidRPr="00AA5144">
        <w:t xml:space="preserve">, în sistemul de învățământ superior se aplică </w:t>
      </w:r>
      <w:r w:rsidR="00B10E2A" w:rsidRPr="00AA5144">
        <w:rPr>
          <w:rStyle w:val="af9"/>
          <w:rFonts w:eastAsiaTheme="majorEastAsia"/>
          <w:b w:val="0"/>
          <w:bCs w:val="0"/>
        </w:rPr>
        <w:t>Sistemul European de Transfer și Acumulare de Credite (ECTS)</w:t>
      </w:r>
      <w:r w:rsidR="00B10E2A" w:rsidRPr="00AA5144">
        <w:t>. Creditele de studii exprimă volumul de muncă necesar studentului pentru atingerea rezultatelor învățării și sunt alocate după cum urmează:</w:t>
      </w:r>
    </w:p>
    <w:p w14:paraId="70F67ABC" w14:textId="77777777" w:rsidR="00B10E2A" w:rsidRPr="00AA5144" w:rsidRDefault="00B10E2A" w:rsidP="00A41843">
      <w:pPr>
        <w:pStyle w:val="af8"/>
        <w:numPr>
          <w:ilvl w:val="0"/>
          <w:numId w:val="199"/>
        </w:numPr>
        <w:spacing w:before="120" w:beforeAutospacing="0" w:after="120" w:afterAutospacing="0" w:line="276" w:lineRule="auto"/>
        <w:jc w:val="both"/>
      </w:pPr>
      <w:r w:rsidRPr="00AA5144">
        <w:rPr>
          <w:rStyle w:val="af9"/>
          <w:rFonts w:eastAsiaTheme="majorEastAsia"/>
          <w:b w:val="0"/>
          <w:bCs w:val="0"/>
        </w:rPr>
        <w:t>30 de credite</w:t>
      </w:r>
      <w:r w:rsidRPr="00AA5144">
        <w:t xml:space="preserve"> pentru un semestru academic;</w:t>
      </w:r>
    </w:p>
    <w:p w14:paraId="3ACF6E64" w14:textId="77777777" w:rsidR="00B10E2A" w:rsidRPr="00AA5144" w:rsidRDefault="00B10E2A" w:rsidP="00A41843">
      <w:pPr>
        <w:pStyle w:val="af8"/>
        <w:numPr>
          <w:ilvl w:val="0"/>
          <w:numId w:val="199"/>
        </w:numPr>
        <w:spacing w:before="120" w:beforeAutospacing="0" w:after="120" w:afterAutospacing="0" w:line="276" w:lineRule="auto"/>
        <w:jc w:val="both"/>
      </w:pPr>
      <w:r w:rsidRPr="00AA5144">
        <w:rPr>
          <w:rStyle w:val="af9"/>
          <w:rFonts w:eastAsiaTheme="majorEastAsia"/>
          <w:b w:val="0"/>
          <w:bCs w:val="0"/>
        </w:rPr>
        <w:t>60 de credite</w:t>
      </w:r>
      <w:r w:rsidRPr="00AA5144">
        <w:t xml:space="preserve"> pentru un an academic.</w:t>
      </w:r>
    </w:p>
    <w:p w14:paraId="42CAC1FA" w14:textId="77777777" w:rsidR="00B10E2A" w:rsidRPr="00AA5144" w:rsidRDefault="00B10E2A" w:rsidP="00AA5144">
      <w:pPr>
        <w:pStyle w:val="af8"/>
        <w:spacing w:before="120" w:beforeAutospacing="0" w:after="120" w:afterAutospacing="0" w:line="276" w:lineRule="auto"/>
        <w:jc w:val="both"/>
      </w:pPr>
      <w:r w:rsidRPr="00AA5144">
        <w:t xml:space="preserve">Instituțiile de învățământ superior pot recunoaște până la </w:t>
      </w:r>
      <w:r w:rsidRPr="00AA5144">
        <w:rPr>
          <w:rStyle w:val="af9"/>
          <w:rFonts w:eastAsiaTheme="majorEastAsia"/>
          <w:b w:val="0"/>
          <w:bCs w:val="0"/>
        </w:rPr>
        <w:t>60 de credite ECTS</w:t>
      </w:r>
      <w:r w:rsidRPr="00AA5144">
        <w:t xml:space="preserve"> acumulate în cadrul programelor de formare profesională tehnică postsecundară și postsecundară nonterțiară, facilitând </w:t>
      </w:r>
      <w:r w:rsidRPr="00AA5144">
        <w:rPr>
          <w:rStyle w:val="af9"/>
          <w:rFonts w:eastAsiaTheme="majorEastAsia"/>
          <w:b w:val="0"/>
          <w:bCs w:val="0"/>
        </w:rPr>
        <w:t>mobilitatea verticală</w:t>
      </w:r>
      <w:r w:rsidRPr="00AA5144">
        <w:t xml:space="preserve"> și </w:t>
      </w:r>
      <w:r w:rsidRPr="00AA5144">
        <w:rPr>
          <w:rStyle w:val="af9"/>
          <w:rFonts w:eastAsiaTheme="majorEastAsia"/>
          <w:b w:val="0"/>
          <w:bCs w:val="0"/>
        </w:rPr>
        <w:t>interconectarea între niveluri și subsisteme educaționale</w:t>
      </w:r>
      <w:r w:rsidRPr="00AA5144">
        <w:t>.</w:t>
      </w:r>
    </w:p>
    <w:p w14:paraId="15775882" w14:textId="4A3B62A1" w:rsidR="00B10E2A" w:rsidRPr="00AA5144" w:rsidRDefault="00B10E2A" w:rsidP="00AA5144">
      <w:pPr>
        <w:pStyle w:val="af8"/>
        <w:spacing w:before="120" w:beforeAutospacing="0" w:after="120" w:afterAutospacing="0" w:line="276" w:lineRule="auto"/>
        <w:jc w:val="both"/>
      </w:pPr>
      <w:r w:rsidRPr="00AA5144">
        <w:t xml:space="preserve">Aplicarea sistemului ECTS este extinsă și asupra </w:t>
      </w:r>
      <w:r w:rsidRPr="00AA5144">
        <w:rPr>
          <w:rStyle w:val="af9"/>
          <w:rFonts w:eastAsiaTheme="majorEastAsia"/>
          <w:b w:val="0"/>
          <w:bCs w:val="0"/>
        </w:rPr>
        <w:t>programelor de formare profesională continuă</w:t>
      </w:r>
      <w:r w:rsidR="00950965">
        <w:rPr>
          <w:rStyle w:val="af9"/>
          <w:rFonts w:eastAsiaTheme="majorEastAsia"/>
          <w:b w:val="0"/>
          <w:bCs w:val="0"/>
        </w:rPr>
        <w:t>,</w:t>
      </w:r>
      <w:r w:rsidRPr="00AA5144">
        <w:t xml:space="preserve"> realizate în instituțiile de învățământ superior, conform </w:t>
      </w:r>
      <w:r w:rsidRPr="00B10C42">
        <w:rPr>
          <w:rStyle w:val="af9"/>
          <w:rFonts w:eastAsiaTheme="majorEastAsia"/>
          <w:b w:val="0"/>
          <w:bCs w:val="0"/>
          <w:i/>
          <w:iCs/>
        </w:rPr>
        <w:t>Regulamentului privind aplicarea Sistemului European de Credite Transferabile (ECTS</w:t>
      </w:r>
      <w:r w:rsidR="001A1CE1">
        <w:rPr>
          <w:rStyle w:val="af9"/>
          <w:rFonts w:eastAsiaTheme="majorEastAsia"/>
          <w:b w:val="0"/>
          <w:bCs w:val="0"/>
          <w:i/>
          <w:iCs/>
        </w:rPr>
        <w:t>)</w:t>
      </w:r>
      <w:r w:rsidR="001A1CE1" w:rsidRPr="001A1CE1">
        <w:rPr>
          <w:rStyle w:val="af9"/>
          <w:rFonts w:eastAsiaTheme="majorEastAsia"/>
          <w:b w:val="0"/>
          <w:bCs w:val="0"/>
          <w:i/>
          <w:iCs/>
        </w:rPr>
        <w:t xml:space="preserve"> în cadrul programelor de formare profesională continuă</w:t>
      </w:r>
      <w:r w:rsidR="00F14D33">
        <w:rPr>
          <w:rStyle w:val="afc"/>
          <w:rFonts w:eastAsiaTheme="majorEastAsia"/>
        </w:rPr>
        <w:footnoteReference w:id="47"/>
      </w:r>
      <w:r w:rsidRPr="00AA5144">
        <w:t>.</w:t>
      </w:r>
      <w:r w:rsidR="007C58F3">
        <w:t xml:space="preserve"> </w:t>
      </w:r>
      <w:r w:rsidRPr="00AA5144">
        <w:t xml:space="preserve">Acest regulament are drept scop </w:t>
      </w:r>
      <w:r w:rsidRPr="00AA5144">
        <w:rPr>
          <w:rStyle w:val="af9"/>
          <w:rFonts w:eastAsiaTheme="majorEastAsia"/>
          <w:b w:val="0"/>
          <w:bCs w:val="0"/>
        </w:rPr>
        <w:t>asigurarea calității formării profesionale continue</w:t>
      </w:r>
      <w:r w:rsidRPr="00AA5144">
        <w:t xml:space="preserve">, modernizarea și integrarea acesteia în </w:t>
      </w:r>
      <w:r w:rsidRPr="007C58F3">
        <w:rPr>
          <w:rStyle w:val="af9"/>
          <w:rFonts w:eastAsiaTheme="majorEastAsia"/>
          <w:b w:val="0"/>
          <w:bCs w:val="0"/>
          <w:i/>
          <w:iCs/>
        </w:rPr>
        <w:t>Spațiul European al Învățământului Superior</w:t>
      </w:r>
      <w:r w:rsidRPr="00AA5144">
        <w:t xml:space="preserve">, perfecționarea programelor oferite de instituțiile de învățământ superior, precum și crearea condițiilor pentru </w:t>
      </w:r>
      <w:r w:rsidRPr="00AA5144">
        <w:rPr>
          <w:rStyle w:val="af9"/>
          <w:rFonts w:eastAsiaTheme="majorEastAsia"/>
          <w:b w:val="0"/>
          <w:bCs w:val="0"/>
        </w:rPr>
        <w:t>mobilitate academică reală</w:t>
      </w:r>
      <w:r w:rsidRPr="00AA5144">
        <w:t xml:space="preserve"> și </w:t>
      </w:r>
      <w:r w:rsidRPr="00AA5144">
        <w:rPr>
          <w:rStyle w:val="af9"/>
          <w:rFonts w:eastAsiaTheme="majorEastAsia"/>
          <w:b w:val="0"/>
          <w:bCs w:val="0"/>
        </w:rPr>
        <w:t>recunoașterea reciprocă</w:t>
      </w:r>
      <w:r w:rsidRPr="00AA5144">
        <w:t xml:space="preserve"> a studiilor. Totodată, regulamentul promovează </w:t>
      </w:r>
      <w:r w:rsidRPr="00AA5144">
        <w:rPr>
          <w:rStyle w:val="af9"/>
          <w:rFonts w:eastAsiaTheme="majorEastAsia"/>
          <w:b w:val="0"/>
          <w:bCs w:val="0"/>
        </w:rPr>
        <w:t>autoinstruirea</w:t>
      </w:r>
      <w:r w:rsidRPr="00AA5144">
        <w:t xml:space="preserve">, </w:t>
      </w:r>
      <w:r w:rsidRPr="00AA5144">
        <w:rPr>
          <w:rStyle w:val="af9"/>
          <w:rFonts w:eastAsiaTheme="majorEastAsia"/>
          <w:b w:val="0"/>
          <w:bCs w:val="0"/>
        </w:rPr>
        <w:t>învățarea continuă</w:t>
      </w:r>
      <w:r w:rsidRPr="00AA5144">
        <w:t xml:space="preserve"> și consolidarea competențelor profesionale pe tot parcursul vieții.</w:t>
      </w:r>
    </w:p>
    <w:p w14:paraId="1E8B34F1" w14:textId="77777777" w:rsidR="00B10E2A" w:rsidRPr="00AA5144" w:rsidRDefault="00B10E2A" w:rsidP="00AA5144">
      <w:pPr>
        <w:pStyle w:val="af8"/>
        <w:spacing w:before="120" w:beforeAutospacing="0" w:after="120" w:afterAutospacing="0" w:line="276" w:lineRule="auto"/>
        <w:jc w:val="both"/>
      </w:pPr>
      <w:r w:rsidRPr="00AA5144">
        <w:t>Obiectivele principale ale aplicării ECTS în formarea profesională continuă includ:</w:t>
      </w:r>
    </w:p>
    <w:p w14:paraId="5D7AC07D" w14:textId="77777777" w:rsidR="00B10E2A" w:rsidRPr="00AA5144" w:rsidRDefault="00B10E2A" w:rsidP="00A41843">
      <w:pPr>
        <w:pStyle w:val="af8"/>
        <w:numPr>
          <w:ilvl w:val="0"/>
          <w:numId w:val="200"/>
        </w:numPr>
        <w:spacing w:before="120" w:beforeAutospacing="0" w:after="120" w:afterAutospacing="0" w:line="276" w:lineRule="auto"/>
        <w:jc w:val="both"/>
      </w:pPr>
      <w:r w:rsidRPr="00AA5144">
        <w:t>compatibilizarea programelor și conținuturilor de formare la nivel național și european;</w:t>
      </w:r>
    </w:p>
    <w:p w14:paraId="49376B6D" w14:textId="77777777" w:rsidR="00B10E2A" w:rsidRPr="00AA5144" w:rsidRDefault="00B10E2A" w:rsidP="00A41843">
      <w:pPr>
        <w:pStyle w:val="af8"/>
        <w:numPr>
          <w:ilvl w:val="0"/>
          <w:numId w:val="200"/>
        </w:numPr>
        <w:spacing w:before="120" w:beforeAutospacing="0" w:after="120" w:afterAutospacing="0" w:line="276" w:lineRule="auto"/>
        <w:jc w:val="both"/>
      </w:pPr>
      <w:r w:rsidRPr="00AA5144">
        <w:t>individualizarea procesului de învățare și creșterea motivației personale a cursanților;</w:t>
      </w:r>
    </w:p>
    <w:p w14:paraId="6E2123A4" w14:textId="77777777" w:rsidR="00B10E2A" w:rsidRPr="00AA5144" w:rsidRDefault="00B10E2A" w:rsidP="00A41843">
      <w:pPr>
        <w:pStyle w:val="af8"/>
        <w:numPr>
          <w:ilvl w:val="0"/>
          <w:numId w:val="200"/>
        </w:numPr>
        <w:spacing w:before="120" w:beforeAutospacing="0" w:after="120" w:afterAutospacing="0" w:line="276" w:lineRule="auto"/>
        <w:jc w:val="both"/>
      </w:pPr>
      <w:r w:rsidRPr="00AA5144">
        <w:t>comparabilitatea rezultatelor cantitative și calitative ale pregătirii beneficiarilor;</w:t>
      </w:r>
    </w:p>
    <w:p w14:paraId="08612BC4" w14:textId="77777777" w:rsidR="00B10E2A" w:rsidRPr="00AA5144" w:rsidRDefault="00B10E2A" w:rsidP="00A41843">
      <w:pPr>
        <w:pStyle w:val="af8"/>
        <w:numPr>
          <w:ilvl w:val="0"/>
          <w:numId w:val="200"/>
        </w:numPr>
        <w:spacing w:before="120" w:beforeAutospacing="0" w:after="120" w:afterAutospacing="0" w:line="276" w:lineRule="auto"/>
        <w:jc w:val="both"/>
      </w:pPr>
      <w:r w:rsidRPr="00AA5144">
        <w:t>eficientizarea lucrului individual și valorizarea rezultatelor învățării dobândite.</w:t>
      </w:r>
    </w:p>
    <w:p w14:paraId="42A66180" w14:textId="6684B338" w:rsidR="0028332D" w:rsidRPr="0028332D" w:rsidRDefault="00B10E2A" w:rsidP="00AA5144">
      <w:pPr>
        <w:pStyle w:val="af8"/>
        <w:spacing w:before="120" w:beforeAutospacing="0" w:after="120" w:afterAutospacing="0" w:line="276" w:lineRule="auto"/>
        <w:jc w:val="both"/>
      </w:pPr>
      <w:r w:rsidRPr="00AA5144">
        <w:lastRenderedPageBreak/>
        <w:t xml:space="preserve">Prin implementarea acestor prevederi, </w:t>
      </w:r>
      <w:r w:rsidRPr="00AA5144">
        <w:rPr>
          <w:rStyle w:val="af9"/>
          <w:rFonts w:eastAsiaTheme="majorEastAsia"/>
          <w:b w:val="0"/>
          <w:bCs w:val="0"/>
        </w:rPr>
        <w:t>procesul didactic în cadrul programelor de formare profesională continuă</w:t>
      </w:r>
      <w:r w:rsidRPr="00AA5144">
        <w:t xml:space="preserve"> din învățământul superior se bazează integral pe principiile ECTS, asigurând </w:t>
      </w:r>
      <w:r w:rsidRPr="00AA5144">
        <w:rPr>
          <w:rStyle w:val="af9"/>
          <w:rFonts w:eastAsiaTheme="majorEastAsia"/>
          <w:b w:val="0"/>
          <w:bCs w:val="0"/>
        </w:rPr>
        <w:t>transparența, flexibilitatea și interoperabilitatea calificărilor</w:t>
      </w:r>
      <w:r w:rsidRPr="00AA5144">
        <w:t xml:space="preserve"> în raport cu </w:t>
      </w:r>
      <w:r w:rsidRPr="00AA5144">
        <w:rPr>
          <w:rStyle w:val="af9"/>
          <w:rFonts w:eastAsiaTheme="majorEastAsia"/>
          <w:b w:val="0"/>
          <w:bCs w:val="0"/>
        </w:rPr>
        <w:t>Cadrul Național al Calificărilor (CNC)</w:t>
      </w:r>
      <w:r w:rsidRPr="00AA5144">
        <w:t xml:space="preserve">, </w:t>
      </w:r>
      <w:r w:rsidRPr="00AA5144">
        <w:rPr>
          <w:rStyle w:val="af9"/>
          <w:rFonts w:eastAsiaTheme="majorEastAsia"/>
          <w:b w:val="0"/>
          <w:bCs w:val="0"/>
        </w:rPr>
        <w:t>Cadrul European al Calificărilor (EQF)</w:t>
      </w:r>
      <w:r w:rsidRPr="00AA5144">
        <w:t xml:space="preserve"> și </w:t>
      </w:r>
      <w:r w:rsidRPr="00AA5144">
        <w:rPr>
          <w:rStyle w:val="af9"/>
          <w:rFonts w:eastAsiaTheme="majorEastAsia"/>
          <w:b w:val="0"/>
          <w:bCs w:val="0"/>
        </w:rPr>
        <w:t>Cadrul Calificărilor din Spațiul European al Învățământului Superior (QF-EHEA)</w:t>
      </w:r>
      <w:r w:rsidRPr="00AA5144">
        <w:t>.</w:t>
      </w:r>
    </w:p>
    <w:p w14:paraId="3D93EA27" w14:textId="1AF06A04" w:rsidR="0028332D" w:rsidRPr="0028332D" w:rsidRDefault="0028332D" w:rsidP="00AA5144">
      <w:pPr>
        <w:spacing w:before="120" w:after="120" w:line="276" w:lineRule="auto"/>
        <w:jc w:val="both"/>
        <w:outlineLvl w:val="3"/>
        <w:rPr>
          <w:rFonts w:ascii="Times New Roman" w:eastAsia="Times New Roman" w:hAnsi="Times New Roman" w:cs="Times New Roman"/>
          <w:kern w:val="0"/>
          <w:sz w:val="24"/>
          <w:szCs w:val="24"/>
          <w:lang w:val="ro-MD" w:eastAsia="ro-MD"/>
          <w14:ligatures w14:val="none"/>
        </w:rPr>
      </w:pPr>
      <w:r w:rsidRPr="0028332D">
        <w:rPr>
          <w:rFonts w:ascii="Times New Roman" w:eastAsia="Times New Roman" w:hAnsi="Times New Roman" w:cs="Times New Roman"/>
          <w:i/>
          <w:iCs/>
          <w:color w:val="3494BA" w:themeColor="accent1"/>
          <w:kern w:val="0"/>
          <w:sz w:val="24"/>
          <w:szCs w:val="24"/>
          <w:lang w:val="ro-MD" w:eastAsia="ro-MD"/>
          <w14:ligatures w14:val="none"/>
        </w:rPr>
        <w:t>Educația adulților</w:t>
      </w:r>
      <w:r w:rsidR="004F50A1" w:rsidRPr="00AA5144">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28332D">
        <w:rPr>
          <w:rFonts w:ascii="Times New Roman" w:eastAsia="Times New Roman" w:hAnsi="Times New Roman" w:cs="Times New Roman"/>
          <w:kern w:val="0"/>
          <w:sz w:val="24"/>
          <w:szCs w:val="24"/>
          <w:lang w:val="ro-MD" w:eastAsia="ro-MD"/>
          <w14:ligatures w14:val="none"/>
        </w:rPr>
        <w:t>Extinderea sistemului de credite la educația adulților consolidează coerența internă a CNC și confirmă aplicarea unitară a principiilor bazate pe rezultate ale învățării.</w:t>
      </w:r>
      <w:r w:rsidR="00E97570">
        <w:rPr>
          <w:rFonts w:ascii="Times New Roman" w:eastAsia="Times New Roman" w:hAnsi="Times New Roman" w:cs="Times New Roman"/>
          <w:kern w:val="0"/>
          <w:sz w:val="24"/>
          <w:szCs w:val="24"/>
          <w:lang w:val="ro-MD" w:eastAsia="ro-MD"/>
          <w14:ligatures w14:val="none"/>
        </w:rPr>
        <w:t xml:space="preserve"> </w:t>
      </w:r>
      <w:r w:rsidRPr="0028332D">
        <w:rPr>
          <w:rFonts w:ascii="Times New Roman" w:eastAsia="Times New Roman" w:hAnsi="Times New Roman" w:cs="Times New Roman"/>
          <w:kern w:val="0"/>
          <w:sz w:val="24"/>
          <w:szCs w:val="24"/>
          <w:lang w:val="ro-MD" w:eastAsia="ro-MD"/>
          <w14:ligatures w14:val="none"/>
        </w:rPr>
        <w:t xml:space="preserve">Potrivit </w:t>
      </w:r>
      <w:r w:rsidR="007624C5">
        <w:rPr>
          <w:rFonts w:ascii="Times New Roman" w:eastAsia="Times New Roman" w:hAnsi="Times New Roman" w:cs="Times New Roman"/>
          <w:color w:val="333333"/>
          <w:kern w:val="0"/>
          <w:sz w:val="24"/>
          <w:szCs w:val="24"/>
          <w:lang w:val="ro-MD" w:eastAsia="ro-MD"/>
          <w14:ligatures w14:val="none"/>
        </w:rPr>
        <w:t>a</w:t>
      </w:r>
      <w:r w:rsidR="007624C5" w:rsidRPr="00DE7D79">
        <w:rPr>
          <w:rFonts w:ascii="Times New Roman" w:eastAsia="Times New Roman" w:hAnsi="Times New Roman" w:cs="Times New Roman"/>
          <w:color w:val="333333"/>
          <w:kern w:val="0"/>
          <w:sz w:val="24"/>
          <w:szCs w:val="24"/>
          <w:lang w:val="ro-MD" w:eastAsia="ro-MD"/>
          <w14:ligatures w14:val="none"/>
        </w:rPr>
        <w:t>rt</w:t>
      </w:r>
      <w:r w:rsidR="007624C5">
        <w:rPr>
          <w:rFonts w:ascii="Times New Roman" w:eastAsia="Times New Roman" w:hAnsi="Times New Roman" w:cs="Times New Roman"/>
          <w:color w:val="333333"/>
          <w:kern w:val="0"/>
          <w:sz w:val="24"/>
          <w:szCs w:val="24"/>
          <w:lang w:val="ro-MD" w:eastAsia="ro-MD"/>
          <w14:ligatures w14:val="none"/>
        </w:rPr>
        <w:t>icolului</w:t>
      </w:r>
      <w:r w:rsidR="007624C5" w:rsidRPr="00DE7D79">
        <w:rPr>
          <w:rFonts w:ascii="Times New Roman" w:eastAsia="Times New Roman" w:hAnsi="Times New Roman" w:cs="Times New Roman"/>
          <w:color w:val="333333"/>
          <w:kern w:val="0"/>
          <w:sz w:val="24"/>
          <w:szCs w:val="24"/>
          <w:lang w:val="ro-MD" w:eastAsia="ro-MD"/>
          <w14:ligatures w14:val="none"/>
        </w:rPr>
        <w:t xml:space="preserve"> </w:t>
      </w:r>
      <w:r w:rsidR="007624C5" w:rsidRPr="00DE7D79">
        <w:rPr>
          <w:rStyle w:val="af9"/>
          <w:rFonts w:ascii="Times New Roman" w:hAnsi="Times New Roman" w:cs="Times New Roman"/>
          <w:b w:val="0"/>
          <w:bCs w:val="0"/>
          <w:color w:val="333333"/>
          <w:sz w:val="24"/>
          <w:szCs w:val="24"/>
        </w:rPr>
        <w:t>33</w:t>
      </w:r>
      <w:r w:rsidR="007624C5">
        <w:rPr>
          <w:rStyle w:val="af9"/>
          <w:rFonts w:ascii="Times New Roman" w:hAnsi="Times New Roman" w:cs="Times New Roman"/>
          <w:b w:val="0"/>
          <w:bCs w:val="0"/>
          <w:color w:val="333333"/>
          <w:sz w:val="24"/>
          <w:szCs w:val="24"/>
        </w:rPr>
        <w:t xml:space="preserve"> din </w:t>
      </w:r>
      <w:r w:rsidR="001A5CF3" w:rsidRPr="0028332D">
        <w:rPr>
          <w:rFonts w:ascii="Times New Roman" w:eastAsia="Times New Roman" w:hAnsi="Times New Roman" w:cs="Times New Roman"/>
          <w:i/>
          <w:iCs/>
          <w:kern w:val="0"/>
          <w:sz w:val="24"/>
          <w:szCs w:val="24"/>
          <w:lang w:val="ro-MD" w:eastAsia="ro-MD"/>
          <w14:ligatures w14:val="none"/>
        </w:rPr>
        <w:t xml:space="preserve">Regulamentul </w:t>
      </w:r>
      <w:r w:rsidR="00ED706E">
        <w:rPr>
          <w:rFonts w:ascii="Times New Roman" w:eastAsia="Times New Roman" w:hAnsi="Times New Roman" w:cs="Times New Roman"/>
          <w:i/>
          <w:iCs/>
          <w:kern w:val="0"/>
          <w:sz w:val="24"/>
          <w:szCs w:val="24"/>
          <w:lang w:val="ro-MD" w:eastAsia="ro-MD"/>
          <w14:ligatures w14:val="none"/>
        </w:rPr>
        <w:t xml:space="preserve">privind </w:t>
      </w:r>
      <w:r w:rsidR="001A5CF3" w:rsidRPr="0028332D">
        <w:rPr>
          <w:rFonts w:ascii="Times New Roman" w:eastAsia="Times New Roman" w:hAnsi="Times New Roman" w:cs="Times New Roman"/>
          <w:i/>
          <w:iCs/>
          <w:kern w:val="0"/>
          <w:sz w:val="24"/>
          <w:szCs w:val="24"/>
          <w:lang w:val="ro-MD" w:eastAsia="ro-MD"/>
          <w14:ligatures w14:val="none"/>
        </w:rPr>
        <w:t>educați</w:t>
      </w:r>
      <w:r w:rsidR="00ED706E">
        <w:rPr>
          <w:rFonts w:ascii="Times New Roman" w:eastAsia="Times New Roman" w:hAnsi="Times New Roman" w:cs="Times New Roman"/>
          <w:i/>
          <w:iCs/>
          <w:kern w:val="0"/>
          <w:sz w:val="24"/>
          <w:szCs w:val="24"/>
          <w:lang w:val="ro-MD" w:eastAsia="ro-MD"/>
          <w14:ligatures w14:val="none"/>
        </w:rPr>
        <w:t>a</w:t>
      </w:r>
      <w:r w:rsidR="001A5CF3" w:rsidRPr="0028332D">
        <w:rPr>
          <w:rFonts w:ascii="Times New Roman" w:eastAsia="Times New Roman" w:hAnsi="Times New Roman" w:cs="Times New Roman"/>
          <w:i/>
          <w:iCs/>
          <w:kern w:val="0"/>
          <w:sz w:val="24"/>
          <w:szCs w:val="24"/>
          <w:lang w:val="ro-MD" w:eastAsia="ro-MD"/>
          <w14:ligatures w14:val="none"/>
        </w:rPr>
        <w:t xml:space="preserve"> adulților</w:t>
      </w:r>
      <w:r w:rsidR="000F4B79">
        <w:rPr>
          <w:rStyle w:val="afc"/>
          <w:rFonts w:ascii="Times New Roman" w:eastAsia="Times New Roman" w:hAnsi="Times New Roman" w:cs="Times New Roman"/>
          <w:i/>
          <w:iCs/>
          <w:kern w:val="0"/>
          <w:sz w:val="24"/>
          <w:szCs w:val="24"/>
          <w:lang w:val="ro-MD" w:eastAsia="ro-MD"/>
          <w14:ligatures w14:val="none"/>
        </w:rPr>
        <w:footnoteReference w:id="48"/>
      </w:r>
      <w:r w:rsidR="001A5CF3">
        <w:rPr>
          <w:rFonts w:ascii="Times New Roman" w:eastAsia="Times New Roman" w:hAnsi="Times New Roman" w:cs="Times New Roman"/>
          <w:i/>
          <w:iCs/>
          <w:kern w:val="0"/>
          <w:sz w:val="24"/>
          <w:szCs w:val="24"/>
          <w:lang w:val="ro-MD" w:eastAsia="ro-MD"/>
          <w14:ligatures w14:val="none"/>
        </w:rPr>
        <w:t xml:space="preserve">, </w:t>
      </w:r>
      <w:r w:rsidR="001A5CF3" w:rsidRPr="001A5CF3">
        <w:rPr>
          <w:rFonts w:ascii="Times New Roman" w:eastAsia="Times New Roman" w:hAnsi="Times New Roman" w:cs="Times New Roman"/>
          <w:kern w:val="0"/>
          <w:sz w:val="24"/>
          <w:szCs w:val="24"/>
          <w:lang w:val="ro-MD" w:eastAsia="ro-MD"/>
          <w14:ligatures w14:val="none"/>
        </w:rPr>
        <w:t>aprobat prin</w:t>
      </w:r>
      <w:r w:rsidR="001A5CF3">
        <w:rPr>
          <w:rFonts w:ascii="Times New Roman" w:eastAsia="Times New Roman" w:hAnsi="Times New Roman" w:cs="Times New Roman"/>
          <w:kern w:val="0"/>
          <w:sz w:val="24"/>
          <w:szCs w:val="24"/>
          <w:lang w:val="ro-MD" w:eastAsia="ro-MD"/>
          <w14:ligatures w14:val="none"/>
        </w:rPr>
        <w:t xml:space="preserve"> </w:t>
      </w:r>
      <w:r w:rsidR="00E97570">
        <w:rPr>
          <w:rFonts w:ascii="Times New Roman" w:eastAsia="Times New Roman" w:hAnsi="Times New Roman" w:cs="Times New Roman"/>
          <w:kern w:val="0"/>
          <w:sz w:val="24"/>
          <w:szCs w:val="24"/>
          <w:lang w:val="ro-MD" w:eastAsia="ro-MD"/>
          <w14:ligatures w14:val="none"/>
        </w:rPr>
        <w:t>HG</w:t>
      </w:r>
      <w:r w:rsidRPr="0028332D">
        <w:rPr>
          <w:rFonts w:ascii="Times New Roman" w:eastAsia="Times New Roman" w:hAnsi="Times New Roman" w:cs="Times New Roman"/>
          <w:kern w:val="0"/>
          <w:sz w:val="24"/>
          <w:szCs w:val="24"/>
          <w:lang w:val="ro-MD" w:eastAsia="ro-MD"/>
          <w14:ligatures w14:val="none"/>
        </w:rPr>
        <w:t xml:space="preserve"> nr. 222/2024, formarea profesională a adulților în contextul educației formale se realizează pe niveluri de calificare, de la nivelul 1 până la nivelul 7 CNC, în conformitate cu structura și descriptorii CNC.</w:t>
      </w:r>
      <w:r w:rsidR="00486B93">
        <w:rPr>
          <w:rFonts w:ascii="Times New Roman" w:eastAsia="Times New Roman" w:hAnsi="Times New Roman" w:cs="Times New Roman"/>
          <w:kern w:val="0"/>
          <w:sz w:val="24"/>
          <w:szCs w:val="24"/>
          <w:lang w:val="ro-MD" w:eastAsia="ro-MD"/>
          <w14:ligatures w14:val="none"/>
        </w:rPr>
        <w:t xml:space="preserve"> </w:t>
      </w:r>
      <w:r w:rsidRPr="0028332D">
        <w:rPr>
          <w:rFonts w:ascii="Times New Roman" w:eastAsia="Times New Roman" w:hAnsi="Times New Roman" w:cs="Times New Roman"/>
          <w:kern w:val="0"/>
          <w:sz w:val="24"/>
          <w:szCs w:val="24"/>
          <w:lang w:val="ro-MD" w:eastAsia="ro-MD"/>
          <w14:ligatures w14:val="none"/>
        </w:rPr>
        <w:t xml:space="preserve">Această prevedere integrează educația adulților în arhitectura </w:t>
      </w:r>
      <w:r w:rsidR="00486B93">
        <w:rPr>
          <w:rFonts w:ascii="Times New Roman" w:eastAsia="Times New Roman" w:hAnsi="Times New Roman" w:cs="Times New Roman"/>
          <w:kern w:val="0"/>
          <w:sz w:val="24"/>
          <w:szCs w:val="24"/>
          <w:lang w:val="ro-MD" w:eastAsia="ro-MD"/>
          <w14:ligatures w14:val="none"/>
        </w:rPr>
        <w:t>CNC</w:t>
      </w:r>
      <w:r w:rsidRPr="0028332D">
        <w:rPr>
          <w:rFonts w:ascii="Times New Roman" w:eastAsia="Times New Roman" w:hAnsi="Times New Roman" w:cs="Times New Roman"/>
          <w:kern w:val="0"/>
          <w:sz w:val="24"/>
          <w:szCs w:val="24"/>
          <w:lang w:val="ro-MD" w:eastAsia="ro-MD"/>
          <w14:ligatures w14:val="none"/>
        </w:rPr>
        <w:t>, asigurând transparența, progresivitatea și comparabilitatea calificărilor.</w:t>
      </w:r>
    </w:p>
    <w:p w14:paraId="6E8AAC70" w14:textId="730F7381" w:rsidR="0028332D" w:rsidRPr="0028332D" w:rsidRDefault="0028332D" w:rsidP="00DC596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8332D">
        <w:rPr>
          <w:rFonts w:ascii="Times New Roman" w:eastAsia="Times New Roman" w:hAnsi="Times New Roman" w:cs="Times New Roman"/>
          <w:kern w:val="0"/>
          <w:sz w:val="24"/>
          <w:szCs w:val="24"/>
          <w:lang w:val="ro-MD" w:eastAsia="ro-MD"/>
          <w14:ligatures w14:val="none"/>
        </w:rPr>
        <w:t xml:space="preserve">Durata programelor de formare profesională a adulților se cuantifică în </w:t>
      </w:r>
      <w:r w:rsidRPr="0028332D">
        <w:rPr>
          <w:rFonts w:ascii="Times New Roman" w:eastAsia="Times New Roman" w:hAnsi="Times New Roman" w:cs="Times New Roman"/>
          <w:i/>
          <w:iCs/>
          <w:kern w:val="0"/>
          <w:sz w:val="24"/>
          <w:szCs w:val="24"/>
          <w:lang w:val="ro-MD" w:eastAsia="ro-MD"/>
          <w14:ligatures w14:val="none"/>
        </w:rPr>
        <w:t>credite de studii</w:t>
      </w:r>
      <w:r w:rsidRPr="0028332D">
        <w:rPr>
          <w:rFonts w:ascii="Times New Roman" w:eastAsia="Times New Roman" w:hAnsi="Times New Roman" w:cs="Times New Roman"/>
          <w:kern w:val="0"/>
          <w:sz w:val="24"/>
          <w:szCs w:val="24"/>
          <w:lang w:val="ro-MD" w:eastAsia="ro-MD"/>
          <w14:ligatures w14:val="none"/>
        </w:rPr>
        <w:t>, corespunzător volumului total de muncă necesar pentru atingerea rezultatelor învățării.</w:t>
      </w:r>
      <w:r w:rsidR="00505B21">
        <w:rPr>
          <w:rFonts w:ascii="Times New Roman" w:eastAsia="Times New Roman" w:hAnsi="Times New Roman" w:cs="Times New Roman"/>
          <w:kern w:val="0"/>
          <w:sz w:val="24"/>
          <w:szCs w:val="24"/>
          <w:lang w:val="ro-MD" w:eastAsia="ro-MD"/>
          <w14:ligatures w14:val="none"/>
        </w:rPr>
        <w:t xml:space="preserve"> </w:t>
      </w:r>
      <w:r w:rsidRPr="0028332D">
        <w:rPr>
          <w:rFonts w:ascii="Times New Roman" w:eastAsia="Times New Roman" w:hAnsi="Times New Roman" w:cs="Times New Roman"/>
          <w:kern w:val="0"/>
          <w:sz w:val="24"/>
          <w:szCs w:val="24"/>
          <w:lang w:val="ro-MD" w:eastAsia="ro-MD"/>
          <w14:ligatures w14:val="none"/>
        </w:rPr>
        <w:t>Un credit de studii reprezintă 30 de ore academice, incluzând orele de contact direct, studiul individual și activitățile practice. Raportul dintre aceste componente poate varia (1:1, 1:2 sau 1:3), în funcție de specificul programului și forma de învățământ.</w:t>
      </w:r>
      <w:r w:rsidR="00616928">
        <w:rPr>
          <w:rFonts w:ascii="Times New Roman" w:eastAsia="Times New Roman" w:hAnsi="Times New Roman" w:cs="Times New Roman"/>
          <w:kern w:val="0"/>
          <w:sz w:val="24"/>
          <w:szCs w:val="24"/>
          <w:lang w:val="ro-MD" w:eastAsia="ro-MD"/>
          <w14:ligatures w14:val="none"/>
        </w:rPr>
        <w:t xml:space="preserve"> </w:t>
      </w:r>
      <w:r w:rsidRPr="0028332D">
        <w:rPr>
          <w:rFonts w:ascii="Times New Roman" w:eastAsia="Times New Roman" w:hAnsi="Times New Roman" w:cs="Times New Roman"/>
          <w:kern w:val="0"/>
          <w:sz w:val="24"/>
          <w:szCs w:val="24"/>
          <w:lang w:val="ro-MD" w:eastAsia="ro-MD"/>
          <w14:ligatures w14:val="none"/>
        </w:rPr>
        <w:t>Creditele sunt alocate fiecărei unități de curs sau modul distinct și exprimă efortul total al beneficiarului</w:t>
      </w:r>
      <w:r w:rsidR="0081298C" w:rsidRPr="0081298C">
        <w:rPr>
          <w:rFonts w:ascii="Times New Roman" w:eastAsia="Times New Roman" w:hAnsi="Times New Roman" w:cs="Times New Roman"/>
          <w:kern w:val="0"/>
          <w:sz w:val="24"/>
          <w:szCs w:val="24"/>
          <w:lang w:val="ro-MD" w:eastAsia="ro-MD"/>
          <w14:ligatures w14:val="none"/>
        </w:rPr>
        <w:t xml:space="preserve"> </w:t>
      </w:r>
      <w:r w:rsidR="0081298C" w:rsidRPr="00277DEF">
        <w:rPr>
          <w:rFonts w:ascii="Times New Roman" w:eastAsia="Times New Roman" w:hAnsi="Times New Roman" w:cs="Times New Roman"/>
          <w:kern w:val="0"/>
          <w:sz w:val="24"/>
          <w:szCs w:val="24"/>
          <w:lang w:val="ro-MD" w:eastAsia="ro-MD"/>
          <w14:ligatures w14:val="none"/>
        </w:rPr>
        <w:t>pentru atingerea rezultatelor prevăzute</w:t>
      </w:r>
      <w:r w:rsidRPr="0028332D">
        <w:rPr>
          <w:rFonts w:ascii="Times New Roman" w:eastAsia="Times New Roman" w:hAnsi="Times New Roman" w:cs="Times New Roman"/>
          <w:kern w:val="0"/>
          <w:sz w:val="24"/>
          <w:szCs w:val="24"/>
          <w:lang w:val="ro-MD" w:eastAsia="ro-MD"/>
          <w14:ligatures w14:val="none"/>
        </w:rPr>
        <w:t>, fără a reflecta gradul de dificultate al conținutului sau volumul de muncă al cadrelor didactice.</w:t>
      </w:r>
    </w:p>
    <w:p w14:paraId="59062F76" w14:textId="1C89353C" w:rsidR="0028332D" w:rsidRPr="0028332D" w:rsidRDefault="0028332D" w:rsidP="00DC596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8332D">
        <w:rPr>
          <w:rFonts w:ascii="Times New Roman" w:eastAsia="Times New Roman" w:hAnsi="Times New Roman" w:cs="Times New Roman"/>
          <w:kern w:val="0"/>
          <w:sz w:val="24"/>
          <w:szCs w:val="24"/>
          <w:lang w:val="ro-MD" w:eastAsia="ro-MD"/>
          <w14:ligatures w14:val="none"/>
        </w:rPr>
        <w:t>Prin aplicarea acestor reglementări, sistemul de credite devine instrumentul comun de cuantificare, acumulare și recunoaștere a rezultatelor învățării în toate formele educaționale</w:t>
      </w:r>
      <w:r w:rsidR="00EC5BE4">
        <w:rPr>
          <w:rFonts w:ascii="Times New Roman" w:eastAsia="Times New Roman" w:hAnsi="Times New Roman" w:cs="Times New Roman"/>
          <w:kern w:val="0"/>
          <w:sz w:val="24"/>
          <w:szCs w:val="24"/>
          <w:lang w:val="ro-MD" w:eastAsia="ro-MD"/>
          <w14:ligatures w14:val="none"/>
        </w:rPr>
        <w:t>:</w:t>
      </w:r>
      <w:r w:rsidRPr="0028332D">
        <w:rPr>
          <w:rFonts w:ascii="Times New Roman" w:eastAsia="Times New Roman" w:hAnsi="Times New Roman" w:cs="Times New Roman"/>
          <w:kern w:val="0"/>
          <w:sz w:val="24"/>
          <w:szCs w:val="24"/>
          <w:lang w:val="ro-MD" w:eastAsia="ro-MD"/>
          <w14:ligatures w14:val="none"/>
        </w:rPr>
        <w:t xml:space="preserve"> </w:t>
      </w:r>
      <w:r w:rsidR="00D43D59">
        <w:rPr>
          <w:rFonts w:ascii="Times New Roman" w:eastAsia="Times New Roman" w:hAnsi="Times New Roman" w:cs="Times New Roman"/>
          <w:kern w:val="0"/>
          <w:sz w:val="24"/>
          <w:szCs w:val="24"/>
          <w:lang w:val="ro-MD" w:eastAsia="ro-MD"/>
          <w14:ligatures w14:val="none"/>
        </w:rPr>
        <w:t>ÎPT</w:t>
      </w:r>
      <w:r w:rsidRPr="0028332D">
        <w:rPr>
          <w:rFonts w:ascii="Times New Roman" w:eastAsia="Times New Roman" w:hAnsi="Times New Roman" w:cs="Times New Roman"/>
          <w:kern w:val="0"/>
          <w:sz w:val="24"/>
          <w:szCs w:val="24"/>
          <w:lang w:val="ro-MD" w:eastAsia="ro-MD"/>
          <w14:ligatures w14:val="none"/>
        </w:rPr>
        <w:t xml:space="preserve">, </w:t>
      </w:r>
      <w:r w:rsidR="00D43D59">
        <w:rPr>
          <w:rFonts w:ascii="Times New Roman" w:eastAsia="Times New Roman" w:hAnsi="Times New Roman" w:cs="Times New Roman"/>
          <w:kern w:val="0"/>
          <w:sz w:val="24"/>
          <w:szCs w:val="24"/>
          <w:lang w:val="ro-MD" w:eastAsia="ro-MD"/>
          <w14:ligatures w14:val="none"/>
        </w:rPr>
        <w:t>ÎS</w:t>
      </w:r>
      <w:r w:rsidRPr="0028332D">
        <w:rPr>
          <w:rFonts w:ascii="Times New Roman" w:eastAsia="Times New Roman" w:hAnsi="Times New Roman" w:cs="Times New Roman"/>
          <w:kern w:val="0"/>
          <w:sz w:val="24"/>
          <w:szCs w:val="24"/>
          <w:lang w:val="ro-MD" w:eastAsia="ro-MD"/>
          <w14:ligatures w14:val="none"/>
        </w:rPr>
        <w:t xml:space="preserve"> și </w:t>
      </w:r>
      <w:r w:rsidR="00D513BE">
        <w:rPr>
          <w:rFonts w:ascii="Times New Roman" w:eastAsia="Times New Roman" w:hAnsi="Times New Roman" w:cs="Times New Roman"/>
          <w:kern w:val="0"/>
          <w:sz w:val="24"/>
          <w:szCs w:val="24"/>
          <w:lang w:val="ro-MD" w:eastAsia="ro-MD"/>
          <w14:ligatures w14:val="none"/>
        </w:rPr>
        <w:t>educația</w:t>
      </w:r>
      <w:r w:rsidRPr="0028332D">
        <w:rPr>
          <w:rFonts w:ascii="Times New Roman" w:eastAsia="Times New Roman" w:hAnsi="Times New Roman" w:cs="Times New Roman"/>
          <w:kern w:val="0"/>
          <w:sz w:val="24"/>
          <w:szCs w:val="24"/>
          <w:lang w:val="ro-MD" w:eastAsia="ro-MD"/>
          <w14:ligatures w14:val="none"/>
        </w:rPr>
        <w:t xml:space="preserve"> adulților.</w:t>
      </w:r>
      <w:r w:rsidR="00EC5BE4">
        <w:rPr>
          <w:rFonts w:ascii="Times New Roman" w:eastAsia="Times New Roman" w:hAnsi="Times New Roman" w:cs="Times New Roman"/>
          <w:kern w:val="0"/>
          <w:sz w:val="24"/>
          <w:szCs w:val="24"/>
          <w:lang w:val="ro-MD" w:eastAsia="ro-MD"/>
          <w14:ligatures w14:val="none"/>
        </w:rPr>
        <w:t xml:space="preserve"> </w:t>
      </w:r>
      <w:r w:rsidRPr="0028332D">
        <w:rPr>
          <w:rFonts w:ascii="Times New Roman" w:eastAsia="Times New Roman" w:hAnsi="Times New Roman" w:cs="Times New Roman"/>
          <w:kern w:val="0"/>
          <w:sz w:val="24"/>
          <w:szCs w:val="24"/>
          <w:lang w:val="ro-MD" w:eastAsia="ro-MD"/>
          <w14:ligatures w14:val="none"/>
        </w:rPr>
        <w:t>Această abordare permite valorificarea rezultatelor învățării dobândite anterior, sprijină mobilitatea și transferul creditelor între instituții și subsisteme, și promovează învățarea pe tot parcursul vieții.</w:t>
      </w:r>
      <w:r w:rsidR="009071E5" w:rsidRPr="009071E5">
        <w:rPr>
          <w:rFonts w:ascii="Times New Roman" w:eastAsia="Times New Roman" w:hAnsi="Times New Roman" w:cs="Times New Roman"/>
          <w:kern w:val="0"/>
          <w:sz w:val="24"/>
          <w:szCs w:val="24"/>
          <w:lang w:val="ro-MD" w:eastAsia="ro-MD"/>
          <w14:ligatures w14:val="none"/>
        </w:rPr>
        <w:t xml:space="preserve"> </w:t>
      </w:r>
      <w:r w:rsidR="009071E5" w:rsidRPr="00277DEF">
        <w:rPr>
          <w:rFonts w:ascii="Times New Roman" w:eastAsia="Times New Roman" w:hAnsi="Times New Roman" w:cs="Times New Roman"/>
          <w:kern w:val="0"/>
          <w:sz w:val="24"/>
          <w:szCs w:val="24"/>
          <w:lang w:val="ro-MD" w:eastAsia="ro-MD"/>
          <w14:ligatures w14:val="none"/>
        </w:rPr>
        <w:t>Astfel, adulții pot valorifica rezultatele învățării dobândite în diverse contexte, iar furnizorii de formare pot proiecta programe flexibile și compatibile cu CNC, ECVET și ECTS.</w:t>
      </w:r>
    </w:p>
    <w:p w14:paraId="2D5FC557" w14:textId="417A942E" w:rsidR="008B2DAD" w:rsidRDefault="008B2DAD" w:rsidP="00567137">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8B2DAD">
        <w:rPr>
          <w:rFonts w:ascii="Times New Roman" w:eastAsia="Times New Roman" w:hAnsi="Times New Roman" w:cs="Times New Roman"/>
          <w:i/>
          <w:iCs/>
          <w:color w:val="3494BA" w:themeColor="accent1"/>
          <w:kern w:val="0"/>
          <w:sz w:val="24"/>
          <w:szCs w:val="24"/>
          <w:lang w:val="ro-MD" w:eastAsia="ro-MD"/>
          <w14:ligatures w14:val="none"/>
        </w:rPr>
        <w:t>Cadrul de reglementare și asigurarea calității</w:t>
      </w:r>
      <w:r w:rsidR="00567137">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8B2DAD">
        <w:rPr>
          <w:rFonts w:ascii="Times New Roman" w:eastAsia="Times New Roman" w:hAnsi="Times New Roman" w:cs="Times New Roman"/>
          <w:kern w:val="0"/>
          <w:sz w:val="24"/>
          <w:szCs w:val="24"/>
          <w:lang w:val="ro-MD" w:eastAsia="ro-MD"/>
          <w14:ligatures w14:val="none"/>
        </w:rPr>
        <w:t xml:space="preserve">Conform pct. 50–51 din </w:t>
      </w:r>
      <w:r w:rsidR="008167EB">
        <w:rPr>
          <w:rFonts w:ascii="Times New Roman" w:eastAsia="Times New Roman" w:hAnsi="Times New Roman" w:cs="Times New Roman"/>
          <w:kern w:val="0"/>
          <w:sz w:val="24"/>
          <w:szCs w:val="24"/>
          <w:lang w:val="ro-MD" w:eastAsia="ro-MD"/>
          <w14:ligatures w14:val="none"/>
        </w:rPr>
        <w:t xml:space="preserve">Anexa nr 1 </w:t>
      </w:r>
      <w:r w:rsidR="000E5732">
        <w:rPr>
          <w:rFonts w:ascii="Times New Roman" w:eastAsia="Times New Roman" w:hAnsi="Times New Roman" w:cs="Times New Roman"/>
          <w:kern w:val="0"/>
          <w:sz w:val="24"/>
          <w:szCs w:val="24"/>
          <w:lang w:val="ro-MD" w:eastAsia="ro-MD"/>
          <w14:ligatures w14:val="none"/>
        </w:rPr>
        <w:t xml:space="preserve">la </w:t>
      </w:r>
      <w:r w:rsidRPr="008B2DAD">
        <w:rPr>
          <w:rFonts w:ascii="Times New Roman" w:eastAsia="Times New Roman" w:hAnsi="Times New Roman" w:cs="Times New Roman"/>
          <w:kern w:val="0"/>
          <w:sz w:val="24"/>
          <w:szCs w:val="24"/>
          <w:lang w:val="ro-MD" w:eastAsia="ro-MD"/>
          <w14:ligatures w14:val="none"/>
        </w:rPr>
        <w:t>HG nr. 330/2023, alocarea, acumularea și transferul creditelor se realizează în baza actelor normative aprobate de Ministerul Educației și Cercetării (MEC).</w:t>
      </w:r>
      <w:r w:rsidR="00193020" w:rsidRPr="000A55D0">
        <w:rPr>
          <w:rFonts w:ascii="Times New Roman" w:eastAsia="Times New Roman" w:hAnsi="Times New Roman" w:cs="Times New Roman"/>
          <w:kern w:val="0"/>
          <w:sz w:val="24"/>
          <w:szCs w:val="24"/>
          <w:lang w:val="ro-MD" w:eastAsia="ro-MD"/>
          <w14:ligatures w14:val="none"/>
        </w:rPr>
        <w:t xml:space="preserve"> </w:t>
      </w:r>
      <w:r w:rsidRPr="008B2DAD">
        <w:rPr>
          <w:rFonts w:ascii="Times New Roman" w:eastAsia="Times New Roman" w:hAnsi="Times New Roman" w:cs="Times New Roman"/>
          <w:kern w:val="0"/>
          <w:sz w:val="24"/>
          <w:szCs w:val="24"/>
          <w:lang w:val="ro-MD" w:eastAsia="ro-MD"/>
          <w14:ligatures w14:val="none"/>
        </w:rPr>
        <w:t>MEC elaborează și actualizează ghidurile naționale pentru aplicarea sistemelor ECTS și ECVET, în conformitate cu instrumentele europene.</w:t>
      </w:r>
      <w:r w:rsidR="00193020" w:rsidRPr="000A55D0">
        <w:rPr>
          <w:rFonts w:ascii="Times New Roman" w:eastAsia="Times New Roman" w:hAnsi="Times New Roman" w:cs="Times New Roman"/>
          <w:kern w:val="0"/>
          <w:sz w:val="24"/>
          <w:szCs w:val="24"/>
          <w:lang w:val="ro-MD" w:eastAsia="ro-MD"/>
          <w14:ligatures w14:val="none"/>
        </w:rPr>
        <w:t xml:space="preserve"> </w:t>
      </w:r>
      <w:r w:rsidRPr="008B2DAD">
        <w:rPr>
          <w:rFonts w:ascii="Times New Roman" w:eastAsia="Times New Roman" w:hAnsi="Times New Roman" w:cs="Times New Roman"/>
          <w:kern w:val="0"/>
          <w:sz w:val="24"/>
          <w:szCs w:val="24"/>
          <w:lang w:val="ro-MD" w:eastAsia="ro-MD"/>
          <w14:ligatures w14:val="none"/>
        </w:rPr>
        <w:t>Aplicarea corectă a sistemului de credite este monitorizată prin procedurile de evaluare externă ale ANACEC, care verifică coerența dintre volumul de muncă al elevilor/studenților, rezultatele învățării și nivelurile de calificare, asigurând astfel calitatea și credibilitatea procesului de creditare.</w:t>
      </w:r>
    </w:p>
    <w:p w14:paraId="23E6F855" w14:textId="3CC646F4" w:rsidR="002553A1" w:rsidRPr="000B5E44" w:rsidRDefault="002553A1" w:rsidP="000B5E44">
      <w:pPr>
        <w:pStyle w:val="af8"/>
        <w:spacing w:before="120" w:beforeAutospacing="0" w:after="120" w:afterAutospacing="0" w:line="276" w:lineRule="auto"/>
        <w:jc w:val="both"/>
        <w:rPr>
          <w:lang w:val="ro-MD"/>
        </w:rPr>
      </w:pPr>
      <w:r w:rsidRPr="000B5E44">
        <w:rPr>
          <w:lang w:val="ro-MD"/>
        </w:rPr>
        <w:t>Integrarea sistemelor ECVET și ECTS în arhitectura CNC reflectă aplicarea coerentă și sistematică a principiilor bazate pe rezultate ale învățării și a mecanismelor de transfer, acumulare și recunoaștere a acestora. Prin operaționalizarea creditelor de studii pentru calificări complete și parțiale, sistemul național asigură interconectarea între subsistemele educaționale și valorificarea rezultatelor învățării dobândite în contexte formale, nonformale și informale.</w:t>
      </w:r>
    </w:p>
    <w:p w14:paraId="6ED18C2C" w14:textId="72FACB1E" w:rsidR="002553A1" w:rsidRPr="000B5E44" w:rsidRDefault="002553A1" w:rsidP="000B5E44">
      <w:pPr>
        <w:pStyle w:val="af8"/>
        <w:spacing w:before="120" w:beforeAutospacing="0" w:after="120" w:afterAutospacing="0" w:line="276" w:lineRule="auto"/>
        <w:jc w:val="both"/>
        <w:rPr>
          <w:lang w:val="ro-MD"/>
        </w:rPr>
      </w:pPr>
      <w:r w:rsidRPr="000B5E44">
        <w:rPr>
          <w:lang w:val="ro-MD"/>
        </w:rPr>
        <w:t>Această abordare consolidează transparența, flexibilitatea și mobilitatea în cadrul proceselor educaționale și profesionale, contribuind la comparabilitatea și compatibilitatea internațională a calificărilor din Republica Moldova.</w:t>
      </w:r>
    </w:p>
    <w:p w14:paraId="3CEE503C" w14:textId="1F441E50" w:rsidR="004263AF" w:rsidRPr="002C1A5B" w:rsidRDefault="004263AF" w:rsidP="002C1A5B">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0A55D0">
        <w:rPr>
          <w:rFonts w:ascii="Times New Roman" w:eastAsia="Times New Roman" w:hAnsi="Times New Roman" w:cs="Times New Roman"/>
          <w:b/>
          <w:bCs/>
          <w:color w:val="3494BA" w:themeColor="accent1"/>
          <w:kern w:val="0"/>
          <w:sz w:val="24"/>
          <w:szCs w:val="24"/>
          <w:lang w:val="ro-MD" w:eastAsia="ro-MD"/>
          <w14:ligatures w14:val="none"/>
        </w:rPr>
        <w:t xml:space="preserve">5. </w:t>
      </w:r>
      <w:r w:rsidRPr="002C1A5B">
        <w:rPr>
          <w:rFonts w:ascii="Times New Roman" w:eastAsia="Times New Roman" w:hAnsi="Times New Roman" w:cs="Times New Roman"/>
          <w:b/>
          <w:bCs/>
          <w:color w:val="3494BA" w:themeColor="accent1"/>
          <w:kern w:val="0"/>
          <w:sz w:val="24"/>
          <w:szCs w:val="24"/>
          <w:lang w:val="ro-MD" w:eastAsia="ro-MD"/>
          <w14:ligatures w14:val="none"/>
        </w:rPr>
        <w:t xml:space="preserve">Validarea și recunoașterea rezultatelor învățării </w:t>
      </w:r>
      <w:r w:rsidR="00176EE7" w:rsidRPr="00176EE7">
        <w:rPr>
          <w:rFonts w:ascii="Times New Roman" w:eastAsia="Times New Roman" w:hAnsi="Times New Roman" w:cs="Times New Roman"/>
          <w:b/>
          <w:bCs/>
          <w:color w:val="3494BA" w:themeColor="accent1"/>
          <w:kern w:val="0"/>
          <w:sz w:val="24"/>
          <w:szCs w:val="24"/>
          <w:lang w:eastAsia="ro-MD"/>
          <w14:ligatures w14:val="none"/>
        </w:rPr>
        <w:t>nonformale și informale</w:t>
      </w:r>
    </w:p>
    <w:p w14:paraId="74BE01B1" w14:textId="114312A0" w:rsidR="00DE0F1B" w:rsidRPr="00DE0F1B" w:rsidRDefault="00DE0F1B" w:rsidP="00567137">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i/>
          <w:iCs/>
          <w:color w:val="3494BA" w:themeColor="accent1"/>
          <w:kern w:val="0"/>
          <w:sz w:val="24"/>
          <w:szCs w:val="24"/>
          <w:lang w:val="ro-MD" w:eastAsia="ro-MD"/>
          <w14:ligatures w14:val="none"/>
        </w:rPr>
        <w:lastRenderedPageBreak/>
        <w:t>Fundamentul legislativ</w:t>
      </w:r>
      <w:r w:rsidR="00567137">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Recunoașterea și validarea rezultatelor învățării dobândite în contexte formale, nonformale și informale reprezintă un pilon esențial al CNC, consolidând principiile transparenței, incluziunii și învățării pe tot parcursul vieții.</w:t>
      </w:r>
      <w:r w:rsidR="00742F9A">
        <w:rPr>
          <w:rFonts w:ascii="Times New Roman" w:eastAsia="Times New Roman" w:hAnsi="Times New Roman" w:cs="Times New Roman"/>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Potrivit articolului 123 alin. (7</w:t>
      </w:r>
      <w:r w:rsidR="00742F9A">
        <w:rPr>
          <w:rFonts w:ascii="Times New Roman" w:eastAsia="Times New Roman" w:hAnsi="Times New Roman" w:cs="Times New Roman"/>
          <w:kern w:val="0"/>
          <w:sz w:val="24"/>
          <w:szCs w:val="24"/>
          <w:lang w:val="ro-MD" w:eastAsia="ro-MD"/>
          <w14:ligatures w14:val="none"/>
        </w:rPr>
        <w:t>-</w:t>
      </w:r>
      <w:r w:rsidRPr="00DE0F1B">
        <w:rPr>
          <w:rFonts w:ascii="Times New Roman" w:eastAsia="Times New Roman" w:hAnsi="Times New Roman" w:cs="Times New Roman"/>
          <w:kern w:val="0"/>
          <w:sz w:val="24"/>
          <w:szCs w:val="24"/>
          <w:lang w:val="ro-MD" w:eastAsia="ro-MD"/>
          <w14:ligatures w14:val="none"/>
        </w:rPr>
        <w:t>11) din Codul educației nr. 152/2014, învățarea nonformală este integrată în activități planificate, dar care nu urmează un curriculum formal, iar învățarea informală se desfășoară în contexte cotidiene, neorganizate, precum munca, familia sau timpul liber.</w:t>
      </w:r>
      <w:r w:rsidR="001634EF">
        <w:rPr>
          <w:rFonts w:ascii="Times New Roman" w:eastAsia="Times New Roman" w:hAnsi="Times New Roman" w:cs="Times New Roman"/>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Ambele forme pot conduce la dobândirea de competențe ce pot fi evaluate, recunoscute și certificate de structuri abilitate, conform regulamentelor aprobate de MEC.</w:t>
      </w:r>
    </w:p>
    <w:p w14:paraId="04A4E51D" w14:textId="753268A2" w:rsidR="00DE0F1B" w:rsidRPr="00DE0F1B" w:rsidRDefault="00DE0F1B" w:rsidP="00DE2CDD">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i/>
          <w:iCs/>
          <w:color w:val="3494BA" w:themeColor="accent1"/>
          <w:kern w:val="0"/>
          <w:sz w:val="24"/>
          <w:szCs w:val="24"/>
          <w:lang w:val="ro-MD" w:eastAsia="ro-MD"/>
          <w14:ligatures w14:val="none"/>
        </w:rPr>
        <w:t>Reglementări guvernamentale și principii ale validării</w:t>
      </w:r>
      <w:r w:rsidR="00DE2CDD">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H</w:t>
      </w:r>
      <w:r w:rsidR="00663714">
        <w:rPr>
          <w:rFonts w:ascii="Times New Roman" w:eastAsia="Times New Roman" w:hAnsi="Times New Roman" w:cs="Times New Roman"/>
          <w:kern w:val="0"/>
          <w:sz w:val="24"/>
          <w:szCs w:val="24"/>
          <w:lang w:val="ro-MD" w:eastAsia="ro-MD"/>
          <w14:ligatures w14:val="none"/>
        </w:rPr>
        <w:t xml:space="preserve">G </w:t>
      </w:r>
      <w:r w:rsidRPr="00DE0F1B">
        <w:rPr>
          <w:rFonts w:ascii="Times New Roman" w:eastAsia="Times New Roman" w:hAnsi="Times New Roman" w:cs="Times New Roman"/>
          <w:kern w:val="0"/>
          <w:sz w:val="24"/>
          <w:szCs w:val="24"/>
          <w:lang w:val="ro-MD" w:eastAsia="ro-MD"/>
          <w14:ligatures w14:val="none"/>
        </w:rPr>
        <w:t xml:space="preserve">nr. 330/2023, care aprobă Cadrul Național al Calificărilor, stabilește </w:t>
      </w:r>
      <w:r w:rsidR="00FE23A2">
        <w:rPr>
          <w:rFonts w:ascii="Times New Roman" w:eastAsia="Times New Roman" w:hAnsi="Times New Roman" w:cs="Times New Roman"/>
          <w:kern w:val="0"/>
          <w:sz w:val="24"/>
          <w:szCs w:val="24"/>
          <w:lang w:val="ro-MD" w:eastAsia="ro-MD"/>
          <w14:ligatures w14:val="none"/>
        </w:rPr>
        <w:t xml:space="preserve">în Anexa 1, </w:t>
      </w:r>
      <w:r w:rsidRPr="00DE0F1B">
        <w:rPr>
          <w:rFonts w:ascii="Times New Roman" w:eastAsia="Times New Roman" w:hAnsi="Times New Roman" w:cs="Times New Roman"/>
          <w:kern w:val="0"/>
          <w:sz w:val="24"/>
          <w:szCs w:val="24"/>
          <w:lang w:val="ro-MD" w:eastAsia="ro-MD"/>
          <w14:ligatures w14:val="none"/>
        </w:rPr>
        <w:t xml:space="preserve">punctele 126–136 procedura de recunoaștere și validare a rezultatelor învățării anterioare </w:t>
      </w:r>
      <w:r w:rsidR="003E44FE">
        <w:rPr>
          <w:rFonts w:ascii="Times New Roman" w:eastAsia="Times New Roman" w:hAnsi="Times New Roman" w:cs="Times New Roman"/>
          <w:kern w:val="0"/>
          <w:sz w:val="24"/>
          <w:szCs w:val="24"/>
          <w:lang w:val="ro-MD" w:eastAsia="ro-MD"/>
          <w14:ligatures w14:val="none"/>
        </w:rPr>
        <w:t>care</w:t>
      </w:r>
      <w:r w:rsidRPr="00DE0F1B">
        <w:rPr>
          <w:rFonts w:ascii="Times New Roman" w:eastAsia="Times New Roman" w:hAnsi="Times New Roman" w:cs="Times New Roman"/>
          <w:kern w:val="0"/>
          <w:sz w:val="24"/>
          <w:szCs w:val="24"/>
          <w:lang w:val="ro-MD" w:eastAsia="ro-MD"/>
          <w14:ligatures w14:val="none"/>
        </w:rPr>
        <w:t>:</w:t>
      </w:r>
    </w:p>
    <w:p w14:paraId="44F64C5F" w14:textId="77777777" w:rsidR="00DE0F1B" w:rsidRPr="00DE0F1B" w:rsidRDefault="00DE0F1B" w:rsidP="00A41843">
      <w:pPr>
        <w:numPr>
          <w:ilvl w:val="0"/>
          <w:numId w:val="19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este corelată cu CNC și conformă EQF,</w:t>
      </w:r>
    </w:p>
    <w:p w14:paraId="37DCB340" w14:textId="77777777" w:rsidR="00DE0F1B" w:rsidRPr="00DE0F1B" w:rsidRDefault="00DE0F1B" w:rsidP="00A41843">
      <w:pPr>
        <w:numPr>
          <w:ilvl w:val="0"/>
          <w:numId w:val="19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integrează măsuri de incluziune socială pentru grupurile defavorizate (persoane aflate în șomaj sau expuse riscului de șomaj),</w:t>
      </w:r>
    </w:p>
    <w:p w14:paraId="203BFE3A" w14:textId="77777777" w:rsidR="00DE0F1B" w:rsidRPr="00DE0F1B" w:rsidRDefault="00DE0F1B" w:rsidP="00A41843">
      <w:pPr>
        <w:numPr>
          <w:ilvl w:val="0"/>
          <w:numId w:val="19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permite recunoașterea calificărilor complete sau parțiale obținute prin experiențe nonformale și informale,</w:t>
      </w:r>
    </w:p>
    <w:p w14:paraId="3F0E389A" w14:textId="3125603C" w:rsidR="00DE0F1B" w:rsidRPr="00DE0F1B" w:rsidRDefault="00DE0F1B" w:rsidP="00A41843">
      <w:pPr>
        <w:numPr>
          <w:ilvl w:val="0"/>
          <w:numId w:val="196"/>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utilizează instrumente europene de transparență, precum Europass și Youthpass, pentru documentarea rezultatelor învățării și facilitarea mobilității academice și profesionale.</w:t>
      </w:r>
    </w:p>
    <w:p w14:paraId="170494E4" w14:textId="22062337" w:rsidR="00DE0F1B" w:rsidRPr="00DE0F1B" w:rsidRDefault="00DE0F1B" w:rsidP="007014C3">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De asemenea, punctele 130–133 confirmă că în procesul de validare se aplică principiile de calitate și sistemul de alocare a creditelor de studii, iar accesul la evaluare este deschis oricărei persoane care deține competențe relevante calificării respective.</w:t>
      </w:r>
    </w:p>
    <w:p w14:paraId="24727054" w14:textId="588D428F" w:rsidR="00DE0F1B" w:rsidRPr="00DE0F1B" w:rsidRDefault="0058246A" w:rsidP="007014C3">
      <w:pPr>
        <w:pStyle w:val="afa"/>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8332D">
        <w:rPr>
          <w:rFonts w:ascii="Times New Roman" w:eastAsia="Times New Roman" w:hAnsi="Times New Roman" w:cs="Times New Roman"/>
          <w:kern w:val="0"/>
          <w:sz w:val="24"/>
          <w:szCs w:val="24"/>
          <w:lang w:val="ro-MD" w:eastAsia="ro-MD"/>
          <w14:ligatures w14:val="none"/>
        </w:rPr>
        <w:t xml:space="preserve">Regulamentul </w:t>
      </w:r>
      <w:r w:rsidRPr="00377F1D">
        <w:rPr>
          <w:rFonts w:ascii="Times New Roman" w:eastAsia="Times New Roman" w:hAnsi="Times New Roman" w:cs="Times New Roman"/>
          <w:kern w:val="0"/>
          <w:sz w:val="24"/>
          <w:szCs w:val="24"/>
          <w:lang w:val="ro-MD" w:eastAsia="ro-MD"/>
          <w14:ligatures w14:val="none"/>
        </w:rPr>
        <w:t xml:space="preserve">privind </w:t>
      </w:r>
      <w:r w:rsidRPr="0028332D">
        <w:rPr>
          <w:rFonts w:ascii="Times New Roman" w:eastAsia="Times New Roman" w:hAnsi="Times New Roman" w:cs="Times New Roman"/>
          <w:kern w:val="0"/>
          <w:sz w:val="24"/>
          <w:szCs w:val="24"/>
          <w:lang w:val="ro-MD" w:eastAsia="ro-MD"/>
          <w14:ligatures w14:val="none"/>
        </w:rPr>
        <w:t>educați</w:t>
      </w:r>
      <w:r w:rsidRPr="00377F1D">
        <w:rPr>
          <w:rFonts w:ascii="Times New Roman" w:eastAsia="Times New Roman" w:hAnsi="Times New Roman" w:cs="Times New Roman"/>
          <w:kern w:val="0"/>
          <w:sz w:val="24"/>
          <w:szCs w:val="24"/>
          <w:lang w:val="ro-MD" w:eastAsia="ro-MD"/>
          <w14:ligatures w14:val="none"/>
        </w:rPr>
        <w:t>a</w:t>
      </w:r>
      <w:r w:rsidRPr="0028332D">
        <w:rPr>
          <w:rFonts w:ascii="Times New Roman" w:eastAsia="Times New Roman" w:hAnsi="Times New Roman" w:cs="Times New Roman"/>
          <w:kern w:val="0"/>
          <w:sz w:val="24"/>
          <w:szCs w:val="24"/>
          <w:lang w:val="ro-MD" w:eastAsia="ro-MD"/>
          <w14:ligatures w14:val="none"/>
        </w:rPr>
        <w:t xml:space="preserve"> adulților</w:t>
      </w:r>
      <w:r w:rsidR="00377F1D">
        <w:rPr>
          <w:rStyle w:val="afc"/>
          <w:rFonts w:ascii="Times New Roman" w:eastAsia="Times New Roman" w:hAnsi="Times New Roman" w:cs="Times New Roman"/>
          <w:kern w:val="0"/>
          <w:sz w:val="24"/>
          <w:szCs w:val="24"/>
          <w:lang w:val="ro-MD" w:eastAsia="ro-MD"/>
          <w14:ligatures w14:val="none"/>
        </w:rPr>
        <w:footnoteReference w:id="49"/>
      </w:r>
      <w:r>
        <w:rPr>
          <w:rFonts w:ascii="Times New Roman" w:eastAsia="Times New Roman" w:hAnsi="Times New Roman" w:cs="Times New Roman"/>
          <w:kern w:val="0"/>
          <w:lang w:val="ro-MD" w:eastAsia="ro-MD"/>
          <w14:ligatures w14:val="none"/>
        </w:rPr>
        <w:t>,</w:t>
      </w:r>
      <w:r w:rsidRPr="002E1702">
        <w:rPr>
          <w:rFonts w:ascii="Times New Roman" w:eastAsia="Times New Roman" w:hAnsi="Times New Roman" w:cs="Times New Roman"/>
          <w:kern w:val="0"/>
          <w:lang w:val="ro-MD" w:eastAsia="ro-MD"/>
          <w14:ligatures w14:val="none"/>
        </w:rPr>
        <w:t xml:space="preserve"> </w:t>
      </w:r>
      <w:r w:rsidR="00DE0F1B" w:rsidRPr="00DE0F1B">
        <w:rPr>
          <w:rFonts w:ascii="Times New Roman" w:eastAsia="Times New Roman" w:hAnsi="Times New Roman" w:cs="Times New Roman"/>
          <w:kern w:val="0"/>
          <w:sz w:val="24"/>
          <w:szCs w:val="24"/>
          <w:lang w:val="ro-MD" w:eastAsia="ro-MD"/>
          <w14:ligatures w14:val="none"/>
        </w:rPr>
        <w:t>detaliază organizarea educației nonformale și informale în contextul învățării pe tot parcursul vieții.</w:t>
      </w:r>
      <w:r w:rsidR="00892DFD">
        <w:rPr>
          <w:rFonts w:ascii="Times New Roman" w:eastAsia="Times New Roman" w:hAnsi="Times New Roman" w:cs="Times New Roman"/>
          <w:kern w:val="0"/>
          <w:sz w:val="24"/>
          <w:szCs w:val="24"/>
          <w:lang w:val="ro-MD" w:eastAsia="ro-MD"/>
          <w14:ligatures w14:val="none"/>
        </w:rPr>
        <w:t xml:space="preserve"> </w:t>
      </w:r>
      <w:r w:rsidR="00DE0F1B" w:rsidRPr="00DE0F1B">
        <w:rPr>
          <w:rFonts w:ascii="Times New Roman" w:eastAsia="Times New Roman" w:hAnsi="Times New Roman" w:cs="Times New Roman"/>
          <w:kern w:val="0"/>
          <w:sz w:val="24"/>
          <w:szCs w:val="24"/>
          <w:lang w:val="ro-MD" w:eastAsia="ro-MD"/>
          <w14:ligatures w14:val="none"/>
        </w:rPr>
        <w:t>Actul definește tipurile de instituții și organizații care pot oferi astfel de programe (centre comunitare, instituții extrașcolare, asociații profesionale, întreprinderi, ONG-uri etc.) și reglementează posibilitatea eliberării certificatelor de participare, care pot fi ulterior incluse în dosarul de validare a competențelor.</w:t>
      </w:r>
      <w:r w:rsidR="007D6E83">
        <w:rPr>
          <w:rFonts w:ascii="Times New Roman" w:eastAsia="Times New Roman" w:hAnsi="Times New Roman" w:cs="Times New Roman"/>
          <w:kern w:val="0"/>
          <w:sz w:val="24"/>
          <w:szCs w:val="24"/>
          <w:lang w:val="ro-MD" w:eastAsia="ro-MD"/>
          <w14:ligatures w14:val="none"/>
        </w:rPr>
        <w:t xml:space="preserve"> </w:t>
      </w:r>
      <w:r w:rsidR="00DE0F1B" w:rsidRPr="00DE0F1B">
        <w:rPr>
          <w:rFonts w:ascii="Times New Roman" w:eastAsia="Times New Roman" w:hAnsi="Times New Roman" w:cs="Times New Roman"/>
          <w:kern w:val="0"/>
          <w:sz w:val="24"/>
          <w:szCs w:val="24"/>
          <w:lang w:val="ro-MD" w:eastAsia="ro-MD"/>
          <w14:ligatures w14:val="none"/>
        </w:rPr>
        <w:t>Prin aceste prevederi, HG nr. 222/2024 consolidează aplicarea principiilor EQF și QF-EHEA privind integrarea tuturor formelor de învățare și recunoașterea competențelor dobândite în diverse contexte, asigurând transparența și permeabilitatea sistemului național de calificări.</w:t>
      </w:r>
    </w:p>
    <w:p w14:paraId="616E782A" w14:textId="67984433" w:rsidR="00DE0F1B" w:rsidRPr="00DE0F1B" w:rsidRDefault="00DE0F1B" w:rsidP="007014C3">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i/>
          <w:iCs/>
          <w:color w:val="3494BA" w:themeColor="accent1"/>
          <w:kern w:val="0"/>
          <w:sz w:val="24"/>
          <w:szCs w:val="24"/>
          <w:lang w:val="ro-MD" w:eastAsia="ro-MD"/>
          <w14:ligatures w14:val="none"/>
        </w:rPr>
        <w:t>Instrumente metodologice de implementare</w:t>
      </w:r>
      <w:r w:rsidR="007014C3">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 xml:space="preserve">Pentru aplicarea coerentă a acestor principii, </w:t>
      </w:r>
      <w:r w:rsidR="003743AE">
        <w:rPr>
          <w:rFonts w:ascii="Times New Roman" w:eastAsia="Times New Roman" w:hAnsi="Times New Roman" w:cs="Times New Roman"/>
          <w:kern w:val="0"/>
          <w:sz w:val="24"/>
          <w:szCs w:val="24"/>
          <w:lang w:val="ro-MD" w:eastAsia="ro-MD"/>
          <w14:ligatures w14:val="none"/>
        </w:rPr>
        <w:t>MEC</w:t>
      </w:r>
      <w:r w:rsidRPr="00DE0F1B">
        <w:rPr>
          <w:rFonts w:ascii="Times New Roman" w:eastAsia="Times New Roman" w:hAnsi="Times New Roman" w:cs="Times New Roman"/>
          <w:kern w:val="0"/>
          <w:sz w:val="24"/>
          <w:szCs w:val="24"/>
          <w:lang w:val="ro-MD" w:eastAsia="ro-MD"/>
          <w14:ligatures w14:val="none"/>
        </w:rPr>
        <w:t xml:space="preserve"> a aprobat un set de acte normative complementare:</w:t>
      </w:r>
    </w:p>
    <w:p w14:paraId="6604CD48" w14:textId="0FED9D9F" w:rsidR="00DE0F1B" w:rsidRPr="00DE0F1B" w:rsidRDefault="00340740" w:rsidP="00A41843">
      <w:pPr>
        <w:numPr>
          <w:ilvl w:val="0"/>
          <w:numId w:val="191"/>
        </w:numPr>
        <w:tabs>
          <w:tab w:val="clear" w:pos="720"/>
          <w:tab w:val="num" w:pos="567"/>
        </w:tabs>
        <w:spacing w:before="120" w:after="120" w:line="276" w:lineRule="auto"/>
        <w:ind w:left="567" w:hanging="567"/>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i/>
          <w:iCs/>
          <w:kern w:val="0"/>
          <w:sz w:val="24"/>
          <w:szCs w:val="24"/>
          <w:lang w:val="ro-MD" w:eastAsia="ro-MD"/>
          <w14:ligatures w14:val="none"/>
        </w:rPr>
        <w:t xml:space="preserve">Regulamentul privind certificarea competențelor profesionale </w:t>
      </w:r>
      <w:r>
        <w:rPr>
          <w:rFonts w:ascii="Times New Roman" w:eastAsia="Times New Roman" w:hAnsi="Times New Roman" w:cs="Times New Roman"/>
          <w:i/>
          <w:iCs/>
          <w:kern w:val="0"/>
          <w:sz w:val="24"/>
          <w:szCs w:val="24"/>
          <w:lang w:val="ro-MD" w:eastAsia="ro-MD"/>
          <w14:ligatures w14:val="none"/>
        </w:rPr>
        <w:t xml:space="preserve">corespunzătoare </w:t>
      </w:r>
      <w:r w:rsidRPr="0022305E">
        <w:rPr>
          <w:rFonts w:ascii="Times New Roman" w:eastAsia="Times New Roman" w:hAnsi="Times New Roman" w:cs="Times New Roman"/>
          <w:i/>
          <w:iCs/>
          <w:kern w:val="0"/>
          <w:sz w:val="24"/>
          <w:szCs w:val="24"/>
          <w:lang w:val="ro-MD" w:eastAsia="ro-MD"/>
          <w14:ligatures w14:val="none"/>
        </w:rPr>
        <w:t>calificăril</w:t>
      </w:r>
      <w:r>
        <w:rPr>
          <w:rFonts w:ascii="Times New Roman" w:eastAsia="Times New Roman" w:hAnsi="Times New Roman" w:cs="Times New Roman"/>
          <w:i/>
          <w:iCs/>
          <w:kern w:val="0"/>
          <w:sz w:val="24"/>
          <w:szCs w:val="24"/>
          <w:lang w:val="ro-MD" w:eastAsia="ro-MD"/>
          <w14:ligatures w14:val="none"/>
        </w:rPr>
        <w:t>or</w:t>
      </w:r>
      <w:r w:rsidRPr="0022305E">
        <w:rPr>
          <w:rFonts w:ascii="Times New Roman" w:eastAsia="Times New Roman" w:hAnsi="Times New Roman" w:cs="Times New Roman"/>
          <w:i/>
          <w:iCs/>
          <w:kern w:val="0"/>
          <w:sz w:val="24"/>
          <w:szCs w:val="24"/>
          <w:lang w:val="ro-MD" w:eastAsia="ro-MD"/>
          <w14:ligatures w14:val="none"/>
        </w:rPr>
        <w:t xml:space="preserve"> de nivel 3–5</w:t>
      </w:r>
      <w:r>
        <w:rPr>
          <w:rFonts w:ascii="Times New Roman" w:eastAsia="Times New Roman" w:hAnsi="Times New Roman" w:cs="Times New Roman"/>
          <w:i/>
          <w:iCs/>
          <w:kern w:val="0"/>
          <w:sz w:val="24"/>
          <w:szCs w:val="24"/>
          <w:lang w:val="ro-MD" w:eastAsia="ro-MD"/>
          <w14:ligatures w14:val="none"/>
        </w:rPr>
        <w:t xml:space="preserve"> din </w:t>
      </w:r>
      <w:r w:rsidRPr="0022305E">
        <w:rPr>
          <w:rFonts w:ascii="Times New Roman" w:eastAsia="Times New Roman" w:hAnsi="Times New Roman" w:cs="Times New Roman"/>
          <w:i/>
          <w:iCs/>
          <w:kern w:val="0"/>
          <w:sz w:val="24"/>
          <w:szCs w:val="24"/>
          <w:lang w:val="ro-MD" w:eastAsia="ro-MD"/>
          <w14:ligatures w14:val="none"/>
        </w:rPr>
        <w:t>CNC</w:t>
      </w:r>
      <w:r>
        <w:rPr>
          <w:rFonts w:ascii="Times New Roman" w:eastAsia="Times New Roman" w:hAnsi="Times New Roman" w:cs="Times New Roman"/>
          <w:i/>
          <w:iCs/>
          <w:kern w:val="0"/>
          <w:sz w:val="24"/>
          <w:szCs w:val="24"/>
          <w:lang w:val="ro-MD" w:eastAsia="ro-MD"/>
          <w14:ligatures w14:val="none"/>
        </w:rPr>
        <w:t>, dobândite în contexte de educație nonformală și informală</w:t>
      </w:r>
      <w:r>
        <w:rPr>
          <w:rStyle w:val="afc"/>
          <w:rFonts w:ascii="Times New Roman" w:eastAsia="Times New Roman" w:hAnsi="Times New Roman" w:cs="Times New Roman"/>
          <w:i/>
          <w:iCs/>
          <w:kern w:val="0"/>
          <w:sz w:val="24"/>
          <w:szCs w:val="24"/>
          <w:lang w:val="ro-MD" w:eastAsia="ro-MD"/>
          <w14:ligatures w14:val="none"/>
        </w:rPr>
        <w:footnoteReference w:id="50"/>
      </w:r>
      <w:r w:rsidR="002443D5">
        <w:rPr>
          <w:rFonts w:ascii="Times New Roman" w:eastAsia="Times New Roman" w:hAnsi="Times New Roman" w:cs="Times New Roman"/>
          <w:kern w:val="0"/>
          <w:sz w:val="24"/>
          <w:szCs w:val="24"/>
          <w:lang w:val="ro-MD" w:eastAsia="ro-MD"/>
          <w14:ligatures w14:val="none"/>
        </w:rPr>
        <w:t xml:space="preserve">, care stabilește </w:t>
      </w:r>
      <w:r w:rsidR="00DE0F1B" w:rsidRPr="00DE0F1B">
        <w:rPr>
          <w:rFonts w:ascii="Times New Roman" w:eastAsia="Times New Roman" w:hAnsi="Times New Roman" w:cs="Times New Roman"/>
          <w:kern w:val="0"/>
          <w:sz w:val="24"/>
          <w:szCs w:val="24"/>
          <w:lang w:val="ro-MD" w:eastAsia="ro-MD"/>
          <w14:ligatures w14:val="none"/>
        </w:rPr>
        <w:t>premisele legale pentru prestarea serviciilor de validare și certificare a competențelor profesionale de către instituțiile de învățământ.</w:t>
      </w:r>
    </w:p>
    <w:p w14:paraId="61441DD1" w14:textId="3DD5B3D2" w:rsidR="00DE0F1B" w:rsidRPr="00DE0F1B" w:rsidRDefault="0047394E" w:rsidP="00A41843">
      <w:pPr>
        <w:numPr>
          <w:ilvl w:val="0"/>
          <w:numId w:val="191"/>
        </w:numPr>
        <w:tabs>
          <w:tab w:val="clear" w:pos="720"/>
          <w:tab w:val="num" w:pos="567"/>
        </w:tabs>
        <w:spacing w:before="120" w:after="120" w:line="276" w:lineRule="auto"/>
        <w:ind w:left="567" w:hanging="567"/>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i/>
          <w:iCs/>
          <w:kern w:val="0"/>
          <w:sz w:val="24"/>
          <w:szCs w:val="24"/>
          <w:lang w:val="ro-MD" w:eastAsia="ro-MD"/>
          <w14:ligatures w14:val="none"/>
        </w:rPr>
        <w:t>Ghidul practic privind certificarea competențelor profesionale</w:t>
      </w:r>
      <w:r w:rsidR="00A5510E" w:rsidRPr="00A5510E">
        <w:rPr>
          <w:rFonts w:ascii="Times New Roman" w:eastAsia="Times New Roman" w:hAnsi="Times New Roman" w:cs="Times New Roman"/>
          <w:i/>
          <w:iCs/>
          <w:kern w:val="0"/>
          <w:sz w:val="24"/>
          <w:szCs w:val="24"/>
          <w:lang w:val="ro-MD" w:eastAsia="ro-MD"/>
          <w14:ligatures w14:val="none"/>
        </w:rPr>
        <w:t xml:space="preserve"> </w:t>
      </w:r>
      <w:r w:rsidR="00A5510E">
        <w:rPr>
          <w:rFonts w:ascii="Times New Roman" w:eastAsia="Times New Roman" w:hAnsi="Times New Roman" w:cs="Times New Roman"/>
          <w:i/>
          <w:iCs/>
          <w:kern w:val="0"/>
          <w:sz w:val="24"/>
          <w:szCs w:val="24"/>
          <w:lang w:val="ro-MD" w:eastAsia="ro-MD"/>
          <w14:ligatures w14:val="none"/>
        </w:rPr>
        <w:t xml:space="preserve">corespunzătoare </w:t>
      </w:r>
      <w:r w:rsidR="00A5510E" w:rsidRPr="0022305E">
        <w:rPr>
          <w:rFonts w:ascii="Times New Roman" w:eastAsia="Times New Roman" w:hAnsi="Times New Roman" w:cs="Times New Roman"/>
          <w:i/>
          <w:iCs/>
          <w:kern w:val="0"/>
          <w:sz w:val="24"/>
          <w:szCs w:val="24"/>
          <w:lang w:val="ro-MD" w:eastAsia="ro-MD"/>
          <w14:ligatures w14:val="none"/>
        </w:rPr>
        <w:t>calificăril</w:t>
      </w:r>
      <w:r w:rsidR="00A5510E">
        <w:rPr>
          <w:rFonts w:ascii="Times New Roman" w:eastAsia="Times New Roman" w:hAnsi="Times New Roman" w:cs="Times New Roman"/>
          <w:i/>
          <w:iCs/>
          <w:kern w:val="0"/>
          <w:sz w:val="24"/>
          <w:szCs w:val="24"/>
          <w:lang w:val="ro-MD" w:eastAsia="ro-MD"/>
          <w14:ligatures w14:val="none"/>
        </w:rPr>
        <w:t>or</w:t>
      </w:r>
      <w:r w:rsidR="00A5510E" w:rsidRPr="0022305E">
        <w:rPr>
          <w:rFonts w:ascii="Times New Roman" w:eastAsia="Times New Roman" w:hAnsi="Times New Roman" w:cs="Times New Roman"/>
          <w:i/>
          <w:iCs/>
          <w:kern w:val="0"/>
          <w:sz w:val="24"/>
          <w:szCs w:val="24"/>
          <w:lang w:val="ro-MD" w:eastAsia="ro-MD"/>
          <w14:ligatures w14:val="none"/>
        </w:rPr>
        <w:t xml:space="preserve"> de nivel 3–5</w:t>
      </w:r>
      <w:r w:rsidR="00A5510E">
        <w:rPr>
          <w:rFonts w:ascii="Times New Roman" w:eastAsia="Times New Roman" w:hAnsi="Times New Roman" w:cs="Times New Roman"/>
          <w:i/>
          <w:iCs/>
          <w:kern w:val="0"/>
          <w:sz w:val="24"/>
          <w:szCs w:val="24"/>
          <w:lang w:val="ro-MD" w:eastAsia="ro-MD"/>
          <w14:ligatures w14:val="none"/>
        </w:rPr>
        <w:t xml:space="preserve"> din </w:t>
      </w:r>
      <w:r w:rsidR="00A5510E" w:rsidRPr="0022305E">
        <w:rPr>
          <w:rFonts w:ascii="Times New Roman" w:eastAsia="Times New Roman" w:hAnsi="Times New Roman" w:cs="Times New Roman"/>
          <w:i/>
          <w:iCs/>
          <w:kern w:val="0"/>
          <w:sz w:val="24"/>
          <w:szCs w:val="24"/>
          <w:lang w:val="ro-MD" w:eastAsia="ro-MD"/>
          <w14:ligatures w14:val="none"/>
        </w:rPr>
        <w:t>CNC</w:t>
      </w:r>
      <w:r w:rsidR="00A5510E">
        <w:rPr>
          <w:rFonts w:ascii="Times New Roman" w:eastAsia="Times New Roman" w:hAnsi="Times New Roman" w:cs="Times New Roman"/>
          <w:i/>
          <w:iCs/>
          <w:kern w:val="0"/>
          <w:sz w:val="24"/>
          <w:szCs w:val="24"/>
          <w:lang w:val="ro-MD" w:eastAsia="ro-MD"/>
          <w14:ligatures w14:val="none"/>
        </w:rPr>
        <w:t>, dobândite în contexte de educație nonformală și informală</w:t>
      </w:r>
      <w:r>
        <w:rPr>
          <w:rStyle w:val="afc"/>
          <w:rFonts w:ascii="Times New Roman" w:eastAsia="Times New Roman" w:hAnsi="Times New Roman" w:cs="Times New Roman"/>
          <w:kern w:val="0"/>
          <w:sz w:val="24"/>
          <w:szCs w:val="24"/>
          <w:lang w:val="ro-MD" w:eastAsia="ro-MD"/>
          <w14:ligatures w14:val="none"/>
        </w:rPr>
        <w:footnoteReference w:id="51"/>
      </w:r>
      <w:r w:rsidR="00DF7FC3">
        <w:rPr>
          <w:rFonts w:ascii="Times New Roman" w:eastAsia="Times New Roman" w:hAnsi="Times New Roman" w:cs="Times New Roman"/>
          <w:kern w:val="0"/>
          <w:sz w:val="24"/>
          <w:szCs w:val="24"/>
          <w:lang w:val="ro-MD" w:eastAsia="ro-MD"/>
          <w14:ligatures w14:val="none"/>
        </w:rPr>
        <w:t xml:space="preserve">, care </w:t>
      </w:r>
      <w:r w:rsidR="00DE0F1B" w:rsidRPr="00DE0F1B">
        <w:rPr>
          <w:rFonts w:ascii="Times New Roman" w:eastAsia="Times New Roman" w:hAnsi="Times New Roman" w:cs="Times New Roman"/>
          <w:kern w:val="0"/>
          <w:sz w:val="24"/>
          <w:szCs w:val="24"/>
          <w:lang w:val="ro-MD" w:eastAsia="ro-MD"/>
          <w14:ligatures w14:val="none"/>
        </w:rPr>
        <w:t xml:space="preserve">detaliază metodologia de aplicare a regulamentului și reprezintă un instrument operațional </w:t>
      </w:r>
      <w:r w:rsidR="00DE0F1B" w:rsidRPr="00DE0F1B">
        <w:rPr>
          <w:rFonts w:ascii="Times New Roman" w:eastAsia="Times New Roman" w:hAnsi="Times New Roman" w:cs="Times New Roman"/>
          <w:kern w:val="0"/>
          <w:sz w:val="24"/>
          <w:szCs w:val="24"/>
          <w:lang w:val="ro-MD" w:eastAsia="ro-MD"/>
          <w14:ligatures w14:val="none"/>
        </w:rPr>
        <w:lastRenderedPageBreak/>
        <w:t>destinat instituțiilor de învățământ profesional tehnic și candidaților care solicită servicii de validare.</w:t>
      </w:r>
      <w:r w:rsidR="00790F48" w:rsidRPr="0047394E">
        <w:rPr>
          <w:rFonts w:ascii="Times New Roman" w:eastAsia="Times New Roman" w:hAnsi="Times New Roman" w:cs="Times New Roman"/>
          <w:kern w:val="0"/>
          <w:sz w:val="24"/>
          <w:szCs w:val="24"/>
          <w:lang w:val="ro-MD" w:eastAsia="ro-MD"/>
          <w14:ligatures w14:val="none"/>
        </w:rPr>
        <w:t xml:space="preserve"> </w:t>
      </w:r>
      <w:r w:rsidR="00DE0F1B" w:rsidRPr="00DE0F1B">
        <w:rPr>
          <w:rFonts w:ascii="Times New Roman" w:eastAsia="Times New Roman" w:hAnsi="Times New Roman" w:cs="Times New Roman"/>
          <w:kern w:val="0"/>
          <w:sz w:val="24"/>
          <w:szCs w:val="24"/>
          <w:lang w:val="ro-MD" w:eastAsia="ro-MD"/>
          <w14:ligatures w14:val="none"/>
        </w:rPr>
        <w:t>Printre elementele-cheie incluse în ghid se numără:</w:t>
      </w:r>
    </w:p>
    <w:p w14:paraId="0D38D2E4" w14:textId="77777777" w:rsidR="00DE0F1B" w:rsidRPr="00DE0F1B" w:rsidRDefault="00DE0F1B" w:rsidP="00A41843">
      <w:pPr>
        <w:numPr>
          <w:ilvl w:val="1"/>
          <w:numId w:val="19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Structura-tip a Centrului de validare;</w:t>
      </w:r>
    </w:p>
    <w:p w14:paraId="57FF20E3" w14:textId="77777777" w:rsidR="00DE0F1B" w:rsidRPr="00DE0F1B" w:rsidRDefault="00DE0F1B" w:rsidP="00A41843">
      <w:pPr>
        <w:numPr>
          <w:ilvl w:val="1"/>
          <w:numId w:val="19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Schema logică a procedurii de validare din perspectiva instituției și a candidatului;</w:t>
      </w:r>
    </w:p>
    <w:p w14:paraId="719D76CF" w14:textId="77777777" w:rsidR="00DE0F1B" w:rsidRPr="00DE0F1B" w:rsidRDefault="00DE0F1B" w:rsidP="00A41843">
      <w:pPr>
        <w:numPr>
          <w:ilvl w:val="1"/>
          <w:numId w:val="19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Structura programelor de validare;</w:t>
      </w:r>
    </w:p>
    <w:p w14:paraId="1991BAEC" w14:textId="77777777" w:rsidR="006C4822" w:rsidRDefault="00DE0F1B" w:rsidP="00A41843">
      <w:pPr>
        <w:numPr>
          <w:ilvl w:val="1"/>
          <w:numId w:val="19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Modele standardizate de documente utilizate în procesul de evaluare și certificare.</w:t>
      </w:r>
    </w:p>
    <w:p w14:paraId="116E0E97" w14:textId="170810CC" w:rsidR="00DE0F1B" w:rsidRDefault="00DE0F1B" w:rsidP="00196D8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 xml:space="preserve">Acest ghid transformă procesul </w:t>
      </w:r>
      <w:r w:rsidR="00F301FB" w:rsidRPr="00580E88">
        <w:rPr>
          <w:rFonts w:ascii="Times New Roman" w:eastAsia="Times New Roman" w:hAnsi="Times New Roman" w:cs="Times New Roman"/>
          <w:kern w:val="0"/>
          <w:sz w:val="24"/>
          <w:szCs w:val="24"/>
          <w:lang w:val="ro-MD" w:eastAsia="ro-MD"/>
          <w14:ligatures w14:val="none"/>
        </w:rPr>
        <w:t>validare a învățării nonformale și informale</w:t>
      </w:r>
      <w:r w:rsidRPr="00DE0F1B">
        <w:rPr>
          <w:rFonts w:ascii="Times New Roman" w:eastAsia="Times New Roman" w:hAnsi="Times New Roman" w:cs="Times New Roman"/>
          <w:kern w:val="0"/>
          <w:sz w:val="24"/>
          <w:szCs w:val="24"/>
          <w:lang w:val="ro-MD" w:eastAsia="ro-MD"/>
          <w14:ligatures w14:val="none"/>
        </w:rPr>
        <w:t xml:space="preserve"> într-un mecanism clar, transparent și uniform aplicat la nivel național, contribuind la creșterea încrederii beneficiarilor și angajatorilor în valoarea calificărilor obținute.</w:t>
      </w:r>
    </w:p>
    <w:p w14:paraId="2F5C188B" w14:textId="743B83C0" w:rsidR="008D10D3" w:rsidRDefault="008D10D3" w:rsidP="00A41843">
      <w:pPr>
        <w:numPr>
          <w:ilvl w:val="0"/>
          <w:numId w:val="191"/>
        </w:numPr>
        <w:tabs>
          <w:tab w:val="clear" w:pos="720"/>
          <w:tab w:val="num" w:pos="567"/>
        </w:tabs>
        <w:spacing w:before="120" w:after="120" w:line="276" w:lineRule="auto"/>
        <w:ind w:left="567" w:hanging="567"/>
        <w:jc w:val="both"/>
        <w:rPr>
          <w:rFonts w:ascii="Times New Roman" w:eastAsia="Times New Roman" w:hAnsi="Times New Roman" w:cs="Times New Roman"/>
          <w:kern w:val="0"/>
          <w:sz w:val="24"/>
          <w:szCs w:val="24"/>
          <w:lang w:val="ro-MD" w:eastAsia="ro-MD"/>
          <w14:ligatures w14:val="none"/>
        </w:rPr>
      </w:pPr>
      <w:r w:rsidRPr="00D60E80">
        <w:rPr>
          <w:rFonts w:ascii="Times New Roman" w:eastAsia="Times New Roman" w:hAnsi="Times New Roman" w:cs="Times New Roman"/>
          <w:i/>
          <w:iCs/>
          <w:kern w:val="0"/>
          <w:sz w:val="24"/>
          <w:szCs w:val="24"/>
          <w:lang w:val="ro-MD" w:eastAsia="ro-MD"/>
          <w14:ligatures w14:val="none"/>
        </w:rPr>
        <w:t xml:space="preserve">Regulamentul privind certificarea competențelor profesionale corespunzătoare calificărilor de nivel 6 din </w:t>
      </w:r>
      <w:r w:rsidR="00B44733">
        <w:rPr>
          <w:rFonts w:ascii="Times New Roman" w:eastAsia="Times New Roman" w:hAnsi="Times New Roman" w:cs="Times New Roman"/>
          <w:i/>
          <w:iCs/>
          <w:kern w:val="0"/>
          <w:sz w:val="24"/>
          <w:szCs w:val="24"/>
          <w:lang w:val="ro-MD" w:eastAsia="ro-MD"/>
          <w14:ligatures w14:val="none"/>
        </w:rPr>
        <w:t>CNC</w:t>
      </w:r>
      <w:r w:rsidRPr="00D60E80">
        <w:rPr>
          <w:rFonts w:ascii="Times New Roman" w:eastAsia="Times New Roman" w:hAnsi="Times New Roman" w:cs="Times New Roman"/>
          <w:i/>
          <w:iCs/>
          <w:kern w:val="0"/>
          <w:sz w:val="24"/>
          <w:szCs w:val="24"/>
          <w:lang w:val="ro-MD" w:eastAsia="ro-MD"/>
          <w14:ligatures w14:val="none"/>
        </w:rPr>
        <w:t>, dobândite în contexte de educație nonformală și informală</w:t>
      </w:r>
      <w:r w:rsidR="00D60E80">
        <w:rPr>
          <w:rStyle w:val="afc"/>
          <w:rFonts w:ascii="Times New Roman" w:eastAsia="Times New Roman" w:hAnsi="Times New Roman" w:cs="Times New Roman"/>
          <w:i/>
          <w:iCs/>
          <w:kern w:val="0"/>
          <w:sz w:val="24"/>
          <w:szCs w:val="24"/>
          <w:lang w:val="ro-MD" w:eastAsia="ro-MD"/>
          <w14:ligatures w14:val="none"/>
        </w:rPr>
        <w:footnoteReference w:id="52"/>
      </w:r>
      <w:r w:rsidR="00FC3313">
        <w:rPr>
          <w:rFonts w:ascii="Times New Roman" w:eastAsia="Times New Roman" w:hAnsi="Times New Roman" w:cs="Times New Roman"/>
          <w:kern w:val="0"/>
          <w:sz w:val="24"/>
          <w:szCs w:val="24"/>
          <w:lang w:val="ro-MD" w:eastAsia="ro-MD"/>
          <w14:ligatures w14:val="none"/>
        </w:rPr>
        <w:t xml:space="preserve"> completează </w:t>
      </w:r>
      <w:r w:rsidR="00554A93" w:rsidRPr="008D10D3">
        <w:rPr>
          <w:rFonts w:ascii="Times New Roman" w:eastAsia="Times New Roman" w:hAnsi="Times New Roman" w:cs="Times New Roman"/>
          <w:kern w:val="0"/>
          <w:sz w:val="24"/>
          <w:szCs w:val="24"/>
          <w:lang w:val="ro-MD" w:eastAsia="ro-MD"/>
          <w14:ligatures w14:val="none"/>
        </w:rPr>
        <w:t xml:space="preserve">cadrul </w:t>
      </w:r>
      <w:r w:rsidR="00554A93">
        <w:rPr>
          <w:rFonts w:ascii="Times New Roman" w:eastAsia="Times New Roman" w:hAnsi="Times New Roman" w:cs="Times New Roman"/>
          <w:kern w:val="0"/>
          <w:sz w:val="24"/>
          <w:szCs w:val="24"/>
          <w:lang w:val="ro-MD" w:eastAsia="ro-MD"/>
          <w14:ligatures w14:val="none"/>
        </w:rPr>
        <w:t>normativ p</w:t>
      </w:r>
      <w:r w:rsidR="00FC3313" w:rsidRPr="008D10D3">
        <w:rPr>
          <w:rFonts w:ascii="Times New Roman" w:eastAsia="Times New Roman" w:hAnsi="Times New Roman" w:cs="Times New Roman"/>
          <w:kern w:val="0"/>
          <w:sz w:val="24"/>
          <w:szCs w:val="24"/>
          <w:lang w:val="ro-MD" w:eastAsia="ro-MD"/>
          <w14:ligatures w14:val="none"/>
        </w:rPr>
        <w:t>entru calificările de nivel 6 CNC</w:t>
      </w:r>
      <w:r w:rsidR="00554A93">
        <w:rPr>
          <w:rFonts w:ascii="Times New Roman" w:eastAsia="Times New Roman" w:hAnsi="Times New Roman" w:cs="Times New Roman"/>
          <w:kern w:val="0"/>
          <w:sz w:val="24"/>
          <w:szCs w:val="24"/>
          <w:lang w:val="ro-MD" w:eastAsia="ro-MD"/>
          <w14:ligatures w14:val="none"/>
        </w:rPr>
        <w:t>.</w:t>
      </w:r>
      <w:r w:rsidR="00FC3313" w:rsidRPr="008D10D3">
        <w:rPr>
          <w:rFonts w:ascii="Times New Roman" w:eastAsia="Times New Roman" w:hAnsi="Times New Roman" w:cs="Times New Roman"/>
          <w:kern w:val="0"/>
          <w:sz w:val="24"/>
          <w:szCs w:val="24"/>
          <w:lang w:val="ro-MD" w:eastAsia="ro-MD"/>
          <w14:ligatures w14:val="none"/>
        </w:rPr>
        <w:t xml:space="preserve"> </w:t>
      </w:r>
      <w:r w:rsidRPr="008D10D3">
        <w:rPr>
          <w:rFonts w:ascii="Times New Roman" w:eastAsia="Times New Roman" w:hAnsi="Times New Roman" w:cs="Times New Roman"/>
          <w:kern w:val="0"/>
          <w:sz w:val="24"/>
          <w:szCs w:val="24"/>
          <w:lang w:val="ro-MD" w:eastAsia="ro-MD"/>
          <w14:ligatures w14:val="none"/>
        </w:rPr>
        <w:t xml:space="preserve">Acest act stabilește funcționarea </w:t>
      </w:r>
      <w:r w:rsidR="00B44733">
        <w:rPr>
          <w:rFonts w:ascii="Times New Roman" w:eastAsia="Times New Roman" w:hAnsi="Times New Roman" w:cs="Times New Roman"/>
          <w:kern w:val="0"/>
          <w:sz w:val="24"/>
          <w:szCs w:val="24"/>
          <w:lang w:val="ro-MD" w:eastAsia="ro-MD"/>
          <w14:ligatures w14:val="none"/>
        </w:rPr>
        <w:t>s</w:t>
      </w:r>
      <w:r w:rsidRPr="008D10D3">
        <w:rPr>
          <w:rFonts w:ascii="Times New Roman" w:eastAsia="Times New Roman" w:hAnsi="Times New Roman" w:cs="Times New Roman"/>
          <w:kern w:val="0"/>
          <w:sz w:val="24"/>
          <w:szCs w:val="24"/>
          <w:lang w:val="ro-MD" w:eastAsia="ro-MD"/>
          <w14:ligatures w14:val="none"/>
        </w:rPr>
        <w:t>istemului național de validare a formării profesionale în contexte nonformale și informale, reglementând procesele de identificare, documentare, evaluare și certificare a cunoștințelor și competențelor profesionale dobândite în afara sistemului formal, în conformitate cu recomandările europene privind învățarea pe tot parcursul vieții.</w:t>
      </w:r>
    </w:p>
    <w:p w14:paraId="38909C53" w14:textId="60B31FD7" w:rsidR="00783304" w:rsidRPr="0022305E" w:rsidRDefault="00783304" w:rsidP="00783304">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Centr</w:t>
      </w:r>
      <w:r>
        <w:rPr>
          <w:rFonts w:ascii="Times New Roman" w:eastAsia="Times New Roman" w:hAnsi="Times New Roman" w:cs="Times New Roman"/>
          <w:kern w:val="0"/>
          <w:sz w:val="24"/>
          <w:szCs w:val="24"/>
          <w:lang w:val="ro-MD" w:eastAsia="ro-MD"/>
          <w14:ligatures w14:val="none"/>
        </w:rPr>
        <w:t>ele</w:t>
      </w:r>
      <w:r w:rsidRPr="00DE0F1B">
        <w:rPr>
          <w:rFonts w:ascii="Times New Roman" w:eastAsia="Times New Roman" w:hAnsi="Times New Roman" w:cs="Times New Roman"/>
          <w:kern w:val="0"/>
          <w:sz w:val="24"/>
          <w:szCs w:val="24"/>
          <w:lang w:val="ro-MD" w:eastAsia="ro-MD"/>
          <w14:ligatures w14:val="none"/>
        </w:rPr>
        <w:t xml:space="preserve"> de validare</w:t>
      </w:r>
      <w:r w:rsidRPr="0022305E">
        <w:rPr>
          <w:rFonts w:ascii="Times New Roman" w:eastAsia="Times New Roman" w:hAnsi="Times New Roman" w:cs="Times New Roman"/>
          <w:kern w:val="0"/>
          <w:sz w:val="24"/>
          <w:szCs w:val="24"/>
          <w:lang w:val="ro-MD" w:eastAsia="ro-MD"/>
          <w14:ligatures w14:val="none"/>
        </w:rPr>
        <w:t xml:space="preserve"> autorizate</w:t>
      </w:r>
      <w:r w:rsidRPr="006152B8">
        <w:rPr>
          <w:rFonts w:ascii="Times New Roman" w:eastAsia="Times New Roman" w:hAnsi="Times New Roman" w:cs="Times New Roman"/>
          <w:kern w:val="0"/>
          <w:sz w:val="24"/>
          <w:szCs w:val="24"/>
          <w:lang w:val="ro-MD" w:eastAsia="ro-MD"/>
          <w14:ligatures w14:val="none"/>
        </w:rPr>
        <w:t xml:space="preserve"> </w:t>
      </w:r>
      <w:r>
        <w:rPr>
          <w:rFonts w:ascii="Times New Roman" w:eastAsia="Times New Roman" w:hAnsi="Times New Roman" w:cs="Times New Roman"/>
          <w:kern w:val="0"/>
          <w:sz w:val="24"/>
          <w:szCs w:val="24"/>
          <w:lang w:val="ro-MD" w:eastAsia="ro-MD"/>
          <w14:ligatures w14:val="none"/>
        </w:rPr>
        <w:t xml:space="preserve">să </w:t>
      </w:r>
      <w:r w:rsidRPr="0022305E">
        <w:rPr>
          <w:rFonts w:ascii="Times New Roman" w:eastAsia="Times New Roman" w:hAnsi="Times New Roman" w:cs="Times New Roman"/>
          <w:kern w:val="0"/>
          <w:sz w:val="24"/>
          <w:szCs w:val="24"/>
          <w:lang w:val="ro-MD" w:eastAsia="ro-MD"/>
          <w14:ligatures w14:val="none"/>
        </w:rPr>
        <w:t>desfășoar</w:t>
      </w:r>
      <w:r>
        <w:rPr>
          <w:rFonts w:ascii="Times New Roman" w:eastAsia="Times New Roman" w:hAnsi="Times New Roman" w:cs="Times New Roman"/>
          <w:kern w:val="0"/>
          <w:sz w:val="24"/>
          <w:szCs w:val="24"/>
          <w:lang w:val="ro-MD" w:eastAsia="ro-MD"/>
          <w14:ligatures w14:val="none"/>
        </w:rPr>
        <w:t>e</w:t>
      </w:r>
      <w:r w:rsidRPr="0022305E">
        <w:rPr>
          <w:rFonts w:ascii="Times New Roman" w:eastAsia="Times New Roman" w:hAnsi="Times New Roman" w:cs="Times New Roman"/>
          <w:kern w:val="0"/>
          <w:sz w:val="24"/>
          <w:szCs w:val="24"/>
          <w:lang w:val="ro-MD" w:eastAsia="ro-MD"/>
          <w14:ligatures w14:val="none"/>
        </w:rPr>
        <w:t xml:space="preserve"> </w:t>
      </w:r>
      <w:r>
        <w:rPr>
          <w:rFonts w:ascii="Times New Roman" w:eastAsia="Times New Roman" w:hAnsi="Times New Roman" w:cs="Times New Roman"/>
          <w:kern w:val="0"/>
          <w:sz w:val="24"/>
          <w:szCs w:val="24"/>
          <w:lang w:val="ro-MD" w:eastAsia="ro-MD"/>
          <w14:ligatures w14:val="none"/>
        </w:rPr>
        <w:t>p</w:t>
      </w:r>
      <w:r w:rsidRPr="0022305E">
        <w:rPr>
          <w:rFonts w:ascii="Times New Roman" w:eastAsia="Times New Roman" w:hAnsi="Times New Roman" w:cs="Times New Roman"/>
          <w:kern w:val="0"/>
          <w:sz w:val="24"/>
          <w:szCs w:val="24"/>
          <w:lang w:val="ro-MD" w:eastAsia="ro-MD"/>
          <w14:ligatures w14:val="none"/>
        </w:rPr>
        <w:t xml:space="preserve">rocedurile de validare </w:t>
      </w:r>
      <w:r>
        <w:rPr>
          <w:rFonts w:ascii="Times New Roman" w:eastAsia="Times New Roman" w:hAnsi="Times New Roman" w:cs="Times New Roman"/>
          <w:kern w:val="0"/>
          <w:sz w:val="24"/>
          <w:szCs w:val="24"/>
          <w:lang w:val="ro-MD" w:eastAsia="ro-MD"/>
          <w14:ligatures w14:val="none"/>
        </w:rPr>
        <w:t>sunt instituite de MEC. La etapa actuală există 15 centre de validare</w:t>
      </w:r>
      <w:r w:rsidRPr="003A4B39">
        <w:rPr>
          <w:rFonts w:ascii="Times New Roman" w:eastAsia="Times New Roman" w:hAnsi="Times New Roman" w:cs="Times New Roman"/>
          <w:b/>
          <w:i/>
          <w:sz w:val="24"/>
          <w:szCs w:val="24"/>
        </w:rPr>
        <w:t xml:space="preserve"> </w:t>
      </w:r>
      <w:r w:rsidRPr="00F55BEE">
        <w:rPr>
          <w:rFonts w:ascii="Times New Roman" w:eastAsia="Times New Roman" w:hAnsi="Times New Roman" w:cs="Times New Roman"/>
          <w:kern w:val="0"/>
          <w:sz w:val="24"/>
          <w:szCs w:val="24"/>
          <w:lang w:val="ro-MD" w:eastAsia="ro-MD"/>
          <w14:ligatures w14:val="none"/>
        </w:rPr>
        <w:t>a competențelor profesionale</w:t>
      </w:r>
      <w:r w:rsidRPr="00AE487B">
        <w:rPr>
          <w:rFonts w:ascii="Times New Roman" w:eastAsia="Times New Roman" w:hAnsi="Times New Roman" w:cs="Times New Roman"/>
          <w:kern w:val="0"/>
          <w:sz w:val="24"/>
          <w:szCs w:val="24"/>
          <w:lang w:val="ro-MD" w:eastAsia="ro-MD"/>
          <w14:ligatures w14:val="none"/>
        </w:rPr>
        <w:t>,</w:t>
      </w:r>
      <w:r w:rsidRPr="00AE487B">
        <w:rPr>
          <w:rFonts w:ascii="Times New Roman" w:hAnsi="Times New Roman" w:cs="Times New Roman"/>
          <w:sz w:val="24"/>
          <w:szCs w:val="24"/>
        </w:rPr>
        <w:t xml:space="preserve"> dobândite în contexte de educație nonformală şi informală</w:t>
      </w:r>
      <w:r>
        <w:rPr>
          <w:rFonts w:ascii="Times New Roman" w:hAnsi="Times New Roman" w:cs="Times New Roman"/>
          <w:sz w:val="24"/>
          <w:szCs w:val="24"/>
        </w:rPr>
        <w:t xml:space="preserve"> pentru calificări de nivel 3-5 CNC (</w:t>
      </w:r>
      <w:hyperlink r:id="rId71" w:history="1">
        <w:r w:rsidRPr="008B447A">
          <w:rPr>
            <w:rStyle w:val="aff0"/>
            <w:rFonts w:ascii="Times New Roman" w:hAnsi="Times New Roman" w:cs="Times New Roman"/>
            <w:sz w:val="24"/>
            <w:szCs w:val="24"/>
          </w:rPr>
          <w:t>link</w:t>
        </w:r>
      </w:hyperlink>
      <w:r>
        <w:rPr>
          <w:rFonts w:ascii="Times New Roman" w:hAnsi="Times New Roman" w:cs="Times New Roman"/>
          <w:sz w:val="24"/>
          <w:szCs w:val="24"/>
        </w:rPr>
        <w:t>)</w:t>
      </w:r>
      <w:r w:rsidR="00070577">
        <w:rPr>
          <w:rFonts w:ascii="Times New Roman" w:hAnsi="Times New Roman" w:cs="Times New Roman"/>
          <w:sz w:val="24"/>
          <w:szCs w:val="24"/>
        </w:rPr>
        <w:t xml:space="preserve"> și 4 centre de </w:t>
      </w:r>
      <w:r w:rsidR="009B5285">
        <w:rPr>
          <w:rFonts w:ascii="Times New Roman" w:hAnsi="Times New Roman" w:cs="Times New Roman"/>
          <w:sz w:val="24"/>
          <w:szCs w:val="24"/>
        </w:rPr>
        <w:t>validare instituite în cadrul instituțiilor de învățământ superior</w:t>
      </w:r>
      <w:r w:rsidR="00A66452">
        <w:rPr>
          <w:rFonts w:ascii="Times New Roman" w:hAnsi="Times New Roman" w:cs="Times New Roman"/>
          <w:sz w:val="24"/>
          <w:szCs w:val="24"/>
        </w:rPr>
        <w:t xml:space="preserve"> (</w:t>
      </w:r>
      <w:hyperlink r:id="rId72" w:history="1">
        <w:r w:rsidR="00A66452" w:rsidRPr="00A66452">
          <w:rPr>
            <w:rStyle w:val="aff0"/>
            <w:rFonts w:ascii="Times New Roman" w:hAnsi="Times New Roman" w:cs="Times New Roman"/>
            <w:sz w:val="24"/>
            <w:szCs w:val="24"/>
          </w:rPr>
          <w:t>link</w:t>
        </w:r>
      </w:hyperlink>
      <w:r w:rsidR="00A66452">
        <w:rPr>
          <w:rFonts w:ascii="Times New Roman" w:hAnsi="Times New Roman" w:cs="Times New Roman"/>
          <w:sz w:val="24"/>
          <w:szCs w:val="24"/>
        </w:rPr>
        <w:t>)</w:t>
      </w:r>
      <w:r w:rsidR="00926566">
        <w:rPr>
          <w:rFonts w:ascii="Times New Roman" w:hAnsi="Times New Roman" w:cs="Times New Roman"/>
          <w:sz w:val="24"/>
          <w:szCs w:val="24"/>
        </w:rPr>
        <w:t xml:space="preserve"> pentru </w:t>
      </w:r>
      <w:r w:rsidR="0067584E">
        <w:rPr>
          <w:rFonts w:ascii="Times New Roman" w:hAnsi="Times New Roman" w:cs="Times New Roman"/>
          <w:sz w:val="24"/>
          <w:szCs w:val="24"/>
        </w:rPr>
        <w:t>certificarea</w:t>
      </w:r>
      <w:r w:rsidR="00926566">
        <w:rPr>
          <w:rFonts w:ascii="Times New Roman" w:hAnsi="Times New Roman" w:cs="Times New Roman"/>
          <w:sz w:val="24"/>
          <w:szCs w:val="24"/>
        </w:rPr>
        <w:t xml:space="preserve"> competențelor </w:t>
      </w:r>
      <w:r w:rsidR="0067584E">
        <w:rPr>
          <w:rFonts w:ascii="Times New Roman" w:hAnsi="Times New Roman" w:cs="Times New Roman"/>
          <w:sz w:val="24"/>
          <w:szCs w:val="24"/>
        </w:rPr>
        <w:t xml:space="preserve">corespunzătoare </w:t>
      </w:r>
      <w:r w:rsidR="000B34A4">
        <w:rPr>
          <w:rFonts w:ascii="Times New Roman" w:hAnsi="Times New Roman" w:cs="Times New Roman"/>
          <w:sz w:val="24"/>
          <w:szCs w:val="24"/>
        </w:rPr>
        <w:t>calificărilor de</w:t>
      </w:r>
      <w:r w:rsidR="00926566">
        <w:rPr>
          <w:rFonts w:ascii="Times New Roman" w:hAnsi="Times New Roman" w:cs="Times New Roman"/>
          <w:sz w:val="24"/>
          <w:szCs w:val="24"/>
        </w:rPr>
        <w:t xml:space="preserve"> nivel </w:t>
      </w:r>
      <w:r w:rsidR="0067584E">
        <w:rPr>
          <w:rFonts w:ascii="Times New Roman" w:hAnsi="Times New Roman" w:cs="Times New Roman"/>
          <w:sz w:val="24"/>
          <w:szCs w:val="24"/>
        </w:rPr>
        <w:t>6 CNC</w:t>
      </w:r>
      <w:r w:rsidRPr="00AE487B">
        <w:rPr>
          <w:rFonts w:ascii="Times New Roman" w:hAnsi="Times New Roman" w:cs="Times New Roman"/>
          <w:sz w:val="24"/>
          <w:szCs w:val="24"/>
        </w:rPr>
        <w:t>.</w:t>
      </w:r>
      <w:r>
        <w:t xml:space="preserve"> </w:t>
      </w:r>
      <w:r w:rsidRPr="00AB613B">
        <w:rPr>
          <w:rFonts w:ascii="Times New Roman" w:hAnsi="Times New Roman" w:cs="Times New Roman"/>
          <w:sz w:val="24"/>
          <w:szCs w:val="24"/>
        </w:rPr>
        <w:t>Validarea competențelor se efectuează în baza standardelor de</w:t>
      </w:r>
      <w:r w:rsidRPr="0022305E">
        <w:rPr>
          <w:rFonts w:ascii="Times New Roman" w:eastAsia="Times New Roman" w:hAnsi="Times New Roman" w:cs="Times New Roman"/>
          <w:kern w:val="0"/>
          <w:sz w:val="24"/>
          <w:szCs w:val="24"/>
          <w:lang w:val="ro-MD" w:eastAsia="ro-MD"/>
          <w14:ligatures w14:val="none"/>
        </w:rPr>
        <w:t xml:space="preserve"> calificare și a descriptorilor CNC, și </w:t>
      </w:r>
      <w:r>
        <w:rPr>
          <w:rFonts w:ascii="Times New Roman" w:eastAsia="Times New Roman" w:hAnsi="Times New Roman" w:cs="Times New Roman"/>
          <w:kern w:val="0"/>
          <w:sz w:val="24"/>
          <w:szCs w:val="24"/>
          <w:lang w:val="ro-MD" w:eastAsia="ro-MD"/>
          <w14:ligatures w14:val="none"/>
        </w:rPr>
        <w:t>este</w:t>
      </w:r>
      <w:r w:rsidRPr="0022305E">
        <w:rPr>
          <w:rFonts w:ascii="Times New Roman" w:eastAsia="Times New Roman" w:hAnsi="Times New Roman" w:cs="Times New Roman"/>
          <w:kern w:val="0"/>
          <w:sz w:val="24"/>
          <w:szCs w:val="24"/>
          <w:lang w:val="ro-MD" w:eastAsia="ro-MD"/>
          <w14:ligatures w14:val="none"/>
        </w:rPr>
        <w:t xml:space="preserve"> accesibil</w:t>
      </w:r>
      <w:r>
        <w:rPr>
          <w:rFonts w:ascii="Times New Roman" w:eastAsia="Times New Roman" w:hAnsi="Times New Roman" w:cs="Times New Roman"/>
          <w:kern w:val="0"/>
          <w:sz w:val="24"/>
          <w:szCs w:val="24"/>
          <w:lang w:val="ro-MD" w:eastAsia="ro-MD"/>
          <w14:ligatures w14:val="none"/>
        </w:rPr>
        <w:t>ă</w:t>
      </w:r>
      <w:r w:rsidRPr="0022305E">
        <w:rPr>
          <w:rFonts w:ascii="Times New Roman" w:eastAsia="Times New Roman" w:hAnsi="Times New Roman" w:cs="Times New Roman"/>
          <w:kern w:val="0"/>
          <w:sz w:val="24"/>
          <w:szCs w:val="24"/>
          <w:lang w:val="ro-MD" w:eastAsia="ro-MD"/>
          <w14:ligatures w14:val="none"/>
        </w:rPr>
        <w:t xml:space="preserve"> tuturor persoanelor care pot demonstra </w:t>
      </w:r>
      <w:r>
        <w:rPr>
          <w:rFonts w:ascii="Times New Roman" w:eastAsia="Times New Roman" w:hAnsi="Times New Roman" w:cs="Times New Roman"/>
          <w:kern w:val="0"/>
          <w:sz w:val="24"/>
          <w:szCs w:val="24"/>
          <w:lang w:val="ro-MD" w:eastAsia="ro-MD"/>
          <w14:ligatures w14:val="none"/>
        </w:rPr>
        <w:t>rezultatele învățării</w:t>
      </w:r>
      <w:r w:rsidRPr="0022305E">
        <w:rPr>
          <w:rFonts w:ascii="Times New Roman" w:eastAsia="Times New Roman" w:hAnsi="Times New Roman" w:cs="Times New Roman"/>
          <w:kern w:val="0"/>
          <w:sz w:val="24"/>
          <w:szCs w:val="24"/>
          <w:lang w:val="ro-MD" w:eastAsia="ro-MD"/>
          <w14:ligatures w14:val="none"/>
        </w:rPr>
        <w:t xml:space="preserve"> relevante</w:t>
      </w:r>
      <w:r>
        <w:rPr>
          <w:rFonts w:ascii="Times New Roman" w:eastAsia="Times New Roman" w:hAnsi="Times New Roman" w:cs="Times New Roman"/>
          <w:kern w:val="0"/>
          <w:sz w:val="24"/>
          <w:szCs w:val="24"/>
          <w:lang w:val="ro-MD" w:eastAsia="ro-MD"/>
          <w14:ligatures w14:val="none"/>
        </w:rPr>
        <w:t xml:space="preserve"> calificărilor</w:t>
      </w:r>
      <w:r w:rsidRPr="0022305E">
        <w:rPr>
          <w:rFonts w:ascii="Times New Roman" w:eastAsia="Times New Roman" w:hAnsi="Times New Roman" w:cs="Times New Roman"/>
          <w:kern w:val="0"/>
          <w:sz w:val="24"/>
          <w:szCs w:val="24"/>
          <w:lang w:val="ro-MD" w:eastAsia="ro-MD"/>
          <w14:ligatures w14:val="none"/>
        </w:rPr>
        <w:t>.</w:t>
      </w:r>
      <w:r>
        <w:rPr>
          <w:rFonts w:ascii="Times New Roman" w:eastAsia="Times New Roman" w:hAnsi="Times New Roman" w:cs="Times New Roman"/>
          <w:kern w:val="0"/>
          <w:sz w:val="24"/>
          <w:szCs w:val="24"/>
          <w:lang w:val="ro-MD" w:eastAsia="ro-MD"/>
          <w14:ligatures w14:val="none"/>
        </w:rPr>
        <w:t xml:space="preserve"> </w:t>
      </w:r>
      <w:r w:rsidRPr="0022305E">
        <w:rPr>
          <w:rFonts w:ascii="Times New Roman" w:eastAsia="Times New Roman" w:hAnsi="Times New Roman" w:cs="Times New Roman"/>
          <w:kern w:val="0"/>
          <w:sz w:val="24"/>
          <w:szCs w:val="24"/>
          <w:lang w:val="ro-MD" w:eastAsia="ro-MD"/>
          <w14:ligatures w14:val="none"/>
        </w:rPr>
        <w:t>Procesul include orientare și consiliere, evaluarea portofoliilor de competențe, examinarea rezultatelor</w:t>
      </w:r>
      <w:r>
        <w:rPr>
          <w:rFonts w:ascii="Times New Roman" w:eastAsia="Times New Roman" w:hAnsi="Times New Roman" w:cs="Times New Roman"/>
          <w:kern w:val="0"/>
          <w:sz w:val="24"/>
          <w:szCs w:val="24"/>
          <w:lang w:val="ro-MD" w:eastAsia="ro-MD"/>
          <w14:ligatures w14:val="none"/>
        </w:rPr>
        <w:t xml:space="preserve"> învățării</w:t>
      </w:r>
      <w:r w:rsidRPr="0022305E">
        <w:rPr>
          <w:rFonts w:ascii="Times New Roman" w:eastAsia="Times New Roman" w:hAnsi="Times New Roman" w:cs="Times New Roman"/>
          <w:kern w:val="0"/>
          <w:sz w:val="24"/>
          <w:szCs w:val="24"/>
          <w:lang w:val="ro-MD" w:eastAsia="ro-MD"/>
          <w14:ligatures w14:val="none"/>
        </w:rPr>
        <w:t>, alocarea creditelor transferabile și certificarea calificării complete sau parțiale.</w:t>
      </w:r>
    </w:p>
    <w:p w14:paraId="1A9B68B9" w14:textId="5C3CC5CC" w:rsidR="00DE0F1B" w:rsidRPr="00DE0F1B" w:rsidRDefault="00DE0F1B" w:rsidP="00196D8E">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i/>
          <w:iCs/>
          <w:color w:val="3494BA" w:themeColor="accent1"/>
          <w:kern w:val="0"/>
          <w:sz w:val="24"/>
          <w:szCs w:val="24"/>
          <w:lang w:val="ro-MD" w:eastAsia="ro-MD"/>
          <w14:ligatures w14:val="none"/>
        </w:rPr>
        <w:t>Asigurarea calității și rolul ANACEC</w:t>
      </w:r>
      <w:r w:rsidR="00196D8E">
        <w:rPr>
          <w:rFonts w:ascii="Times New Roman" w:eastAsia="Times New Roman" w:hAnsi="Times New Roman" w:cs="Times New Roman"/>
          <w:i/>
          <w:iCs/>
          <w:color w:val="3494BA" w:themeColor="accent1"/>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 xml:space="preserve">ANACEC are un rol central în monitorizarea implementării procesului </w:t>
      </w:r>
      <w:r w:rsidR="00580E88">
        <w:rPr>
          <w:rFonts w:ascii="Times New Roman" w:eastAsia="Times New Roman" w:hAnsi="Times New Roman" w:cs="Times New Roman"/>
          <w:kern w:val="0"/>
          <w:sz w:val="24"/>
          <w:szCs w:val="24"/>
          <w:lang w:val="ro-MD" w:eastAsia="ro-MD"/>
          <w14:ligatures w14:val="none"/>
        </w:rPr>
        <w:t xml:space="preserve">de </w:t>
      </w:r>
      <w:r w:rsidR="00580E88" w:rsidRPr="00580E88">
        <w:rPr>
          <w:rFonts w:ascii="Times New Roman" w:eastAsia="Times New Roman" w:hAnsi="Times New Roman" w:cs="Times New Roman"/>
          <w:kern w:val="0"/>
          <w:sz w:val="24"/>
          <w:szCs w:val="24"/>
          <w:lang w:val="ro-MD" w:eastAsia="ro-MD"/>
          <w14:ligatures w14:val="none"/>
        </w:rPr>
        <w:t>validare a învățării nonformale și informale</w:t>
      </w:r>
      <w:r w:rsidRPr="00DE0F1B">
        <w:rPr>
          <w:rFonts w:ascii="Times New Roman" w:eastAsia="Times New Roman" w:hAnsi="Times New Roman" w:cs="Times New Roman"/>
          <w:kern w:val="0"/>
          <w:sz w:val="24"/>
          <w:szCs w:val="24"/>
          <w:lang w:val="ro-MD" w:eastAsia="ro-MD"/>
          <w14:ligatures w14:val="none"/>
        </w:rPr>
        <w:t>.</w:t>
      </w:r>
      <w:r w:rsidR="005D60E6">
        <w:rPr>
          <w:rFonts w:ascii="Times New Roman" w:eastAsia="Times New Roman" w:hAnsi="Times New Roman" w:cs="Times New Roman"/>
          <w:kern w:val="0"/>
          <w:sz w:val="24"/>
          <w:szCs w:val="24"/>
          <w:lang w:val="ro-MD" w:eastAsia="ro-MD"/>
          <w14:ligatures w14:val="none"/>
        </w:rPr>
        <w:t xml:space="preserve"> </w:t>
      </w:r>
      <w:r w:rsidRPr="00DE0F1B">
        <w:rPr>
          <w:rFonts w:ascii="Times New Roman" w:eastAsia="Times New Roman" w:hAnsi="Times New Roman" w:cs="Times New Roman"/>
          <w:kern w:val="0"/>
          <w:sz w:val="24"/>
          <w:szCs w:val="24"/>
          <w:lang w:val="ro-MD" w:eastAsia="ro-MD"/>
          <w14:ligatures w14:val="none"/>
        </w:rPr>
        <w:t>Prin procedurile sale de evaluare externă, ANACEC verifică:</w:t>
      </w:r>
    </w:p>
    <w:p w14:paraId="570D30EF" w14:textId="0D1A7A8A" w:rsidR="00DE0F1B" w:rsidRPr="00DE0F1B" w:rsidRDefault="005A467D" w:rsidP="00A41843">
      <w:pPr>
        <w:numPr>
          <w:ilvl w:val="0"/>
          <w:numId w:val="19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Pr>
          <w:rFonts w:ascii="Times New Roman" w:eastAsia="Times New Roman" w:hAnsi="Times New Roman" w:cs="Times New Roman"/>
          <w:kern w:val="0"/>
          <w:sz w:val="24"/>
          <w:szCs w:val="24"/>
          <w:lang w:val="ro-MD" w:eastAsia="ro-MD"/>
          <w14:ligatures w14:val="none"/>
        </w:rPr>
        <w:t xml:space="preserve">organizarea </w:t>
      </w:r>
      <w:r w:rsidR="00DE0F1B" w:rsidRPr="00DE0F1B">
        <w:rPr>
          <w:rFonts w:ascii="Times New Roman" w:eastAsia="Times New Roman" w:hAnsi="Times New Roman" w:cs="Times New Roman"/>
          <w:kern w:val="0"/>
          <w:sz w:val="24"/>
          <w:szCs w:val="24"/>
          <w:lang w:val="ro-MD" w:eastAsia="ro-MD"/>
          <w14:ligatures w14:val="none"/>
        </w:rPr>
        <w:t xml:space="preserve">procesele de </w:t>
      </w:r>
      <w:r w:rsidR="0070226E">
        <w:rPr>
          <w:rFonts w:ascii="Times New Roman" w:eastAsia="Times New Roman" w:hAnsi="Times New Roman" w:cs="Times New Roman"/>
          <w:kern w:val="0"/>
          <w:sz w:val="24"/>
          <w:szCs w:val="24"/>
          <w:lang w:val="ro-MD" w:eastAsia="ro-MD"/>
          <w14:ligatures w14:val="none"/>
        </w:rPr>
        <w:t xml:space="preserve">validare </w:t>
      </w:r>
      <w:r w:rsidR="007244C5">
        <w:rPr>
          <w:rFonts w:ascii="Times New Roman" w:eastAsia="Times New Roman" w:hAnsi="Times New Roman" w:cs="Times New Roman"/>
          <w:kern w:val="0"/>
          <w:sz w:val="24"/>
          <w:szCs w:val="24"/>
          <w:lang w:val="ro-MD" w:eastAsia="ro-MD"/>
          <w14:ligatures w14:val="none"/>
        </w:rPr>
        <w:t>axate pe evaluarea</w:t>
      </w:r>
      <w:r w:rsidR="00DE0F1B" w:rsidRPr="00DE0F1B">
        <w:rPr>
          <w:rFonts w:ascii="Times New Roman" w:eastAsia="Times New Roman" w:hAnsi="Times New Roman" w:cs="Times New Roman"/>
          <w:kern w:val="0"/>
          <w:sz w:val="24"/>
          <w:szCs w:val="24"/>
          <w:lang w:val="ro-MD" w:eastAsia="ro-MD"/>
          <w14:ligatures w14:val="none"/>
        </w:rPr>
        <w:t xml:space="preserve"> rezultatelor învățării;</w:t>
      </w:r>
    </w:p>
    <w:p w14:paraId="301B35B7" w14:textId="7F6B051E" w:rsidR="00DE0F1B" w:rsidRPr="00DE0F1B" w:rsidRDefault="00DE0F1B" w:rsidP="00A41843">
      <w:pPr>
        <w:numPr>
          <w:ilvl w:val="0"/>
          <w:numId w:val="19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 xml:space="preserve">corelarea </w:t>
      </w:r>
      <w:r w:rsidR="008C0773">
        <w:rPr>
          <w:rFonts w:ascii="Times New Roman" w:eastAsia="Times New Roman" w:hAnsi="Times New Roman" w:cs="Times New Roman"/>
          <w:kern w:val="0"/>
          <w:sz w:val="24"/>
          <w:szCs w:val="24"/>
          <w:lang w:val="ro-MD" w:eastAsia="ro-MD"/>
          <w14:ligatures w14:val="none"/>
        </w:rPr>
        <w:t xml:space="preserve">rezultatelor învățării evaluate/validate </w:t>
      </w:r>
      <w:r w:rsidRPr="00DE0F1B">
        <w:rPr>
          <w:rFonts w:ascii="Times New Roman" w:eastAsia="Times New Roman" w:hAnsi="Times New Roman" w:cs="Times New Roman"/>
          <w:kern w:val="0"/>
          <w:sz w:val="24"/>
          <w:szCs w:val="24"/>
          <w:lang w:val="ro-MD" w:eastAsia="ro-MD"/>
          <w14:ligatures w14:val="none"/>
        </w:rPr>
        <w:t>cu descriptorii CNC și EQF;</w:t>
      </w:r>
    </w:p>
    <w:p w14:paraId="7E40A07E" w14:textId="77777777" w:rsidR="00206ADF" w:rsidRDefault="00DE0F1B" w:rsidP="00A41843">
      <w:pPr>
        <w:numPr>
          <w:ilvl w:val="0"/>
          <w:numId w:val="197"/>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aplicarea corectă a sistemelor de credite și a metodologiilor de validare.</w:t>
      </w:r>
    </w:p>
    <w:p w14:paraId="0A0B37F3" w14:textId="2D88B6D0" w:rsidR="005D60E6" w:rsidRPr="00DE0F1B" w:rsidRDefault="00DE0F1B" w:rsidP="00206ADF">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DE0F1B">
        <w:rPr>
          <w:rFonts w:ascii="Times New Roman" w:eastAsia="Times New Roman" w:hAnsi="Times New Roman" w:cs="Times New Roman"/>
          <w:kern w:val="0"/>
          <w:sz w:val="24"/>
          <w:szCs w:val="24"/>
          <w:lang w:val="ro-MD" w:eastAsia="ro-MD"/>
          <w14:ligatures w14:val="none"/>
        </w:rPr>
        <w:t>De asemenea, prin publicarea rapoartelor și a registrelor de evaluare externă, A</w:t>
      </w:r>
      <w:r w:rsidR="00BD1357">
        <w:rPr>
          <w:rFonts w:ascii="Times New Roman" w:eastAsia="Times New Roman" w:hAnsi="Times New Roman" w:cs="Times New Roman"/>
          <w:kern w:val="0"/>
          <w:sz w:val="24"/>
          <w:szCs w:val="24"/>
          <w:lang w:val="ro-MD" w:eastAsia="ro-MD"/>
          <w14:ligatures w14:val="none"/>
        </w:rPr>
        <w:t>NACEC</w:t>
      </w:r>
      <w:r w:rsidRPr="00DE0F1B">
        <w:rPr>
          <w:rFonts w:ascii="Times New Roman" w:eastAsia="Times New Roman" w:hAnsi="Times New Roman" w:cs="Times New Roman"/>
          <w:kern w:val="0"/>
          <w:sz w:val="24"/>
          <w:szCs w:val="24"/>
          <w:lang w:val="ro-MD" w:eastAsia="ro-MD"/>
          <w14:ligatures w14:val="none"/>
        </w:rPr>
        <w:t xml:space="preserve"> contribuie la transparența și credibilitatea sistemului de calificări și la consolidarea încrederii publice.</w:t>
      </w:r>
    </w:p>
    <w:p w14:paraId="3B604E82" w14:textId="2F9AB57A" w:rsidR="004263AF" w:rsidRPr="00E71C13" w:rsidRDefault="004263AF" w:rsidP="0022305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E71C13">
        <w:rPr>
          <w:rFonts w:ascii="Times New Roman" w:eastAsia="Times New Roman" w:hAnsi="Times New Roman" w:cs="Times New Roman"/>
          <w:b/>
          <w:bCs/>
          <w:color w:val="3494BA" w:themeColor="accent1"/>
          <w:kern w:val="0"/>
          <w:sz w:val="24"/>
          <w:szCs w:val="24"/>
          <w:lang w:val="ro-MD" w:eastAsia="ro-MD"/>
          <w14:ligatures w14:val="none"/>
        </w:rPr>
        <w:t>7. Dovada de conformitate</w:t>
      </w:r>
      <w:r w:rsidR="0010487D">
        <w:rPr>
          <w:rFonts w:ascii="Times New Roman" w:eastAsia="Times New Roman" w:hAnsi="Times New Roman" w:cs="Times New Roman"/>
          <w:b/>
          <w:bCs/>
          <w:color w:val="3494BA" w:themeColor="accent1"/>
          <w:kern w:val="0"/>
          <w:sz w:val="24"/>
          <w:szCs w:val="24"/>
          <w:lang w:val="ro-MD" w:eastAsia="ro-MD"/>
          <w14:ligatures w14:val="none"/>
        </w:rPr>
        <w:t xml:space="preserve"> </w:t>
      </w:r>
      <w:r w:rsidR="0010487D" w:rsidRPr="005E53FC">
        <w:rPr>
          <w:rFonts w:ascii="Times New Roman" w:eastAsia="Times New Roman" w:hAnsi="Times New Roman" w:cs="Times New Roman"/>
          <w:color w:val="3494BA" w:themeColor="accent1"/>
          <w:kern w:val="0"/>
          <w:sz w:val="24"/>
          <w:szCs w:val="24"/>
          <w:lang w:val="ro-MD" w:eastAsia="ro-MD"/>
          <w14:ligatures w14:val="none"/>
        </w:rPr>
        <w:t>(sinteză narativă)</w:t>
      </w:r>
    </w:p>
    <w:p w14:paraId="78B0A19F" w14:textId="77777777" w:rsidR="004263AF" w:rsidRPr="0022305E" w:rsidRDefault="004263AF" w:rsidP="0022305E">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CNC al Republicii Moldova este pe deplin bazat pe principiul rezultatelor învățării, conform definiției și practicilor europene, îndeplinind toate cerințele Criteriului 3:</w:t>
      </w:r>
    </w:p>
    <w:p w14:paraId="2B354D25" w14:textId="77777777" w:rsidR="004263AF" w:rsidRPr="0022305E" w:rsidRDefault="004263AF" w:rsidP="00A41843">
      <w:pPr>
        <w:numPr>
          <w:ilvl w:val="0"/>
          <w:numId w:val="19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lastRenderedPageBreak/>
        <w:t>toate calificările din CNC sunt exprimate în termeni de cunoștințe, aptitudini, responsabilitate și autonomie;</w:t>
      </w:r>
    </w:p>
    <w:p w14:paraId="36DD4C00" w14:textId="77777777" w:rsidR="004263AF" w:rsidRPr="0022305E" w:rsidRDefault="004263AF" w:rsidP="00A41843">
      <w:pPr>
        <w:numPr>
          <w:ilvl w:val="0"/>
          <w:numId w:val="19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sistemele de credite ECVET și ECTS asigură acumularea și transferul rezultatelor învățării;</w:t>
      </w:r>
    </w:p>
    <w:p w14:paraId="62B96162" w14:textId="21BAD758" w:rsidR="004263AF" w:rsidRPr="0022305E" w:rsidRDefault="004263AF" w:rsidP="00A41843">
      <w:pPr>
        <w:numPr>
          <w:ilvl w:val="0"/>
          <w:numId w:val="19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există mecanisme funcționale de validare și recunoaștere a rezultatelor învățării dobândite anterior</w:t>
      </w:r>
      <w:r w:rsidR="00EA1554">
        <w:rPr>
          <w:rFonts w:ascii="Times New Roman" w:eastAsia="Times New Roman" w:hAnsi="Times New Roman" w:cs="Times New Roman"/>
          <w:kern w:val="0"/>
          <w:sz w:val="24"/>
          <w:szCs w:val="24"/>
          <w:lang w:val="ro-MD" w:eastAsia="ro-MD"/>
          <w14:ligatures w14:val="none"/>
        </w:rPr>
        <w:t xml:space="preserve"> și în mod special în contexe te învăț</w:t>
      </w:r>
      <w:r w:rsidR="001F6F31">
        <w:rPr>
          <w:rFonts w:ascii="Times New Roman" w:eastAsia="Times New Roman" w:hAnsi="Times New Roman" w:cs="Times New Roman"/>
          <w:kern w:val="0"/>
          <w:sz w:val="24"/>
          <w:szCs w:val="24"/>
          <w:lang w:val="ro-MD" w:eastAsia="ro-MD"/>
          <w14:ligatures w14:val="none"/>
        </w:rPr>
        <w:t>are nonformală și informală</w:t>
      </w:r>
      <w:r w:rsidRPr="0022305E">
        <w:rPr>
          <w:rFonts w:ascii="Times New Roman" w:eastAsia="Times New Roman" w:hAnsi="Times New Roman" w:cs="Times New Roman"/>
          <w:kern w:val="0"/>
          <w:sz w:val="24"/>
          <w:szCs w:val="24"/>
          <w:lang w:val="ro-MD" w:eastAsia="ro-MD"/>
          <w14:ligatures w14:val="none"/>
        </w:rPr>
        <w:t>;</w:t>
      </w:r>
    </w:p>
    <w:p w14:paraId="7CD9CE14" w14:textId="77777777" w:rsidR="004263AF" w:rsidRPr="0022305E" w:rsidRDefault="004263AF" w:rsidP="00A41843">
      <w:pPr>
        <w:numPr>
          <w:ilvl w:val="0"/>
          <w:numId w:val="19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procedurile de evaluare și certificare sunt reglementate, transparente și monitorizate extern;</w:t>
      </w:r>
    </w:p>
    <w:p w14:paraId="4AC3E188" w14:textId="77777777" w:rsidR="004263AF" w:rsidRPr="0022305E" w:rsidRDefault="004263AF" w:rsidP="00A41843">
      <w:pPr>
        <w:numPr>
          <w:ilvl w:val="0"/>
          <w:numId w:val="192"/>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22305E">
        <w:rPr>
          <w:rFonts w:ascii="Times New Roman" w:eastAsia="Times New Roman" w:hAnsi="Times New Roman" w:cs="Times New Roman"/>
          <w:kern w:val="0"/>
          <w:sz w:val="24"/>
          <w:szCs w:val="24"/>
          <w:lang w:val="ro-MD" w:eastAsia="ro-MD"/>
          <w14:ligatures w14:val="none"/>
        </w:rPr>
        <w:t>documentele curriculare și metodologice garantează coerența între învățare, evaluare și calificare.</w:t>
      </w:r>
    </w:p>
    <w:p w14:paraId="5CD478C3" w14:textId="4137E3B4" w:rsidR="00F23CB6" w:rsidRDefault="00236724" w:rsidP="0022305E">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Pr>
          <w:rFonts w:ascii="Times New Roman" w:eastAsia="Times New Roman" w:hAnsi="Times New Roman" w:cs="Times New Roman"/>
          <w:b/>
          <w:bCs/>
          <w:color w:val="3494BA" w:themeColor="accent1"/>
          <w:kern w:val="0"/>
          <w:sz w:val="24"/>
          <w:szCs w:val="24"/>
          <w:lang w:val="ro-MD" w:eastAsia="ro-MD"/>
          <w14:ligatures w14:val="none"/>
        </w:rPr>
        <w:t xml:space="preserve">Tabel: </w:t>
      </w:r>
      <w:r w:rsidR="00944803">
        <w:rPr>
          <w:rFonts w:ascii="Times New Roman" w:eastAsia="Times New Roman" w:hAnsi="Times New Roman" w:cs="Times New Roman"/>
          <w:b/>
          <w:bCs/>
          <w:color w:val="3494BA" w:themeColor="accent1"/>
          <w:kern w:val="0"/>
          <w:sz w:val="24"/>
          <w:szCs w:val="24"/>
          <w:lang w:val="ro-MD" w:eastAsia="ro-MD"/>
          <w14:ligatures w14:val="none"/>
        </w:rPr>
        <w:t>D</w:t>
      </w:r>
      <w:r w:rsidR="00944803" w:rsidRPr="00944803">
        <w:rPr>
          <w:rFonts w:ascii="Times New Roman" w:eastAsia="Times New Roman" w:hAnsi="Times New Roman" w:cs="Times New Roman"/>
          <w:b/>
          <w:bCs/>
          <w:color w:val="3494BA" w:themeColor="accent1"/>
          <w:kern w:val="0"/>
          <w:sz w:val="24"/>
          <w:szCs w:val="24"/>
          <w:lang w:val="ro-MD" w:eastAsia="ro-MD"/>
          <w14:ligatures w14:val="none"/>
        </w:rPr>
        <w:t xml:space="preserve">ovada de conformitate – </w:t>
      </w:r>
      <w:r w:rsidR="00B7797D">
        <w:rPr>
          <w:rFonts w:ascii="Times New Roman" w:eastAsia="Times New Roman" w:hAnsi="Times New Roman" w:cs="Times New Roman"/>
          <w:b/>
          <w:bCs/>
          <w:color w:val="3494BA" w:themeColor="accent1"/>
          <w:kern w:val="0"/>
          <w:sz w:val="24"/>
          <w:szCs w:val="24"/>
          <w:lang w:val="ro-MD" w:eastAsia="ro-MD"/>
          <w14:ligatures w14:val="none"/>
        </w:rPr>
        <w:t>C</w:t>
      </w:r>
      <w:r w:rsidR="00944803" w:rsidRPr="00944803">
        <w:rPr>
          <w:rFonts w:ascii="Times New Roman" w:eastAsia="Times New Roman" w:hAnsi="Times New Roman" w:cs="Times New Roman"/>
          <w:b/>
          <w:bCs/>
          <w:color w:val="3494BA" w:themeColor="accent1"/>
          <w:kern w:val="0"/>
          <w:sz w:val="24"/>
          <w:szCs w:val="24"/>
          <w:lang w:val="ro-MD" w:eastAsia="ro-MD"/>
          <w14:ligatures w14:val="none"/>
        </w:rPr>
        <w:t>riteriul 3</w:t>
      </w:r>
      <w:r w:rsidR="00475790">
        <w:rPr>
          <w:rFonts w:ascii="Times New Roman" w:eastAsia="Times New Roman" w:hAnsi="Times New Roman" w:cs="Times New Roman"/>
          <w:b/>
          <w:bCs/>
          <w:color w:val="3494BA" w:themeColor="accent1"/>
          <w:kern w:val="0"/>
          <w:sz w:val="24"/>
          <w:szCs w:val="24"/>
          <w:lang w:val="ro-MD" w:eastAsia="ro-MD"/>
          <w14:ligatures w14:val="none"/>
        </w:rPr>
        <w:t xml:space="preserve"> </w:t>
      </w:r>
      <w:r w:rsidR="00475790" w:rsidRPr="0010487D">
        <w:rPr>
          <w:rFonts w:ascii="Times New Roman" w:eastAsia="Times New Roman" w:hAnsi="Times New Roman" w:cs="Times New Roman"/>
          <w:color w:val="3494BA" w:themeColor="accent1"/>
          <w:kern w:val="0"/>
          <w:sz w:val="24"/>
          <w:szCs w:val="24"/>
          <w:lang w:val="ro-MD" w:eastAsia="ro-MD"/>
          <w14:ligatures w14:val="none"/>
        </w:rPr>
        <w:t>(detalierea factuală)</w:t>
      </w:r>
    </w:p>
    <w:tbl>
      <w:tblPr>
        <w:tblStyle w:val="aff"/>
        <w:tblW w:w="0" w:type="auto"/>
        <w:tblInd w:w="-289" w:type="dxa"/>
        <w:tblLook w:val="04A0" w:firstRow="1" w:lastRow="0" w:firstColumn="1" w:lastColumn="0" w:noHBand="0" w:noVBand="1"/>
      </w:tblPr>
      <w:tblGrid>
        <w:gridCol w:w="2402"/>
        <w:gridCol w:w="2702"/>
        <w:gridCol w:w="2360"/>
        <w:gridCol w:w="2398"/>
      </w:tblGrid>
      <w:tr w:rsidR="00EE3EB0" w14:paraId="17EC5157" w14:textId="77777777" w:rsidTr="00810565">
        <w:tc>
          <w:tcPr>
            <w:tcW w:w="2402" w:type="dxa"/>
            <w:shd w:val="clear" w:color="auto" w:fill="A9D5E7" w:themeFill="accent1" w:themeFillTint="66"/>
            <w:vAlign w:val="center"/>
          </w:tcPr>
          <w:p w14:paraId="5AE080FD" w14:textId="29FF77D2"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b/>
                <w:bCs/>
                <w:sz w:val="20"/>
                <w:szCs w:val="20"/>
              </w:rPr>
              <w:t>Elemente de verificare (cerințe EQF/QF-EHEA)</w:t>
            </w:r>
          </w:p>
        </w:tc>
        <w:tc>
          <w:tcPr>
            <w:tcW w:w="2702" w:type="dxa"/>
            <w:shd w:val="clear" w:color="auto" w:fill="A9D5E7" w:themeFill="accent1" w:themeFillTint="66"/>
            <w:vAlign w:val="center"/>
          </w:tcPr>
          <w:p w14:paraId="71C144F2" w14:textId="48A48290"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b/>
                <w:bCs/>
                <w:sz w:val="20"/>
                <w:szCs w:val="20"/>
              </w:rPr>
              <w:t>Dovezi privind implementarea în Republica Moldova</w:t>
            </w:r>
          </w:p>
        </w:tc>
        <w:tc>
          <w:tcPr>
            <w:tcW w:w="2360" w:type="dxa"/>
            <w:shd w:val="clear" w:color="auto" w:fill="A9D5E7" w:themeFill="accent1" w:themeFillTint="66"/>
            <w:vAlign w:val="center"/>
          </w:tcPr>
          <w:p w14:paraId="1E7EEC5B" w14:textId="6A31AEE5"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b/>
                <w:bCs/>
                <w:sz w:val="20"/>
                <w:szCs w:val="20"/>
              </w:rPr>
              <w:t>Documente de referință</w:t>
            </w:r>
          </w:p>
        </w:tc>
        <w:tc>
          <w:tcPr>
            <w:tcW w:w="2398" w:type="dxa"/>
            <w:shd w:val="clear" w:color="auto" w:fill="A9D5E7" w:themeFill="accent1" w:themeFillTint="66"/>
            <w:vAlign w:val="center"/>
          </w:tcPr>
          <w:p w14:paraId="063E1D07" w14:textId="0F0F6634"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b/>
                <w:bCs/>
                <w:sz w:val="20"/>
                <w:szCs w:val="20"/>
              </w:rPr>
              <w:t>Concluzie privind conformitatea</w:t>
            </w:r>
          </w:p>
        </w:tc>
      </w:tr>
      <w:tr w:rsidR="00EE3EB0" w14:paraId="537B1D1E" w14:textId="77777777" w:rsidTr="00810565">
        <w:tc>
          <w:tcPr>
            <w:tcW w:w="2402" w:type="dxa"/>
            <w:vAlign w:val="center"/>
          </w:tcPr>
          <w:p w14:paraId="5FF92822" w14:textId="1EFF523C" w:rsidR="00EE3EB0" w:rsidRPr="00EE3EB0" w:rsidRDefault="00EE3EB0" w:rsidP="00A41843">
            <w:pPr>
              <w:pStyle w:val="a7"/>
              <w:numPr>
                <w:ilvl w:val="1"/>
                <w:numId w:val="132"/>
              </w:numPr>
              <w:ind w:left="172" w:hanging="172"/>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Cadrele sunt bazate pe rezultate ale învățării (</w:t>
            </w:r>
            <w:r w:rsidR="005C0901">
              <w:rPr>
                <w:rFonts w:ascii="Times New Roman" w:hAnsi="Times New Roman" w:cs="Times New Roman"/>
                <w:sz w:val="20"/>
                <w:szCs w:val="20"/>
              </w:rPr>
              <w:t>RÎ</w:t>
            </w:r>
            <w:r w:rsidRPr="00EE3EB0">
              <w:rPr>
                <w:rFonts w:ascii="Times New Roman" w:hAnsi="Times New Roman" w:cs="Times New Roman"/>
                <w:sz w:val="20"/>
                <w:szCs w:val="20"/>
              </w:rPr>
              <w:t>)</w:t>
            </w:r>
          </w:p>
        </w:tc>
        <w:tc>
          <w:tcPr>
            <w:tcW w:w="2702" w:type="dxa"/>
            <w:vAlign w:val="center"/>
          </w:tcPr>
          <w:p w14:paraId="74857CA9" w14:textId="726DCCD8" w:rsidR="00EE3EB0" w:rsidRPr="00EE3EB0" w:rsidRDefault="00EA5D0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Pr>
                <w:rFonts w:ascii="Times New Roman" w:hAnsi="Times New Roman" w:cs="Times New Roman"/>
                <w:sz w:val="20"/>
                <w:szCs w:val="20"/>
              </w:rPr>
              <w:t>RÎ</w:t>
            </w:r>
            <w:r w:rsidR="00EE3EB0" w:rsidRPr="00EE3EB0">
              <w:rPr>
                <w:rFonts w:ascii="Times New Roman" w:hAnsi="Times New Roman" w:cs="Times New Roman"/>
                <w:sz w:val="20"/>
                <w:szCs w:val="20"/>
              </w:rPr>
              <w:t xml:space="preserve"> sunt element obligatoriu al fiecărei calificări; utilizate la definirea nivelului, înscrierea în RNC, standarde, curriculum, evaluare și certificare; trei dimensiuni: cunoștințe, aptitudini, responsabilitate/autonomie.</w:t>
            </w:r>
          </w:p>
        </w:tc>
        <w:tc>
          <w:tcPr>
            <w:tcW w:w="2360" w:type="dxa"/>
            <w:vAlign w:val="center"/>
          </w:tcPr>
          <w:p w14:paraId="400C5735" w14:textId="6271FEBF"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HG nr. 330/2023 (Anexa 1)</w:t>
            </w:r>
          </w:p>
        </w:tc>
        <w:tc>
          <w:tcPr>
            <w:tcW w:w="2398" w:type="dxa"/>
            <w:vAlign w:val="center"/>
          </w:tcPr>
          <w:p w14:paraId="347A50D0" w14:textId="57C051EF"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Conform integral cerinței: CNC este construit explicit pe </w:t>
            </w:r>
            <w:r w:rsidR="00EA5D00">
              <w:rPr>
                <w:rFonts w:ascii="Times New Roman" w:hAnsi="Times New Roman" w:cs="Times New Roman"/>
                <w:sz w:val="20"/>
                <w:szCs w:val="20"/>
              </w:rPr>
              <w:t>RÎ</w:t>
            </w:r>
            <w:r w:rsidRPr="00EE3EB0">
              <w:rPr>
                <w:rFonts w:ascii="Times New Roman" w:hAnsi="Times New Roman" w:cs="Times New Roman"/>
                <w:sz w:val="20"/>
                <w:szCs w:val="20"/>
              </w:rPr>
              <w:t>.</w:t>
            </w:r>
          </w:p>
        </w:tc>
      </w:tr>
      <w:tr w:rsidR="00EE3EB0" w14:paraId="14ABFB6D" w14:textId="77777777" w:rsidTr="00810565">
        <w:tc>
          <w:tcPr>
            <w:tcW w:w="2402" w:type="dxa"/>
            <w:vAlign w:val="center"/>
          </w:tcPr>
          <w:p w14:paraId="0C1DDEF6" w14:textId="039E4C02" w:rsidR="00EE3EB0" w:rsidRPr="004702FC" w:rsidRDefault="005C0901" w:rsidP="00A41843">
            <w:pPr>
              <w:pStyle w:val="a7"/>
              <w:numPr>
                <w:ilvl w:val="1"/>
                <w:numId w:val="132"/>
              </w:numPr>
              <w:ind w:left="172" w:hanging="172"/>
              <w:jc w:val="both"/>
              <w:outlineLvl w:val="2"/>
              <w:rPr>
                <w:rFonts w:ascii="Times New Roman" w:hAnsi="Times New Roman" w:cs="Times New Roman"/>
                <w:sz w:val="20"/>
                <w:szCs w:val="20"/>
              </w:rPr>
            </w:pPr>
            <w:r>
              <w:rPr>
                <w:rFonts w:ascii="Times New Roman" w:hAnsi="Times New Roman" w:cs="Times New Roman"/>
                <w:sz w:val="20"/>
                <w:szCs w:val="20"/>
              </w:rPr>
              <w:t>RÎ</w:t>
            </w:r>
            <w:r w:rsidR="00EE3EB0" w:rsidRPr="00EE3EB0">
              <w:rPr>
                <w:rFonts w:ascii="Times New Roman" w:hAnsi="Times New Roman" w:cs="Times New Roman"/>
                <w:sz w:val="20"/>
                <w:szCs w:val="20"/>
              </w:rPr>
              <w:t xml:space="preserve"> integrează calificările din toate subsistemele și contexte</w:t>
            </w:r>
          </w:p>
        </w:tc>
        <w:tc>
          <w:tcPr>
            <w:tcW w:w="2702" w:type="dxa"/>
            <w:vAlign w:val="center"/>
          </w:tcPr>
          <w:p w14:paraId="70FF2A2D" w14:textId="05054C36" w:rsidR="00EE3EB0" w:rsidRPr="00EE3EB0" w:rsidRDefault="00810565"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Pr>
                <w:rFonts w:ascii="Times New Roman" w:hAnsi="Times New Roman" w:cs="Times New Roman"/>
                <w:sz w:val="20"/>
                <w:szCs w:val="20"/>
              </w:rPr>
              <w:t>RÎ</w:t>
            </w:r>
            <w:r w:rsidR="00EE3EB0" w:rsidRPr="00EE3EB0">
              <w:rPr>
                <w:rFonts w:ascii="Times New Roman" w:hAnsi="Times New Roman" w:cs="Times New Roman"/>
                <w:sz w:val="20"/>
                <w:szCs w:val="20"/>
              </w:rPr>
              <w:t xml:space="preserve"> folosite pentru transpunerea din standarde ocupaționale/</w:t>
            </w:r>
            <w:r w:rsidR="003E1750">
              <w:rPr>
                <w:rFonts w:ascii="Times New Roman" w:hAnsi="Times New Roman" w:cs="Times New Roman"/>
                <w:sz w:val="20"/>
                <w:szCs w:val="20"/>
              </w:rPr>
              <w:t xml:space="preserve"> </w:t>
            </w:r>
            <w:r w:rsidR="00EE3EB0" w:rsidRPr="00EE3EB0">
              <w:rPr>
                <w:rFonts w:ascii="Times New Roman" w:hAnsi="Times New Roman" w:cs="Times New Roman"/>
                <w:sz w:val="20"/>
                <w:szCs w:val="20"/>
              </w:rPr>
              <w:t>competență în standarde de calificare și curriculum; acoperă calificări complete/</w:t>
            </w:r>
            <w:r w:rsidR="00DD25EC">
              <w:rPr>
                <w:rFonts w:ascii="Times New Roman" w:hAnsi="Times New Roman" w:cs="Times New Roman"/>
                <w:sz w:val="20"/>
                <w:szCs w:val="20"/>
              </w:rPr>
              <w:t xml:space="preserve"> </w:t>
            </w:r>
            <w:r w:rsidR="00EE3EB0" w:rsidRPr="00EE3EB0">
              <w:rPr>
                <w:rFonts w:ascii="Times New Roman" w:hAnsi="Times New Roman" w:cs="Times New Roman"/>
                <w:sz w:val="20"/>
                <w:szCs w:val="20"/>
              </w:rPr>
              <w:t>parțiale, contexte formale, nonformale, informale.</w:t>
            </w:r>
          </w:p>
        </w:tc>
        <w:tc>
          <w:tcPr>
            <w:tcW w:w="2360" w:type="dxa"/>
            <w:vAlign w:val="center"/>
          </w:tcPr>
          <w:p w14:paraId="08020400" w14:textId="16BCBE2D"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HG nr. 330/2023 (p. 35–45); Ghid metodologic de transpunere </w:t>
            </w:r>
            <w:r w:rsidR="00901675">
              <w:rPr>
                <w:rFonts w:ascii="Times New Roman" w:hAnsi="Times New Roman" w:cs="Times New Roman"/>
                <w:sz w:val="20"/>
                <w:szCs w:val="20"/>
              </w:rPr>
              <w:t xml:space="preserve">a </w:t>
            </w:r>
            <w:r w:rsidRPr="00EE3EB0">
              <w:rPr>
                <w:rFonts w:ascii="Times New Roman" w:hAnsi="Times New Roman" w:cs="Times New Roman"/>
                <w:sz w:val="20"/>
                <w:szCs w:val="20"/>
              </w:rPr>
              <w:t>competențe</w:t>
            </w:r>
            <w:r w:rsidR="00901675">
              <w:rPr>
                <w:rFonts w:ascii="Times New Roman" w:hAnsi="Times New Roman" w:cs="Times New Roman"/>
                <w:sz w:val="20"/>
                <w:szCs w:val="20"/>
              </w:rPr>
              <w:t>lor în RÎ</w:t>
            </w:r>
            <w:r w:rsidRPr="00EE3EB0">
              <w:rPr>
                <w:rFonts w:ascii="Times New Roman" w:hAnsi="Times New Roman" w:cs="Times New Roman"/>
                <w:sz w:val="20"/>
                <w:szCs w:val="20"/>
              </w:rPr>
              <w:t>; Metodologia standardelor de calificare (Anexele 9–10)</w:t>
            </w:r>
          </w:p>
        </w:tc>
        <w:tc>
          <w:tcPr>
            <w:tcW w:w="2398" w:type="dxa"/>
            <w:vAlign w:val="center"/>
          </w:tcPr>
          <w:p w14:paraId="50602D05" w14:textId="18355C2D"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Conform: utilizare sistematică și</w:t>
            </w:r>
            <w:r w:rsidR="009F04CE">
              <w:t xml:space="preserve"> </w:t>
            </w:r>
            <w:r w:rsidR="009F04CE" w:rsidRPr="009F04CE">
              <w:rPr>
                <w:rFonts w:ascii="Times New Roman" w:hAnsi="Times New Roman" w:cs="Times New Roman"/>
                <w:sz w:val="20"/>
                <w:szCs w:val="20"/>
              </w:rPr>
              <w:t>transversală</w:t>
            </w:r>
            <w:r w:rsidR="009F04CE">
              <w:rPr>
                <w:rFonts w:ascii="Times New Roman" w:hAnsi="Times New Roman" w:cs="Times New Roman"/>
                <w:sz w:val="20"/>
                <w:szCs w:val="20"/>
              </w:rPr>
              <w:t>/</w:t>
            </w:r>
            <w:r w:rsidR="009F04CE" w:rsidRPr="009F04CE">
              <w:rPr>
                <w:rFonts w:ascii="Times New Roman" w:hAnsi="Times New Roman" w:cs="Times New Roman"/>
                <w:sz w:val="20"/>
                <w:szCs w:val="20"/>
              </w:rPr>
              <w:t xml:space="preserve"> între subsistemele educaționale (ÎPT, </w:t>
            </w:r>
            <w:r w:rsidR="003E1750">
              <w:rPr>
                <w:rFonts w:ascii="Times New Roman" w:hAnsi="Times New Roman" w:cs="Times New Roman"/>
                <w:sz w:val="20"/>
                <w:szCs w:val="20"/>
              </w:rPr>
              <w:t>ÎS</w:t>
            </w:r>
            <w:r w:rsidR="009F04CE" w:rsidRPr="009F04CE">
              <w:rPr>
                <w:rFonts w:ascii="Times New Roman" w:hAnsi="Times New Roman" w:cs="Times New Roman"/>
                <w:sz w:val="20"/>
                <w:szCs w:val="20"/>
              </w:rPr>
              <w:t>, educația adulților).</w:t>
            </w:r>
          </w:p>
        </w:tc>
      </w:tr>
      <w:tr w:rsidR="00EE3EB0" w14:paraId="73AB8E96" w14:textId="77777777" w:rsidTr="00810565">
        <w:tc>
          <w:tcPr>
            <w:tcW w:w="2402" w:type="dxa"/>
            <w:vAlign w:val="center"/>
          </w:tcPr>
          <w:p w14:paraId="24D93993" w14:textId="63AA0B84" w:rsidR="00EE3EB0" w:rsidRPr="004702FC" w:rsidRDefault="00EE3EB0" w:rsidP="00A41843">
            <w:pPr>
              <w:pStyle w:val="a7"/>
              <w:numPr>
                <w:ilvl w:val="1"/>
                <w:numId w:val="132"/>
              </w:numPr>
              <w:ind w:left="172" w:hanging="172"/>
              <w:jc w:val="both"/>
              <w:outlineLvl w:val="2"/>
              <w:rPr>
                <w:rFonts w:ascii="Times New Roman" w:hAnsi="Times New Roman" w:cs="Times New Roman"/>
                <w:sz w:val="20"/>
                <w:szCs w:val="20"/>
              </w:rPr>
            </w:pPr>
            <w:r w:rsidRPr="00EE3EB0">
              <w:rPr>
                <w:rFonts w:ascii="Times New Roman" w:hAnsi="Times New Roman" w:cs="Times New Roman"/>
                <w:sz w:val="20"/>
                <w:szCs w:val="20"/>
              </w:rPr>
              <w:t xml:space="preserve">Utilizarea </w:t>
            </w:r>
            <w:r w:rsidR="00801429">
              <w:rPr>
                <w:rFonts w:ascii="Times New Roman" w:hAnsi="Times New Roman" w:cs="Times New Roman"/>
                <w:sz w:val="20"/>
                <w:szCs w:val="20"/>
              </w:rPr>
              <w:t>RÎ</w:t>
            </w:r>
            <w:r w:rsidRPr="00EE3EB0">
              <w:rPr>
                <w:rFonts w:ascii="Times New Roman" w:hAnsi="Times New Roman" w:cs="Times New Roman"/>
                <w:sz w:val="20"/>
                <w:szCs w:val="20"/>
              </w:rPr>
              <w:t xml:space="preserve"> în curriculum</w:t>
            </w:r>
          </w:p>
        </w:tc>
        <w:tc>
          <w:tcPr>
            <w:tcW w:w="2702" w:type="dxa"/>
            <w:vAlign w:val="center"/>
          </w:tcPr>
          <w:p w14:paraId="3C827FFD" w14:textId="22C08019"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Cadru actualizat pentru ÎPT orientează didactica spre </w:t>
            </w:r>
            <w:r w:rsidR="00801429">
              <w:rPr>
                <w:rFonts w:ascii="Times New Roman" w:hAnsi="Times New Roman" w:cs="Times New Roman"/>
                <w:sz w:val="20"/>
                <w:szCs w:val="20"/>
              </w:rPr>
              <w:t>RÎ</w:t>
            </w:r>
            <w:r w:rsidRPr="00EE3EB0">
              <w:rPr>
                <w:rFonts w:ascii="Times New Roman" w:hAnsi="Times New Roman" w:cs="Times New Roman"/>
                <w:sz w:val="20"/>
                <w:szCs w:val="20"/>
              </w:rPr>
              <w:t xml:space="preserve">; ghidul de curriculum definește formularea/evaluarea </w:t>
            </w:r>
            <w:r w:rsidR="00801429">
              <w:rPr>
                <w:rFonts w:ascii="Times New Roman" w:hAnsi="Times New Roman" w:cs="Times New Roman"/>
                <w:sz w:val="20"/>
                <w:szCs w:val="20"/>
              </w:rPr>
              <w:t>RÎ</w:t>
            </w:r>
            <w:r w:rsidRPr="00EE3EB0">
              <w:rPr>
                <w:rFonts w:ascii="Times New Roman" w:hAnsi="Times New Roman" w:cs="Times New Roman"/>
                <w:sz w:val="20"/>
                <w:szCs w:val="20"/>
              </w:rPr>
              <w:t xml:space="preserve"> la nivel de program/</w:t>
            </w:r>
            <w:r w:rsidR="00801429">
              <w:rPr>
                <w:rFonts w:ascii="Times New Roman" w:hAnsi="Times New Roman" w:cs="Times New Roman"/>
                <w:sz w:val="20"/>
                <w:szCs w:val="20"/>
              </w:rPr>
              <w:t xml:space="preserve"> </w:t>
            </w:r>
            <w:r w:rsidRPr="00EE3EB0">
              <w:rPr>
                <w:rFonts w:ascii="Times New Roman" w:hAnsi="Times New Roman" w:cs="Times New Roman"/>
                <w:sz w:val="20"/>
                <w:szCs w:val="20"/>
              </w:rPr>
              <w:t>modul</w:t>
            </w:r>
            <w:r w:rsidR="00801429">
              <w:rPr>
                <w:rFonts w:ascii="Times New Roman" w:hAnsi="Times New Roman" w:cs="Times New Roman"/>
                <w:sz w:val="20"/>
                <w:szCs w:val="20"/>
              </w:rPr>
              <w:t xml:space="preserve"> </w:t>
            </w:r>
            <w:r w:rsidRPr="00EE3EB0">
              <w:rPr>
                <w:rFonts w:ascii="Times New Roman" w:hAnsi="Times New Roman" w:cs="Times New Roman"/>
                <w:sz w:val="20"/>
                <w:szCs w:val="20"/>
              </w:rPr>
              <w:t>/unitate; 73 de curricule nivel 3 actualizate.</w:t>
            </w:r>
          </w:p>
        </w:tc>
        <w:tc>
          <w:tcPr>
            <w:tcW w:w="2360" w:type="dxa"/>
            <w:vAlign w:val="center"/>
          </w:tcPr>
          <w:p w14:paraId="7574E09A" w14:textId="22B1FE6D"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Ordin MEC nr. 1652/2024; Ghidul de elaborare a curriculumului pentru ÎPT; Ordin MEC nr. 1818/2024</w:t>
            </w:r>
          </w:p>
        </w:tc>
        <w:tc>
          <w:tcPr>
            <w:tcW w:w="2398" w:type="dxa"/>
            <w:vAlign w:val="center"/>
          </w:tcPr>
          <w:p w14:paraId="1FD97007" w14:textId="37B4F725"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Conform: curriculum operațional pe baza </w:t>
            </w:r>
            <w:r w:rsidR="00734DB6">
              <w:rPr>
                <w:rFonts w:ascii="Times New Roman" w:hAnsi="Times New Roman" w:cs="Times New Roman"/>
                <w:sz w:val="20"/>
                <w:szCs w:val="20"/>
              </w:rPr>
              <w:t>RÎ</w:t>
            </w:r>
            <w:r w:rsidRPr="00EE3EB0">
              <w:rPr>
                <w:rFonts w:ascii="Times New Roman" w:hAnsi="Times New Roman" w:cs="Times New Roman"/>
                <w:sz w:val="20"/>
                <w:szCs w:val="20"/>
              </w:rPr>
              <w:t>.</w:t>
            </w:r>
          </w:p>
        </w:tc>
      </w:tr>
      <w:tr w:rsidR="00EE3EB0" w14:paraId="2B4F97DE" w14:textId="77777777" w:rsidTr="00810565">
        <w:tc>
          <w:tcPr>
            <w:tcW w:w="2402" w:type="dxa"/>
            <w:vAlign w:val="center"/>
          </w:tcPr>
          <w:p w14:paraId="178A0CBA" w14:textId="4D5AE395" w:rsidR="00EE3EB0" w:rsidRPr="004702FC" w:rsidRDefault="00EE3EB0" w:rsidP="00A41843">
            <w:pPr>
              <w:pStyle w:val="a7"/>
              <w:numPr>
                <w:ilvl w:val="1"/>
                <w:numId w:val="132"/>
              </w:numPr>
              <w:ind w:left="172" w:hanging="172"/>
              <w:jc w:val="both"/>
              <w:outlineLvl w:val="2"/>
              <w:rPr>
                <w:rFonts w:ascii="Times New Roman" w:hAnsi="Times New Roman" w:cs="Times New Roman"/>
                <w:sz w:val="20"/>
                <w:szCs w:val="20"/>
              </w:rPr>
            </w:pPr>
            <w:r w:rsidRPr="00EE3EB0">
              <w:rPr>
                <w:rFonts w:ascii="Times New Roman" w:hAnsi="Times New Roman" w:cs="Times New Roman"/>
                <w:sz w:val="20"/>
                <w:szCs w:val="20"/>
              </w:rPr>
              <w:t xml:space="preserve">Proceduri de evaluare și certificare bazate pe </w:t>
            </w:r>
            <w:r w:rsidR="00734DB6">
              <w:rPr>
                <w:rFonts w:ascii="Times New Roman" w:hAnsi="Times New Roman" w:cs="Times New Roman"/>
                <w:sz w:val="20"/>
                <w:szCs w:val="20"/>
              </w:rPr>
              <w:t>RÎ</w:t>
            </w:r>
          </w:p>
        </w:tc>
        <w:tc>
          <w:tcPr>
            <w:tcW w:w="2702" w:type="dxa"/>
            <w:vAlign w:val="center"/>
          </w:tcPr>
          <w:p w14:paraId="2616F558" w14:textId="3AC42D2B"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Evaluarea pe criterii/indicatori din standarde și descriptorii CNC; etape diagnostic–formativ–sumativ–final; principii: relevanță, obiectivitate, echitate, validitate etc.; evaluare realizată de furnizori autorizați/acreditați.</w:t>
            </w:r>
          </w:p>
        </w:tc>
        <w:tc>
          <w:tcPr>
            <w:tcW w:w="2360" w:type="dxa"/>
            <w:vAlign w:val="center"/>
          </w:tcPr>
          <w:p w14:paraId="59CEE62B" w14:textId="1305ACDB"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HG nr. 330/2023 (p. 70–77)</w:t>
            </w:r>
          </w:p>
        </w:tc>
        <w:tc>
          <w:tcPr>
            <w:tcW w:w="2398" w:type="dxa"/>
            <w:vAlign w:val="center"/>
          </w:tcPr>
          <w:p w14:paraId="7160D81C" w14:textId="5BC5060E"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Conform: reguli clare, uniforme și transparente.</w:t>
            </w:r>
          </w:p>
        </w:tc>
      </w:tr>
      <w:tr w:rsidR="00EE3EB0" w14:paraId="34E2CC7D" w14:textId="77777777" w:rsidTr="00810565">
        <w:tc>
          <w:tcPr>
            <w:tcW w:w="2402" w:type="dxa"/>
            <w:vAlign w:val="center"/>
          </w:tcPr>
          <w:p w14:paraId="15A4F5C7" w14:textId="4620100D" w:rsidR="00EE3EB0" w:rsidRPr="004702FC" w:rsidRDefault="00EE3EB0" w:rsidP="00A41843">
            <w:pPr>
              <w:pStyle w:val="a7"/>
              <w:numPr>
                <w:ilvl w:val="1"/>
                <w:numId w:val="132"/>
              </w:numPr>
              <w:ind w:left="172" w:hanging="172"/>
              <w:jc w:val="both"/>
              <w:outlineLvl w:val="2"/>
              <w:rPr>
                <w:rFonts w:ascii="Times New Roman" w:hAnsi="Times New Roman" w:cs="Times New Roman"/>
                <w:sz w:val="20"/>
                <w:szCs w:val="20"/>
              </w:rPr>
            </w:pPr>
            <w:r w:rsidRPr="00EE3EB0">
              <w:rPr>
                <w:rFonts w:ascii="Times New Roman" w:hAnsi="Times New Roman" w:cs="Times New Roman"/>
                <w:sz w:val="20"/>
                <w:szCs w:val="20"/>
              </w:rPr>
              <w:t xml:space="preserve">Asigurarea calității corelată cu </w:t>
            </w:r>
            <w:r w:rsidR="00A51C70">
              <w:rPr>
                <w:rFonts w:ascii="Times New Roman" w:hAnsi="Times New Roman" w:cs="Times New Roman"/>
                <w:sz w:val="20"/>
                <w:szCs w:val="20"/>
              </w:rPr>
              <w:t>RÎ</w:t>
            </w:r>
            <w:r w:rsidRPr="00EE3EB0">
              <w:rPr>
                <w:rFonts w:ascii="Times New Roman" w:hAnsi="Times New Roman" w:cs="Times New Roman"/>
                <w:sz w:val="20"/>
                <w:szCs w:val="20"/>
              </w:rPr>
              <w:t>/EQF/QF-EHEA</w:t>
            </w:r>
          </w:p>
        </w:tc>
        <w:tc>
          <w:tcPr>
            <w:tcW w:w="2702" w:type="dxa"/>
            <w:vAlign w:val="center"/>
          </w:tcPr>
          <w:p w14:paraId="74758977" w14:textId="6E5C660E"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ANACEC verifică formularea programelor în termeni de </w:t>
            </w:r>
            <w:r w:rsidR="00A51C70">
              <w:rPr>
                <w:rFonts w:ascii="Times New Roman" w:hAnsi="Times New Roman" w:cs="Times New Roman"/>
                <w:sz w:val="20"/>
                <w:szCs w:val="20"/>
              </w:rPr>
              <w:t>RÎ</w:t>
            </w:r>
            <w:r w:rsidRPr="00EE3EB0">
              <w:rPr>
                <w:rFonts w:ascii="Times New Roman" w:hAnsi="Times New Roman" w:cs="Times New Roman"/>
                <w:sz w:val="20"/>
                <w:szCs w:val="20"/>
              </w:rPr>
              <w:t xml:space="preserve">, coerența cu descriptorii CNC/EQF/QF-EHEA, aplicarea ECTS/ECVET și a recunoașterii </w:t>
            </w:r>
            <w:r w:rsidR="00A62A21">
              <w:rPr>
                <w:rFonts w:ascii="Times New Roman" w:hAnsi="Times New Roman" w:cs="Times New Roman"/>
                <w:sz w:val="20"/>
                <w:szCs w:val="20"/>
              </w:rPr>
              <w:t>RÎ</w:t>
            </w:r>
            <w:r w:rsidRPr="00EE3EB0">
              <w:rPr>
                <w:rFonts w:ascii="Times New Roman" w:hAnsi="Times New Roman" w:cs="Times New Roman"/>
                <w:sz w:val="20"/>
                <w:szCs w:val="20"/>
              </w:rPr>
              <w:t>; ghiduri/</w:t>
            </w:r>
            <w:r w:rsidR="00A62A21">
              <w:rPr>
                <w:rFonts w:ascii="Times New Roman" w:hAnsi="Times New Roman" w:cs="Times New Roman"/>
                <w:sz w:val="20"/>
                <w:szCs w:val="20"/>
              </w:rPr>
              <w:t xml:space="preserve"> </w:t>
            </w:r>
            <w:r w:rsidRPr="00EE3EB0">
              <w:rPr>
                <w:rFonts w:ascii="Times New Roman" w:hAnsi="Times New Roman" w:cs="Times New Roman"/>
                <w:sz w:val="20"/>
                <w:szCs w:val="20"/>
              </w:rPr>
              <w:t xml:space="preserve">standarde proprii și raportare publică; </w:t>
            </w:r>
          </w:p>
        </w:tc>
        <w:tc>
          <w:tcPr>
            <w:tcW w:w="2360" w:type="dxa"/>
            <w:vAlign w:val="center"/>
          </w:tcPr>
          <w:p w14:paraId="5C278095" w14:textId="2D39465D"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HG nr. 330/2023; Regulamentul ANACEC (HG nr. 201/2018); rapoarte și ghiduri ANACEC</w:t>
            </w:r>
          </w:p>
        </w:tc>
        <w:tc>
          <w:tcPr>
            <w:tcW w:w="2398" w:type="dxa"/>
            <w:vAlign w:val="center"/>
          </w:tcPr>
          <w:p w14:paraId="727CB2C3" w14:textId="6508A42C"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Conform: </w:t>
            </w:r>
            <w:r w:rsidR="00C320D9">
              <w:rPr>
                <w:rFonts w:ascii="Times New Roman" w:hAnsi="Times New Roman" w:cs="Times New Roman"/>
                <w:sz w:val="20"/>
                <w:szCs w:val="20"/>
              </w:rPr>
              <w:t>asigurarea calității</w:t>
            </w:r>
            <w:r w:rsidRPr="00EE3EB0">
              <w:rPr>
                <w:rFonts w:ascii="Times New Roman" w:hAnsi="Times New Roman" w:cs="Times New Roman"/>
                <w:sz w:val="20"/>
                <w:szCs w:val="20"/>
              </w:rPr>
              <w:t xml:space="preserve"> externă ancorată în </w:t>
            </w:r>
            <w:r w:rsidR="00C320D9">
              <w:rPr>
                <w:rFonts w:ascii="Times New Roman" w:hAnsi="Times New Roman" w:cs="Times New Roman"/>
                <w:sz w:val="20"/>
                <w:szCs w:val="20"/>
              </w:rPr>
              <w:t>RÎ</w:t>
            </w:r>
            <w:r w:rsidRPr="00EE3EB0">
              <w:rPr>
                <w:rFonts w:ascii="Times New Roman" w:hAnsi="Times New Roman" w:cs="Times New Roman"/>
                <w:sz w:val="20"/>
                <w:szCs w:val="20"/>
              </w:rPr>
              <w:t xml:space="preserve"> și instrumente europene.</w:t>
            </w:r>
          </w:p>
        </w:tc>
      </w:tr>
      <w:tr w:rsidR="00EE3EB0" w14:paraId="56DEE49E" w14:textId="77777777" w:rsidTr="00810565">
        <w:tc>
          <w:tcPr>
            <w:tcW w:w="2402" w:type="dxa"/>
            <w:vAlign w:val="center"/>
          </w:tcPr>
          <w:p w14:paraId="6D9F4EBC" w14:textId="1B32C9E5" w:rsidR="00EE3EB0" w:rsidRPr="004702FC" w:rsidRDefault="00EE3EB0" w:rsidP="00A41843">
            <w:pPr>
              <w:pStyle w:val="a7"/>
              <w:numPr>
                <w:ilvl w:val="1"/>
                <w:numId w:val="132"/>
              </w:numPr>
              <w:ind w:left="172" w:hanging="172"/>
              <w:jc w:val="both"/>
              <w:outlineLvl w:val="2"/>
              <w:rPr>
                <w:rFonts w:ascii="Times New Roman" w:hAnsi="Times New Roman" w:cs="Times New Roman"/>
                <w:sz w:val="20"/>
                <w:szCs w:val="20"/>
              </w:rPr>
            </w:pPr>
            <w:r w:rsidRPr="00EE3EB0">
              <w:rPr>
                <w:rFonts w:ascii="Times New Roman" w:hAnsi="Times New Roman" w:cs="Times New Roman"/>
                <w:sz w:val="20"/>
                <w:szCs w:val="20"/>
              </w:rPr>
              <w:t>Sisteme de credite (</w:t>
            </w:r>
            <w:r w:rsidR="008C04F7">
              <w:rPr>
                <w:rFonts w:ascii="Times New Roman" w:hAnsi="Times New Roman" w:cs="Times New Roman"/>
                <w:sz w:val="20"/>
                <w:szCs w:val="20"/>
              </w:rPr>
              <w:t>ÎPT</w:t>
            </w:r>
            <w:r w:rsidRPr="00EE3EB0">
              <w:rPr>
                <w:rFonts w:ascii="Times New Roman" w:hAnsi="Times New Roman" w:cs="Times New Roman"/>
                <w:sz w:val="20"/>
                <w:szCs w:val="20"/>
              </w:rPr>
              <w:t>/</w:t>
            </w:r>
            <w:r w:rsidR="008C04F7">
              <w:rPr>
                <w:rFonts w:ascii="Times New Roman" w:hAnsi="Times New Roman" w:cs="Times New Roman"/>
                <w:sz w:val="20"/>
                <w:szCs w:val="20"/>
              </w:rPr>
              <w:t>ÎS</w:t>
            </w:r>
            <w:r w:rsidRPr="00EE3EB0">
              <w:rPr>
                <w:rFonts w:ascii="Times New Roman" w:hAnsi="Times New Roman" w:cs="Times New Roman"/>
                <w:sz w:val="20"/>
                <w:szCs w:val="20"/>
              </w:rPr>
              <w:t xml:space="preserve">) legate de </w:t>
            </w:r>
            <w:r w:rsidR="008C04F7">
              <w:rPr>
                <w:rFonts w:ascii="Times New Roman" w:hAnsi="Times New Roman" w:cs="Times New Roman"/>
                <w:sz w:val="20"/>
                <w:szCs w:val="20"/>
              </w:rPr>
              <w:t>RÎ</w:t>
            </w:r>
          </w:p>
        </w:tc>
        <w:tc>
          <w:tcPr>
            <w:tcW w:w="2702" w:type="dxa"/>
            <w:vAlign w:val="center"/>
          </w:tcPr>
          <w:p w14:paraId="139C8713" w14:textId="1F02BC7A"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ECVET în ÎPT (cu ghid de implementare și regulament de organizare pe credite); ECTS în ÎS (30 credite/sem., 60/an; recunoaștere până la 60 credite </w:t>
            </w:r>
            <w:r w:rsidRPr="00EE3EB0">
              <w:rPr>
                <w:rFonts w:ascii="Times New Roman" w:hAnsi="Times New Roman" w:cs="Times New Roman"/>
                <w:sz w:val="20"/>
                <w:szCs w:val="20"/>
              </w:rPr>
              <w:lastRenderedPageBreak/>
              <w:t>din ÎPT); ECTS aplicat și la formarea continuă în ÎS.</w:t>
            </w:r>
          </w:p>
        </w:tc>
        <w:tc>
          <w:tcPr>
            <w:tcW w:w="2360" w:type="dxa"/>
            <w:vAlign w:val="center"/>
          </w:tcPr>
          <w:p w14:paraId="76F69248" w14:textId="7999397A"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lastRenderedPageBreak/>
              <w:t xml:space="preserve">Codul educației nr. 152/2014 (art. 66(7), art. 88); Ghid ME nr. 811/2014 (mediu de specialitate); Regulament ÎPT </w:t>
            </w:r>
            <w:r w:rsidRPr="00EE3EB0">
              <w:rPr>
                <w:rFonts w:ascii="Times New Roman" w:hAnsi="Times New Roman" w:cs="Times New Roman"/>
                <w:sz w:val="20"/>
                <w:szCs w:val="20"/>
              </w:rPr>
              <w:lastRenderedPageBreak/>
              <w:t>postsecundar/postsecundar nonterțiar pe credite; Ordin MEC nr. 1020/2023 (ECTS la FPC</w:t>
            </w:r>
            <w:r w:rsidR="00473C45">
              <w:rPr>
                <w:rFonts w:ascii="Times New Roman" w:hAnsi="Times New Roman" w:cs="Times New Roman"/>
                <w:sz w:val="20"/>
                <w:szCs w:val="20"/>
              </w:rPr>
              <w:t>, nivel 6 CNC</w:t>
            </w:r>
            <w:r w:rsidRPr="00EE3EB0">
              <w:rPr>
                <w:rFonts w:ascii="Times New Roman" w:hAnsi="Times New Roman" w:cs="Times New Roman"/>
                <w:sz w:val="20"/>
                <w:szCs w:val="20"/>
              </w:rPr>
              <w:t>)</w:t>
            </w:r>
          </w:p>
        </w:tc>
        <w:tc>
          <w:tcPr>
            <w:tcW w:w="2398" w:type="dxa"/>
            <w:vAlign w:val="center"/>
          </w:tcPr>
          <w:p w14:paraId="6C56BEB4" w14:textId="56015E07"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lastRenderedPageBreak/>
              <w:t xml:space="preserve">Conform: creditarea este funcțională, </w:t>
            </w:r>
            <w:r w:rsidR="00E20010" w:rsidRPr="009F04CE">
              <w:rPr>
                <w:rFonts w:ascii="Times New Roman" w:hAnsi="Times New Roman" w:cs="Times New Roman"/>
                <w:sz w:val="20"/>
                <w:szCs w:val="20"/>
              </w:rPr>
              <w:t>transversală</w:t>
            </w:r>
            <w:r w:rsidR="00E20010">
              <w:rPr>
                <w:rFonts w:ascii="Times New Roman" w:hAnsi="Times New Roman" w:cs="Times New Roman"/>
                <w:sz w:val="20"/>
                <w:szCs w:val="20"/>
              </w:rPr>
              <w:t>/</w:t>
            </w:r>
            <w:r w:rsidR="00E20010" w:rsidRPr="009F04CE">
              <w:rPr>
                <w:rFonts w:ascii="Times New Roman" w:hAnsi="Times New Roman" w:cs="Times New Roman"/>
                <w:sz w:val="20"/>
                <w:szCs w:val="20"/>
              </w:rPr>
              <w:t xml:space="preserve"> între subsistemele educaționale (ÎPT, </w:t>
            </w:r>
            <w:r w:rsidR="00E20010">
              <w:rPr>
                <w:rFonts w:ascii="Times New Roman" w:hAnsi="Times New Roman" w:cs="Times New Roman"/>
                <w:sz w:val="20"/>
                <w:szCs w:val="20"/>
              </w:rPr>
              <w:t>ÎS</w:t>
            </w:r>
            <w:r w:rsidR="00E20010" w:rsidRPr="009F04CE">
              <w:rPr>
                <w:rFonts w:ascii="Times New Roman" w:hAnsi="Times New Roman" w:cs="Times New Roman"/>
                <w:sz w:val="20"/>
                <w:szCs w:val="20"/>
              </w:rPr>
              <w:t xml:space="preserve">, </w:t>
            </w:r>
            <w:r w:rsidR="00E20010" w:rsidRPr="009F04CE">
              <w:rPr>
                <w:rFonts w:ascii="Times New Roman" w:hAnsi="Times New Roman" w:cs="Times New Roman"/>
                <w:sz w:val="20"/>
                <w:szCs w:val="20"/>
              </w:rPr>
              <w:lastRenderedPageBreak/>
              <w:t>educația adulților)</w:t>
            </w:r>
            <w:r w:rsidR="00E20010">
              <w:rPr>
                <w:rFonts w:ascii="Times New Roman" w:hAnsi="Times New Roman" w:cs="Times New Roman"/>
                <w:sz w:val="20"/>
                <w:szCs w:val="20"/>
              </w:rPr>
              <w:t xml:space="preserve"> </w:t>
            </w:r>
            <w:r w:rsidRPr="00EE3EB0">
              <w:rPr>
                <w:rFonts w:ascii="Times New Roman" w:hAnsi="Times New Roman" w:cs="Times New Roman"/>
                <w:sz w:val="20"/>
                <w:szCs w:val="20"/>
              </w:rPr>
              <w:t xml:space="preserve">și legată de </w:t>
            </w:r>
            <w:r w:rsidR="00E20010">
              <w:rPr>
                <w:rFonts w:ascii="Times New Roman" w:hAnsi="Times New Roman" w:cs="Times New Roman"/>
                <w:sz w:val="20"/>
                <w:szCs w:val="20"/>
              </w:rPr>
              <w:t>RÎ</w:t>
            </w:r>
            <w:r w:rsidRPr="00EE3EB0">
              <w:rPr>
                <w:rFonts w:ascii="Times New Roman" w:hAnsi="Times New Roman" w:cs="Times New Roman"/>
                <w:sz w:val="20"/>
                <w:szCs w:val="20"/>
              </w:rPr>
              <w:t>.</w:t>
            </w:r>
          </w:p>
        </w:tc>
      </w:tr>
      <w:tr w:rsidR="00EE3EB0" w14:paraId="5DDBCA9D" w14:textId="77777777" w:rsidTr="00810565">
        <w:tc>
          <w:tcPr>
            <w:tcW w:w="2402" w:type="dxa"/>
            <w:vAlign w:val="center"/>
          </w:tcPr>
          <w:p w14:paraId="4262FE62" w14:textId="2B96B1ED" w:rsidR="00EE3EB0" w:rsidRPr="004702FC" w:rsidRDefault="00EE3EB0" w:rsidP="00A41843">
            <w:pPr>
              <w:pStyle w:val="a7"/>
              <w:numPr>
                <w:ilvl w:val="1"/>
                <w:numId w:val="132"/>
              </w:numPr>
              <w:ind w:left="172" w:hanging="172"/>
              <w:jc w:val="both"/>
              <w:outlineLvl w:val="2"/>
              <w:rPr>
                <w:rFonts w:ascii="Times New Roman" w:hAnsi="Times New Roman" w:cs="Times New Roman"/>
                <w:sz w:val="20"/>
                <w:szCs w:val="20"/>
              </w:rPr>
            </w:pPr>
            <w:r w:rsidRPr="00EE3EB0">
              <w:rPr>
                <w:rFonts w:ascii="Times New Roman" w:hAnsi="Times New Roman" w:cs="Times New Roman"/>
                <w:sz w:val="20"/>
                <w:szCs w:val="20"/>
              </w:rPr>
              <w:lastRenderedPageBreak/>
              <w:t>Credite în educația adulților</w:t>
            </w:r>
          </w:p>
        </w:tc>
        <w:tc>
          <w:tcPr>
            <w:tcW w:w="2702" w:type="dxa"/>
            <w:vAlign w:val="center"/>
          </w:tcPr>
          <w:p w14:paraId="6AC5D31C" w14:textId="74B991BD"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Programele formale pentru adulți se desfășoară pe niveluri CNC 1–7; 1 credit = 30 ore academice; raport flexibil contact</w:t>
            </w:r>
            <w:r w:rsidR="00BD5A96">
              <w:rPr>
                <w:rFonts w:ascii="Times New Roman" w:hAnsi="Times New Roman" w:cs="Times New Roman"/>
                <w:sz w:val="20"/>
                <w:szCs w:val="20"/>
              </w:rPr>
              <w:t xml:space="preserve">, </w:t>
            </w:r>
            <w:r w:rsidRPr="00EE3EB0">
              <w:rPr>
                <w:rFonts w:ascii="Times New Roman" w:hAnsi="Times New Roman" w:cs="Times New Roman"/>
                <w:sz w:val="20"/>
                <w:szCs w:val="20"/>
              </w:rPr>
              <w:t>individual (1:1; 1:2; 1:3); alocare pe unități/modul; măsoară volumul de muncă al beneficiarului.</w:t>
            </w:r>
          </w:p>
        </w:tc>
        <w:tc>
          <w:tcPr>
            <w:tcW w:w="2360" w:type="dxa"/>
            <w:vAlign w:val="center"/>
          </w:tcPr>
          <w:p w14:paraId="4240CD63" w14:textId="2E361CE9"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HG nr. 222/2024 (Regulamentul educației adulților, art. 32–33)</w:t>
            </w:r>
          </w:p>
        </w:tc>
        <w:tc>
          <w:tcPr>
            <w:tcW w:w="2398" w:type="dxa"/>
            <w:vAlign w:val="center"/>
          </w:tcPr>
          <w:p w14:paraId="4B141E50" w14:textId="6CFFDF9F"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Conform: integrare completă a creditelor în învățarea pe tot parcursul vieții.</w:t>
            </w:r>
          </w:p>
        </w:tc>
      </w:tr>
      <w:tr w:rsidR="00EE3EB0" w14:paraId="4036EB31" w14:textId="77777777" w:rsidTr="00810565">
        <w:tc>
          <w:tcPr>
            <w:tcW w:w="2402" w:type="dxa"/>
            <w:vAlign w:val="center"/>
          </w:tcPr>
          <w:p w14:paraId="00394BB0" w14:textId="2F32D3D2" w:rsidR="00EE3EB0" w:rsidRPr="004702FC" w:rsidRDefault="00EE3EB0" w:rsidP="00A41843">
            <w:pPr>
              <w:pStyle w:val="a7"/>
              <w:numPr>
                <w:ilvl w:val="1"/>
                <w:numId w:val="132"/>
              </w:numPr>
              <w:ind w:left="172" w:hanging="172"/>
              <w:jc w:val="both"/>
              <w:outlineLvl w:val="2"/>
              <w:rPr>
                <w:rFonts w:ascii="Times New Roman" w:hAnsi="Times New Roman" w:cs="Times New Roman"/>
                <w:sz w:val="20"/>
                <w:szCs w:val="20"/>
              </w:rPr>
            </w:pPr>
            <w:r w:rsidRPr="00EE3EB0">
              <w:rPr>
                <w:rFonts w:ascii="Times New Roman" w:hAnsi="Times New Roman" w:cs="Times New Roman"/>
                <w:sz w:val="20"/>
                <w:szCs w:val="20"/>
              </w:rPr>
              <w:t>Validarea învățării nonformale/informale (NFIL)</w:t>
            </w:r>
          </w:p>
        </w:tc>
        <w:tc>
          <w:tcPr>
            <w:tcW w:w="2702" w:type="dxa"/>
            <w:vAlign w:val="center"/>
          </w:tcPr>
          <w:p w14:paraId="31195111" w14:textId="6013D4EE"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Proceduri naționale </w:t>
            </w:r>
            <w:r w:rsidR="006264A5" w:rsidRPr="00EE3EB0">
              <w:rPr>
                <w:rFonts w:ascii="Times New Roman" w:hAnsi="Times New Roman" w:cs="Times New Roman"/>
                <w:sz w:val="20"/>
                <w:szCs w:val="20"/>
              </w:rPr>
              <w:t>NFIL</w:t>
            </w:r>
            <w:r w:rsidRPr="00EE3EB0">
              <w:rPr>
                <w:rFonts w:ascii="Times New Roman" w:hAnsi="Times New Roman" w:cs="Times New Roman"/>
                <w:sz w:val="20"/>
                <w:szCs w:val="20"/>
              </w:rPr>
              <w:t>: corelate cu CNC și conforme EQF; acces deschis; calitate/credite aplicate; utilizare Europass/Youthpass; posibilă certificarea calificărilor complete/parțiale; rețea de centre de validare (nivel 3–5 și nivel 6).</w:t>
            </w:r>
          </w:p>
        </w:tc>
        <w:tc>
          <w:tcPr>
            <w:tcW w:w="2360" w:type="dxa"/>
            <w:vAlign w:val="center"/>
          </w:tcPr>
          <w:p w14:paraId="3347C083" w14:textId="18A726D4"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 xml:space="preserve">Codul educației art. 123(7–11); HG nr. 330/2023 (p. 126–136, 130–133); HG nr. 222/2024; Regulament nivel 3–5 </w:t>
            </w:r>
            <w:r w:rsidR="00880B1D">
              <w:rPr>
                <w:rFonts w:ascii="Times New Roman" w:hAnsi="Times New Roman" w:cs="Times New Roman"/>
                <w:sz w:val="20"/>
                <w:szCs w:val="20"/>
              </w:rPr>
              <w:t>și</w:t>
            </w:r>
            <w:r w:rsidRPr="00EE3EB0">
              <w:rPr>
                <w:rFonts w:ascii="Times New Roman" w:hAnsi="Times New Roman" w:cs="Times New Roman"/>
                <w:sz w:val="20"/>
                <w:szCs w:val="20"/>
              </w:rPr>
              <w:t xml:space="preserve"> Ghid practic; Regulament nivel 6</w:t>
            </w:r>
          </w:p>
        </w:tc>
        <w:tc>
          <w:tcPr>
            <w:tcW w:w="2398" w:type="dxa"/>
            <w:vAlign w:val="center"/>
          </w:tcPr>
          <w:p w14:paraId="62B12074" w14:textId="1F72A7CD"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Conform: mecanisme funcționale, incluzive și transparente.</w:t>
            </w:r>
          </w:p>
        </w:tc>
      </w:tr>
      <w:tr w:rsidR="00EE3EB0" w14:paraId="5351F173" w14:textId="77777777" w:rsidTr="00810565">
        <w:tc>
          <w:tcPr>
            <w:tcW w:w="2402" w:type="dxa"/>
            <w:vAlign w:val="center"/>
          </w:tcPr>
          <w:p w14:paraId="0A5C6662" w14:textId="0C9C2A0F" w:rsidR="00EE3EB0" w:rsidRPr="004702FC" w:rsidRDefault="00EE3EB0" w:rsidP="00A41843">
            <w:pPr>
              <w:pStyle w:val="a7"/>
              <w:numPr>
                <w:ilvl w:val="1"/>
                <w:numId w:val="132"/>
              </w:numPr>
              <w:ind w:left="314" w:hanging="314"/>
              <w:jc w:val="both"/>
              <w:outlineLvl w:val="2"/>
              <w:rPr>
                <w:rFonts w:ascii="Times New Roman" w:hAnsi="Times New Roman" w:cs="Times New Roman"/>
                <w:sz w:val="20"/>
                <w:szCs w:val="20"/>
              </w:rPr>
            </w:pPr>
            <w:r w:rsidRPr="00EE3EB0">
              <w:rPr>
                <w:rFonts w:ascii="Times New Roman" w:hAnsi="Times New Roman" w:cs="Times New Roman"/>
                <w:sz w:val="20"/>
                <w:szCs w:val="20"/>
              </w:rPr>
              <w:t>Incluziune și permeabilitate</w:t>
            </w:r>
          </w:p>
        </w:tc>
        <w:tc>
          <w:tcPr>
            <w:tcW w:w="2702" w:type="dxa"/>
            <w:vAlign w:val="center"/>
          </w:tcPr>
          <w:p w14:paraId="15D082FD" w14:textId="0A82DCAC"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Validarea sprijină grupuri defavorizate; mobilitate verticală între ÎPT și ÎS (recunoaștere până la 60 ECTS); interconectare între subsisteme prin credite/</w:t>
            </w:r>
            <w:r w:rsidR="00CF7727">
              <w:rPr>
                <w:rFonts w:ascii="Times New Roman" w:hAnsi="Times New Roman" w:cs="Times New Roman"/>
                <w:sz w:val="20"/>
                <w:szCs w:val="20"/>
              </w:rPr>
              <w:t>RÎ</w:t>
            </w:r>
          </w:p>
        </w:tc>
        <w:tc>
          <w:tcPr>
            <w:tcW w:w="2360" w:type="dxa"/>
            <w:vAlign w:val="center"/>
          </w:tcPr>
          <w:p w14:paraId="7B3DDF06" w14:textId="2FC472CA"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HG nr. 330/2023 (cerințe validare, incluziune); Codul educației art. 88(3)</w:t>
            </w:r>
          </w:p>
        </w:tc>
        <w:tc>
          <w:tcPr>
            <w:tcW w:w="2398" w:type="dxa"/>
            <w:vAlign w:val="center"/>
          </w:tcPr>
          <w:p w14:paraId="0FA1F573" w14:textId="1E746A0E"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Conform: aliniat principiilor EQF privind accesul și progresul.</w:t>
            </w:r>
          </w:p>
        </w:tc>
      </w:tr>
      <w:tr w:rsidR="00EE3EB0" w14:paraId="4C877DA1" w14:textId="77777777" w:rsidTr="00810565">
        <w:tc>
          <w:tcPr>
            <w:tcW w:w="2402" w:type="dxa"/>
            <w:vAlign w:val="center"/>
          </w:tcPr>
          <w:p w14:paraId="0EEFCB37" w14:textId="7315572D" w:rsidR="00EE3EB0" w:rsidRPr="004702FC" w:rsidRDefault="00EE3EB0" w:rsidP="00A41843">
            <w:pPr>
              <w:pStyle w:val="a7"/>
              <w:numPr>
                <w:ilvl w:val="1"/>
                <w:numId w:val="132"/>
              </w:numPr>
              <w:ind w:left="314" w:hanging="314"/>
              <w:jc w:val="both"/>
              <w:outlineLvl w:val="2"/>
              <w:rPr>
                <w:rFonts w:ascii="Times New Roman" w:hAnsi="Times New Roman" w:cs="Times New Roman"/>
                <w:sz w:val="20"/>
                <w:szCs w:val="20"/>
              </w:rPr>
            </w:pPr>
            <w:r w:rsidRPr="00EE3EB0">
              <w:rPr>
                <w:rFonts w:ascii="Times New Roman" w:hAnsi="Times New Roman" w:cs="Times New Roman"/>
                <w:sz w:val="20"/>
                <w:szCs w:val="20"/>
              </w:rPr>
              <w:t>Transparență și documentare</w:t>
            </w:r>
          </w:p>
        </w:tc>
        <w:tc>
          <w:tcPr>
            <w:tcW w:w="2702" w:type="dxa"/>
            <w:vAlign w:val="center"/>
          </w:tcPr>
          <w:p w14:paraId="2053BF25" w14:textId="1420AF85" w:rsidR="00EE3EB0" w:rsidRPr="00EE3EB0" w:rsidRDefault="00136453"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Pr>
                <w:rFonts w:ascii="Times New Roman" w:hAnsi="Times New Roman" w:cs="Times New Roman"/>
                <w:sz w:val="20"/>
                <w:szCs w:val="20"/>
              </w:rPr>
              <w:t>RÎ</w:t>
            </w:r>
            <w:r w:rsidR="00EE3EB0" w:rsidRPr="00EE3EB0">
              <w:rPr>
                <w:rFonts w:ascii="Times New Roman" w:hAnsi="Times New Roman" w:cs="Times New Roman"/>
                <w:sz w:val="20"/>
                <w:szCs w:val="20"/>
              </w:rPr>
              <w:t>, creditele și nivelurile sunt documentate în standarde, curricule, proceduri și registre; utilizare instrumente UE (Europass/Youthpass).</w:t>
            </w:r>
          </w:p>
        </w:tc>
        <w:tc>
          <w:tcPr>
            <w:tcW w:w="2360" w:type="dxa"/>
            <w:vAlign w:val="center"/>
          </w:tcPr>
          <w:p w14:paraId="47D8B0D4" w14:textId="63A11D70"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HG nr. 330/2023 (Anexele 1–2; p. 126–136)</w:t>
            </w:r>
          </w:p>
        </w:tc>
        <w:tc>
          <w:tcPr>
            <w:tcW w:w="2398" w:type="dxa"/>
            <w:vAlign w:val="center"/>
          </w:tcPr>
          <w:p w14:paraId="5F048C4E" w14:textId="36F32B9A" w:rsidR="00EE3EB0" w:rsidRPr="00EE3EB0" w:rsidRDefault="00EE3EB0" w:rsidP="00EE3EB0">
            <w:pPr>
              <w:jc w:val="both"/>
              <w:outlineLvl w:val="2"/>
              <w:rPr>
                <w:rFonts w:ascii="Times New Roman" w:eastAsia="Times New Roman" w:hAnsi="Times New Roman" w:cs="Times New Roman"/>
                <w:b/>
                <w:bCs/>
                <w:color w:val="3494BA" w:themeColor="accent1"/>
                <w:kern w:val="0"/>
                <w:sz w:val="20"/>
                <w:szCs w:val="20"/>
                <w:lang w:val="ro-MD" w:eastAsia="ro-MD"/>
                <w14:ligatures w14:val="none"/>
              </w:rPr>
            </w:pPr>
            <w:r w:rsidRPr="00EE3EB0">
              <w:rPr>
                <w:rFonts w:ascii="Times New Roman" w:hAnsi="Times New Roman" w:cs="Times New Roman"/>
                <w:sz w:val="20"/>
                <w:szCs w:val="20"/>
              </w:rPr>
              <w:t>Conform: trasabilitate și lizibilitate europene asigurate.</w:t>
            </w:r>
          </w:p>
        </w:tc>
      </w:tr>
    </w:tbl>
    <w:p w14:paraId="4B5FE4FB" w14:textId="77777777" w:rsidR="000B39B6" w:rsidRPr="00E71C13" w:rsidRDefault="000B39B6" w:rsidP="000B39B6">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E71C13">
        <w:rPr>
          <w:rFonts w:ascii="Times New Roman" w:eastAsia="Times New Roman" w:hAnsi="Times New Roman" w:cs="Times New Roman"/>
          <w:b/>
          <w:bCs/>
          <w:color w:val="3494BA" w:themeColor="accent1"/>
          <w:kern w:val="0"/>
          <w:sz w:val="24"/>
          <w:szCs w:val="24"/>
          <w:lang w:val="ro-MD" w:eastAsia="ro-MD"/>
          <w14:ligatures w14:val="none"/>
        </w:rPr>
        <w:t>8. Concluzii</w:t>
      </w:r>
    </w:p>
    <w:p w14:paraId="38E0434E" w14:textId="77777777" w:rsidR="000B39B6" w:rsidRPr="008811D6" w:rsidRDefault="000B39B6" w:rsidP="000B39B6">
      <w:pPr>
        <w:jc w:val="both"/>
        <w:rPr>
          <w:rFonts w:ascii="Times New Roman" w:hAnsi="Times New Roman" w:cs="Times New Roman"/>
          <w:sz w:val="24"/>
          <w:szCs w:val="24"/>
        </w:rPr>
      </w:pPr>
      <w:r w:rsidRPr="008811D6">
        <w:rPr>
          <w:rFonts w:ascii="Times New Roman" w:hAnsi="Times New Roman" w:cs="Times New Roman"/>
          <w:sz w:val="24"/>
          <w:szCs w:val="24"/>
        </w:rPr>
        <w:t>Republica Moldova a instituit un Cadrul Național al Calificărilor solid, coerent și operațional, bazat pe rezultatele învățării, care reflectă integral principiile și metodologia EQF și este pe deplin compatibil cu QF-EHEA.</w:t>
      </w:r>
    </w:p>
    <w:p w14:paraId="0E82E42D" w14:textId="77777777" w:rsidR="000B39B6" w:rsidRPr="008811D6" w:rsidRDefault="000B39B6" w:rsidP="000B39B6">
      <w:pPr>
        <w:jc w:val="both"/>
        <w:rPr>
          <w:rFonts w:ascii="Times New Roman" w:hAnsi="Times New Roman" w:cs="Times New Roman"/>
          <w:sz w:val="24"/>
          <w:szCs w:val="24"/>
        </w:rPr>
      </w:pPr>
      <w:r w:rsidRPr="008811D6">
        <w:rPr>
          <w:rFonts w:ascii="Times New Roman" w:hAnsi="Times New Roman" w:cs="Times New Roman"/>
          <w:sz w:val="24"/>
          <w:szCs w:val="24"/>
        </w:rPr>
        <w:t>CNC integrează mecanismele europene de credite (ECVET și ECTS), procesele de validare a învățării nonformale și informale (NFIL) și sistemele de asigurare a calității, asigurând o abordare coerentă și funcțională în toate subsistemele educaționale. Aceste mecanisme promovează flexibilitatea, incluziunea și învățarea pe tot parcursul vieții, sprijină mobilitatea educațională și profesională și facilitează recunoașterea internațională a calificărilor.</w:t>
      </w:r>
    </w:p>
    <w:p w14:paraId="4E7847D9" w14:textId="77777777" w:rsidR="000B39B6" w:rsidRPr="008811D6" w:rsidRDefault="000B39B6" w:rsidP="000B39B6">
      <w:pPr>
        <w:jc w:val="both"/>
        <w:rPr>
          <w:rFonts w:ascii="Times New Roman" w:hAnsi="Times New Roman" w:cs="Times New Roman"/>
          <w:sz w:val="24"/>
          <w:szCs w:val="24"/>
        </w:rPr>
      </w:pPr>
      <w:r w:rsidRPr="008811D6">
        <w:rPr>
          <w:rFonts w:ascii="Times New Roman" w:hAnsi="Times New Roman" w:cs="Times New Roman"/>
          <w:sz w:val="24"/>
          <w:szCs w:val="24"/>
        </w:rPr>
        <w:t>Prin aplicarea unitară a principiilor bazate pe rezultate ale învățării, CNC funcționează nu doar ca un instrument de clasificare a calificărilor, ci ca o platformă integrată de transparență, echitate și calitate în formarea profesională.</w:t>
      </w:r>
    </w:p>
    <w:p w14:paraId="77691DD4" w14:textId="77777777" w:rsidR="000B39B6" w:rsidRPr="008811D6" w:rsidRDefault="000B39B6" w:rsidP="000B39B6">
      <w:pPr>
        <w:jc w:val="both"/>
        <w:rPr>
          <w:rFonts w:ascii="Times New Roman" w:hAnsi="Times New Roman" w:cs="Times New Roman"/>
          <w:sz w:val="24"/>
          <w:szCs w:val="24"/>
        </w:rPr>
      </w:pPr>
      <w:r w:rsidRPr="008811D6">
        <w:rPr>
          <w:rFonts w:ascii="Times New Roman" w:hAnsi="Times New Roman" w:cs="Times New Roman"/>
          <w:sz w:val="24"/>
          <w:szCs w:val="24"/>
        </w:rPr>
        <w:t>Astfel, Republica Moldova demonstrează alinierea deplină și operațională la standardele europene, consolidând transparența, comparabilitatea și recunoașterea calificărilor în Spațiul European al Educației și Formării Profesionale și contribuind activ la dezvoltarea unei culturi a învățării continue și a competențelor relevante pentru piața muncii.</w:t>
      </w:r>
    </w:p>
    <w:p w14:paraId="4F49F592" w14:textId="0FB662E4" w:rsidR="00601534" w:rsidRPr="001F6026" w:rsidRDefault="00601534" w:rsidP="00601534">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CRITERIUL 4</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601534" w:rsidRPr="001F6026" w14:paraId="4793734B" w14:textId="77777777" w:rsidTr="00601534">
        <w:tc>
          <w:tcPr>
            <w:tcW w:w="9618" w:type="dxa"/>
          </w:tcPr>
          <w:p w14:paraId="635ED161" w14:textId="77777777" w:rsidR="00601534" w:rsidRPr="001F6026" w:rsidRDefault="00601534" w:rsidP="00B81475">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lastRenderedPageBreak/>
              <w:t>Procedurile pentru includerea calificărilor în cadrul național al calificărilor sau pentru descrierea poziției calificărilor în sistemul național al calificărilor sunt transparente.</w:t>
            </w:r>
          </w:p>
        </w:tc>
      </w:tr>
    </w:tbl>
    <w:p w14:paraId="126B56DA" w14:textId="028117E1" w:rsidR="001D3D1C" w:rsidRDefault="001D3D1C" w:rsidP="001D3D1C">
      <w:pPr>
        <w:pStyle w:val="af8"/>
      </w:pPr>
      <w:bookmarkStart w:id="16" w:name="_Hlk208903638"/>
      <w:r>
        <w:rPr>
          <w:b/>
          <w:bCs/>
          <w:color w:val="3494BA" w:themeColor="accent1"/>
        </w:rPr>
        <w:t>Aspecte cheie</w:t>
      </w:r>
      <w:r w:rsidRPr="000772DE">
        <w:rPr>
          <w:rFonts w:hAnsi="Symbol"/>
          <w:b/>
          <w:bCs/>
          <w:color w:val="3494BA" w:themeColor="accent1"/>
        </w:rPr>
        <w:t xml:space="preserve"> </w:t>
      </w:r>
      <w:r w:rsidRPr="000772DE">
        <w:rPr>
          <w:b/>
          <w:bCs/>
          <w:color w:val="3494BA" w:themeColor="accent1"/>
        </w:rPr>
        <w:t>pentru Criteriul</w:t>
      </w:r>
      <w:r>
        <w:rPr>
          <w:b/>
          <w:bCs/>
          <w:color w:val="3494BA" w:themeColor="accent1"/>
        </w:rPr>
        <w:t xml:space="preserve"> 4</w:t>
      </w:r>
    </w:p>
    <w:p w14:paraId="0B6CF85C" w14:textId="661895EC" w:rsidR="001D3D1C" w:rsidRPr="001D3D1C" w:rsidRDefault="001D3D1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1D3D1C">
        <w:rPr>
          <w:rFonts w:ascii="Times New Roman" w:eastAsia="Times New Roman" w:hAnsi="Times New Roman" w:cs="Times New Roman"/>
          <w:b/>
          <w:bCs/>
          <w:color w:val="3494BA" w:themeColor="accent1"/>
          <w:kern w:val="0"/>
          <w:sz w:val="24"/>
          <w:szCs w:val="24"/>
          <w:lang w:eastAsia="ro-MD"/>
          <w14:ligatures w14:val="none"/>
        </w:rPr>
        <w:t>Element-cheie pentru transparență și încredere</w:t>
      </w:r>
      <w:r w:rsidRPr="001D3D1C">
        <w:rPr>
          <w:rFonts w:ascii="Times New Roman" w:eastAsia="Times New Roman" w:hAnsi="Times New Roman" w:cs="Times New Roman"/>
          <w:color w:val="3494BA" w:themeColor="accent1"/>
          <w:kern w:val="0"/>
          <w:sz w:val="24"/>
          <w:szCs w:val="24"/>
          <w:lang w:eastAsia="ro-MD"/>
          <w14:ligatures w14:val="none"/>
        </w:rPr>
        <w:t>, precum și pentru funcționarea EQF.</w:t>
      </w:r>
    </w:p>
    <w:p w14:paraId="6E808C0E" w14:textId="204AC173" w:rsidR="001D3D1C" w:rsidRPr="001D3D1C" w:rsidRDefault="001D3D1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1D3D1C">
        <w:rPr>
          <w:rFonts w:ascii="Times New Roman" w:eastAsia="Times New Roman" w:hAnsi="Times New Roman" w:cs="Times New Roman"/>
          <w:b/>
          <w:bCs/>
          <w:color w:val="3494BA" w:themeColor="accent1"/>
          <w:kern w:val="0"/>
          <w:sz w:val="24"/>
          <w:szCs w:val="24"/>
          <w:lang w:eastAsia="ro-MD"/>
          <w14:ligatures w14:val="none"/>
        </w:rPr>
        <w:t xml:space="preserve">Criteriul </w:t>
      </w:r>
      <w:r w:rsidR="00AA5595">
        <w:rPr>
          <w:rFonts w:ascii="Times New Roman" w:eastAsia="Times New Roman" w:hAnsi="Times New Roman" w:cs="Times New Roman"/>
          <w:b/>
          <w:bCs/>
          <w:color w:val="3494BA" w:themeColor="accent1"/>
          <w:kern w:val="0"/>
          <w:sz w:val="24"/>
          <w:szCs w:val="24"/>
          <w:lang w:eastAsia="ro-MD"/>
          <w14:ligatures w14:val="none"/>
        </w:rPr>
        <w:t xml:space="preserve">are un grad de </w:t>
      </w:r>
      <w:r w:rsidRPr="001D3D1C">
        <w:rPr>
          <w:rFonts w:ascii="Times New Roman" w:eastAsia="Times New Roman" w:hAnsi="Times New Roman" w:cs="Times New Roman"/>
          <w:b/>
          <w:bCs/>
          <w:color w:val="3494BA" w:themeColor="accent1"/>
          <w:kern w:val="0"/>
          <w:sz w:val="24"/>
          <w:szCs w:val="24"/>
          <w:lang w:eastAsia="ro-MD"/>
          <w14:ligatures w14:val="none"/>
        </w:rPr>
        <w:t>acoperi</w:t>
      </w:r>
      <w:r w:rsidR="00AA5595">
        <w:rPr>
          <w:rFonts w:ascii="Times New Roman" w:eastAsia="Times New Roman" w:hAnsi="Times New Roman" w:cs="Times New Roman"/>
          <w:b/>
          <w:bCs/>
          <w:color w:val="3494BA" w:themeColor="accent1"/>
          <w:kern w:val="0"/>
          <w:sz w:val="24"/>
          <w:szCs w:val="24"/>
          <w:lang w:eastAsia="ro-MD"/>
          <w14:ligatures w14:val="none"/>
        </w:rPr>
        <w:t>re d</w:t>
      </w:r>
      <w:r w:rsidRPr="001D3D1C">
        <w:rPr>
          <w:rFonts w:ascii="Times New Roman" w:eastAsia="Times New Roman" w:hAnsi="Times New Roman" w:cs="Times New Roman"/>
          <w:b/>
          <w:bCs/>
          <w:color w:val="3494BA" w:themeColor="accent1"/>
          <w:kern w:val="0"/>
          <w:sz w:val="24"/>
          <w:szCs w:val="24"/>
          <w:lang w:eastAsia="ro-MD"/>
          <w14:ligatures w14:val="none"/>
        </w:rPr>
        <w:t>iferit</w:t>
      </w:r>
      <w:r w:rsidRPr="001D3D1C">
        <w:rPr>
          <w:rFonts w:ascii="Times New Roman" w:eastAsia="Times New Roman" w:hAnsi="Times New Roman" w:cs="Times New Roman"/>
          <w:color w:val="3494BA" w:themeColor="accent1"/>
          <w:kern w:val="0"/>
          <w:sz w:val="24"/>
          <w:szCs w:val="24"/>
          <w:lang w:eastAsia="ro-MD"/>
          <w14:ligatures w14:val="none"/>
        </w:rPr>
        <w:t>, în funcție de maturitatea cadrului național al calificărilor.</w:t>
      </w:r>
    </w:p>
    <w:p w14:paraId="5489DC7C" w14:textId="1687434F" w:rsidR="001D3D1C" w:rsidRPr="001D3D1C" w:rsidRDefault="001D3D1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1D3D1C">
        <w:rPr>
          <w:rFonts w:ascii="Times New Roman" w:eastAsia="Times New Roman" w:hAnsi="Times New Roman" w:cs="Times New Roman"/>
          <w:b/>
          <w:bCs/>
          <w:color w:val="3494BA" w:themeColor="accent1"/>
          <w:kern w:val="0"/>
          <w:sz w:val="24"/>
          <w:szCs w:val="24"/>
          <w:lang w:eastAsia="ro-MD"/>
          <w14:ligatures w14:val="none"/>
        </w:rPr>
        <w:t>Prezentare</w:t>
      </w:r>
      <w:r w:rsidR="002C093C">
        <w:rPr>
          <w:rFonts w:ascii="Times New Roman" w:eastAsia="Times New Roman" w:hAnsi="Times New Roman" w:cs="Times New Roman"/>
          <w:b/>
          <w:bCs/>
          <w:color w:val="3494BA" w:themeColor="accent1"/>
          <w:kern w:val="0"/>
          <w:sz w:val="24"/>
          <w:szCs w:val="24"/>
          <w:lang w:eastAsia="ro-MD"/>
          <w14:ligatures w14:val="none"/>
        </w:rPr>
        <w:t xml:space="preserve"> generală a</w:t>
      </w:r>
      <w:r w:rsidRPr="001D3D1C">
        <w:rPr>
          <w:rFonts w:ascii="Times New Roman" w:eastAsia="Times New Roman" w:hAnsi="Times New Roman" w:cs="Times New Roman"/>
          <w:b/>
          <w:bCs/>
          <w:color w:val="3494BA" w:themeColor="accent1"/>
          <w:kern w:val="0"/>
          <w:sz w:val="24"/>
          <w:szCs w:val="24"/>
          <w:lang w:eastAsia="ro-MD"/>
          <w14:ligatures w14:val="none"/>
        </w:rPr>
        <w:t xml:space="preserve"> calificărilor</w:t>
      </w:r>
      <w:r w:rsidRPr="001D3D1C">
        <w:rPr>
          <w:rFonts w:ascii="Times New Roman" w:eastAsia="Times New Roman" w:hAnsi="Times New Roman" w:cs="Times New Roman"/>
          <w:color w:val="3494BA" w:themeColor="accent1"/>
          <w:kern w:val="0"/>
          <w:sz w:val="24"/>
          <w:szCs w:val="24"/>
          <w:lang w:eastAsia="ro-MD"/>
          <w14:ligatures w14:val="none"/>
        </w:rPr>
        <w:t>.</w:t>
      </w:r>
    </w:p>
    <w:p w14:paraId="47DC745D" w14:textId="11629C33" w:rsidR="001D3D1C" w:rsidRPr="001D3D1C" w:rsidRDefault="001D3D1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1D3D1C">
        <w:rPr>
          <w:rFonts w:ascii="Times New Roman" w:eastAsia="Times New Roman" w:hAnsi="Times New Roman" w:cs="Times New Roman"/>
          <w:b/>
          <w:bCs/>
          <w:color w:val="3494BA" w:themeColor="accent1"/>
          <w:kern w:val="0"/>
          <w:sz w:val="24"/>
          <w:szCs w:val="24"/>
          <w:lang w:eastAsia="ro-MD"/>
          <w14:ligatures w14:val="none"/>
        </w:rPr>
        <w:t>Criteriile utilizate pentru determinarea nivelului și regulile care guvernează procesul</w:t>
      </w:r>
      <w:r w:rsidRPr="001D3D1C">
        <w:rPr>
          <w:rFonts w:ascii="Times New Roman" w:eastAsia="Times New Roman" w:hAnsi="Times New Roman" w:cs="Times New Roman"/>
          <w:color w:val="3494BA" w:themeColor="accent1"/>
          <w:kern w:val="0"/>
          <w:sz w:val="24"/>
          <w:szCs w:val="24"/>
          <w:lang w:eastAsia="ro-MD"/>
          <w14:ligatures w14:val="none"/>
        </w:rPr>
        <w:t>: explicite și detaliate.</w:t>
      </w:r>
    </w:p>
    <w:p w14:paraId="6F68DC2A" w14:textId="57DFCE11" w:rsidR="001D3D1C" w:rsidRPr="001D3D1C" w:rsidRDefault="001D3D1C" w:rsidP="00A41843">
      <w:pPr>
        <w:pStyle w:val="a7"/>
        <w:numPr>
          <w:ilvl w:val="0"/>
          <w:numId w:val="146"/>
        </w:numPr>
        <w:spacing w:before="120" w:after="120" w:line="276" w:lineRule="auto"/>
        <w:jc w:val="both"/>
        <w:outlineLvl w:val="2"/>
        <w:rPr>
          <w:rFonts w:ascii="Times New Roman" w:eastAsia="Times New Roman" w:hAnsi="Times New Roman" w:cs="Times New Roman"/>
          <w:color w:val="3494BA" w:themeColor="accent1"/>
          <w:kern w:val="0"/>
          <w:sz w:val="24"/>
          <w:szCs w:val="24"/>
          <w:lang w:eastAsia="ro-MD"/>
          <w14:ligatures w14:val="none"/>
        </w:rPr>
      </w:pPr>
      <w:r w:rsidRPr="001D3D1C">
        <w:rPr>
          <w:rFonts w:ascii="Times New Roman" w:eastAsia="Times New Roman" w:hAnsi="Times New Roman" w:cs="Times New Roman"/>
          <w:b/>
          <w:bCs/>
          <w:color w:val="3494BA" w:themeColor="accent1"/>
          <w:kern w:val="0"/>
          <w:sz w:val="24"/>
          <w:szCs w:val="24"/>
          <w:lang w:eastAsia="ro-MD"/>
          <w14:ligatures w14:val="none"/>
        </w:rPr>
        <w:t>Exemple și dovezi</w:t>
      </w:r>
      <w:r w:rsidRPr="001D3D1C">
        <w:rPr>
          <w:rFonts w:ascii="Times New Roman" w:eastAsia="Times New Roman" w:hAnsi="Times New Roman" w:cs="Times New Roman"/>
          <w:color w:val="3494BA" w:themeColor="accent1"/>
          <w:kern w:val="0"/>
          <w:sz w:val="24"/>
          <w:szCs w:val="24"/>
          <w:lang w:eastAsia="ro-MD"/>
          <w14:ligatures w14:val="none"/>
        </w:rPr>
        <w:t>.</w:t>
      </w:r>
    </w:p>
    <w:bookmarkEnd w:id="16"/>
    <w:p w14:paraId="56D61CC3" w14:textId="77777777" w:rsidR="00025E9B" w:rsidRPr="00025E9B" w:rsidRDefault="00025E9B" w:rsidP="00C14F37">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025E9B">
        <w:rPr>
          <w:rFonts w:ascii="Times New Roman" w:eastAsia="Times New Roman" w:hAnsi="Times New Roman" w:cs="Times New Roman"/>
          <w:b/>
          <w:bCs/>
          <w:color w:val="3494BA" w:themeColor="accent1"/>
          <w:kern w:val="0"/>
          <w:sz w:val="24"/>
          <w:szCs w:val="24"/>
          <w:lang w:val="ro-MD" w:eastAsia="ro-MD"/>
          <w14:ligatures w14:val="none"/>
        </w:rPr>
        <w:t>1. Fundamentul normativ</w:t>
      </w:r>
    </w:p>
    <w:p w14:paraId="6F1A3EC0" w14:textId="472680F9" w:rsidR="00025E9B" w:rsidRPr="00025E9B" w:rsidRDefault="00025E9B" w:rsidP="00C14F3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 xml:space="preserve">Procedurile de includere a calificărilor în Cadrul Național al Calificărilor (CNC) al Republicii Moldova sunt reglementate prin </w:t>
      </w:r>
      <w:r w:rsidR="00CF0D7A">
        <w:rPr>
          <w:rFonts w:ascii="Times New Roman" w:eastAsia="Times New Roman" w:hAnsi="Times New Roman" w:cs="Times New Roman"/>
          <w:kern w:val="0"/>
          <w:sz w:val="24"/>
          <w:szCs w:val="24"/>
          <w:lang w:val="ro-MD" w:eastAsia="ro-MD"/>
          <w14:ligatures w14:val="none"/>
        </w:rPr>
        <w:t>HG</w:t>
      </w:r>
      <w:r w:rsidRPr="00025E9B">
        <w:rPr>
          <w:rFonts w:ascii="Times New Roman" w:eastAsia="Times New Roman" w:hAnsi="Times New Roman" w:cs="Times New Roman"/>
          <w:kern w:val="0"/>
          <w:sz w:val="24"/>
          <w:szCs w:val="24"/>
          <w:lang w:val="ro-MD" w:eastAsia="ro-MD"/>
          <w14:ligatures w14:val="none"/>
        </w:rPr>
        <w:t xml:space="preserve"> nr. 330/2023 privind aprobarea CNC, care stabilește etapele, criteriile și principiile aplicate în dezvoltarea, validarea și includerea calificărilor în sistemul național.</w:t>
      </w:r>
    </w:p>
    <w:p w14:paraId="5CE64AC1" w14:textId="3E6496B7" w:rsidR="00025E9B" w:rsidRPr="00025E9B" w:rsidRDefault="00025E9B" w:rsidP="007217F1">
      <w:p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 xml:space="preserve">Conform art. 86 din </w:t>
      </w:r>
      <w:r w:rsidR="00CF0D7A">
        <w:rPr>
          <w:rFonts w:ascii="Times New Roman" w:eastAsia="Times New Roman" w:hAnsi="Times New Roman" w:cs="Times New Roman"/>
          <w:kern w:val="0"/>
          <w:sz w:val="24"/>
          <w:szCs w:val="24"/>
          <w:lang w:val="ro-MD" w:eastAsia="ro-MD"/>
          <w14:ligatures w14:val="none"/>
        </w:rPr>
        <w:t>HG</w:t>
      </w:r>
      <w:r w:rsidR="00CF0D7A" w:rsidRPr="00025E9B">
        <w:rPr>
          <w:rFonts w:ascii="Times New Roman" w:eastAsia="Times New Roman" w:hAnsi="Times New Roman" w:cs="Times New Roman"/>
          <w:kern w:val="0"/>
          <w:sz w:val="24"/>
          <w:szCs w:val="24"/>
          <w:lang w:val="ro-MD" w:eastAsia="ro-MD"/>
          <w14:ligatures w14:val="none"/>
        </w:rPr>
        <w:t xml:space="preserve"> nr. 330/2023</w:t>
      </w:r>
      <w:r w:rsidRPr="00025E9B">
        <w:rPr>
          <w:rFonts w:ascii="Times New Roman" w:eastAsia="Times New Roman" w:hAnsi="Times New Roman" w:cs="Times New Roman"/>
          <w:kern w:val="0"/>
          <w:sz w:val="24"/>
          <w:szCs w:val="24"/>
          <w:lang w:val="ro-MD" w:eastAsia="ro-MD"/>
          <w14:ligatures w14:val="none"/>
        </w:rPr>
        <w:t>, procesul de dezvoltare a calificărilor cu nivel CNC cuprinde următoarele etape:</w:t>
      </w:r>
    </w:p>
    <w:p w14:paraId="09CEA376"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verificarea relevanței calificării pentru piața muncii și sistemul educațional;</w:t>
      </w:r>
    </w:p>
    <w:p w14:paraId="57619512"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elaborarea standardului de calificare;</w:t>
      </w:r>
    </w:p>
    <w:p w14:paraId="55A0BE03"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validarea calificării de către structurile abilitate;</w:t>
      </w:r>
    </w:p>
    <w:p w14:paraId="12A65734"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aprobarea și includerea calificării în CNC;</w:t>
      </w:r>
    </w:p>
    <w:p w14:paraId="126C1EC4"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elaborarea programului de studii aferent calificării noi;</w:t>
      </w:r>
    </w:p>
    <w:p w14:paraId="58E4F382"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înregistrarea calificării în Registrul Național al Calificărilor (RNC);</w:t>
      </w:r>
    </w:p>
    <w:p w14:paraId="625EA5CE"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actualizarea periodică a standardului de calificare și a programului de studii;</w:t>
      </w:r>
    </w:p>
    <w:p w14:paraId="640BB909" w14:textId="77777777" w:rsidR="00025E9B" w:rsidRPr="00025E9B" w:rsidRDefault="00025E9B" w:rsidP="00A41843">
      <w:pPr>
        <w:numPr>
          <w:ilvl w:val="0"/>
          <w:numId w:val="201"/>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excluderea calificărilor devenite irelevante pentru piața muncii (prin arhivare în RNC).</w:t>
      </w:r>
    </w:p>
    <w:p w14:paraId="30C66902" w14:textId="77777777" w:rsidR="00025E9B" w:rsidRPr="00025E9B" w:rsidRDefault="00025E9B" w:rsidP="00563104">
      <w:pPr>
        <w:spacing w:before="120"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Articolul 88 precizează că decizia de includere a unei calificări în CNC se bazează pe un set clar de criterii și principii, care garantează transparența, echitatea și relevanța procesului, inclusiv:</w:t>
      </w:r>
    </w:p>
    <w:p w14:paraId="46B74A4B"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asigurarea condițiilor flexibile de admitere și progres academic pe verticala sistemului de calificări;</w:t>
      </w:r>
    </w:p>
    <w:p w14:paraId="00A9ED8D"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centrarea pe nevoile individuale și integrarea socială a persoanelor;</w:t>
      </w:r>
    </w:p>
    <w:p w14:paraId="120AE695"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satisfacerea cerințelor pieței muncii;</w:t>
      </w:r>
    </w:p>
    <w:p w14:paraId="473CA9FC"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eliminarea barierelor de acces și discriminării;</w:t>
      </w:r>
    </w:p>
    <w:p w14:paraId="7D52154D"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facilitarea acumulării și transferului de credite și recunoașterea acestora între furnizori;</w:t>
      </w:r>
    </w:p>
    <w:p w14:paraId="510830F2"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posibilitatea de validare a rezultatelor învățării obținute în contexte nonformale și informale;</w:t>
      </w:r>
    </w:p>
    <w:p w14:paraId="424A8510" w14:textId="77777777" w:rsidR="00025E9B" w:rsidRPr="00025E9B" w:rsidRDefault="00025E9B" w:rsidP="00A41843">
      <w:pPr>
        <w:numPr>
          <w:ilvl w:val="0"/>
          <w:numId w:val="202"/>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certificarea autonomă a modulelor pentru recunoașterea calificărilor parțiale.</w:t>
      </w:r>
    </w:p>
    <w:p w14:paraId="3FDF85CA" w14:textId="376E4AC7" w:rsidR="00025E9B" w:rsidRPr="00025E9B" w:rsidRDefault="00025E9B" w:rsidP="00C14F3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MEC este autoritatea responsabilă pentru stabilirea procedurilor și instrumentelor specifice etapelor de dezvoltare a calificărilor și monitorizarea implementării prevederilor CNC (art. 89).</w:t>
      </w:r>
      <w:r w:rsidR="002C6A4C">
        <w:rPr>
          <w:rFonts w:ascii="Times New Roman" w:eastAsia="Times New Roman" w:hAnsi="Times New Roman" w:cs="Times New Roman"/>
          <w:kern w:val="0"/>
          <w:sz w:val="24"/>
          <w:szCs w:val="24"/>
          <w:lang w:val="ro-MD" w:eastAsia="ro-MD"/>
          <w14:ligatures w14:val="none"/>
        </w:rPr>
        <w:t xml:space="preserve"> </w:t>
      </w:r>
      <w:r w:rsidRPr="00025E9B">
        <w:rPr>
          <w:rFonts w:ascii="Times New Roman" w:eastAsia="Times New Roman" w:hAnsi="Times New Roman" w:cs="Times New Roman"/>
          <w:kern w:val="0"/>
          <w:sz w:val="24"/>
          <w:szCs w:val="24"/>
          <w:lang w:val="ro-MD" w:eastAsia="ro-MD"/>
          <w14:ligatures w14:val="none"/>
        </w:rPr>
        <w:t>Inițiativa de elaborare a unei calificări poate proveni de la autorități publice centrale, comitete sectoriale, asociații patronale sau sindicale, agenți economici, furnizori de programe de formare profesională sau alte structuri relevante (art. 90).</w:t>
      </w:r>
    </w:p>
    <w:p w14:paraId="7D1C5B17" w14:textId="77777777" w:rsidR="00025E9B" w:rsidRPr="00025E9B" w:rsidRDefault="00025E9B" w:rsidP="0062456F">
      <w:p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Potrivit art. 109–112, includerea unei calificări în CNC se realizează:</w:t>
      </w:r>
    </w:p>
    <w:p w14:paraId="43DF70D9" w14:textId="77777777" w:rsidR="00025E9B" w:rsidRPr="00025E9B" w:rsidRDefault="00025E9B" w:rsidP="00A41843">
      <w:pPr>
        <w:numPr>
          <w:ilvl w:val="0"/>
          <w:numId w:val="203"/>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lastRenderedPageBreak/>
        <w:t>după atribuirea nivelului de calificare, în baza corespunderii cu descriptorii de nivel CNC;</w:t>
      </w:r>
    </w:p>
    <w:p w14:paraId="6DF91975" w14:textId="06EB0A75" w:rsidR="00025E9B" w:rsidRPr="00025E9B" w:rsidRDefault="00025E9B" w:rsidP="00A41843">
      <w:pPr>
        <w:numPr>
          <w:ilvl w:val="0"/>
          <w:numId w:val="203"/>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conform procedurilor elaborate de MEC, care stabilesc criteriile de validare și atribuire</w:t>
      </w:r>
      <w:r w:rsidR="00FA1A27">
        <w:rPr>
          <w:rFonts w:ascii="Times New Roman" w:eastAsia="Times New Roman" w:hAnsi="Times New Roman" w:cs="Times New Roman"/>
          <w:kern w:val="0"/>
          <w:sz w:val="24"/>
          <w:szCs w:val="24"/>
          <w:lang w:val="ro-MD" w:eastAsia="ro-MD"/>
          <w14:ligatures w14:val="none"/>
        </w:rPr>
        <w:t xml:space="preserve"> </w:t>
      </w:r>
      <w:r w:rsidRPr="00025E9B">
        <w:rPr>
          <w:rFonts w:ascii="Times New Roman" w:eastAsia="Times New Roman" w:hAnsi="Times New Roman" w:cs="Times New Roman"/>
          <w:kern w:val="0"/>
          <w:sz w:val="24"/>
          <w:szCs w:val="24"/>
          <w:lang w:val="ro-MD" w:eastAsia="ro-MD"/>
          <w14:ligatures w14:val="none"/>
        </w:rPr>
        <w:t>a nivelului;</w:t>
      </w:r>
    </w:p>
    <w:p w14:paraId="08529B89" w14:textId="40986AC0" w:rsidR="00025E9B" w:rsidRPr="00025E9B" w:rsidRDefault="00025E9B" w:rsidP="00A41843">
      <w:pPr>
        <w:numPr>
          <w:ilvl w:val="0"/>
          <w:numId w:val="203"/>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 xml:space="preserve">prin înscrierea calificării în RNC, în baza Metodologiei de înscriere a calificărilor în RNC, aprobată de </w:t>
      </w:r>
      <w:r w:rsidR="00550E3B">
        <w:rPr>
          <w:rFonts w:ascii="Times New Roman" w:eastAsia="Times New Roman" w:hAnsi="Times New Roman" w:cs="Times New Roman"/>
          <w:kern w:val="0"/>
          <w:sz w:val="24"/>
          <w:szCs w:val="24"/>
          <w:lang w:val="ro-MD" w:eastAsia="ro-MD"/>
          <w14:ligatures w14:val="none"/>
        </w:rPr>
        <w:t>MEC</w:t>
      </w:r>
      <w:r w:rsidRPr="00025E9B">
        <w:rPr>
          <w:rFonts w:ascii="Times New Roman" w:eastAsia="Times New Roman" w:hAnsi="Times New Roman" w:cs="Times New Roman"/>
          <w:kern w:val="0"/>
          <w:sz w:val="24"/>
          <w:szCs w:val="24"/>
          <w:lang w:val="ro-MD" w:eastAsia="ro-MD"/>
          <w14:ligatures w14:val="none"/>
        </w:rPr>
        <w:t>;</w:t>
      </w:r>
    </w:p>
    <w:p w14:paraId="64259E53" w14:textId="77777777" w:rsidR="00025E9B" w:rsidRPr="00025E9B" w:rsidRDefault="00025E9B" w:rsidP="00A41843">
      <w:pPr>
        <w:numPr>
          <w:ilvl w:val="0"/>
          <w:numId w:val="203"/>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calificarea devine oficială și accesibilă publicului odată cu înregistrarea în RNC.</w:t>
      </w:r>
    </w:p>
    <w:p w14:paraId="1237C1E7" w14:textId="77777777" w:rsidR="00025E9B" w:rsidRPr="00025E9B" w:rsidRDefault="00025E9B" w:rsidP="0062456F">
      <w:p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Astfel, HG nr. 330/2023 instituie un mecanism complet, coerent și transparent de includere a calificărilor în CNC, asigurând:</w:t>
      </w:r>
    </w:p>
    <w:p w14:paraId="0016760A" w14:textId="77777777" w:rsidR="00025E9B" w:rsidRPr="00025E9B" w:rsidRDefault="00025E9B" w:rsidP="00A41843">
      <w:pPr>
        <w:numPr>
          <w:ilvl w:val="0"/>
          <w:numId w:val="204"/>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claritate procedurală, prin definirea etapelor de elaborare, validare și aprobare;</w:t>
      </w:r>
    </w:p>
    <w:p w14:paraId="78BB1D2B" w14:textId="77777777" w:rsidR="00025E9B" w:rsidRPr="00025E9B" w:rsidRDefault="00025E9B" w:rsidP="00A41843">
      <w:pPr>
        <w:numPr>
          <w:ilvl w:val="0"/>
          <w:numId w:val="204"/>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responsabilitate instituțională, prin implicarea MEC, ANACEC, comitetelor sectoriale și partenerilor sociali;</w:t>
      </w:r>
    </w:p>
    <w:p w14:paraId="3D5AFC06" w14:textId="628EE806" w:rsidR="00025E9B" w:rsidRPr="00025E9B" w:rsidRDefault="00025E9B" w:rsidP="00A41843">
      <w:pPr>
        <w:numPr>
          <w:ilvl w:val="0"/>
          <w:numId w:val="204"/>
        </w:numPr>
        <w:spacing w:after="0" w:line="276" w:lineRule="auto"/>
        <w:jc w:val="both"/>
        <w:rPr>
          <w:rFonts w:ascii="Times New Roman" w:eastAsia="Times New Roman" w:hAnsi="Times New Roman" w:cs="Times New Roman"/>
          <w:kern w:val="0"/>
          <w:sz w:val="24"/>
          <w:szCs w:val="24"/>
          <w:lang w:val="ro-MD" w:eastAsia="ro-MD"/>
          <w14:ligatures w14:val="none"/>
        </w:rPr>
      </w:pPr>
      <w:r w:rsidRPr="00025E9B">
        <w:rPr>
          <w:rFonts w:ascii="Times New Roman" w:eastAsia="Times New Roman" w:hAnsi="Times New Roman" w:cs="Times New Roman"/>
          <w:kern w:val="0"/>
          <w:sz w:val="24"/>
          <w:szCs w:val="24"/>
          <w:lang w:val="ro-MD" w:eastAsia="ro-MD"/>
          <w14:ligatures w14:val="none"/>
        </w:rPr>
        <w:t xml:space="preserve">transparență și acces public, prin publicarea calificărilor în </w:t>
      </w:r>
      <w:r w:rsidR="00EB4604">
        <w:rPr>
          <w:rFonts w:ascii="Times New Roman" w:eastAsia="Times New Roman" w:hAnsi="Times New Roman" w:cs="Times New Roman"/>
          <w:kern w:val="0"/>
          <w:sz w:val="24"/>
          <w:szCs w:val="24"/>
          <w:lang w:val="ro-MD" w:eastAsia="ro-MD"/>
          <w14:ligatures w14:val="none"/>
        </w:rPr>
        <w:t xml:space="preserve">RNC. </w:t>
      </w:r>
    </w:p>
    <w:p w14:paraId="24EB34E9" w14:textId="14AA7B95" w:rsidR="0038126A" w:rsidRPr="00B635C1" w:rsidRDefault="004549B7" w:rsidP="004549B7">
      <w:pPr>
        <w:pStyle w:val="af8"/>
        <w:spacing w:before="120" w:beforeAutospacing="0" w:after="120" w:afterAutospacing="0" w:line="276" w:lineRule="auto"/>
        <w:jc w:val="both"/>
        <w:rPr>
          <w:b/>
          <w:bCs/>
          <w:color w:val="3494BA" w:themeColor="accent1"/>
        </w:rPr>
      </w:pPr>
      <w:r>
        <w:rPr>
          <w:b/>
          <w:bCs/>
          <w:color w:val="3494BA" w:themeColor="accent1"/>
        </w:rPr>
        <w:t xml:space="preserve">2. </w:t>
      </w:r>
      <w:r w:rsidR="009A6947" w:rsidRPr="00B635C1">
        <w:rPr>
          <w:b/>
          <w:bCs/>
          <w:color w:val="3494BA" w:themeColor="accent1"/>
        </w:rPr>
        <w:t xml:space="preserve">Actorii implicați în procesul de includere a calificărilor în CNC </w:t>
      </w:r>
    </w:p>
    <w:p w14:paraId="27843D12" w14:textId="176B9DD1" w:rsidR="0038126A" w:rsidRPr="00C14F37" w:rsidRDefault="00E742B5" w:rsidP="00C14F37">
      <w:pPr>
        <w:pStyle w:val="af8"/>
        <w:spacing w:before="120" w:beforeAutospacing="0" w:after="120" w:afterAutospacing="0" w:line="276" w:lineRule="auto"/>
        <w:jc w:val="both"/>
      </w:pPr>
      <w:r w:rsidRPr="00C14F37">
        <w:t xml:space="preserve">Procesul de dezvoltare, validare și includere a calificărilor în CNC se bazează pe un </w:t>
      </w:r>
      <w:r w:rsidR="002D7C88">
        <w:rPr>
          <w:rStyle w:val="af9"/>
          <w:rFonts w:eastAsiaTheme="majorEastAsia"/>
          <w:b w:val="0"/>
          <w:bCs w:val="0"/>
        </w:rPr>
        <w:t xml:space="preserve">cadru </w:t>
      </w:r>
      <w:r w:rsidRPr="00C14F37">
        <w:rPr>
          <w:rStyle w:val="af9"/>
          <w:rFonts w:eastAsiaTheme="majorEastAsia"/>
          <w:b w:val="0"/>
          <w:bCs w:val="0"/>
        </w:rPr>
        <w:t>instituțional clar definit și participativ</w:t>
      </w:r>
      <w:r w:rsidRPr="00C14F37">
        <w:t xml:space="preserve">, care asigură transparența, coerența și calitatea deciziilor adoptate. În conformitate cu </w:t>
      </w:r>
      <w:r w:rsidR="002D7C88" w:rsidRPr="00CA428F">
        <w:rPr>
          <w:rStyle w:val="afd"/>
          <w:rFonts w:eastAsiaTheme="majorEastAsia"/>
          <w:i w:val="0"/>
          <w:iCs w:val="0"/>
        </w:rPr>
        <w:t>HG</w:t>
      </w:r>
      <w:r w:rsidRPr="00CA428F">
        <w:rPr>
          <w:rStyle w:val="afd"/>
          <w:rFonts w:eastAsiaTheme="majorEastAsia"/>
          <w:i w:val="0"/>
          <w:iCs w:val="0"/>
        </w:rPr>
        <w:t xml:space="preserve"> nr. 330/2023</w:t>
      </w:r>
      <w:r w:rsidRPr="00C14F37">
        <w:t xml:space="preserve"> și </w:t>
      </w:r>
      <w:r w:rsidRPr="00C14F37">
        <w:rPr>
          <w:rStyle w:val="afd"/>
          <w:rFonts w:eastAsiaTheme="majorEastAsia"/>
        </w:rPr>
        <w:t>Metodologia de elaborare, validare și aprobare a standardelor de calificare</w:t>
      </w:r>
      <w:r w:rsidR="00650C82">
        <w:rPr>
          <w:rStyle w:val="afc"/>
          <w:rFonts w:eastAsiaTheme="majorEastAsia"/>
          <w:i/>
          <w:iCs/>
        </w:rPr>
        <w:footnoteReference w:id="53"/>
      </w:r>
      <w:r w:rsidRPr="00C14F37">
        <w:t xml:space="preserve">, sunt implicate mai multe instituții și parteneri sociali, fiecare având </w:t>
      </w:r>
      <w:r w:rsidRPr="00C14F37">
        <w:rPr>
          <w:rStyle w:val="af9"/>
          <w:rFonts w:eastAsiaTheme="majorEastAsia"/>
          <w:b w:val="0"/>
          <w:bCs w:val="0"/>
        </w:rPr>
        <w:t>roluri și responsabilități distincte</w:t>
      </w:r>
      <w:r w:rsidRPr="00C14F37">
        <w:t xml:space="preserve"> în etapele de elaborare, avizare, aprobare și includere a calificărilor în CNC și în RNC.</w:t>
      </w:r>
      <w:r w:rsidR="00CA428F">
        <w:t xml:space="preserve"> </w:t>
      </w:r>
      <w:r w:rsidRPr="00C14F37">
        <w:t>Tabelul de mai jos sintetizează actorii principali și atribuțiile lor relevante privind transparența procedurilor de includere a calificărilor în CNC.</w:t>
      </w:r>
    </w:p>
    <w:p w14:paraId="65D7CAAE" w14:textId="2EBEF818" w:rsidR="00A20E18" w:rsidRPr="00542E15" w:rsidRDefault="00A20E18" w:rsidP="00C14F37">
      <w:pPr>
        <w:pStyle w:val="af8"/>
        <w:spacing w:before="120" w:beforeAutospacing="0" w:after="120" w:afterAutospacing="0" w:line="276" w:lineRule="auto"/>
        <w:jc w:val="both"/>
        <w:rPr>
          <w:color w:val="3494BA" w:themeColor="accent1"/>
        </w:rPr>
      </w:pPr>
      <w:r w:rsidRPr="00542E15">
        <w:rPr>
          <w:color w:val="3494BA" w:themeColor="accent1"/>
        </w:rPr>
        <w:t>Tabel 6. Actorii implicați și responsabilitățile aferente includerii calificărilor în CNC</w:t>
      </w:r>
    </w:p>
    <w:tbl>
      <w:tblPr>
        <w:tblStyle w:val="aff"/>
        <w:tblW w:w="0" w:type="auto"/>
        <w:tblLook w:val="04A0" w:firstRow="1" w:lastRow="0" w:firstColumn="1" w:lastColumn="0" w:noHBand="0" w:noVBand="1"/>
      </w:tblPr>
      <w:tblGrid>
        <w:gridCol w:w="2122"/>
        <w:gridCol w:w="1984"/>
        <w:gridCol w:w="5522"/>
      </w:tblGrid>
      <w:tr w:rsidR="001C1505" w:rsidRPr="00BB51A6" w14:paraId="277D01CA" w14:textId="77777777" w:rsidTr="00B95242">
        <w:tc>
          <w:tcPr>
            <w:tcW w:w="2122" w:type="dxa"/>
            <w:shd w:val="clear" w:color="auto" w:fill="A9D5E7" w:themeFill="accent1" w:themeFillTint="66"/>
            <w:vAlign w:val="center"/>
          </w:tcPr>
          <w:p w14:paraId="7BB2F818" w14:textId="253C62FF" w:rsidR="001C1505" w:rsidRPr="00BB51A6" w:rsidRDefault="001C1505" w:rsidP="00BB51A6">
            <w:pPr>
              <w:pStyle w:val="af8"/>
              <w:spacing w:before="0" w:beforeAutospacing="0" w:after="0" w:afterAutospacing="0"/>
              <w:rPr>
                <w:sz w:val="20"/>
                <w:szCs w:val="20"/>
              </w:rPr>
            </w:pPr>
            <w:r w:rsidRPr="00BB51A6">
              <w:rPr>
                <w:rStyle w:val="af9"/>
                <w:rFonts w:eastAsiaTheme="majorEastAsia"/>
                <w:sz w:val="20"/>
                <w:szCs w:val="20"/>
              </w:rPr>
              <w:t>Actor instituțional</w:t>
            </w:r>
          </w:p>
        </w:tc>
        <w:tc>
          <w:tcPr>
            <w:tcW w:w="1984" w:type="dxa"/>
            <w:shd w:val="clear" w:color="auto" w:fill="A9D5E7" w:themeFill="accent1" w:themeFillTint="66"/>
            <w:vAlign w:val="center"/>
          </w:tcPr>
          <w:p w14:paraId="1BE4A622" w14:textId="18AE937A" w:rsidR="001C1505" w:rsidRPr="00BB51A6" w:rsidRDefault="001C1505" w:rsidP="00BB51A6">
            <w:pPr>
              <w:pStyle w:val="af8"/>
              <w:spacing w:before="0" w:beforeAutospacing="0" w:after="0" w:afterAutospacing="0"/>
              <w:rPr>
                <w:sz w:val="20"/>
                <w:szCs w:val="20"/>
              </w:rPr>
            </w:pPr>
            <w:r w:rsidRPr="00BB51A6">
              <w:rPr>
                <w:rStyle w:val="af9"/>
                <w:rFonts w:eastAsiaTheme="majorEastAsia"/>
                <w:sz w:val="20"/>
                <w:szCs w:val="20"/>
              </w:rPr>
              <w:t>Rol în proces</w:t>
            </w:r>
          </w:p>
        </w:tc>
        <w:tc>
          <w:tcPr>
            <w:tcW w:w="5522" w:type="dxa"/>
            <w:shd w:val="clear" w:color="auto" w:fill="A9D5E7" w:themeFill="accent1" w:themeFillTint="66"/>
            <w:vAlign w:val="center"/>
          </w:tcPr>
          <w:p w14:paraId="2DC6321B" w14:textId="7C5C63B1" w:rsidR="001C1505" w:rsidRPr="00BB51A6" w:rsidRDefault="001C1505" w:rsidP="00BB51A6">
            <w:pPr>
              <w:pStyle w:val="af8"/>
              <w:spacing w:before="0" w:beforeAutospacing="0" w:after="0" w:afterAutospacing="0"/>
              <w:rPr>
                <w:sz w:val="20"/>
                <w:szCs w:val="20"/>
              </w:rPr>
            </w:pPr>
            <w:r w:rsidRPr="00BB51A6">
              <w:rPr>
                <w:rStyle w:val="af9"/>
                <w:rFonts w:eastAsiaTheme="majorEastAsia"/>
                <w:sz w:val="20"/>
                <w:szCs w:val="20"/>
              </w:rPr>
              <w:t>Responsabilități relevante pentru includerea calificărilor în CNC și RNC</w:t>
            </w:r>
          </w:p>
        </w:tc>
      </w:tr>
      <w:tr w:rsidR="001C1505" w:rsidRPr="00BB51A6" w14:paraId="3C3E52F6" w14:textId="77777777" w:rsidTr="00B95242">
        <w:tc>
          <w:tcPr>
            <w:tcW w:w="2122" w:type="dxa"/>
            <w:vAlign w:val="center"/>
          </w:tcPr>
          <w:p w14:paraId="01BA5CE8" w14:textId="7F697C3A"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t>Ministerul Educației și Cercetării (MEC)</w:t>
            </w:r>
          </w:p>
        </w:tc>
        <w:tc>
          <w:tcPr>
            <w:tcW w:w="1984" w:type="dxa"/>
            <w:vAlign w:val="center"/>
          </w:tcPr>
          <w:p w14:paraId="658ADE6F" w14:textId="0CCFB1E3" w:rsidR="001C1505" w:rsidRPr="00BB51A6" w:rsidRDefault="001C1505" w:rsidP="00BB51A6">
            <w:pPr>
              <w:pStyle w:val="af8"/>
              <w:spacing w:before="0" w:beforeAutospacing="0" w:after="0" w:afterAutospacing="0"/>
              <w:rPr>
                <w:sz w:val="20"/>
                <w:szCs w:val="20"/>
              </w:rPr>
            </w:pPr>
            <w:r w:rsidRPr="00BB51A6">
              <w:rPr>
                <w:sz w:val="20"/>
                <w:szCs w:val="20"/>
              </w:rPr>
              <w:t>Coordonator național și autoritate competentă</w:t>
            </w:r>
          </w:p>
        </w:tc>
        <w:tc>
          <w:tcPr>
            <w:tcW w:w="5522" w:type="dxa"/>
            <w:vAlign w:val="center"/>
          </w:tcPr>
          <w:p w14:paraId="18D8DFB9" w14:textId="77777777" w:rsidR="00542E15" w:rsidRPr="00BB51A6" w:rsidRDefault="001C1505" w:rsidP="00BB51A6">
            <w:pPr>
              <w:pStyle w:val="af8"/>
              <w:spacing w:before="0" w:beforeAutospacing="0" w:after="0" w:afterAutospacing="0"/>
              <w:rPr>
                <w:sz w:val="20"/>
                <w:szCs w:val="20"/>
              </w:rPr>
            </w:pPr>
            <w:r w:rsidRPr="00BB51A6">
              <w:rPr>
                <w:sz w:val="20"/>
                <w:szCs w:val="20"/>
              </w:rPr>
              <w:t>Inițiază procesul de elaborare a standardelor de calificare;</w:t>
            </w:r>
          </w:p>
          <w:p w14:paraId="66F5FB71" w14:textId="77777777" w:rsidR="00542E15" w:rsidRPr="00BB51A6" w:rsidRDefault="001C1505" w:rsidP="00BB51A6">
            <w:pPr>
              <w:pStyle w:val="af8"/>
              <w:spacing w:before="0" w:beforeAutospacing="0" w:after="0" w:afterAutospacing="0"/>
              <w:rPr>
                <w:sz w:val="20"/>
                <w:szCs w:val="20"/>
              </w:rPr>
            </w:pPr>
            <w:r w:rsidRPr="00BB51A6">
              <w:rPr>
                <w:sz w:val="20"/>
                <w:szCs w:val="20"/>
              </w:rPr>
              <w:t>Conduce și aprobă procesul de validare, avizare și aprobare;</w:t>
            </w:r>
          </w:p>
          <w:p w14:paraId="657EA1AB" w14:textId="77777777" w:rsidR="00542E15" w:rsidRPr="00BB51A6" w:rsidRDefault="001C1505" w:rsidP="00BB51A6">
            <w:pPr>
              <w:pStyle w:val="af8"/>
              <w:spacing w:before="0" w:beforeAutospacing="0" w:after="0" w:afterAutospacing="0"/>
              <w:rPr>
                <w:sz w:val="20"/>
                <w:szCs w:val="20"/>
              </w:rPr>
            </w:pPr>
            <w:r w:rsidRPr="00BB51A6">
              <w:rPr>
                <w:sz w:val="20"/>
                <w:szCs w:val="20"/>
              </w:rPr>
              <w:t>Formează grupurile de lucru;</w:t>
            </w:r>
          </w:p>
          <w:p w14:paraId="6B8CE50E" w14:textId="77777777" w:rsidR="00542E15" w:rsidRPr="00BB51A6" w:rsidRDefault="001C1505" w:rsidP="00BB51A6">
            <w:pPr>
              <w:pStyle w:val="af8"/>
              <w:spacing w:before="0" w:beforeAutospacing="0" w:after="0" w:afterAutospacing="0"/>
              <w:rPr>
                <w:sz w:val="20"/>
                <w:szCs w:val="20"/>
              </w:rPr>
            </w:pPr>
            <w:r w:rsidRPr="00BB51A6">
              <w:rPr>
                <w:sz w:val="20"/>
                <w:szCs w:val="20"/>
              </w:rPr>
              <w:t>Emite ordinul de aprobare și dispune înregistrarea calificării în RNC;</w:t>
            </w:r>
          </w:p>
          <w:p w14:paraId="52FFCD51" w14:textId="77777777" w:rsidR="00542E15" w:rsidRPr="00BB51A6" w:rsidRDefault="001C1505" w:rsidP="00BB51A6">
            <w:pPr>
              <w:pStyle w:val="af8"/>
              <w:spacing w:before="0" w:beforeAutospacing="0" w:after="0" w:afterAutospacing="0"/>
              <w:rPr>
                <w:sz w:val="20"/>
                <w:szCs w:val="20"/>
              </w:rPr>
            </w:pPr>
            <w:r w:rsidRPr="00BB51A6">
              <w:rPr>
                <w:sz w:val="20"/>
                <w:szCs w:val="20"/>
              </w:rPr>
              <w:t>Monitorizează aplicarea și actualizarea standardelor de calificare;</w:t>
            </w:r>
          </w:p>
          <w:p w14:paraId="1B844456" w14:textId="1888CBD1" w:rsidR="001C1505" w:rsidRPr="00BB51A6" w:rsidRDefault="001C1505" w:rsidP="00BB51A6">
            <w:pPr>
              <w:pStyle w:val="af8"/>
              <w:spacing w:before="0" w:beforeAutospacing="0" w:after="0" w:afterAutospacing="0"/>
              <w:rPr>
                <w:sz w:val="20"/>
                <w:szCs w:val="20"/>
              </w:rPr>
            </w:pPr>
            <w:r w:rsidRPr="00BB51A6">
              <w:rPr>
                <w:sz w:val="20"/>
                <w:szCs w:val="20"/>
              </w:rPr>
              <w:t>Asigură transparența prin publicarea calificărilor în RNC.</w:t>
            </w:r>
          </w:p>
        </w:tc>
      </w:tr>
      <w:tr w:rsidR="001C1505" w:rsidRPr="00BB51A6" w14:paraId="2B5BE182" w14:textId="77777777" w:rsidTr="00B95242">
        <w:tc>
          <w:tcPr>
            <w:tcW w:w="2122" w:type="dxa"/>
            <w:vAlign w:val="center"/>
          </w:tcPr>
          <w:p w14:paraId="3E01784A" w14:textId="679B4661"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t xml:space="preserve">Consiliul Național pentru Calificări </w:t>
            </w:r>
          </w:p>
        </w:tc>
        <w:tc>
          <w:tcPr>
            <w:tcW w:w="1984" w:type="dxa"/>
            <w:vAlign w:val="center"/>
          </w:tcPr>
          <w:p w14:paraId="59708F50" w14:textId="23C3690A" w:rsidR="001C1505" w:rsidRPr="00BB51A6" w:rsidRDefault="001C1505" w:rsidP="00BB51A6">
            <w:pPr>
              <w:pStyle w:val="af8"/>
              <w:spacing w:before="0" w:beforeAutospacing="0" w:after="0" w:afterAutospacing="0"/>
              <w:rPr>
                <w:sz w:val="20"/>
                <w:szCs w:val="20"/>
              </w:rPr>
            </w:pPr>
            <w:r w:rsidRPr="00BB51A6">
              <w:rPr>
                <w:sz w:val="20"/>
                <w:szCs w:val="20"/>
              </w:rPr>
              <w:t>Organ consultativ și de expertiză strategică</w:t>
            </w:r>
          </w:p>
        </w:tc>
        <w:tc>
          <w:tcPr>
            <w:tcW w:w="5522" w:type="dxa"/>
            <w:vAlign w:val="center"/>
          </w:tcPr>
          <w:p w14:paraId="32AD0DD3" w14:textId="543ED88E" w:rsidR="007E676E" w:rsidRPr="00BB51A6" w:rsidRDefault="001C1505" w:rsidP="00BB51A6">
            <w:pPr>
              <w:pStyle w:val="af8"/>
              <w:spacing w:before="0" w:beforeAutospacing="0" w:after="0" w:afterAutospacing="0"/>
              <w:rPr>
                <w:sz w:val="20"/>
                <w:szCs w:val="20"/>
              </w:rPr>
            </w:pPr>
            <w:r w:rsidRPr="00BB51A6">
              <w:rPr>
                <w:sz w:val="20"/>
                <w:szCs w:val="20"/>
              </w:rPr>
              <w:t>Avizează standardele de calificare înainte de aprobarea finală;</w:t>
            </w:r>
          </w:p>
          <w:p w14:paraId="3CB9BF6E" w14:textId="77777777" w:rsidR="007E676E" w:rsidRPr="00BB51A6" w:rsidRDefault="001C1505" w:rsidP="00BB51A6">
            <w:pPr>
              <w:pStyle w:val="af8"/>
              <w:spacing w:before="0" w:beforeAutospacing="0" w:after="0" w:afterAutospacing="0"/>
              <w:rPr>
                <w:sz w:val="20"/>
                <w:szCs w:val="20"/>
              </w:rPr>
            </w:pPr>
            <w:r w:rsidRPr="00BB51A6">
              <w:rPr>
                <w:sz w:val="20"/>
                <w:szCs w:val="20"/>
              </w:rPr>
              <w:t>Contribuie la dialogul intersectorial;</w:t>
            </w:r>
          </w:p>
          <w:p w14:paraId="4BD4F655" w14:textId="77777777" w:rsidR="007E676E" w:rsidRPr="00BB51A6" w:rsidRDefault="001C1505" w:rsidP="00BB51A6">
            <w:pPr>
              <w:pStyle w:val="af8"/>
              <w:spacing w:before="0" w:beforeAutospacing="0" w:after="0" w:afterAutospacing="0"/>
              <w:rPr>
                <w:sz w:val="20"/>
                <w:szCs w:val="20"/>
              </w:rPr>
            </w:pPr>
            <w:r w:rsidRPr="00BB51A6">
              <w:rPr>
                <w:sz w:val="20"/>
                <w:szCs w:val="20"/>
              </w:rPr>
              <w:t>Confirmă relevanța și coerența calificărilor cu CNC și EQF;</w:t>
            </w:r>
          </w:p>
          <w:p w14:paraId="4E36E77F" w14:textId="295614EB" w:rsidR="001C1505" w:rsidRPr="00BB51A6" w:rsidRDefault="001C1505" w:rsidP="00BB51A6">
            <w:pPr>
              <w:pStyle w:val="af8"/>
              <w:spacing w:before="0" w:beforeAutospacing="0" w:after="0" w:afterAutospacing="0"/>
              <w:rPr>
                <w:sz w:val="20"/>
                <w:szCs w:val="20"/>
              </w:rPr>
            </w:pPr>
            <w:r w:rsidRPr="00BB51A6">
              <w:rPr>
                <w:sz w:val="20"/>
                <w:szCs w:val="20"/>
              </w:rPr>
              <w:t>Asigură transparența procesului decizional.</w:t>
            </w:r>
          </w:p>
        </w:tc>
      </w:tr>
      <w:tr w:rsidR="001C1505" w:rsidRPr="00BB51A6" w14:paraId="1A289FDA" w14:textId="77777777" w:rsidTr="00B95242">
        <w:tc>
          <w:tcPr>
            <w:tcW w:w="2122" w:type="dxa"/>
            <w:vAlign w:val="center"/>
          </w:tcPr>
          <w:p w14:paraId="7EE7010E" w14:textId="3E2AB466"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t>Ministerele de resort</w:t>
            </w:r>
          </w:p>
        </w:tc>
        <w:tc>
          <w:tcPr>
            <w:tcW w:w="1984" w:type="dxa"/>
            <w:vAlign w:val="center"/>
          </w:tcPr>
          <w:p w14:paraId="7F206533" w14:textId="07578F84" w:rsidR="001C1505" w:rsidRPr="00BB51A6" w:rsidRDefault="001C1505" w:rsidP="00BB51A6">
            <w:pPr>
              <w:pStyle w:val="af8"/>
              <w:spacing w:before="0" w:beforeAutospacing="0" w:after="0" w:afterAutospacing="0"/>
              <w:rPr>
                <w:sz w:val="20"/>
                <w:szCs w:val="20"/>
              </w:rPr>
            </w:pPr>
            <w:r w:rsidRPr="00BB51A6">
              <w:rPr>
                <w:sz w:val="20"/>
                <w:szCs w:val="20"/>
              </w:rPr>
              <w:t>Autorități de domeniu</w:t>
            </w:r>
          </w:p>
        </w:tc>
        <w:tc>
          <w:tcPr>
            <w:tcW w:w="5522" w:type="dxa"/>
            <w:vAlign w:val="center"/>
          </w:tcPr>
          <w:p w14:paraId="00A165F5" w14:textId="77777777" w:rsidR="007E676E" w:rsidRPr="00BB51A6" w:rsidRDefault="001C1505" w:rsidP="00BB51A6">
            <w:pPr>
              <w:pStyle w:val="af8"/>
              <w:spacing w:before="0" w:beforeAutospacing="0" w:after="0" w:afterAutospacing="0"/>
              <w:rPr>
                <w:sz w:val="20"/>
                <w:szCs w:val="20"/>
              </w:rPr>
            </w:pPr>
            <w:r w:rsidRPr="00BB51A6">
              <w:rPr>
                <w:sz w:val="20"/>
                <w:szCs w:val="20"/>
              </w:rPr>
              <w:t>Inițiază și coordonează elaborarea calificărilor specifice domeniului;</w:t>
            </w:r>
          </w:p>
          <w:p w14:paraId="594432C8" w14:textId="77777777" w:rsidR="007E676E" w:rsidRPr="00BB51A6" w:rsidRDefault="001C1505" w:rsidP="00BB51A6">
            <w:pPr>
              <w:pStyle w:val="af8"/>
              <w:spacing w:before="0" w:beforeAutospacing="0" w:after="0" w:afterAutospacing="0"/>
              <w:rPr>
                <w:sz w:val="20"/>
                <w:szCs w:val="20"/>
              </w:rPr>
            </w:pPr>
            <w:r w:rsidRPr="00BB51A6">
              <w:rPr>
                <w:sz w:val="20"/>
                <w:szCs w:val="20"/>
              </w:rPr>
              <w:t>Coordonează validarea sectorială;</w:t>
            </w:r>
          </w:p>
          <w:p w14:paraId="3593D7A3" w14:textId="77777777" w:rsidR="007E676E" w:rsidRPr="00BB51A6" w:rsidRDefault="001C1505" w:rsidP="00BB51A6">
            <w:pPr>
              <w:pStyle w:val="af8"/>
              <w:spacing w:before="0" w:beforeAutospacing="0" w:after="0" w:afterAutospacing="0"/>
              <w:rPr>
                <w:sz w:val="20"/>
                <w:szCs w:val="20"/>
              </w:rPr>
            </w:pPr>
            <w:r w:rsidRPr="00BB51A6">
              <w:rPr>
                <w:sz w:val="20"/>
                <w:szCs w:val="20"/>
              </w:rPr>
              <w:t>Monitorizează implementarea calificărilor de către instituțiile din subordine;</w:t>
            </w:r>
          </w:p>
          <w:p w14:paraId="18D7641E" w14:textId="16D2F1D3" w:rsidR="001C1505" w:rsidRPr="00BB51A6" w:rsidRDefault="001C1505" w:rsidP="00BB51A6">
            <w:pPr>
              <w:pStyle w:val="af8"/>
              <w:spacing w:before="0" w:beforeAutospacing="0" w:after="0" w:afterAutospacing="0"/>
              <w:rPr>
                <w:sz w:val="20"/>
                <w:szCs w:val="20"/>
              </w:rPr>
            </w:pPr>
            <w:r w:rsidRPr="00BB51A6">
              <w:rPr>
                <w:sz w:val="20"/>
                <w:szCs w:val="20"/>
              </w:rPr>
              <w:t>Promovează politici de calitate în domeniul formării profesionale.</w:t>
            </w:r>
          </w:p>
        </w:tc>
      </w:tr>
      <w:tr w:rsidR="001C1505" w:rsidRPr="00BB51A6" w14:paraId="6B5D2511" w14:textId="77777777" w:rsidTr="00B95242">
        <w:tc>
          <w:tcPr>
            <w:tcW w:w="2122" w:type="dxa"/>
            <w:vAlign w:val="center"/>
          </w:tcPr>
          <w:p w14:paraId="725F5773" w14:textId="5FA11919"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t>Comitetele sectoriale pentru formare profesională</w:t>
            </w:r>
          </w:p>
        </w:tc>
        <w:tc>
          <w:tcPr>
            <w:tcW w:w="1984" w:type="dxa"/>
            <w:vAlign w:val="center"/>
          </w:tcPr>
          <w:p w14:paraId="4EAAD82E" w14:textId="424CCD64" w:rsidR="001C1505" w:rsidRPr="00BB51A6" w:rsidRDefault="001C1505" w:rsidP="00BB51A6">
            <w:pPr>
              <w:pStyle w:val="af8"/>
              <w:spacing w:before="0" w:beforeAutospacing="0" w:after="0" w:afterAutospacing="0"/>
              <w:rPr>
                <w:sz w:val="20"/>
                <w:szCs w:val="20"/>
              </w:rPr>
            </w:pPr>
            <w:r w:rsidRPr="00BB51A6">
              <w:rPr>
                <w:sz w:val="20"/>
                <w:szCs w:val="20"/>
              </w:rPr>
              <w:t>Reprezentanți ai sectoarelor economice</w:t>
            </w:r>
          </w:p>
        </w:tc>
        <w:tc>
          <w:tcPr>
            <w:tcW w:w="5522" w:type="dxa"/>
            <w:vAlign w:val="center"/>
          </w:tcPr>
          <w:p w14:paraId="601838BD" w14:textId="77777777" w:rsidR="007E676E" w:rsidRPr="00BB51A6" w:rsidRDefault="001C1505" w:rsidP="00BB51A6">
            <w:pPr>
              <w:pStyle w:val="af8"/>
              <w:spacing w:before="0" w:beforeAutospacing="0" w:after="0" w:afterAutospacing="0"/>
              <w:rPr>
                <w:sz w:val="20"/>
                <w:szCs w:val="20"/>
              </w:rPr>
            </w:pPr>
            <w:r w:rsidRPr="00BB51A6">
              <w:rPr>
                <w:sz w:val="20"/>
                <w:szCs w:val="20"/>
              </w:rPr>
              <w:t>Identifică necesarul de calificări în sector;</w:t>
            </w:r>
          </w:p>
          <w:p w14:paraId="7DE27222" w14:textId="304EF4F5" w:rsidR="007E676E" w:rsidRPr="00BB51A6" w:rsidRDefault="001C1505" w:rsidP="00BB51A6">
            <w:pPr>
              <w:pStyle w:val="af8"/>
              <w:spacing w:before="0" w:beforeAutospacing="0" w:after="0" w:afterAutospacing="0"/>
              <w:rPr>
                <w:sz w:val="20"/>
                <w:szCs w:val="20"/>
              </w:rPr>
            </w:pPr>
            <w:r w:rsidRPr="00BB51A6">
              <w:rPr>
                <w:sz w:val="20"/>
                <w:szCs w:val="20"/>
              </w:rPr>
              <w:t>Participă la elaborarea și validarea standardelor de calificare;</w:t>
            </w:r>
          </w:p>
          <w:p w14:paraId="79774E5C" w14:textId="77777777" w:rsidR="007E676E" w:rsidRPr="00BB51A6" w:rsidRDefault="001C1505" w:rsidP="00BB51A6">
            <w:pPr>
              <w:pStyle w:val="af8"/>
              <w:spacing w:before="0" w:beforeAutospacing="0" w:after="0" w:afterAutospacing="0"/>
              <w:rPr>
                <w:sz w:val="20"/>
                <w:szCs w:val="20"/>
              </w:rPr>
            </w:pPr>
            <w:r w:rsidRPr="00BB51A6">
              <w:rPr>
                <w:sz w:val="20"/>
                <w:szCs w:val="20"/>
              </w:rPr>
              <w:t>Confirmă relevanța calificărilor pentru piața muncii;</w:t>
            </w:r>
          </w:p>
          <w:p w14:paraId="0B342ADD" w14:textId="334F04C8" w:rsidR="001C1505" w:rsidRPr="00BB51A6" w:rsidRDefault="001C1505" w:rsidP="00BB51A6">
            <w:pPr>
              <w:pStyle w:val="af8"/>
              <w:spacing w:before="0" w:beforeAutospacing="0" w:after="0" w:afterAutospacing="0"/>
              <w:rPr>
                <w:sz w:val="20"/>
                <w:szCs w:val="20"/>
              </w:rPr>
            </w:pPr>
            <w:r w:rsidRPr="00BB51A6">
              <w:rPr>
                <w:sz w:val="20"/>
                <w:szCs w:val="20"/>
              </w:rPr>
              <w:t>Susțin consultarea publică și validarea socială.</w:t>
            </w:r>
          </w:p>
        </w:tc>
      </w:tr>
      <w:tr w:rsidR="001C1505" w:rsidRPr="00BB51A6" w14:paraId="34426D13" w14:textId="77777777" w:rsidTr="00B95242">
        <w:tc>
          <w:tcPr>
            <w:tcW w:w="2122" w:type="dxa"/>
            <w:vAlign w:val="center"/>
          </w:tcPr>
          <w:p w14:paraId="2C79287C" w14:textId="4B0A1140"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t>Instituțiile de învățământ și furnizorii de formare profesională</w:t>
            </w:r>
          </w:p>
        </w:tc>
        <w:tc>
          <w:tcPr>
            <w:tcW w:w="1984" w:type="dxa"/>
            <w:vAlign w:val="center"/>
          </w:tcPr>
          <w:p w14:paraId="3F12D971" w14:textId="5C44965F" w:rsidR="001C1505" w:rsidRPr="00BB51A6" w:rsidRDefault="001C1505" w:rsidP="00BB51A6">
            <w:pPr>
              <w:pStyle w:val="af8"/>
              <w:spacing w:before="0" w:beforeAutospacing="0" w:after="0" w:afterAutospacing="0"/>
              <w:rPr>
                <w:sz w:val="20"/>
                <w:szCs w:val="20"/>
              </w:rPr>
            </w:pPr>
            <w:r w:rsidRPr="00BB51A6">
              <w:rPr>
                <w:sz w:val="20"/>
                <w:szCs w:val="20"/>
              </w:rPr>
              <w:t>Actori tehnici ai sistemului de formare</w:t>
            </w:r>
          </w:p>
        </w:tc>
        <w:tc>
          <w:tcPr>
            <w:tcW w:w="5522" w:type="dxa"/>
            <w:vAlign w:val="center"/>
          </w:tcPr>
          <w:p w14:paraId="5998D8EB" w14:textId="77777777" w:rsidR="00D87453" w:rsidRPr="00BB51A6" w:rsidRDefault="001C1505" w:rsidP="00BB51A6">
            <w:pPr>
              <w:pStyle w:val="af8"/>
              <w:spacing w:before="0" w:beforeAutospacing="0" w:after="0" w:afterAutospacing="0"/>
              <w:rPr>
                <w:sz w:val="20"/>
                <w:szCs w:val="20"/>
              </w:rPr>
            </w:pPr>
            <w:r w:rsidRPr="00BB51A6">
              <w:rPr>
                <w:sz w:val="20"/>
                <w:szCs w:val="20"/>
              </w:rPr>
              <w:t>Participă la elaborarea și validarea standardelor de calificare;</w:t>
            </w:r>
          </w:p>
          <w:p w14:paraId="77B3D124" w14:textId="77777777" w:rsidR="00D87453" w:rsidRPr="00BB51A6" w:rsidRDefault="001C1505" w:rsidP="00BB51A6">
            <w:pPr>
              <w:pStyle w:val="af8"/>
              <w:spacing w:before="0" w:beforeAutospacing="0" w:after="0" w:afterAutospacing="0"/>
              <w:rPr>
                <w:sz w:val="20"/>
                <w:szCs w:val="20"/>
              </w:rPr>
            </w:pPr>
            <w:r w:rsidRPr="00BB51A6">
              <w:rPr>
                <w:sz w:val="20"/>
                <w:szCs w:val="20"/>
              </w:rPr>
              <w:t>Elaborează curriculumul și programele de studii în baza standardelor aprobate;</w:t>
            </w:r>
          </w:p>
          <w:p w14:paraId="6D19279F" w14:textId="77777777" w:rsidR="00D87453" w:rsidRPr="00BB51A6" w:rsidRDefault="001C1505" w:rsidP="00BB51A6">
            <w:pPr>
              <w:pStyle w:val="af8"/>
              <w:spacing w:before="0" w:beforeAutospacing="0" w:after="0" w:afterAutospacing="0"/>
              <w:rPr>
                <w:sz w:val="20"/>
                <w:szCs w:val="20"/>
              </w:rPr>
            </w:pPr>
            <w:r w:rsidRPr="00BB51A6">
              <w:rPr>
                <w:sz w:val="20"/>
                <w:szCs w:val="20"/>
              </w:rPr>
              <w:t>Aplică rezultatele învățării în evaluare și certificare;</w:t>
            </w:r>
          </w:p>
          <w:p w14:paraId="512C86F6" w14:textId="565A9BD5" w:rsidR="001C1505" w:rsidRPr="00BB51A6" w:rsidRDefault="001C1505" w:rsidP="00BB51A6">
            <w:pPr>
              <w:pStyle w:val="af8"/>
              <w:spacing w:before="0" w:beforeAutospacing="0" w:after="0" w:afterAutospacing="0"/>
              <w:rPr>
                <w:sz w:val="20"/>
                <w:szCs w:val="20"/>
              </w:rPr>
            </w:pPr>
            <w:r w:rsidRPr="00BB51A6">
              <w:rPr>
                <w:sz w:val="20"/>
                <w:szCs w:val="20"/>
              </w:rPr>
              <w:t>Oferă feedback practic pentru actualizarea calificărilor.</w:t>
            </w:r>
          </w:p>
        </w:tc>
      </w:tr>
      <w:tr w:rsidR="001C1505" w:rsidRPr="00BB51A6" w14:paraId="1318AC89" w14:textId="77777777" w:rsidTr="00B95242">
        <w:tc>
          <w:tcPr>
            <w:tcW w:w="2122" w:type="dxa"/>
            <w:vAlign w:val="center"/>
          </w:tcPr>
          <w:p w14:paraId="23893694" w14:textId="78400D31"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lastRenderedPageBreak/>
              <w:t>Partenerii sociali (patronate, sindicate, asociații profesionale, angajatori)</w:t>
            </w:r>
          </w:p>
        </w:tc>
        <w:tc>
          <w:tcPr>
            <w:tcW w:w="1984" w:type="dxa"/>
            <w:vAlign w:val="center"/>
          </w:tcPr>
          <w:p w14:paraId="61FF9113" w14:textId="4C47052A" w:rsidR="001C1505" w:rsidRPr="00BB51A6" w:rsidRDefault="001C1505" w:rsidP="00BB51A6">
            <w:pPr>
              <w:pStyle w:val="af8"/>
              <w:spacing w:before="0" w:beforeAutospacing="0" w:after="0" w:afterAutospacing="0"/>
              <w:rPr>
                <w:sz w:val="20"/>
                <w:szCs w:val="20"/>
              </w:rPr>
            </w:pPr>
            <w:r w:rsidRPr="00BB51A6">
              <w:rPr>
                <w:sz w:val="20"/>
                <w:szCs w:val="20"/>
              </w:rPr>
              <w:t>Parteneri ai sistemului de formare și piața muncii</w:t>
            </w:r>
          </w:p>
        </w:tc>
        <w:tc>
          <w:tcPr>
            <w:tcW w:w="5522" w:type="dxa"/>
            <w:vAlign w:val="center"/>
          </w:tcPr>
          <w:p w14:paraId="4177E699" w14:textId="77777777" w:rsidR="00D87453" w:rsidRPr="00BB51A6" w:rsidRDefault="001C1505" w:rsidP="00BB51A6">
            <w:pPr>
              <w:pStyle w:val="af8"/>
              <w:spacing w:before="0" w:beforeAutospacing="0" w:after="0" w:afterAutospacing="0"/>
              <w:rPr>
                <w:sz w:val="20"/>
                <w:szCs w:val="20"/>
              </w:rPr>
            </w:pPr>
            <w:r w:rsidRPr="00BB51A6">
              <w:rPr>
                <w:sz w:val="20"/>
                <w:szCs w:val="20"/>
              </w:rPr>
              <w:t>Propun noi calificări în funcție de evoluțiile economice;</w:t>
            </w:r>
          </w:p>
          <w:p w14:paraId="64B7114A" w14:textId="77777777" w:rsidR="00D87453" w:rsidRPr="00BB51A6" w:rsidRDefault="001C1505" w:rsidP="00BB51A6">
            <w:pPr>
              <w:pStyle w:val="af8"/>
              <w:spacing w:before="0" w:beforeAutospacing="0" w:after="0" w:afterAutospacing="0"/>
              <w:rPr>
                <w:sz w:val="20"/>
                <w:szCs w:val="20"/>
              </w:rPr>
            </w:pPr>
            <w:r w:rsidRPr="00BB51A6">
              <w:rPr>
                <w:sz w:val="20"/>
                <w:szCs w:val="20"/>
              </w:rPr>
              <w:t>Participă la consultarea și validarea calificărilor;</w:t>
            </w:r>
          </w:p>
          <w:p w14:paraId="41D79403" w14:textId="77777777" w:rsidR="00D87453" w:rsidRPr="00BB51A6" w:rsidRDefault="001C1505" w:rsidP="00BB51A6">
            <w:pPr>
              <w:pStyle w:val="af8"/>
              <w:spacing w:before="0" w:beforeAutospacing="0" w:after="0" w:afterAutospacing="0"/>
              <w:rPr>
                <w:sz w:val="20"/>
                <w:szCs w:val="20"/>
              </w:rPr>
            </w:pPr>
            <w:r w:rsidRPr="00BB51A6">
              <w:rPr>
                <w:sz w:val="20"/>
                <w:szCs w:val="20"/>
              </w:rPr>
              <w:t>Implică experți în comisiile de validare;</w:t>
            </w:r>
          </w:p>
          <w:p w14:paraId="246D606B" w14:textId="2BEEAD80" w:rsidR="001C1505" w:rsidRPr="00BB51A6" w:rsidRDefault="001C1505" w:rsidP="00BB51A6">
            <w:pPr>
              <w:pStyle w:val="af8"/>
              <w:spacing w:before="0" w:beforeAutospacing="0" w:after="0" w:afterAutospacing="0"/>
              <w:rPr>
                <w:sz w:val="20"/>
                <w:szCs w:val="20"/>
              </w:rPr>
            </w:pPr>
            <w:r w:rsidRPr="00BB51A6">
              <w:rPr>
                <w:sz w:val="20"/>
                <w:szCs w:val="20"/>
              </w:rPr>
              <w:t>Contribuie la relevanța și aplicabilitatea calificărilor.</w:t>
            </w:r>
          </w:p>
        </w:tc>
      </w:tr>
      <w:tr w:rsidR="001C1505" w:rsidRPr="00BB51A6" w14:paraId="45A97A10" w14:textId="77777777" w:rsidTr="00B95242">
        <w:tc>
          <w:tcPr>
            <w:tcW w:w="2122" w:type="dxa"/>
            <w:vAlign w:val="center"/>
          </w:tcPr>
          <w:p w14:paraId="349FB812" w14:textId="567B28CE" w:rsidR="001C1505" w:rsidRPr="00BB51A6" w:rsidRDefault="001C1505" w:rsidP="00BB51A6">
            <w:pPr>
              <w:pStyle w:val="af8"/>
              <w:spacing w:before="0" w:beforeAutospacing="0" w:after="0" w:afterAutospacing="0"/>
              <w:rPr>
                <w:b/>
                <w:bCs/>
                <w:sz w:val="20"/>
                <w:szCs w:val="20"/>
              </w:rPr>
            </w:pPr>
            <w:r w:rsidRPr="00BB51A6">
              <w:rPr>
                <w:rStyle w:val="af9"/>
                <w:rFonts w:eastAsiaTheme="majorEastAsia"/>
                <w:b w:val="0"/>
                <w:bCs w:val="0"/>
                <w:sz w:val="20"/>
                <w:szCs w:val="20"/>
              </w:rPr>
              <w:t>ANACEC</w:t>
            </w:r>
          </w:p>
        </w:tc>
        <w:tc>
          <w:tcPr>
            <w:tcW w:w="1984" w:type="dxa"/>
            <w:vAlign w:val="center"/>
          </w:tcPr>
          <w:p w14:paraId="6E655C22" w14:textId="4DD94279" w:rsidR="001C1505" w:rsidRPr="00BB51A6" w:rsidRDefault="001C1505" w:rsidP="00BB51A6">
            <w:pPr>
              <w:pStyle w:val="af8"/>
              <w:spacing w:before="0" w:beforeAutospacing="0" w:after="0" w:afterAutospacing="0"/>
              <w:rPr>
                <w:sz w:val="20"/>
                <w:szCs w:val="20"/>
              </w:rPr>
            </w:pPr>
            <w:r w:rsidRPr="00BB51A6">
              <w:rPr>
                <w:sz w:val="20"/>
                <w:szCs w:val="20"/>
              </w:rPr>
              <w:t>Organ de evaluare externă a calității</w:t>
            </w:r>
          </w:p>
        </w:tc>
        <w:tc>
          <w:tcPr>
            <w:tcW w:w="5522" w:type="dxa"/>
            <w:vAlign w:val="center"/>
          </w:tcPr>
          <w:p w14:paraId="2E73FA5B" w14:textId="77777777" w:rsidR="00D87453" w:rsidRPr="00BB51A6" w:rsidRDefault="001C1505" w:rsidP="00BB51A6">
            <w:pPr>
              <w:pStyle w:val="af8"/>
              <w:spacing w:before="0" w:beforeAutospacing="0" w:after="0" w:afterAutospacing="0"/>
              <w:rPr>
                <w:sz w:val="20"/>
                <w:szCs w:val="20"/>
              </w:rPr>
            </w:pPr>
            <w:r w:rsidRPr="00BB51A6">
              <w:rPr>
                <w:sz w:val="20"/>
                <w:szCs w:val="20"/>
              </w:rPr>
              <w:t>Monitorizează calitatea procesului de elaborare și implementare a calificărilor;</w:t>
            </w:r>
          </w:p>
          <w:p w14:paraId="6D371DA4" w14:textId="77777777" w:rsidR="00D87453" w:rsidRPr="00BB51A6" w:rsidRDefault="001C1505" w:rsidP="00BB51A6">
            <w:pPr>
              <w:pStyle w:val="af8"/>
              <w:spacing w:before="0" w:beforeAutospacing="0" w:after="0" w:afterAutospacing="0"/>
              <w:rPr>
                <w:sz w:val="20"/>
                <w:szCs w:val="20"/>
              </w:rPr>
            </w:pPr>
            <w:r w:rsidRPr="00BB51A6">
              <w:rPr>
                <w:sz w:val="20"/>
                <w:szCs w:val="20"/>
              </w:rPr>
              <w:t>Verifică coerența calificărilor cu descriptorii CNC și EQF;</w:t>
            </w:r>
          </w:p>
          <w:p w14:paraId="18D3C641" w14:textId="77777777" w:rsidR="00D87453" w:rsidRPr="00BB51A6" w:rsidRDefault="001C1505" w:rsidP="00BB51A6">
            <w:pPr>
              <w:pStyle w:val="af8"/>
              <w:spacing w:before="0" w:beforeAutospacing="0" w:after="0" w:afterAutospacing="0"/>
              <w:rPr>
                <w:sz w:val="20"/>
                <w:szCs w:val="20"/>
              </w:rPr>
            </w:pPr>
            <w:r w:rsidRPr="00BB51A6">
              <w:rPr>
                <w:sz w:val="20"/>
                <w:szCs w:val="20"/>
              </w:rPr>
              <w:t>Evaluează aplicarea standardelor și criteriilor de calitate;</w:t>
            </w:r>
          </w:p>
          <w:p w14:paraId="418C7D23" w14:textId="3B35C503" w:rsidR="001C1505" w:rsidRPr="00BB51A6" w:rsidRDefault="001C1505" w:rsidP="00BB51A6">
            <w:pPr>
              <w:pStyle w:val="af8"/>
              <w:spacing w:before="0" w:beforeAutospacing="0" w:after="0" w:afterAutospacing="0"/>
              <w:rPr>
                <w:sz w:val="20"/>
                <w:szCs w:val="20"/>
              </w:rPr>
            </w:pPr>
            <w:r w:rsidRPr="00BB51A6">
              <w:rPr>
                <w:sz w:val="20"/>
                <w:szCs w:val="20"/>
              </w:rPr>
              <w:t>Publică rapoartele de evaluare externă, consolidând transparența și credibilitatea sistemului.</w:t>
            </w:r>
          </w:p>
        </w:tc>
      </w:tr>
    </w:tbl>
    <w:p w14:paraId="6E22BC77" w14:textId="7ED8F435" w:rsidR="004D2A27" w:rsidRPr="004D2A27" w:rsidRDefault="004D2A27" w:rsidP="00890B5F">
      <w:pPr>
        <w:spacing w:before="120" w:after="120" w:line="276" w:lineRule="auto"/>
        <w:outlineLvl w:val="1"/>
        <w:rPr>
          <w:rFonts w:ascii="Times New Roman" w:eastAsia="Times New Roman" w:hAnsi="Times New Roman" w:cs="Times New Roman"/>
          <w:b/>
          <w:bCs/>
          <w:color w:val="3494BA" w:themeColor="accent1"/>
          <w:kern w:val="0"/>
          <w:sz w:val="24"/>
          <w:szCs w:val="24"/>
          <w:lang w:val="ro-MD" w:eastAsia="ro-MD"/>
          <w14:ligatures w14:val="none"/>
        </w:rPr>
      </w:pPr>
      <w:r w:rsidRPr="004D2A27">
        <w:rPr>
          <w:rFonts w:ascii="Times New Roman" w:eastAsia="Times New Roman" w:hAnsi="Times New Roman" w:cs="Times New Roman"/>
          <w:b/>
          <w:bCs/>
          <w:color w:val="3494BA" w:themeColor="accent1"/>
          <w:kern w:val="0"/>
          <w:sz w:val="24"/>
          <w:szCs w:val="24"/>
          <w:lang w:val="ro-MD" w:eastAsia="ro-MD"/>
          <w14:ligatures w14:val="none"/>
        </w:rPr>
        <w:t xml:space="preserve">3. Etapele procesului de includere a calificărilor în CNC </w:t>
      </w:r>
    </w:p>
    <w:p w14:paraId="3529336F" w14:textId="79DF577E" w:rsidR="001366C0" w:rsidRPr="00DE1538" w:rsidRDefault="000F6386" w:rsidP="00DE1538">
      <w:pPr>
        <w:spacing w:before="120" w:after="120" w:line="276" w:lineRule="auto"/>
        <w:jc w:val="both"/>
        <w:rPr>
          <w:rFonts w:ascii="Times New Roman" w:eastAsia="Times New Roman" w:hAnsi="Times New Roman" w:cs="Times New Roman"/>
          <w:kern w:val="0"/>
          <w:sz w:val="24"/>
          <w:szCs w:val="24"/>
          <w:lang w:eastAsia="ro-MD"/>
          <w14:ligatures w14:val="none"/>
        </w:rPr>
      </w:pPr>
      <w:r w:rsidRPr="000F6386">
        <w:rPr>
          <w:rFonts w:ascii="Times New Roman" w:eastAsia="Times New Roman" w:hAnsi="Times New Roman" w:cs="Times New Roman"/>
          <w:kern w:val="0"/>
          <w:sz w:val="24"/>
          <w:szCs w:val="24"/>
          <w:lang w:eastAsia="ro-MD"/>
          <w14:ligatures w14:val="none"/>
        </w:rPr>
        <w:t>Procesul de elaborare, validare și includere a calificărilor în Cadrul Național al Calificărilor (CNC) se desfășoară etapizat</w:t>
      </w:r>
      <w:r w:rsidR="00327311">
        <w:rPr>
          <w:rFonts w:ascii="Times New Roman" w:eastAsia="Times New Roman" w:hAnsi="Times New Roman" w:cs="Times New Roman"/>
          <w:kern w:val="0"/>
          <w:sz w:val="24"/>
          <w:szCs w:val="24"/>
          <w:lang w:eastAsia="ro-MD"/>
          <w14:ligatures w14:val="none"/>
        </w:rPr>
        <w:t xml:space="preserve"> și </w:t>
      </w:r>
      <w:r w:rsidR="00327311" w:rsidRPr="00327311">
        <w:rPr>
          <w:rFonts w:ascii="Times New Roman" w:eastAsia="Times New Roman" w:hAnsi="Times New Roman" w:cs="Times New Roman"/>
          <w:kern w:val="0"/>
          <w:sz w:val="24"/>
          <w:szCs w:val="24"/>
          <w:lang w:eastAsia="ro-MD"/>
          <w14:ligatures w14:val="none"/>
        </w:rPr>
        <w:t>urmează o procedură unitară și transparentă, reglementată prin</w:t>
      </w:r>
      <w:r w:rsidR="0079106F">
        <w:rPr>
          <w:rFonts w:ascii="Times New Roman" w:eastAsia="Times New Roman" w:hAnsi="Times New Roman" w:cs="Times New Roman"/>
          <w:kern w:val="0"/>
          <w:sz w:val="24"/>
          <w:szCs w:val="24"/>
          <w:lang w:eastAsia="ro-MD"/>
          <w14:ligatures w14:val="none"/>
        </w:rPr>
        <w:t xml:space="preserve"> </w:t>
      </w:r>
      <w:r w:rsidR="0079106F" w:rsidRPr="0079106F">
        <w:rPr>
          <w:rFonts w:ascii="Times New Roman" w:eastAsia="Times New Roman" w:hAnsi="Times New Roman" w:cs="Times New Roman"/>
          <w:kern w:val="0"/>
          <w:sz w:val="24"/>
          <w:szCs w:val="24"/>
          <w:lang w:eastAsia="ro-MD"/>
          <w14:ligatures w14:val="none"/>
        </w:rPr>
        <w:t>HG</w:t>
      </w:r>
      <w:r w:rsidRPr="0079106F">
        <w:rPr>
          <w:rFonts w:ascii="Times New Roman" w:eastAsia="Times New Roman" w:hAnsi="Times New Roman" w:cs="Times New Roman"/>
          <w:kern w:val="0"/>
          <w:sz w:val="24"/>
          <w:szCs w:val="24"/>
          <w:lang w:eastAsia="ro-MD"/>
          <w14:ligatures w14:val="none"/>
        </w:rPr>
        <w:t xml:space="preserve"> nr. 330/2023</w:t>
      </w:r>
      <w:r w:rsidRPr="000F6386">
        <w:rPr>
          <w:rFonts w:ascii="Times New Roman" w:eastAsia="Times New Roman" w:hAnsi="Times New Roman" w:cs="Times New Roman"/>
          <w:kern w:val="0"/>
          <w:sz w:val="24"/>
          <w:szCs w:val="24"/>
          <w:lang w:eastAsia="ro-MD"/>
          <w14:ligatures w14:val="none"/>
        </w:rPr>
        <w:t xml:space="preserve"> și </w:t>
      </w:r>
      <w:r w:rsidRPr="000F6386">
        <w:rPr>
          <w:rFonts w:ascii="Times New Roman" w:eastAsia="Times New Roman" w:hAnsi="Times New Roman" w:cs="Times New Roman"/>
          <w:i/>
          <w:iCs/>
          <w:kern w:val="0"/>
          <w:sz w:val="24"/>
          <w:szCs w:val="24"/>
          <w:lang w:eastAsia="ro-MD"/>
          <w14:ligatures w14:val="none"/>
        </w:rPr>
        <w:t>Metodologiei de elaborare, validare și aprobare a standardelor de calificare</w:t>
      </w:r>
      <w:r w:rsidR="009227E5">
        <w:rPr>
          <w:rStyle w:val="afc"/>
          <w:rFonts w:ascii="Times New Roman" w:eastAsia="Times New Roman" w:hAnsi="Times New Roman" w:cs="Times New Roman"/>
          <w:i/>
          <w:iCs/>
          <w:kern w:val="0"/>
          <w:sz w:val="24"/>
          <w:szCs w:val="24"/>
          <w:lang w:eastAsia="ro-MD"/>
          <w14:ligatures w14:val="none"/>
        </w:rPr>
        <w:footnoteReference w:id="54"/>
      </w:r>
      <w:r w:rsidR="00EE40A6">
        <w:rPr>
          <w:rFonts w:ascii="Times New Roman" w:eastAsia="Times New Roman" w:hAnsi="Times New Roman" w:cs="Times New Roman"/>
          <w:kern w:val="0"/>
          <w:sz w:val="24"/>
          <w:szCs w:val="24"/>
          <w:lang w:eastAsia="ro-MD"/>
          <w14:ligatures w14:val="none"/>
        </w:rPr>
        <w:t xml:space="preserve">. </w:t>
      </w:r>
      <w:r w:rsidR="004D2A27" w:rsidRPr="004D2A27">
        <w:rPr>
          <w:rFonts w:ascii="Times New Roman" w:eastAsia="Times New Roman" w:hAnsi="Times New Roman" w:cs="Times New Roman"/>
          <w:kern w:val="0"/>
          <w:sz w:val="24"/>
          <w:szCs w:val="24"/>
          <w:lang w:val="ro-MD" w:eastAsia="ro-MD"/>
          <w14:ligatures w14:val="none"/>
        </w:rPr>
        <w:t>Ace</w:t>
      </w:r>
      <w:r w:rsidR="00372348">
        <w:rPr>
          <w:rFonts w:ascii="Times New Roman" w:eastAsia="Times New Roman" w:hAnsi="Times New Roman" w:cs="Times New Roman"/>
          <w:kern w:val="0"/>
          <w:sz w:val="24"/>
          <w:szCs w:val="24"/>
          <w:lang w:val="ro-MD" w:eastAsia="ro-MD"/>
          <w14:ligatures w14:val="none"/>
        </w:rPr>
        <w:t>st cadru normativ</w:t>
      </w:r>
      <w:r w:rsidR="004D2A27" w:rsidRPr="004D2A27">
        <w:rPr>
          <w:rFonts w:ascii="Times New Roman" w:eastAsia="Times New Roman" w:hAnsi="Times New Roman" w:cs="Times New Roman"/>
          <w:kern w:val="0"/>
          <w:sz w:val="24"/>
          <w:szCs w:val="24"/>
          <w:lang w:val="ro-MD" w:eastAsia="ro-MD"/>
          <w14:ligatures w14:val="none"/>
        </w:rPr>
        <w:t xml:space="preserve"> asigură </w:t>
      </w:r>
      <w:r w:rsidR="004D2A27" w:rsidRPr="00DE1538">
        <w:rPr>
          <w:rFonts w:ascii="Times New Roman" w:eastAsia="Times New Roman" w:hAnsi="Times New Roman" w:cs="Times New Roman"/>
          <w:kern w:val="0"/>
          <w:sz w:val="24"/>
          <w:szCs w:val="24"/>
          <w:lang w:val="ro-MD" w:eastAsia="ro-MD"/>
          <w14:ligatures w14:val="none"/>
        </w:rPr>
        <w:t xml:space="preserve">participarea tuturor actorilor relevanți, calitatea documentelor elaborate și corelarea </w:t>
      </w:r>
      <w:r w:rsidR="00200053" w:rsidRPr="00DE1538">
        <w:rPr>
          <w:rFonts w:ascii="Times New Roman" w:eastAsia="Times New Roman" w:hAnsi="Times New Roman" w:cs="Times New Roman"/>
          <w:kern w:val="0"/>
          <w:sz w:val="24"/>
          <w:szCs w:val="24"/>
          <w:lang w:val="ro-MD" w:eastAsia="ro-MD"/>
          <w14:ligatures w14:val="none"/>
        </w:rPr>
        <w:t xml:space="preserve">continuă </w:t>
      </w:r>
      <w:r w:rsidR="004D2A27" w:rsidRPr="00DE1538">
        <w:rPr>
          <w:rFonts w:ascii="Times New Roman" w:eastAsia="Times New Roman" w:hAnsi="Times New Roman" w:cs="Times New Roman"/>
          <w:kern w:val="0"/>
          <w:sz w:val="24"/>
          <w:szCs w:val="24"/>
          <w:lang w:val="ro-MD" w:eastAsia="ro-MD"/>
          <w14:ligatures w14:val="none"/>
        </w:rPr>
        <w:t>cu descriptorii CNC și EQF.</w:t>
      </w:r>
      <w:r w:rsidR="001366C0" w:rsidRPr="00DE1538">
        <w:rPr>
          <w:rFonts w:ascii="Times New Roman" w:eastAsia="Times New Roman" w:hAnsi="Times New Roman" w:cs="Times New Roman"/>
          <w:kern w:val="0"/>
          <w:sz w:val="24"/>
          <w:szCs w:val="24"/>
          <w:lang w:eastAsia="ro-MD"/>
          <w14:ligatures w14:val="none"/>
        </w:rPr>
        <w:t xml:space="preserve"> </w:t>
      </w:r>
    </w:p>
    <w:p w14:paraId="038CF366" w14:textId="3D313D9B" w:rsidR="00DE1538" w:rsidRPr="00DE1538" w:rsidRDefault="00A82540" w:rsidP="00DE1538">
      <w:pPr>
        <w:pStyle w:val="af8"/>
        <w:spacing w:before="120" w:beforeAutospacing="0" w:after="120" w:afterAutospacing="0" w:line="276" w:lineRule="auto"/>
        <w:jc w:val="both"/>
        <w:rPr>
          <w:lang w:val="ro-MD"/>
        </w:rPr>
      </w:pPr>
      <w:r w:rsidRPr="00E57FFD">
        <w:rPr>
          <w:color w:val="3494BA" w:themeColor="accent1"/>
        </w:rPr>
        <w:t>Standardul de calificare</w:t>
      </w:r>
      <w:r w:rsidRPr="00DE1538">
        <w:rPr>
          <w:color w:val="3494BA" w:themeColor="accent1"/>
        </w:rPr>
        <w:t xml:space="preserve"> </w:t>
      </w:r>
      <w:r w:rsidR="00DE1538" w:rsidRPr="00DE1538">
        <w:t>constituie documentul de bază pentru dezvoltarea programelor de studii care conduc la dobândirea unei calificări corespunzătoare unui anumit nivel al CNC. Acesta descrie cerințele generale pentru acordarea calificării și include: caracteristicile calificării, rezultatele învățării corespunzătoare nivelului, relevanța pentru piața muncii, posibilitățile de progres educațional, criteriile de evaluare finală și mecanismele de asigurare a calității.</w:t>
      </w:r>
    </w:p>
    <w:p w14:paraId="5162360B" w14:textId="76F2E470" w:rsidR="00DE1538" w:rsidRPr="00DE1538" w:rsidRDefault="00DE1538" w:rsidP="00DE1538">
      <w:pPr>
        <w:pStyle w:val="af8"/>
        <w:spacing w:before="120" w:beforeAutospacing="0" w:after="120" w:afterAutospacing="0" w:line="276" w:lineRule="auto"/>
        <w:jc w:val="both"/>
      </w:pPr>
      <w:r w:rsidRPr="00DE1538">
        <w:t xml:space="preserve">Standardul se elaborează în conformitate cu cerințele pieței muncii (exprimate prin </w:t>
      </w:r>
      <w:r w:rsidRPr="00E57FFD">
        <w:rPr>
          <w:i/>
          <w:iCs/>
        </w:rPr>
        <w:t>standarde ocupaționale</w:t>
      </w:r>
      <w:r w:rsidRPr="00DE1538">
        <w:t xml:space="preserve"> sau </w:t>
      </w:r>
      <w:r w:rsidRPr="00E57FFD">
        <w:rPr>
          <w:i/>
          <w:iCs/>
        </w:rPr>
        <w:t>de competență</w:t>
      </w:r>
      <w:r w:rsidRPr="00DE1538">
        <w:t>), cu recomandările internaționale și bunele practici din domeniu.</w:t>
      </w:r>
      <w:r w:rsidR="00E57FFD">
        <w:t xml:space="preserve"> </w:t>
      </w:r>
      <w:r w:rsidRPr="00DE1538">
        <w:t xml:space="preserve">Structura și conținutul acestuia sunt reglementate prin </w:t>
      </w:r>
      <w:r w:rsidRPr="00E57FFD">
        <w:rPr>
          <w:rStyle w:val="af9"/>
          <w:rFonts w:eastAsiaTheme="majorEastAsia"/>
          <w:b w:val="0"/>
          <w:bCs w:val="0"/>
        </w:rPr>
        <w:t>Fișa standardului de calificare</w:t>
      </w:r>
      <w:r w:rsidRPr="00E57FFD">
        <w:rPr>
          <w:b/>
          <w:bCs/>
        </w:rPr>
        <w:t xml:space="preserve">, </w:t>
      </w:r>
      <w:r w:rsidRPr="00E57FFD">
        <w:t>prevăzută în</w:t>
      </w:r>
      <w:r w:rsidRPr="00E57FFD">
        <w:rPr>
          <w:b/>
          <w:bCs/>
        </w:rPr>
        <w:t xml:space="preserve"> </w:t>
      </w:r>
      <w:r w:rsidRPr="00E57FFD">
        <w:rPr>
          <w:rStyle w:val="af9"/>
          <w:rFonts w:eastAsiaTheme="majorEastAsia"/>
          <w:b w:val="0"/>
          <w:bCs w:val="0"/>
        </w:rPr>
        <w:t xml:space="preserve">Anexa nr. 4 la </w:t>
      </w:r>
      <w:r w:rsidR="001C703D">
        <w:rPr>
          <w:rStyle w:val="af9"/>
          <w:rFonts w:eastAsiaTheme="majorEastAsia"/>
          <w:b w:val="0"/>
          <w:bCs w:val="0"/>
        </w:rPr>
        <w:t>HG</w:t>
      </w:r>
      <w:r w:rsidRPr="00E57FFD">
        <w:rPr>
          <w:rStyle w:val="af9"/>
          <w:rFonts w:eastAsiaTheme="majorEastAsia"/>
          <w:b w:val="0"/>
          <w:bCs w:val="0"/>
        </w:rPr>
        <w:t xml:space="preserve"> nr. 330/2023</w:t>
      </w:r>
      <w:r w:rsidRPr="00E57FFD">
        <w:rPr>
          <w:b/>
          <w:bCs/>
        </w:rPr>
        <w:t>,</w:t>
      </w:r>
      <w:r w:rsidRPr="00DE1538">
        <w:t xml:space="preserve"> care stabilește formatul unic de prezentare a calificărilor la nivel național.</w:t>
      </w:r>
    </w:p>
    <w:p w14:paraId="3FC0215B" w14:textId="3069AEA7" w:rsidR="00DE1538" w:rsidRDefault="00DE1538" w:rsidP="00DE1538">
      <w:pPr>
        <w:pStyle w:val="af8"/>
        <w:spacing w:before="120" w:beforeAutospacing="0" w:after="120" w:afterAutospacing="0" w:line="276" w:lineRule="auto"/>
        <w:jc w:val="both"/>
      </w:pPr>
      <w:r w:rsidRPr="00DE1538">
        <w:t>Fișa include toate elementele definitorii ale calificării – denumirea și codificarea, nivelul CNC, domeniul de formare, rezultatele învățării exprimate prin cunoștințe, aptitudini, responsabilitate și autonomie, sistemul de credite, relevanța ocupațională și mecanismele de asigurare a calității</w:t>
      </w:r>
      <w:r w:rsidR="001C703D">
        <w:t>:</w:t>
      </w:r>
      <w:r w:rsidRPr="00DE1538">
        <w:t xml:space="preserve"> </w:t>
      </w:r>
    </w:p>
    <w:p w14:paraId="34D526EC" w14:textId="77777777" w:rsidR="00FA63FC" w:rsidRPr="001C703D" w:rsidRDefault="00FA63FC" w:rsidP="00FA63FC">
      <w:pPr>
        <w:ind w:hanging="426"/>
        <w:jc w:val="center"/>
        <w:rPr>
          <w:rFonts w:ascii="Times New Roman" w:hAnsi="Times New Roman" w:cs="Times New Roman"/>
          <w:b/>
          <w:sz w:val="24"/>
          <w:szCs w:val="24"/>
        </w:rPr>
      </w:pPr>
      <w:r w:rsidRPr="001C703D">
        <w:rPr>
          <w:rFonts w:ascii="Times New Roman" w:hAnsi="Times New Roman" w:cs="Times New Roman"/>
          <w:b/>
          <w:sz w:val="24"/>
          <w:szCs w:val="24"/>
        </w:rPr>
        <w:t>Fișa Standardului de calificare</w:t>
      </w:r>
    </w:p>
    <w:p w14:paraId="70430319" w14:textId="77777777" w:rsidR="00FA63FC" w:rsidRPr="001C703D" w:rsidRDefault="00FA63FC" w:rsidP="00FA63FC">
      <w:pPr>
        <w:spacing w:after="120"/>
        <w:ind w:hanging="426"/>
        <w:jc w:val="center"/>
        <w:rPr>
          <w:rFonts w:ascii="Times New Roman" w:hAnsi="Times New Roman" w:cs="Times New Roman"/>
          <w:b/>
          <w:sz w:val="24"/>
          <w:szCs w:val="24"/>
        </w:rPr>
      </w:pPr>
      <w:r w:rsidRPr="001C703D">
        <w:rPr>
          <w:rFonts w:ascii="Times New Roman" w:hAnsi="Times New Roman" w:cs="Times New Roman"/>
          <w:i/>
          <w:sz w:val="24"/>
          <w:szCs w:val="24"/>
        </w:rPr>
        <w:t>(elemente obligatorii pentru coordonarea unei calificări noi/actualizate)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A63FC" w:rsidRPr="00774A78" w14:paraId="462ACDFA" w14:textId="77777777" w:rsidTr="0007130D">
        <w:trPr>
          <w:jc w:val="center"/>
        </w:trPr>
        <w:tc>
          <w:tcPr>
            <w:tcW w:w="8505" w:type="dxa"/>
          </w:tcPr>
          <w:p w14:paraId="55DACE57" w14:textId="77777777" w:rsidR="00FA63FC" w:rsidRPr="00774A78" w:rsidRDefault="00FA63FC" w:rsidP="00774A78">
            <w:pPr>
              <w:spacing w:after="0" w:line="240" w:lineRule="auto"/>
              <w:ind w:left="5"/>
              <w:jc w:val="center"/>
              <w:rPr>
                <w:rFonts w:ascii="Times New Roman" w:hAnsi="Times New Roman" w:cs="Times New Roman"/>
                <w:sz w:val="20"/>
                <w:szCs w:val="20"/>
              </w:rPr>
            </w:pPr>
            <w:r w:rsidRPr="00774A78">
              <w:rPr>
                <w:rFonts w:ascii="Times New Roman" w:hAnsi="Times New Roman" w:cs="Times New Roman"/>
                <w:b/>
                <w:sz w:val="20"/>
                <w:szCs w:val="20"/>
              </w:rPr>
              <w:t>1. Caracteristici de bază</w:t>
            </w:r>
          </w:p>
        </w:tc>
      </w:tr>
      <w:tr w:rsidR="00FA63FC" w:rsidRPr="00774A78" w14:paraId="15B4A76D" w14:textId="77777777" w:rsidTr="0007130D">
        <w:trPr>
          <w:trHeight w:val="339"/>
          <w:jc w:val="center"/>
        </w:trPr>
        <w:tc>
          <w:tcPr>
            <w:tcW w:w="8505" w:type="dxa"/>
          </w:tcPr>
          <w:p w14:paraId="732CB8A6"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1.1. Titlul calificării (Generic şi specific domeniului de formare profesională/specialității)</w:t>
            </w:r>
          </w:p>
        </w:tc>
      </w:tr>
      <w:tr w:rsidR="00FA63FC" w:rsidRPr="00774A78" w14:paraId="493BF5BE" w14:textId="77777777" w:rsidTr="0007130D">
        <w:trPr>
          <w:trHeight w:val="339"/>
          <w:jc w:val="center"/>
        </w:trPr>
        <w:tc>
          <w:tcPr>
            <w:tcW w:w="8505" w:type="dxa"/>
          </w:tcPr>
          <w:p w14:paraId="4E87C276"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1.2. Descrierea calificării (până la 200 de cuvinte)</w:t>
            </w:r>
          </w:p>
        </w:tc>
      </w:tr>
      <w:tr w:rsidR="00FA63FC" w:rsidRPr="00774A78" w14:paraId="2C67BEE7" w14:textId="77777777" w:rsidTr="0007130D">
        <w:trPr>
          <w:trHeight w:val="339"/>
          <w:jc w:val="center"/>
        </w:trPr>
        <w:tc>
          <w:tcPr>
            <w:tcW w:w="8505" w:type="dxa"/>
          </w:tcPr>
          <w:p w14:paraId="1C4F61CD"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1.3. Nivelul conform </w:t>
            </w:r>
            <w:r w:rsidRPr="00774A78">
              <w:rPr>
                <w:rFonts w:ascii="Times New Roman" w:hAnsi="Times New Roman" w:cs="Times New Roman"/>
                <w:sz w:val="20"/>
                <w:szCs w:val="20"/>
                <w:lang w:eastAsia="ru-RU"/>
              </w:rPr>
              <w:t>Cadrului Național al Calificărilor</w:t>
            </w:r>
          </w:p>
        </w:tc>
      </w:tr>
      <w:tr w:rsidR="00FA63FC" w:rsidRPr="00774A78" w14:paraId="3DD7CCA2" w14:textId="77777777" w:rsidTr="0007130D">
        <w:trPr>
          <w:trHeight w:val="339"/>
          <w:jc w:val="center"/>
        </w:trPr>
        <w:tc>
          <w:tcPr>
            <w:tcW w:w="8505" w:type="dxa"/>
          </w:tcPr>
          <w:p w14:paraId="23137E0F"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1.4. Grupuri-țintă</w:t>
            </w:r>
          </w:p>
        </w:tc>
      </w:tr>
      <w:tr w:rsidR="00FA63FC" w:rsidRPr="00774A78" w14:paraId="0BE58134" w14:textId="77777777" w:rsidTr="0007130D">
        <w:trPr>
          <w:trHeight w:val="339"/>
          <w:jc w:val="center"/>
        </w:trPr>
        <w:tc>
          <w:tcPr>
            <w:tcW w:w="8505" w:type="dxa"/>
          </w:tcPr>
          <w:p w14:paraId="1AD22BC2"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1.5. </w:t>
            </w:r>
            <w:r w:rsidRPr="00774A78">
              <w:rPr>
                <w:rFonts w:ascii="Times New Roman" w:hAnsi="Times New Roman" w:cs="Times New Roman"/>
                <w:bCs/>
                <w:sz w:val="20"/>
                <w:szCs w:val="20"/>
              </w:rPr>
              <w:t>Tipul programului de studii/formare profesională</w:t>
            </w:r>
          </w:p>
        </w:tc>
      </w:tr>
      <w:tr w:rsidR="00FA63FC" w:rsidRPr="00774A78" w14:paraId="0436E53C" w14:textId="77777777" w:rsidTr="0007130D">
        <w:trPr>
          <w:trHeight w:val="339"/>
          <w:jc w:val="center"/>
        </w:trPr>
        <w:tc>
          <w:tcPr>
            <w:tcW w:w="8505" w:type="dxa"/>
          </w:tcPr>
          <w:p w14:paraId="7E9A658E"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1.6. </w:t>
            </w:r>
            <w:r w:rsidRPr="00774A78">
              <w:rPr>
                <w:rFonts w:ascii="Times New Roman" w:hAnsi="Times New Roman" w:cs="Times New Roman"/>
                <w:bCs/>
                <w:sz w:val="20"/>
                <w:szCs w:val="20"/>
              </w:rPr>
              <w:t>Forma de organizare a studiilor</w:t>
            </w:r>
          </w:p>
        </w:tc>
      </w:tr>
      <w:tr w:rsidR="00FA63FC" w:rsidRPr="00774A78" w14:paraId="5D9CCFC1" w14:textId="77777777" w:rsidTr="0007130D">
        <w:trPr>
          <w:trHeight w:val="339"/>
          <w:jc w:val="center"/>
        </w:trPr>
        <w:tc>
          <w:tcPr>
            <w:tcW w:w="8505" w:type="dxa"/>
          </w:tcPr>
          <w:p w14:paraId="4904F0F5"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1.7. Durata și volumul studiilor/Volumul minim de credite de studii (sau ore)</w:t>
            </w:r>
          </w:p>
        </w:tc>
      </w:tr>
      <w:tr w:rsidR="00FA63FC" w:rsidRPr="00774A78" w14:paraId="622BBEB5" w14:textId="77777777" w:rsidTr="0007130D">
        <w:trPr>
          <w:jc w:val="center"/>
        </w:trPr>
        <w:tc>
          <w:tcPr>
            <w:tcW w:w="8505" w:type="dxa"/>
          </w:tcPr>
          <w:p w14:paraId="63DAF667" w14:textId="77777777" w:rsidR="00FA63FC" w:rsidRPr="00774A78" w:rsidRDefault="00FA63FC" w:rsidP="00A41843">
            <w:pPr>
              <w:pStyle w:val="a7"/>
              <w:numPr>
                <w:ilvl w:val="1"/>
                <w:numId w:val="212"/>
              </w:numPr>
              <w:tabs>
                <w:tab w:val="left" w:pos="459"/>
              </w:tabs>
              <w:spacing w:after="0" w:line="240" w:lineRule="auto"/>
              <w:ind w:left="318" w:hanging="318"/>
              <w:rPr>
                <w:rFonts w:ascii="Times New Roman" w:hAnsi="Times New Roman" w:cs="Times New Roman"/>
                <w:sz w:val="20"/>
                <w:szCs w:val="20"/>
              </w:rPr>
            </w:pPr>
            <w:r w:rsidRPr="00774A78">
              <w:rPr>
                <w:rFonts w:ascii="Times New Roman" w:hAnsi="Times New Roman" w:cs="Times New Roman"/>
                <w:sz w:val="20"/>
                <w:szCs w:val="20"/>
              </w:rPr>
              <w:t>Condiții de acces</w:t>
            </w:r>
          </w:p>
        </w:tc>
      </w:tr>
      <w:tr w:rsidR="00FA63FC" w:rsidRPr="00774A78" w14:paraId="0CEC117A" w14:textId="77777777" w:rsidTr="0007130D">
        <w:trPr>
          <w:jc w:val="center"/>
        </w:trPr>
        <w:tc>
          <w:tcPr>
            <w:tcW w:w="8505" w:type="dxa"/>
          </w:tcPr>
          <w:p w14:paraId="4340182B" w14:textId="77777777" w:rsidR="00FA63FC" w:rsidRPr="00774A78" w:rsidRDefault="00FA63FC" w:rsidP="00A41843">
            <w:pPr>
              <w:pStyle w:val="a7"/>
              <w:numPr>
                <w:ilvl w:val="1"/>
                <w:numId w:val="212"/>
              </w:numPr>
              <w:tabs>
                <w:tab w:val="left" w:pos="459"/>
              </w:tabs>
              <w:spacing w:after="0" w:line="240" w:lineRule="auto"/>
              <w:ind w:left="318" w:hanging="318"/>
              <w:rPr>
                <w:rFonts w:ascii="Times New Roman" w:hAnsi="Times New Roman" w:cs="Times New Roman"/>
                <w:sz w:val="20"/>
                <w:szCs w:val="20"/>
              </w:rPr>
            </w:pPr>
            <w:r w:rsidRPr="00774A78">
              <w:rPr>
                <w:rFonts w:ascii="Times New Roman" w:hAnsi="Times New Roman" w:cs="Times New Roman"/>
                <w:sz w:val="20"/>
                <w:szCs w:val="20"/>
              </w:rPr>
              <w:t>Stagii de practică</w:t>
            </w:r>
          </w:p>
        </w:tc>
      </w:tr>
      <w:tr w:rsidR="00FA63FC" w:rsidRPr="00774A78" w14:paraId="2A2ABC14" w14:textId="77777777" w:rsidTr="0007130D">
        <w:trPr>
          <w:jc w:val="center"/>
        </w:trPr>
        <w:tc>
          <w:tcPr>
            <w:tcW w:w="8505" w:type="dxa"/>
          </w:tcPr>
          <w:p w14:paraId="57671F5B" w14:textId="77777777" w:rsidR="00FA63FC" w:rsidRPr="00774A78" w:rsidRDefault="00FA63FC" w:rsidP="00A41843">
            <w:pPr>
              <w:pStyle w:val="a7"/>
              <w:numPr>
                <w:ilvl w:val="1"/>
                <w:numId w:val="212"/>
              </w:numPr>
              <w:tabs>
                <w:tab w:val="left" w:pos="176"/>
                <w:tab w:val="left" w:pos="601"/>
              </w:tabs>
              <w:spacing w:after="0" w:line="240" w:lineRule="auto"/>
              <w:ind w:left="0" w:firstLine="0"/>
              <w:jc w:val="both"/>
              <w:rPr>
                <w:rFonts w:ascii="Times New Roman" w:hAnsi="Times New Roman" w:cs="Times New Roman"/>
                <w:sz w:val="20"/>
                <w:szCs w:val="20"/>
              </w:rPr>
            </w:pPr>
            <w:r w:rsidRPr="00774A78">
              <w:rPr>
                <w:rFonts w:ascii="Times New Roman" w:hAnsi="Times New Roman" w:cs="Times New Roman"/>
                <w:sz w:val="20"/>
                <w:szCs w:val="20"/>
              </w:rPr>
              <w:t>Actul de studii care atestă t</w:t>
            </w:r>
            <w:r w:rsidRPr="00774A78">
              <w:rPr>
                <w:rStyle w:val="FontStyle15"/>
                <w:lang w:eastAsia="ro-RO"/>
              </w:rPr>
              <w:t>itlul/calificarea atribuită</w:t>
            </w:r>
          </w:p>
        </w:tc>
      </w:tr>
      <w:tr w:rsidR="00FA63FC" w:rsidRPr="00774A78" w14:paraId="33A4EE09" w14:textId="77777777" w:rsidTr="0007130D">
        <w:trPr>
          <w:jc w:val="center"/>
        </w:trPr>
        <w:tc>
          <w:tcPr>
            <w:tcW w:w="8505" w:type="dxa"/>
          </w:tcPr>
          <w:p w14:paraId="447E12D2" w14:textId="77777777" w:rsidR="00FA63FC" w:rsidRPr="00774A78" w:rsidRDefault="00FA63FC" w:rsidP="00A41843">
            <w:pPr>
              <w:pStyle w:val="a7"/>
              <w:numPr>
                <w:ilvl w:val="1"/>
                <w:numId w:val="212"/>
              </w:numPr>
              <w:tabs>
                <w:tab w:val="left" w:pos="318"/>
                <w:tab w:val="left" w:pos="601"/>
              </w:tabs>
              <w:spacing w:after="0" w:line="240" w:lineRule="auto"/>
              <w:ind w:left="0" w:firstLine="0"/>
              <w:jc w:val="both"/>
              <w:rPr>
                <w:rFonts w:ascii="Times New Roman" w:hAnsi="Times New Roman" w:cs="Times New Roman"/>
                <w:sz w:val="20"/>
                <w:szCs w:val="20"/>
              </w:rPr>
            </w:pPr>
            <w:r w:rsidRPr="00774A78">
              <w:rPr>
                <w:rFonts w:ascii="Times New Roman" w:hAnsi="Times New Roman" w:cs="Times New Roman"/>
                <w:sz w:val="20"/>
                <w:szCs w:val="20"/>
              </w:rPr>
              <w:t>Oportunități de angajare în câmpul muncii</w:t>
            </w:r>
          </w:p>
        </w:tc>
      </w:tr>
      <w:tr w:rsidR="00FA63FC" w:rsidRPr="00774A78" w14:paraId="6E259BA6" w14:textId="77777777" w:rsidTr="0007130D">
        <w:trPr>
          <w:jc w:val="center"/>
        </w:trPr>
        <w:tc>
          <w:tcPr>
            <w:tcW w:w="8505" w:type="dxa"/>
          </w:tcPr>
          <w:p w14:paraId="594CB0C0" w14:textId="77777777" w:rsidR="00FA63FC" w:rsidRPr="00774A78" w:rsidRDefault="00FA63FC" w:rsidP="00A41843">
            <w:pPr>
              <w:pStyle w:val="a7"/>
              <w:numPr>
                <w:ilvl w:val="1"/>
                <w:numId w:val="212"/>
              </w:numPr>
              <w:tabs>
                <w:tab w:val="left" w:pos="318"/>
                <w:tab w:val="left" w:pos="601"/>
              </w:tabs>
              <w:spacing w:after="0" w:line="240" w:lineRule="auto"/>
              <w:ind w:left="0" w:firstLine="0"/>
              <w:jc w:val="both"/>
              <w:rPr>
                <w:rFonts w:ascii="Times New Roman" w:hAnsi="Times New Roman" w:cs="Times New Roman"/>
                <w:sz w:val="20"/>
                <w:szCs w:val="20"/>
              </w:rPr>
            </w:pPr>
            <w:r w:rsidRPr="00774A78">
              <w:rPr>
                <w:rFonts w:ascii="Times New Roman" w:hAnsi="Times New Roman" w:cs="Times New Roman"/>
                <w:sz w:val="20"/>
                <w:szCs w:val="20"/>
              </w:rPr>
              <w:lastRenderedPageBreak/>
              <w:t>Codul domeniului de formare profesională din Nomenclator, cod ISCED F 2013</w:t>
            </w:r>
          </w:p>
        </w:tc>
      </w:tr>
      <w:tr w:rsidR="00FA63FC" w:rsidRPr="00774A78" w14:paraId="7B465DE7" w14:textId="77777777" w:rsidTr="0007130D">
        <w:trPr>
          <w:jc w:val="center"/>
        </w:trPr>
        <w:tc>
          <w:tcPr>
            <w:tcW w:w="8505" w:type="dxa"/>
          </w:tcPr>
          <w:p w14:paraId="33D130B5" w14:textId="77777777" w:rsidR="00FA63FC" w:rsidRPr="00774A78" w:rsidRDefault="00FA63FC" w:rsidP="00774A78">
            <w:pPr>
              <w:spacing w:after="0" w:line="240" w:lineRule="auto"/>
              <w:jc w:val="center"/>
              <w:rPr>
                <w:rFonts w:ascii="Times New Roman" w:hAnsi="Times New Roman" w:cs="Times New Roman"/>
                <w:sz w:val="20"/>
                <w:szCs w:val="20"/>
              </w:rPr>
            </w:pPr>
            <w:r w:rsidRPr="00774A78">
              <w:rPr>
                <w:rFonts w:ascii="Times New Roman" w:hAnsi="Times New Roman" w:cs="Times New Roman"/>
                <w:b/>
                <w:sz w:val="20"/>
                <w:szCs w:val="20"/>
              </w:rPr>
              <w:t>2. Competențe și rezultate ale învăţării</w:t>
            </w:r>
          </w:p>
        </w:tc>
      </w:tr>
      <w:tr w:rsidR="00FA63FC" w:rsidRPr="00774A78" w14:paraId="66D8EBAD" w14:textId="77777777" w:rsidTr="0007130D">
        <w:trPr>
          <w:jc w:val="center"/>
        </w:trPr>
        <w:tc>
          <w:tcPr>
            <w:tcW w:w="8505" w:type="dxa"/>
          </w:tcPr>
          <w:p w14:paraId="558D5210"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2.1. Competențe transversale </w:t>
            </w:r>
          </w:p>
          <w:p w14:paraId="2992266D" w14:textId="77777777" w:rsidR="00FA63FC" w:rsidRPr="00774A78" w:rsidRDefault="00FA63FC" w:rsidP="00774A78">
            <w:pPr>
              <w:tabs>
                <w:tab w:val="left" w:pos="290"/>
              </w:tabs>
              <w:spacing w:after="0" w:line="240" w:lineRule="auto"/>
              <w:ind w:firstLine="431"/>
              <w:rPr>
                <w:rFonts w:ascii="Times New Roman" w:hAnsi="Times New Roman" w:cs="Times New Roman"/>
                <w:sz w:val="20"/>
                <w:szCs w:val="20"/>
              </w:rPr>
            </w:pPr>
            <w:r w:rsidRPr="00774A78">
              <w:rPr>
                <w:rFonts w:ascii="Times New Roman" w:hAnsi="Times New Roman" w:cs="Times New Roman"/>
                <w:sz w:val="20"/>
                <w:szCs w:val="20"/>
              </w:rPr>
              <w:t>CT</w:t>
            </w:r>
            <w:r w:rsidRPr="00774A78">
              <w:rPr>
                <w:rFonts w:ascii="Times New Roman" w:hAnsi="Times New Roman" w:cs="Times New Roman"/>
                <w:sz w:val="20"/>
                <w:szCs w:val="20"/>
                <w:vertAlign w:val="subscript"/>
              </w:rPr>
              <w:t xml:space="preserve">1 - </w:t>
            </w:r>
            <w:r w:rsidRPr="00774A78">
              <w:rPr>
                <w:rFonts w:ascii="Times New Roman" w:hAnsi="Times New Roman" w:cs="Times New Roman"/>
                <w:sz w:val="20"/>
                <w:szCs w:val="20"/>
              </w:rPr>
              <w:t>CT</w:t>
            </w:r>
            <w:r w:rsidRPr="00774A78">
              <w:rPr>
                <w:rFonts w:ascii="Times New Roman" w:hAnsi="Times New Roman" w:cs="Times New Roman"/>
                <w:sz w:val="20"/>
                <w:szCs w:val="20"/>
                <w:vertAlign w:val="subscript"/>
              </w:rPr>
              <w:t>n</w:t>
            </w:r>
          </w:p>
        </w:tc>
      </w:tr>
      <w:tr w:rsidR="00FA63FC" w:rsidRPr="00774A78" w14:paraId="74136EBB" w14:textId="77777777" w:rsidTr="0007130D">
        <w:trPr>
          <w:jc w:val="center"/>
        </w:trPr>
        <w:tc>
          <w:tcPr>
            <w:tcW w:w="8505" w:type="dxa"/>
          </w:tcPr>
          <w:p w14:paraId="2AD64203"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2.2. Competențe generale (transsectoriale) </w:t>
            </w:r>
          </w:p>
          <w:p w14:paraId="78AF31B9" w14:textId="77777777" w:rsidR="00FA63FC" w:rsidRPr="00774A78" w:rsidRDefault="00FA63FC" w:rsidP="00774A78">
            <w:pPr>
              <w:spacing w:after="0" w:line="240" w:lineRule="auto"/>
              <w:ind w:firstLine="431"/>
              <w:rPr>
                <w:rFonts w:ascii="Times New Roman" w:hAnsi="Times New Roman" w:cs="Times New Roman"/>
                <w:sz w:val="20"/>
                <w:szCs w:val="20"/>
              </w:rPr>
            </w:pPr>
            <w:r w:rsidRPr="00774A78">
              <w:rPr>
                <w:rFonts w:ascii="Times New Roman" w:hAnsi="Times New Roman" w:cs="Times New Roman"/>
                <w:sz w:val="20"/>
                <w:szCs w:val="20"/>
              </w:rPr>
              <w:t>CG</w:t>
            </w:r>
            <w:r w:rsidRPr="00774A78">
              <w:rPr>
                <w:rFonts w:ascii="Times New Roman" w:hAnsi="Times New Roman" w:cs="Times New Roman"/>
                <w:sz w:val="20"/>
                <w:szCs w:val="20"/>
                <w:vertAlign w:val="subscript"/>
              </w:rPr>
              <w:t xml:space="preserve">1 - </w:t>
            </w:r>
            <w:r w:rsidRPr="00774A78">
              <w:rPr>
                <w:rFonts w:ascii="Times New Roman" w:hAnsi="Times New Roman" w:cs="Times New Roman"/>
                <w:sz w:val="20"/>
                <w:szCs w:val="20"/>
              </w:rPr>
              <w:t>CG</w:t>
            </w:r>
            <w:r w:rsidRPr="00774A78">
              <w:rPr>
                <w:rFonts w:ascii="Times New Roman" w:hAnsi="Times New Roman" w:cs="Times New Roman"/>
                <w:sz w:val="20"/>
                <w:szCs w:val="20"/>
                <w:vertAlign w:val="subscript"/>
              </w:rPr>
              <w:t>2</w:t>
            </w:r>
          </w:p>
        </w:tc>
      </w:tr>
      <w:tr w:rsidR="00FA63FC" w:rsidRPr="00774A78" w14:paraId="6C322D56" w14:textId="77777777" w:rsidTr="0007130D">
        <w:trPr>
          <w:jc w:val="center"/>
        </w:trPr>
        <w:tc>
          <w:tcPr>
            <w:tcW w:w="8505" w:type="dxa"/>
          </w:tcPr>
          <w:p w14:paraId="288BE4C3"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2.3. Competențe profesionale </w:t>
            </w:r>
          </w:p>
          <w:p w14:paraId="19D3C4D0" w14:textId="77777777" w:rsidR="00FA63FC" w:rsidRPr="00774A78" w:rsidRDefault="00FA63FC" w:rsidP="00774A78">
            <w:pPr>
              <w:spacing w:after="0" w:line="240" w:lineRule="auto"/>
              <w:ind w:firstLine="431"/>
              <w:rPr>
                <w:rFonts w:ascii="Times New Roman" w:hAnsi="Times New Roman" w:cs="Times New Roman"/>
                <w:sz w:val="20"/>
                <w:szCs w:val="20"/>
              </w:rPr>
            </w:pPr>
            <w:r w:rsidRPr="00774A78">
              <w:rPr>
                <w:rFonts w:ascii="Times New Roman" w:hAnsi="Times New Roman" w:cs="Times New Roman"/>
                <w:sz w:val="20"/>
                <w:szCs w:val="20"/>
              </w:rPr>
              <w:t>CP</w:t>
            </w:r>
            <w:r w:rsidRPr="00774A78">
              <w:rPr>
                <w:rFonts w:ascii="Times New Roman" w:hAnsi="Times New Roman" w:cs="Times New Roman"/>
                <w:sz w:val="20"/>
                <w:szCs w:val="20"/>
                <w:vertAlign w:val="subscript"/>
              </w:rPr>
              <w:t xml:space="preserve">1 - </w:t>
            </w:r>
            <w:r w:rsidRPr="00774A78">
              <w:rPr>
                <w:rFonts w:ascii="Times New Roman" w:hAnsi="Times New Roman" w:cs="Times New Roman"/>
                <w:sz w:val="20"/>
                <w:szCs w:val="20"/>
              </w:rPr>
              <w:t>CP</w:t>
            </w:r>
            <w:r w:rsidRPr="00774A78">
              <w:rPr>
                <w:rFonts w:ascii="Times New Roman" w:hAnsi="Times New Roman" w:cs="Times New Roman"/>
                <w:sz w:val="20"/>
                <w:szCs w:val="20"/>
                <w:vertAlign w:val="subscript"/>
              </w:rPr>
              <w:t>n</w:t>
            </w:r>
          </w:p>
        </w:tc>
      </w:tr>
      <w:tr w:rsidR="00FA63FC" w:rsidRPr="00774A78" w14:paraId="40EA41D6" w14:textId="77777777" w:rsidTr="0007130D">
        <w:trPr>
          <w:jc w:val="center"/>
        </w:trPr>
        <w:tc>
          <w:tcPr>
            <w:tcW w:w="8505" w:type="dxa"/>
          </w:tcPr>
          <w:p w14:paraId="5C022AE9"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2.4. Rezultate ale învățării </w:t>
            </w:r>
          </w:p>
          <w:p w14:paraId="5A35116C" w14:textId="77777777" w:rsidR="00FA63FC" w:rsidRPr="00774A78" w:rsidRDefault="00FA63FC" w:rsidP="00A41843">
            <w:pPr>
              <w:pStyle w:val="a7"/>
              <w:numPr>
                <w:ilvl w:val="5"/>
                <w:numId w:val="211"/>
              </w:numPr>
              <w:spacing w:after="0" w:line="240" w:lineRule="auto"/>
              <w:ind w:left="573" w:hanging="142"/>
              <w:rPr>
                <w:rFonts w:ascii="Times New Roman" w:hAnsi="Times New Roman" w:cs="Times New Roman"/>
                <w:i/>
                <w:sz w:val="20"/>
                <w:szCs w:val="20"/>
              </w:rPr>
            </w:pPr>
            <w:r w:rsidRPr="00774A78">
              <w:rPr>
                <w:rFonts w:ascii="Times New Roman" w:hAnsi="Times New Roman" w:cs="Times New Roman"/>
                <w:sz w:val="20"/>
                <w:szCs w:val="20"/>
              </w:rPr>
              <w:t>– N</w:t>
            </w:r>
          </w:p>
        </w:tc>
      </w:tr>
      <w:tr w:rsidR="00FA63FC" w:rsidRPr="00774A78" w14:paraId="1000F9A1" w14:textId="77777777" w:rsidTr="0007130D">
        <w:trPr>
          <w:jc w:val="center"/>
        </w:trPr>
        <w:tc>
          <w:tcPr>
            <w:tcW w:w="8505" w:type="dxa"/>
          </w:tcPr>
          <w:p w14:paraId="75EC9444" w14:textId="77777777" w:rsidR="00FA63FC" w:rsidRPr="00774A78" w:rsidRDefault="00FA63FC" w:rsidP="00774A78">
            <w:pPr>
              <w:spacing w:after="0" w:line="240" w:lineRule="auto"/>
              <w:jc w:val="center"/>
              <w:rPr>
                <w:rFonts w:ascii="Times New Roman" w:hAnsi="Times New Roman" w:cs="Times New Roman"/>
                <w:b/>
                <w:sz w:val="20"/>
                <w:szCs w:val="20"/>
              </w:rPr>
            </w:pPr>
            <w:r w:rsidRPr="00774A78">
              <w:rPr>
                <w:rFonts w:ascii="Times New Roman" w:hAnsi="Times New Roman" w:cs="Times New Roman"/>
                <w:b/>
                <w:sz w:val="20"/>
                <w:szCs w:val="20"/>
              </w:rPr>
              <w:t>3. Relevanța</w:t>
            </w:r>
          </w:p>
        </w:tc>
      </w:tr>
      <w:tr w:rsidR="00FA63FC" w:rsidRPr="00774A78" w14:paraId="7FD5EDE1" w14:textId="77777777" w:rsidTr="0007130D">
        <w:trPr>
          <w:jc w:val="center"/>
        </w:trPr>
        <w:tc>
          <w:tcPr>
            <w:tcW w:w="8505" w:type="dxa"/>
          </w:tcPr>
          <w:p w14:paraId="107551F5"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3.1. Descrierea generală (până la 100 de cuvinte)</w:t>
            </w:r>
          </w:p>
        </w:tc>
      </w:tr>
      <w:tr w:rsidR="00FA63FC" w:rsidRPr="00774A78" w14:paraId="0CD338D6" w14:textId="77777777" w:rsidTr="0007130D">
        <w:trPr>
          <w:trHeight w:val="186"/>
          <w:jc w:val="center"/>
        </w:trPr>
        <w:tc>
          <w:tcPr>
            <w:tcW w:w="8505" w:type="dxa"/>
          </w:tcPr>
          <w:p w14:paraId="4D13D4B0" w14:textId="77777777" w:rsidR="00FA63FC" w:rsidRPr="00774A78" w:rsidRDefault="00FA63FC" w:rsidP="00774A78">
            <w:pPr>
              <w:tabs>
                <w:tab w:val="left" w:pos="993"/>
                <w:tab w:val="left" w:pos="1276"/>
              </w:tabs>
              <w:spacing w:after="0" w:line="240" w:lineRule="auto"/>
              <w:ind w:left="34" w:hanging="29"/>
              <w:rPr>
                <w:rFonts w:ascii="Times New Roman" w:hAnsi="Times New Roman" w:cs="Times New Roman"/>
                <w:sz w:val="20"/>
                <w:szCs w:val="20"/>
              </w:rPr>
            </w:pPr>
            <w:r w:rsidRPr="00774A78">
              <w:rPr>
                <w:rFonts w:ascii="Times New Roman" w:hAnsi="Times New Roman" w:cs="Times New Roman"/>
                <w:sz w:val="20"/>
                <w:szCs w:val="20"/>
              </w:rPr>
              <w:t>3.2. Strategii de dezvoltare a sectorului/proiecte investiționale în domeniu</w:t>
            </w:r>
          </w:p>
        </w:tc>
      </w:tr>
      <w:tr w:rsidR="00FA63FC" w:rsidRPr="00774A78" w14:paraId="689DAC56" w14:textId="77777777" w:rsidTr="0007130D">
        <w:trPr>
          <w:trHeight w:val="186"/>
          <w:jc w:val="center"/>
        </w:trPr>
        <w:tc>
          <w:tcPr>
            <w:tcW w:w="8505" w:type="dxa"/>
          </w:tcPr>
          <w:p w14:paraId="1E381581" w14:textId="77777777" w:rsidR="00FA63FC" w:rsidRPr="00774A78" w:rsidRDefault="00FA63FC" w:rsidP="00774A78">
            <w:pPr>
              <w:tabs>
                <w:tab w:val="left" w:pos="993"/>
                <w:tab w:val="left" w:pos="1276"/>
              </w:tabs>
              <w:spacing w:after="0" w:line="240" w:lineRule="auto"/>
              <w:ind w:left="34" w:hanging="29"/>
              <w:rPr>
                <w:rFonts w:ascii="Times New Roman" w:hAnsi="Times New Roman" w:cs="Times New Roman"/>
                <w:sz w:val="20"/>
                <w:szCs w:val="20"/>
              </w:rPr>
            </w:pPr>
            <w:r w:rsidRPr="00774A78">
              <w:rPr>
                <w:rFonts w:ascii="Times New Roman" w:hAnsi="Times New Roman" w:cs="Times New Roman"/>
                <w:sz w:val="20"/>
                <w:szCs w:val="20"/>
              </w:rPr>
              <w:t>3.3. Solicitarea calificării pe piața muncii/prognoze</w:t>
            </w:r>
          </w:p>
        </w:tc>
      </w:tr>
      <w:tr w:rsidR="00FA63FC" w:rsidRPr="00774A78" w14:paraId="258D48D0" w14:textId="77777777" w:rsidTr="0007130D">
        <w:trPr>
          <w:trHeight w:val="186"/>
          <w:jc w:val="center"/>
        </w:trPr>
        <w:tc>
          <w:tcPr>
            <w:tcW w:w="8505" w:type="dxa"/>
          </w:tcPr>
          <w:p w14:paraId="03E93B1C" w14:textId="77777777" w:rsidR="00FA63FC" w:rsidRPr="00774A78" w:rsidRDefault="00FA63FC" w:rsidP="00774A78">
            <w:pPr>
              <w:tabs>
                <w:tab w:val="left" w:pos="993"/>
                <w:tab w:val="left" w:pos="1276"/>
              </w:tabs>
              <w:spacing w:after="0" w:line="240" w:lineRule="auto"/>
              <w:ind w:left="34" w:hanging="29"/>
              <w:rPr>
                <w:rFonts w:ascii="Times New Roman" w:hAnsi="Times New Roman" w:cs="Times New Roman"/>
                <w:sz w:val="20"/>
                <w:szCs w:val="20"/>
              </w:rPr>
            </w:pPr>
            <w:r w:rsidRPr="00774A78">
              <w:rPr>
                <w:rFonts w:ascii="Times New Roman" w:hAnsi="Times New Roman" w:cs="Times New Roman"/>
                <w:bCs/>
                <w:sz w:val="20"/>
                <w:szCs w:val="20"/>
              </w:rPr>
              <w:t>3.4. Tendințe de dezvoltare a calificării</w:t>
            </w:r>
          </w:p>
        </w:tc>
      </w:tr>
      <w:tr w:rsidR="00FA63FC" w:rsidRPr="00774A78" w14:paraId="7FAF367B" w14:textId="77777777" w:rsidTr="0007130D">
        <w:trPr>
          <w:jc w:val="center"/>
        </w:trPr>
        <w:tc>
          <w:tcPr>
            <w:tcW w:w="8505" w:type="dxa"/>
          </w:tcPr>
          <w:p w14:paraId="382F0A69" w14:textId="77777777"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bCs/>
                <w:sz w:val="20"/>
                <w:szCs w:val="20"/>
              </w:rPr>
              <w:t>3.5. Interconexiunea calificării elaborate cu calificările existente în domeniul respectiv</w:t>
            </w:r>
          </w:p>
        </w:tc>
      </w:tr>
      <w:tr w:rsidR="00FA63FC" w:rsidRPr="00774A78" w14:paraId="06404813" w14:textId="77777777" w:rsidTr="0007130D">
        <w:trPr>
          <w:jc w:val="center"/>
        </w:trPr>
        <w:tc>
          <w:tcPr>
            <w:tcW w:w="8505" w:type="dxa"/>
          </w:tcPr>
          <w:p w14:paraId="7FCA12CD" w14:textId="77777777"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bCs/>
                <w:sz w:val="20"/>
                <w:szCs w:val="20"/>
              </w:rPr>
              <w:t>3.6. Date specifice privind capacitatea de implementare a calificării de către furnizor</w:t>
            </w:r>
          </w:p>
        </w:tc>
      </w:tr>
      <w:tr w:rsidR="00FA63FC" w:rsidRPr="00774A78" w14:paraId="536647B4" w14:textId="77777777" w:rsidTr="0007130D">
        <w:trPr>
          <w:jc w:val="center"/>
        </w:trPr>
        <w:tc>
          <w:tcPr>
            <w:tcW w:w="8505" w:type="dxa"/>
          </w:tcPr>
          <w:p w14:paraId="6B19AF48" w14:textId="77777777" w:rsidR="00FA63FC" w:rsidRPr="00774A78" w:rsidRDefault="00FA63FC" w:rsidP="00774A78">
            <w:pPr>
              <w:tabs>
                <w:tab w:val="left" w:pos="573"/>
                <w:tab w:val="left" w:pos="3431"/>
                <w:tab w:val="left" w:pos="3791"/>
              </w:tabs>
              <w:spacing w:after="0" w:line="240" w:lineRule="auto"/>
              <w:jc w:val="center"/>
              <w:rPr>
                <w:rFonts w:ascii="Times New Roman" w:hAnsi="Times New Roman" w:cs="Times New Roman"/>
                <w:b/>
                <w:sz w:val="20"/>
                <w:szCs w:val="20"/>
              </w:rPr>
            </w:pPr>
            <w:r w:rsidRPr="00774A78">
              <w:rPr>
                <w:rFonts w:ascii="Times New Roman" w:hAnsi="Times New Roman" w:cs="Times New Roman"/>
                <w:b/>
                <w:sz w:val="20"/>
                <w:szCs w:val="20"/>
              </w:rPr>
              <w:t>4. Asigurarea calității</w:t>
            </w:r>
          </w:p>
        </w:tc>
      </w:tr>
      <w:tr w:rsidR="00FA63FC" w:rsidRPr="00774A78" w14:paraId="5A4CFB72" w14:textId="77777777" w:rsidTr="0007130D">
        <w:trPr>
          <w:jc w:val="center"/>
        </w:trPr>
        <w:tc>
          <w:tcPr>
            <w:tcW w:w="8505" w:type="dxa"/>
          </w:tcPr>
          <w:p w14:paraId="15D9A99F"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4.1. Grupul de experți care au dezvoltat standardul de calificare</w:t>
            </w:r>
          </w:p>
        </w:tc>
      </w:tr>
      <w:tr w:rsidR="00FA63FC" w:rsidRPr="00774A78" w14:paraId="6AFC0992" w14:textId="77777777" w:rsidTr="0007130D">
        <w:trPr>
          <w:jc w:val="center"/>
        </w:trPr>
        <w:tc>
          <w:tcPr>
            <w:tcW w:w="8505" w:type="dxa"/>
          </w:tcPr>
          <w:p w14:paraId="56573794" w14:textId="0CDBBE96"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sz w:val="20"/>
                <w:szCs w:val="20"/>
              </w:rPr>
              <w:t>Numele, Prenumele experților care au elaborat standardul de calificare (5 - 9 experți)</w:t>
            </w:r>
          </w:p>
        </w:tc>
      </w:tr>
      <w:tr w:rsidR="00FA63FC" w:rsidRPr="00774A78" w14:paraId="6BD87F7A" w14:textId="77777777" w:rsidTr="0007130D">
        <w:trPr>
          <w:jc w:val="center"/>
        </w:trPr>
        <w:tc>
          <w:tcPr>
            <w:tcW w:w="8505" w:type="dxa"/>
          </w:tcPr>
          <w:p w14:paraId="620819F4" w14:textId="43649A90"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sz w:val="20"/>
                <w:szCs w:val="20"/>
              </w:rPr>
              <w:t>Numele, Prenumele experților care au validat standardul de calificare (3 - 5 experți)</w:t>
            </w:r>
          </w:p>
        </w:tc>
      </w:tr>
      <w:tr w:rsidR="00FA63FC" w:rsidRPr="00774A78" w14:paraId="5CB37399" w14:textId="77777777" w:rsidTr="0007130D">
        <w:trPr>
          <w:jc w:val="center"/>
        </w:trPr>
        <w:tc>
          <w:tcPr>
            <w:tcW w:w="8505" w:type="dxa"/>
          </w:tcPr>
          <w:p w14:paraId="6B9F635A"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4.2. Instituții promotoare ale standardului de calificare </w:t>
            </w:r>
          </w:p>
        </w:tc>
      </w:tr>
      <w:tr w:rsidR="00FA63FC" w:rsidRPr="00774A78" w14:paraId="58CE92C4" w14:textId="77777777" w:rsidTr="0007130D">
        <w:trPr>
          <w:jc w:val="center"/>
        </w:trPr>
        <w:tc>
          <w:tcPr>
            <w:tcW w:w="8505" w:type="dxa"/>
          </w:tcPr>
          <w:p w14:paraId="6B6690D1" w14:textId="4A3DDECE"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sz w:val="20"/>
                <w:szCs w:val="20"/>
              </w:rPr>
              <w:t>Instituția 1</w:t>
            </w:r>
          </w:p>
        </w:tc>
      </w:tr>
      <w:tr w:rsidR="00FA63FC" w:rsidRPr="00774A78" w14:paraId="6B0629F0" w14:textId="77777777" w:rsidTr="0007130D">
        <w:trPr>
          <w:jc w:val="center"/>
        </w:trPr>
        <w:tc>
          <w:tcPr>
            <w:tcW w:w="8505" w:type="dxa"/>
          </w:tcPr>
          <w:p w14:paraId="07E15853" w14:textId="790A367F"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sz w:val="20"/>
                <w:szCs w:val="20"/>
              </w:rPr>
              <w:t>Instituția 2</w:t>
            </w:r>
          </w:p>
        </w:tc>
      </w:tr>
      <w:tr w:rsidR="00FA63FC" w:rsidRPr="00774A78" w14:paraId="68AE1C79" w14:textId="77777777" w:rsidTr="0007130D">
        <w:trPr>
          <w:jc w:val="center"/>
        </w:trPr>
        <w:tc>
          <w:tcPr>
            <w:tcW w:w="8505" w:type="dxa"/>
          </w:tcPr>
          <w:p w14:paraId="6683C875"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4.3. Instituţii competente şi legătura cu ramura/sectorul (care au avizat pozitiv standardul)</w:t>
            </w:r>
          </w:p>
        </w:tc>
      </w:tr>
      <w:tr w:rsidR="00FA63FC" w:rsidRPr="00774A78" w14:paraId="3255BD82" w14:textId="77777777" w:rsidTr="0007130D">
        <w:trPr>
          <w:jc w:val="center"/>
        </w:trPr>
        <w:tc>
          <w:tcPr>
            <w:tcW w:w="8505" w:type="dxa"/>
          </w:tcPr>
          <w:p w14:paraId="7A874457" w14:textId="113FC6D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Adresa web. www.xxx</w:t>
            </w:r>
          </w:p>
        </w:tc>
      </w:tr>
      <w:tr w:rsidR="00FA63FC" w:rsidRPr="00774A78" w14:paraId="17A29FB6" w14:textId="77777777" w:rsidTr="0007130D">
        <w:trPr>
          <w:jc w:val="center"/>
        </w:trPr>
        <w:tc>
          <w:tcPr>
            <w:tcW w:w="8505" w:type="dxa"/>
          </w:tcPr>
          <w:p w14:paraId="1E540077"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4.4. Data înregistrării în Registrul Național al Calificărilor </w:t>
            </w:r>
          </w:p>
        </w:tc>
      </w:tr>
      <w:tr w:rsidR="00FA63FC" w:rsidRPr="00774A78" w14:paraId="29DB806C" w14:textId="77777777" w:rsidTr="0007130D">
        <w:trPr>
          <w:jc w:val="center"/>
        </w:trPr>
        <w:tc>
          <w:tcPr>
            <w:tcW w:w="8505" w:type="dxa"/>
          </w:tcPr>
          <w:p w14:paraId="54D5D1B9" w14:textId="03656EF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Luna, anul.</w:t>
            </w:r>
          </w:p>
        </w:tc>
      </w:tr>
      <w:tr w:rsidR="00FA63FC" w:rsidRPr="00774A78" w14:paraId="2D0903C0" w14:textId="77777777" w:rsidTr="0007130D">
        <w:trPr>
          <w:jc w:val="center"/>
        </w:trPr>
        <w:tc>
          <w:tcPr>
            <w:tcW w:w="8505" w:type="dxa"/>
          </w:tcPr>
          <w:p w14:paraId="64DA7D62" w14:textId="77777777" w:rsidR="00FA63FC" w:rsidRPr="00774A78" w:rsidRDefault="00FA63FC" w:rsidP="00774A78">
            <w:pPr>
              <w:spacing w:after="0" w:line="240" w:lineRule="auto"/>
              <w:rPr>
                <w:rFonts w:ascii="Times New Roman" w:hAnsi="Times New Roman" w:cs="Times New Roman"/>
                <w:sz w:val="20"/>
                <w:szCs w:val="20"/>
              </w:rPr>
            </w:pPr>
            <w:r w:rsidRPr="00774A78">
              <w:rPr>
                <w:rFonts w:ascii="Times New Roman" w:hAnsi="Times New Roman" w:cs="Times New Roman"/>
                <w:sz w:val="20"/>
                <w:szCs w:val="20"/>
              </w:rPr>
              <w:t xml:space="preserve">4.5. Data limită pentru elaborarea/actualizarea/revizuirea standardului de calificare </w:t>
            </w:r>
          </w:p>
        </w:tc>
      </w:tr>
      <w:tr w:rsidR="00FA63FC" w:rsidRPr="00774A78" w14:paraId="65B0E156" w14:textId="77777777" w:rsidTr="0007130D">
        <w:trPr>
          <w:jc w:val="center"/>
        </w:trPr>
        <w:tc>
          <w:tcPr>
            <w:tcW w:w="8505" w:type="dxa"/>
          </w:tcPr>
          <w:p w14:paraId="4DE1ACD9" w14:textId="79B2183F" w:rsidR="00FA63FC" w:rsidRPr="00774A78" w:rsidRDefault="00FA63FC" w:rsidP="00792054">
            <w:pPr>
              <w:pStyle w:val="a7"/>
              <w:spacing w:after="0" w:line="240" w:lineRule="auto"/>
              <w:ind w:left="0"/>
              <w:jc w:val="both"/>
              <w:rPr>
                <w:rFonts w:ascii="Times New Roman" w:hAnsi="Times New Roman" w:cs="Times New Roman"/>
                <w:sz w:val="20"/>
                <w:szCs w:val="20"/>
              </w:rPr>
            </w:pPr>
            <w:r w:rsidRPr="00774A78">
              <w:rPr>
                <w:rFonts w:ascii="Times New Roman" w:hAnsi="Times New Roman" w:cs="Times New Roman"/>
                <w:sz w:val="20"/>
                <w:szCs w:val="20"/>
              </w:rPr>
              <w:t xml:space="preserve">Luna, anul </w:t>
            </w:r>
          </w:p>
        </w:tc>
      </w:tr>
    </w:tbl>
    <w:p w14:paraId="7E261F60" w14:textId="5EBF66E7" w:rsidR="00982C53" w:rsidRPr="00DE1538" w:rsidRDefault="0007130D" w:rsidP="00DE1538">
      <w:pPr>
        <w:pStyle w:val="af8"/>
        <w:spacing w:before="120" w:beforeAutospacing="0" w:after="120" w:afterAutospacing="0" w:line="276" w:lineRule="auto"/>
        <w:jc w:val="both"/>
      </w:pPr>
      <w:r w:rsidRPr="00DE1538">
        <w:t xml:space="preserve">Prin această structură unificată, </w:t>
      </w:r>
      <w:r w:rsidRPr="00982C53">
        <w:rPr>
          <w:rStyle w:val="af9"/>
          <w:rFonts w:eastAsiaTheme="majorEastAsia"/>
          <w:b w:val="0"/>
          <w:bCs w:val="0"/>
        </w:rPr>
        <w:t>Fișa standardului de calificare</w:t>
      </w:r>
      <w:r w:rsidRPr="00982C53">
        <w:rPr>
          <w:b/>
          <w:bCs/>
        </w:rPr>
        <w:t xml:space="preserve"> </w:t>
      </w:r>
      <w:r w:rsidRPr="0007130D">
        <w:t>asigură</w:t>
      </w:r>
      <w:r w:rsidRPr="00982C53">
        <w:rPr>
          <w:b/>
          <w:bCs/>
        </w:rPr>
        <w:t xml:space="preserve"> </w:t>
      </w:r>
      <w:r w:rsidRPr="00982C53">
        <w:rPr>
          <w:rStyle w:val="af9"/>
          <w:rFonts w:eastAsiaTheme="majorEastAsia"/>
          <w:b w:val="0"/>
          <w:bCs w:val="0"/>
        </w:rPr>
        <w:t>transparența, trasabilitatea și comparabilitatea</w:t>
      </w:r>
      <w:r w:rsidRPr="00DE1538">
        <w:t xml:space="preserve"> între calificări și facilitează corelarea directă cu descriptorii CNC, EQF și QF-EHEA.</w:t>
      </w:r>
    </w:p>
    <w:p w14:paraId="59D9F2F7" w14:textId="78CB3BC9" w:rsidR="004D36B5" w:rsidRPr="004D36B5" w:rsidRDefault="00DE1538" w:rsidP="00486DFC">
      <w:pPr>
        <w:pStyle w:val="af8"/>
        <w:spacing w:before="120" w:beforeAutospacing="0" w:after="120" w:afterAutospacing="0" w:line="276" w:lineRule="auto"/>
        <w:jc w:val="both"/>
      </w:pPr>
      <w:r w:rsidRPr="00DE1538">
        <w:t xml:space="preserve">Astfel, fiecare standard de calificare aprobat și inclus în CNC devine </w:t>
      </w:r>
      <w:r w:rsidRPr="00E559D9">
        <w:rPr>
          <w:rStyle w:val="af9"/>
          <w:rFonts w:eastAsiaTheme="majorEastAsia"/>
          <w:b w:val="0"/>
          <w:bCs w:val="0"/>
        </w:rPr>
        <w:t>o referință unică</w:t>
      </w:r>
      <w:r w:rsidRPr="00DE1538">
        <w:t xml:space="preserve"> pentru dezvoltarea </w:t>
      </w:r>
      <w:r w:rsidR="004D36B5" w:rsidRPr="004D36B5">
        <w:t>dezvoltarea diferitelor tipuri de programe de studii care conduc la dobândirea aceleiași calificări – complete sau parțiale</w:t>
      </w:r>
      <w:r w:rsidR="00A6257C">
        <w:t>.</w:t>
      </w:r>
      <w:r w:rsidR="004D36B5" w:rsidRPr="004D36B5">
        <w:t xml:space="preserve"> Totodată, </w:t>
      </w:r>
      <w:r w:rsidR="00A6257C">
        <w:t>acesta</w:t>
      </w:r>
      <w:r w:rsidR="004D36B5" w:rsidRPr="004D36B5">
        <w:t xml:space="preserve"> servește drept bază pentru validarea rezultatelor învățării obținute în diverse contexte</w:t>
      </w:r>
      <w:r w:rsidR="00687F5B" w:rsidRPr="00687F5B">
        <w:t xml:space="preserve"> </w:t>
      </w:r>
      <w:r w:rsidR="00687F5B">
        <w:t>(</w:t>
      </w:r>
      <w:r w:rsidR="00687F5B" w:rsidRPr="004D36B5">
        <w:t>formale sau nonformale</w:t>
      </w:r>
      <w:r w:rsidR="00687F5B">
        <w:t>)</w:t>
      </w:r>
      <w:r w:rsidR="004D36B5" w:rsidRPr="004D36B5">
        <w:t>, contribuind la unitatea și coerența sistemului de calificări.</w:t>
      </w:r>
    </w:p>
    <w:p w14:paraId="3E816851" w14:textId="63F1080E" w:rsidR="00A82540" w:rsidRDefault="004D36B5" w:rsidP="004D36B5">
      <w:pPr>
        <w:spacing w:before="120" w:after="120" w:line="276" w:lineRule="auto"/>
        <w:jc w:val="both"/>
        <w:rPr>
          <w:rFonts w:ascii="Times New Roman" w:eastAsia="Times New Roman" w:hAnsi="Times New Roman" w:cs="Times New Roman"/>
          <w:kern w:val="0"/>
          <w:sz w:val="24"/>
          <w:szCs w:val="24"/>
          <w:lang w:eastAsia="ro-MD"/>
          <w14:ligatures w14:val="none"/>
        </w:rPr>
      </w:pPr>
      <w:r w:rsidRPr="004D36B5">
        <w:rPr>
          <w:rFonts w:ascii="Times New Roman" w:eastAsia="Times New Roman" w:hAnsi="Times New Roman" w:cs="Times New Roman"/>
          <w:kern w:val="0"/>
          <w:sz w:val="24"/>
          <w:szCs w:val="24"/>
          <w:lang w:eastAsia="ro-MD"/>
          <w14:ligatures w14:val="none"/>
        </w:rPr>
        <w:t xml:space="preserve">Calitatea standardului este validată printr-un proces triplu – de </w:t>
      </w:r>
      <w:r w:rsidRPr="008D7D8C">
        <w:rPr>
          <w:rFonts w:ascii="Times New Roman" w:eastAsia="Times New Roman" w:hAnsi="Times New Roman" w:cs="Times New Roman"/>
          <w:i/>
          <w:iCs/>
          <w:kern w:val="0"/>
          <w:sz w:val="24"/>
          <w:szCs w:val="24"/>
          <w:lang w:eastAsia="ro-MD"/>
          <w14:ligatures w14:val="none"/>
        </w:rPr>
        <w:t>conținut</w:t>
      </w:r>
      <w:r w:rsidRPr="004D36B5">
        <w:rPr>
          <w:rFonts w:ascii="Times New Roman" w:eastAsia="Times New Roman" w:hAnsi="Times New Roman" w:cs="Times New Roman"/>
          <w:kern w:val="0"/>
          <w:sz w:val="24"/>
          <w:szCs w:val="24"/>
          <w:lang w:eastAsia="ro-MD"/>
          <w14:ligatures w14:val="none"/>
        </w:rPr>
        <w:t xml:space="preserve"> (de către experți practicieni din sector), </w:t>
      </w:r>
      <w:r w:rsidRPr="008D7D8C">
        <w:rPr>
          <w:rFonts w:ascii="Times New Roman" w:eastAsia="Times New Roman" w:hAnsi="Times New Roman" w:cs="Times New Roman"/>
          <w:i/>
          <w:iCs/>
          <w:kern w:val="0"/>
          <w:sz w:val="24"/>
          <w:szCs w:val="24"/>
          <w:lang w:eastAsia="ro-MD"/>
          <w14:ligatures w14:val="none"/>
        </w:rPr>
        <w:t>formativ</w:t>
      </w:r>
      <w:r w:rsidRPr="004D36B5">
        <w:rPr>
          <w:rFonts w:ascii="Times New Roman" w:eastAsia="Times New Roman" w:hAnsi="Times New Roman" w:cs="Times New Roman"/>
          <w:kern w:val="0"/>
          <w:sz w:val="24"/>
          <w:szCs w:val="24"/>
          <w:lang w:eastAsia="ro-MD"/>
          <w14:ligatures w14:val="none"/>
        </w:rPr>
        <w:t xml:space="preserve"> (de către experți în formularea rezultatelor învățării) și </w:t>
      </w:r>
      <w:r w:rsidRPr="008D7D8C">
        <w:rPr>
          <w:rFonts w:ascii="Times New Roman" w:eastAsia="Times New Roman" w:hAnsi="Times New Roman" w:cs="Times New Roman"/>
          <w:i/>
          <w:iCs/>
          <w:kern w:val="0"/>
          <w:sz w:val="24"/>
          <w:szCs w:val="24"/>
          <w:lang w:eastAsia="ro-MD"/>
          <w14:ligatures w14:val="none"/>
        </w:rPr>
        <w:t>metodologic</w:t>
      </w:r>
      <w:r w:rsidRPr="004D36B5">
        <w:rPr>
          <w:rFonts w:ascii="Times New Roman" w:eastAsia="Times New Roman" w:hAnsi="Times New Roman" w:cs="Times New Roman"/>
          <w:kern w:val="0"/>
          <w:sz w:val="24"/>
          <w:szCs w:val="24"/>
          <w:lang w:eastAsia="ro-MD"/>
          <w14:ligatures w14:val="none"/>
        </w:rPr>
        <w:t xml:space="preserve"> (de către specialiști în elaborarea standardelor de calificare).</w:t>
      </w:r>
    </w:p>
    <w:p w14:paraId="45A51DD6" w14:textId="1ABC587C" w:rsidR="004D2A27" w:rsidRPr="004D2A27" w:rsidRDefault="001366C0" w:rsidP="004C37EC">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F6386">
        <w:rPr>
          <w:rFonts w:ascii="Times New Roman" w:eastAsia="Times New Roman" w:hAnsi="Times New Roman" w:cs="Times New Roman"/>
          <w:kern w:val="0"/>
          <w:sz w:val="24"/>
          <w:szCs w:val="24"/>
          <w:lang w:eastAsia="ro-MD"/>
          <w14:ligatures w14:val="none"/>
        </w:rPr>
        <w:t xml:space="preserve">Etapele procesului </w:t>
      </w:r>
      <w:r w:rsidR="00A95F14">
        <w:rPr>
          <w:rFonts w:ascii="Times New Roman" w:eastAsia="Times New Roman" w:hAnsi="Times New Roman" w:cs="Times New Roman"/>
          <w:kern w:val="0"/>
          <w:sz w:val="24"/>
          <w:szCs w:val="24"/>
          <w:lang w:eastAsia="ro-MD"/>
          <w14:ligatures w14:val="none"/>
        </w:rPr>
        <w:t xml:space="preserve">de elaborare a standardului de calificare </w:t>
      </w:r>
      <w:r w:rsidRPr="000F6386">
        <w:rPr>
          <w:rFonts w:ascii="Times New Roman" w:eastAsia="Times New Roman" w:hAnsi="Times New Roman" w:cs="Times New Roman"/>
          <w:kern w:val="0"/>
          <w:sz w:val="24"/>
          <w:szCs w:val="24"/>
          <w:lang w:eastAsia="ro-MD"/>
          <w14:ligatures w14:val="none"/>
        </w:rPr>
        <w:t>sunt prezentate mai jos și reflectă caracterul transparent, participativ și bazat pe calitate al sistemului național de calificări</w:t>
      </w:r>
      <w:r w:rsidR="00BC7662">
        <w:rPr>
          <w:rFonts w:ascii="Times New Roman" w:eastAsia="Times New Roman" w:hAnsi="Times New Roman" w:cs="Times New Roman"/>
          <w:kern w:val="0"/>
          <w:sz w:val="24"/>
          <w:szCs w:val="24"/>
          <w:lang w:eastAsia="ro-MD"/>
          <w14:ligatures w14:val="none"/>
        </w:rPr>
        <w:t>.</w:t>
      </w:r>
    </w:p>
    <w:p w14:paraId="321DEE4A" w14:textId="61775887" w:rsidR="007152B1" w:rsidRDefault="004D2A27" w:rsidP="00831624">
      <w:pPr>
        <w:spacing w:before="120" w:after="120" w:line="276" w:lineRule="auto"/>
        <w:jc w:val="both"/>
        <w:outlineLvl w:val="2"/>
        <w:rPr>
          <w:rFonts w:ascii="Times New Roman" w:eastAsia="Times New Roman" w:hAnsi="Times New Roman" w:cs="Times New Roman"/>
          <w:color w:val="3494BA" w:themeColor="accent1"/>
          <w:kern w:val="0"/>
          <w:sz w:val="24"/>
          <w:szCs w:val="24"/>
          <w:lang w:val="ro-MD" w:eastAsia="ro-MD"/>
          <w14:ligatures w14:val="none"/>
        </w:rPr>
      </w:pPr>
      <w:r w:rsidRPr="004D2A27">
        <w:rPr>
          <w:rFonts w:ascii="Times New Roman" w:eastAsia="Times New Roman" w:hAnsi="Times New Roman" w:cs="Times New Roman"/>
          <w:color w:val="3494BA" w:themeColor="accent1"/>
          <w:kern w:val="0"/>
          <w:sz w:val="24"/>
          <w:szCs w:val="24"/>
          <w:lang w:val="ro-MD" w:eastAsia="ro-MD"/>
          <w14:ligatures w14:val="none"/>
        </w:rPr>
        <w:t>Etapele procesului de elaborare, validare și aprobare</w:t>
      </w:r>
      <w:r w:rsidR="00831624">
        <w:rPr>
          <w:rFonts w:ascii="Times New Roman" w:eastAsia="Times New Roman" w:hAnsi="Times New Roman" w:cs="Times New Roman"/>
          <w:color w:val="3494BA" w:themeColor="accent1"/>
          <w:kern w:val="0"/>
          <w:sz w:val="24"/>
          <w:szCs w:val="24"/>
          <w:lang w:val="ro-MD" w:eastAsia="ro-MD"/>
          <w14:ligatures w14:val="none"/>
        </w:rPr>
        <w:t xml:space="preserve"> </w:t>
      </w:r>
      <w:r w:rsidR="007152B1" w:rsidRPr="007152B1">
        <w:rPr>
          <w:rFonts w:ascii="Times New Roman" w:eastAsia="Times New Roman" w:hAnsi="Times New Roman" w:cs="Times New Roman"/>
          <w:color w:val="3494BA" w:themeColor="accent1"/>
          <w:kern w:val="0"/>
          <w:sz w:val="24"/>
          <w:szCs w:val="24"/>
          <w:lang w:eastAsia="ro-MD"/>
          <w14:ligatures w14:val="none"/>
        </w:rPr>
        <w:t>a standardului de calificare</w:t>
      </w:r>
    </w:p>
    <w:p w14:paraId="5DCAC525" w14:textId="20BA9CCB" w:rsidR="004D2A27" w:rsidRPr="004D2A27" w:rsidRDefault="004D2A27" w:rsidP="00831624">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4D2A27">
        <w:rPr>
          <w:rFonts w:ascii="Times New Roman" w:eastAsia="Times New Roman" w:hAnsi="Times New Roman" w:cs="Times New Roman"/>
          <w:kern w:val="0"/>
          <w:sz w:val="24"/>
          <w:szCs w:val="24"/>
          <w:lang w:val="ro-MD" w:eastAsia="ro-MD"/>
          <w14:ligatures w14:val="none"/>
        </w:rPr>
        <w:t>Conform Metodologiei (Ordin MEC nr. 573/2022), procesul include următoarele etape principale:</w:t>
      </w:r>
    </w:p>
    <w:p w14:paraId="46F9FAED" w14:textId="42B26B16" w:rsidR="004D2A27" w:rsidRPr="00831624" w:rsidRDefault="004D2A27" w:rsidP="00A41843">
      <w:pPr>
        <w:pStyle w:val="a7"/>
        <w:numPr>
          <w:ilvl w:val="1"/>
          <w:numId w:val="205"/>
        </w:numPr>
        <w:spacing w:before="120" w:after="120" w:line="276" w:lineRule="auto"/>
        <w:ind w:left="426" w:hanging="426"/>
        <w:jc w:val="both"/>
        <w:rPr>
          <w:rFonts w:ascii="Times New Roman" w:eastAsia="Times New Roman" w:hAnsi="Times New Roman" w:cs="Times New Roman"/>
          <w:kern w:val="0"/>
          <w:sz w:val="24"/>
          <w:szCs w:val="24"/>
          <w:lang w:val="ro-MD" w:eastAsia="ro-MD"/>
          <w14:ligatures w14:val="none"/>
        </w:rPr>
      </w:pPr>
      <w:r w:rsidRPr="00F6551D">
        <w:rPr>
          <w:rFonts w:ascii="Times New Roman" w:eastAsia="Times New Roman" w:hAnsi="Times New Roman" w:cs="Times New Roman"/>
          <w:i/>
          <w:iCs/>
          <w:kern w:val="0"/>
          <w:sz w:val="24"/>
          <w:szCs w:val="24"/>
          <w:lang w:val="ro-MD" w:eastAsia="ro-MD"/>
          <w14:ligatures w14:val="none"/>
        </w:rPr>
        <w:t>Examinarea solicitării de elaborare a standardului de calificare</w:t>
      </w:r>
      <w:r w:rsidR="00F6551D" w:rsidRPr="00F6551D">
        <w:rPr>
          <w:rFonts w:ascii="Times New Roman" w:eastAsia="Times New Roman" w:hAnsi="Times New Roman" w:cs="Times New Roman"/>
          <w:i/>
          <w:iCs/>
          <w:kern w:val="0"/>
          <w:sz w:val="24"/>
          <w:szCs w:val="24"/>
          <w:lang w:val="ro-MD" w:eastAsia="ro-MD"/>
          <w14:ligatures w14:val="none"/>
        </w:rPr>
        <w:t>.</w:t>
      </w:r>
      <w:r w:rsidR="00F6551D">
        <w:rPr>
          <w:rFonts w:ascii="Times New Roman" w:eastAsia="Times New Roman" w:hAnsi="Times New Roman" w:cs="Times New Roman"/>
          <w:kern w:val="0"/>
          <w:sz w:val="24"/>
          <w:szCs w:val="24"/>
          <w:lang w:val="ro-MD" w:eastAsia="ro-MD"/>
          <w14:ligatures w14:val="none"/>
        </w:rPr>
        <w:t xml:space="preserve"> </w:t>
      </w:r>
      <w:r w:rsidRPr="00831624">
        <w:rPr>
          <w:rFonts w:ascii="Times New Roman" w:eastAsia="Times New Roman" w:hAnsi="Times New Roman" w:cs="Times New Roman"/>
          <w:kern w:val="0"/>
          <w:sz w:val="24"/>
          <w:szCs w:val="24"/>
          <w:lang w:val="ro-MD" w:eastAsia="ro-MD"/>
          <w14:ligatures w14:val="none"/>
        </w:rPr>
        <w:t>Procesul se inițiază în baza unei cereri sau propuneri formulate de una dintre părțile interesate</w:t>
      </w:r>
      <w:r w:rsidR="00722426">
        <w:rPr>
          <w:rFonts w:ascii="Times New Roman" w:eastAsia="Times New Roman" w:hAnsi="Times New Roman" w:cs="Times New Roman"/>
          <w:kern w:val="0"/>
          <w:sz w:val="24"/>
          <w:szCs w:val="24"/>
          <w:lang w:val="ro-MD" w:eastAsia="ro-MD"/>
          <w14:ligatures w14:val="none"/>
        </w:rPr>
        <w:t>: MEC</w:t>
      </w:r>
      <w:r w:rsidRPr="00831624">
        <w:rPr>
          <w:rFonts w:ascii="Times New Roman" w:eastAsia="Times New Roman" w:hAnsi="Times New Roman" w:cs="Times New Roman"/>
          <w:kern w:val="0"/>
          <w:sz w:val="24"/>
          <w:szCs w:val="24"/>
          <w:lang w:val="ro-MD" w:eastAsia="ro-MD"/>
          <w14:ligatures w14:val="none"/>
        </w:rPr>
        <w:t>, ministere de resort, comitete sectoriale, patronate, sindicate, instituții de învățământ sau angajatori.</w:t>
      </w:r>
      <w:r w:rsidR="00722426">
        <w:rPr>
          <w:rFonts w:ascii="Times New Roman" w:eastAsia="Times New Roman" w:hAnsi="Times New Roman" w:cs="Times New Roman"/>
          <w:kern w:val="0"/>
          <w:sz w:val="24"/>
          <w:szCs w:val="24"/>
          <w:lang w:val="ro-MD" w:eastAsia="ro-MD"/>
          <w14:ligatures w14:val="none"/>
        </w:rPr>
        <w:t xml:space="preserve"> </w:t>
      </w:r>
      <w:r w:rsidRPr="00831624">
        <w:rPr>
          <w:rFonts w:ascii="Times New Roman" w:eastAsia="Times New Roman" w:hAnsi="Times New Roman" w:cs="Times New Roman"/>
          <w:kern w:val="0"/>
          <w:sz w:val="24"/>
          <w:szCs w:val="24"/>
          <w:lang w:val="ro-MD" w:eastAsia="ro-MD"/>
          <w14:ligatures w14:val="none"/>
        </w:rPr>
        <w:t>MEC examinează oportunitatea elaborării</w:t>
      </w:r>
      <w:r w:rsidR="00EB778B">
        <w:rPr>
          <w:rFonts w:ascii="Times New Roman" w:eastAsia="Times New Roman" w:hAnsi="Times New Roman" w:cs="Times New Roman"/>
          <w:kern w:val="0"/>
          <w:sz w:val="24"/>
          <w:szCs w:val="24"/>
          <w:lang w:val="ro-MD" w:eastAsia="ro-MD"/>
          <w14:ligatures w14:val="none"/>
        </w:rPr>
        <w:t xml:space="preserve"> standardului de calificare</w:t>
      </w:r>
      <w:r w:rsidRPr="00831624">
        <w:rPr>
          <w:rFonts w:ascii="Times New Roman" w:eastAsia="Times New Roman" w:hAnsi="Times New Roman" w:cs="Times New Roman"/>
          <w:kern w:val="0"/>
          <w:sz w:val="24"/>
          <w:szCs w:val="24"/>
          <w:lang w:val="ro-MD" w:eastAsia="ro-MD"/>
          <w14:ligatures w14:val="none"/>
        </w:rPr>
        <w:t>, în baza analizei relevanței calificării pentru domeniul de activitate și pentru piața muncii.</w:t>
      </w:r>
    </w:p>
    <w:p w14:paraId="7F1C31CE" w14:textId="0D200582" w:rsidR="004D2A27" w:rsidRPr="00831624" w:rsidRDefault="004D2A27" w:rsidP="00A41843">
      <w:pPr>
        <w:pStyle w:val="a7"/>
        <w:numPr>
          <w:ilvl w:val="1"/>
          <w:numId w:val="205"/>
        </w:numPr>
        <w:spacing w:before="120" w:after="120" w:line="276" w:lineRule="auto"/>
        <w:ind w:left="426" w:hanging="426"/>
        <w:jc w:val="both"/>
        <w:rPr>
          <w:rFonts w:ascii="Times New Roman" w:eastAsia="Times New Roman" w:hAnsi="Times New Roman" w:cs="Times New Roman"/>
          <w:kern w:val="0"/>
          <w:sz w:val="24"/>
          <w:szCs w:val="24"/>
          <w:lang w:val="ro-MD" w:eastAsia="ro-MD"/>
          <w14:ligatures w14:val="none"/>
        </w:rPr>
      </w:pPr>
      <w:r w:rsidRPr="00BC63A7">
        <w:rPr>
          <w:rFonts w:ascii="Times New Roman" w:eastAsia="Times New Roman" w:hAnsi="Times New Roman" w:cs="Times New Roman"/>
          <w:i/>
          <w:iCs/>
          <w:kern w:val="0"/>
          <w:sz w:val="24"/>
          <w:szCs w:val="24"/>
          <w:lang w:val="ro-MD" w:eastAsia="ro-MD"/>
          <w14:ligatures w14:val="none"/>
        </w:rPr>
        <w:lastRenderedPageBreak/>
        <w:t>Constituirea grupului de lucru</w:t>
      </w:r>
      <w:r w:rsidR="00BC63A7" w:rsidRPr="00BC63A7">
        <w:rPr>
          <w:rFonts w:ascii="Times New Roman" w:eastAsia="Times New Roman" w:hAnsi="Times New Roman" w:cs="Times New Roman"/>
          <w:i/>
          <w:iCs/>
          <w:kern w:val="0"/>
          <w:sz w:val="24"/>
          <w:szCs w:val="24"/>
          <w:lang w:val="ro-MD" w:eastAsia="ro-MD"/>
          <w14:ligatures w14:val="none"/>
        </w:rPr>
        <w:t>:</w:t>
      </w:r>
      <w:r w:rsidR="00BC63A7">
        <w:rPr>
          <w:rFonts w:ascii="Times New Roman" w:eastAsia="Times New Roman" w:hAnsi="Times New Roman" w:cs="Times New Roman"/>
          <w:kern w:val="0"/>
          <w:sz w:val="24"/>
          <w:szCs w:val="24"/>
          <w:lang w:val="ro-MD" w:eastAsia="ro-MD"/>
          <w14:ligatures w14:val="none"/>
        </w:rPr>
        <w:t xml:space="preserve"> </w:t>
      </w:r>
      <w:r w:rsidRPr="00831624">
        <w:rPr>
          <w:rFonts w:ascii="Times New Roman" w:eastAsia="Times New Roman" w:hAnsi="Times New Roman" w:cs="Times New Roman"/>
          <w:kern w:val="0"/>
          <w:sz w:val="24"/>
          <w:szCs w:val="24"/>
          <w:lang w:val="ro-MD" w:eastAsia="ro-MD"/>
          <w14:ligatures w14:val="none"/>
        </w:rPr>
        <w:t>MEC formează un grup de lucru tehnic, care include experți din domeniul de referință, reprezentanți ai instituțiilor de învățământ, ai comitetelor sectoriale și ai mediului economic.</w:t>
      </w:r>
      <w:r w:rsidR="00BC63A7">
        <w:rPr>
          <w:rFonts w:ascii="Times New Roman" w:eastAsia="Times New Roman" w:hAnsi="Times New Roman" w:cs="Times New Roman"/>
          <w:kern w:val="0"/>
          <w:sz w:val="24"/>
          <w:szCs w:val="24"/>
          <w:lang w:val="ro-MD" w:eastAsia="ro-MD"/>
          <w14:ligatures w14:val="none"/>
        </w:rPr>
        <w:t xml:space="preserve"> </w:t>
      </w:r>
      <w:r w:rsidRPr="00831624">
        <w:rPr>
          <w:rFonts w:ascii="Times New Roman" w:eastAsia="Times New Roman" w:hAnsi="Times New Roman" w:cs="Times New Roman"/>
          <w:kern w:val="0"/>
          <w:sz w:val="24"/>
          <w:szCs w:val="24"/>
          <w:lang w:val="ro-MD" w:eastAsia="ro-MD"/>
          <w14:ligatures w14:val="none"/>
        </w:rPr>
        <w:t xml:space="preserve">Grupul este responsabil de redactarea standardului </w:t>
      </w:r>
      <w:r w:rsidR="00BC63A7">
        <w:rPr>
          <w:rFonts w:ascii="Times New Roman" w:eastAsia="Times New Roman" w:hAnsi="Times New Roman" w:cs="Times New Roman"/>
          <w:kern w:val="0"/>
          <w:sz w:val="24"/>
          <w:szCs w:val="24"/>
          <w:lang w:val="ro-MD" w:eastAsia="ro-MD"/>
          <w14:ligatures w14:val="none"/>
        </w:rPr>
        <w:t xml:space="preserve">de calificare </w:t>
      </w:r>
      <w:r w:rsidRPr="00831624">
        <w:rPr>
          <w:rFonts w:ascii="Times New Roman" w:eastAsia="Times New Roman" w:hAnsi="Times New Roman" w:cs="Times New Roman"/>
          <w:kern w:val="0"/>
          <w:sz w:val="24"/>
          <w:szCs w:val="24"/>
          <w:lang w:val="ro-MD" w:eastAsia="ro-MD"/>
          <w14:ligatures w14:val="none"/>
        </w:rPr>
        <w:t>conform structurii prevăzute în metodologie (Anexele 2–12).</w:t>
      </w:r>
    </w:p>
    <w:p w14:paraId="77AFB8A0" w14:textId="0C04B0FE" w:rsidR="004D2A27" w:rsidRPr="00831624" w:rsidRDefault="004D2A27" w:rsidP="00A41843">
      <w:pPr>
        <w:pStyle w:val="a7"/>
        <w:numPr>
          <w:ilvl w:val="1"/>
          <w:numId w:val="205"/>
        </w:numPr>
        <w:spacing w:before="120" w:after="120" w:line="276" w:lineRule="auto"/>
        <w:ind w:left="426" w:hanging="426"/>
        <w:jc w:val="both"/>
        <w:rPr>
          <w:rFonts w:ascii="Times New Roman" w:eastAsia="Times New Roman" w:hAnsi="Times New Roman" w:cs="Times New Roman"/>
          <w:kern w:val="0"/>
          <w:sz w:val="24"/>
          <w:szCs w:val="24"/>
          <w:lang w:val="ro-MD" w:eastAsia="ro-MD"/>
          <w14:ligatures w14:val="none"/>
        </w:rPr>
      </w:pPr>
      <w:r w:rsidRPr="002F5CB8">
        <w:rPr>
          <w:rFonts w:ascii="Times New Roman" w:eastAsia="Times New Roman" w:hAnsi="Times New Roman" w:cs="Times New Roman"/>
          <w:i/>
          <w:iCs/>
          <w:kern w:val="0"/>
          <w:sz w:val="24"/>
          <w:szCs w:val="24"/>
          <w:lang w:val="ro-MD" w:eastAsia="ro-MD"/>
          <w14:ligatures w14:val="none"/>
        </w:rPr>
        <w:t>Elaborarea standardului de competență</w:t>
      </w:r>
      <w:r w:rsidRPr="00831624">
        <w:rPr>
          <w:rFonts w:ascii="Times New Roman" w:eastAsia="Times New Roman" w:hAnsi="Times New Roman" w:cs="Times New Roman"/>
          <w:kern w:val="0"/>
          <w:sz w:val="24"/>
          <w:szCs w:val="24"/>
          <w:lang w:val="ro-MD" w:eastAsia="ro-MD"/>
          <w14:ligatures w14:val="none"/>
        </w:rPr>
        <w:t xml:space="preserve"> (pentru nivelurile 6–8 CNC)</w:t>
      </w:r>
      <w:r w:rsidR="002F5CB8">
        <w:rPr>
          <w:rFonts w:ascii="Times New Roman" w:eastAsia="Times New Roman" w:hAnsi="Times New Roman" w:cs="Times New Roman"/>
          <w:kern w:val="0"/>
          <w:sz w:val="24"/>
          <w:szCs w:val="24"/>
          <w:lang w:val="ro-MD" w:eastAsia="ro-MD"/>
          <w14:ligatures w14:val="none"/>
        </w:rPr>
        <w:t xml:space="preserve">: </w:t>
      </w:r>
      <w:r w:rsidRPr="00831624">
        <w:rPr>
          <w:rFonts w:ascii="Times New Roman" w:eastAsia="Times New Roman" w:hAnsi="Times New Roman" w:cs="Times New Roman"/>
          <w:kern w:val="0"/>
          <w:sz w:val="24"/>
          <w:szCs w:val="24"/>
          <w:lang w:val="ro-MD" w:eastAsia="ro-MD"/>
          <w14:ligatures w14:val="none"/>
        </w:rPr>
        <w:t xml:space="preserve">Pentru calificările de nivel superior, grupul elaborează mai întâi </w:t>
      </w:r>
      <w:r w:rsidRPr="002F5CB8">
        <w:rPr>
          <w:rFonts w:ascii="Times New Roman" w:eastAsia="Times New Roman" w:hAnsi="Times New Roman" w:cs="Times New Roman"/>
          <w:i/>
          <w:iCs/>
          <w:kern w:val="0"/>
          <w:sz w:val="24"/>
          <w:szCs w:val="24"/>
          <w:lang w:val="ro-MD" w:eastAsia="ro-MD"/>
          <w14:ligatures w14:val="none"/>
        </w:rPr>
        <w:t>standardul de competență</w:t>
      </w:r>
      <w:r w:rsidRPr="00831624">
        <w:rPr>
          <w:rFonts w:ascii="Times New Roman" w:eastAsia="Times New Roman" w:hAnsi="Times New Roman" w:cs="Times New Roman"/>
          <w:kern w:val="0"/>
          <w:sz w:val="24"/>
          <w:szCs w:val="24"/>
          <w:lang w:val="ro-MD" w:eastAsia="ro-MD"/>
          <w14:ligatures w14:val="none"/>
        </w:rPr>
        <w:t xml:space="preserve">, care descrie cerințele profesionale specifice și competențele cheie ale </w:t>
      </w:r>
      <w:r w:rsidR="007E39AB">
        <w:rPr>
          <w:rFonts w:ascii="Times New Roman" w:eastAsia="Times New Roman" w:hAnsi="Times New Roman" w:cs="Times New Roman"/>
          <w:kern w:val="0"/>
          <w:sz w:val="24"/>
          <w:szCs w:val="24"/>
          <w:lang w:val="ro-MD" w:eastAsia="ro-MD"/>
          <w14:ligatures w14:val="none"/>
        </w:rPr>
        <w:t xml:space="preserve">specialistului din </w:t>
      </w:r>
      <w:r w:rsidRPr="00831624">
        <w:rPr>
          <w:rFonts w:ascii="Times New Roman" w:eastAsia="Times New Roman" w:hAnsi="Times New Roman" w:cs="Times New Roman"/>
          <w:kern w:val="0"/>
          <w:sz w:val="24"/>
          <w:szCs w:val="24"/>
          <w:lang w:val="ro-MD" w:eastAsia="ro-MD"/>
          <w14:ligatures w14:val="none"/>
        </w:rPr>
        <w:t>domeniu.</w:t>
      </w:r>
      <w:r w:rsidR="007E39AB">
        <w:rPr>
          <w:rFonts w:ascii="Times New Roman" w:eastAsia="Times New Roman" w:hAnsi="Times New Roman" w:cs="Times New Roman"/>
          <w:kern w:val="0"/>
          <w:sz w:val="24"/>
          <w:szCs w:val="24"/>
          <w:lang w:val="ro-MD" w:eastAsia="ro-MD"/>
          <w14:ligatures w14:val="none"/>
        </w:rPr>
        <w:t xml:space="preserve"> </w:t>
      </w:r>
    </w:p>
    <w:p w14:paraId="2B4AB7A8" w14:textId="3BA0791F" w:rsidR="004D2A27" w:rsidRPr="00831624" w:rsidRDefault="004D2A27" w:rsidP="00A41843">
      <w:pPr>
        <w:pStyle w:val="a7"/>
        <w:numPr>
          <w:ilvl w:val="1"/>
          <w:numId w:val="205"/>
        </w:numPr>
        <w:spacing w:before="120" w:after="120" w:line="276" w:lineRule="auto"/>
        <w:ind w:left="426" w:hanging="426"/>
        <w:jc w:val="both"/>
        <w:rPr>
          <w:rFonts w:ascii="Times New Roman" w:eastAsia="Times New Roman" w:hAnsi="Times New Roman" w:cs="Times New Roman"/>
          <w:kern w:val="0"/>
          <w:sz w:val="24"/>
          <w:szCs w:val="24"/>
          <w:lang w:val="ro-MD" w:eastAsia="ro-MD"/>
          <w14:ligatures w14:val="none"/>
        </w:rPr>
      </w:pPr>
      <w:r w:rsidRPr="00513138">
        <w:rPr>
          <w:rFonts w:ascii="Times New Roman" w:eastAsia="Times New Roman" w:hAnsi="Times New Roman" w:cs="Times New Roman"/>
          <w:i/>
          <w:iCs/>
          <w:kern w:val="0"/>
          <w:sz w:val="24"/>
          <w:szCs w:val="24"/>
          <w:lang w:val="ro-MD" w:eastAsia="ro-MD"/>
          <w14:ligatures w14:val="none"/>
        </w:rPr>
        <w:t>Validarea standardului de competență</w:t>
      </w:r>
      <w:r w:rsidRPr="00831624">
        <w:rPr>
          <w:rFonts w:ascii="Times New Roman" w:eastAsia="Times New Roman" w:hAnsi="Times New Roman" w:cs="Times New Roman"/>
          <w:kern w:val="0"/>
          <w:sz w:val="24"/>
          <w:szCs w:val="24"/>
          <w:lang w:val="ro-MD" w:eastAsia="ro-MD"/>
          <w14:ligatures w14:val="none"/>
        </w:rPr>
        <w:t xml:space="preserve"> (pentru nivelurile 6–8 CNC)</w:t>
      </w:r>
      <w:r w:rsidR="00513138">
        <w:rPr>
          <w:rFonts w:ascii="Times New Roman" w:eastAsia="Times New Roman" w:hAnsi="Times New Roman" w:cs="Times New Roman"/>
          <w:kern w:val="0"/>
          <w:sz w:val="24"/>
          <w:szCs w:val="24"/>
          <w:lang w:val="ro-MD" w:eastAsia="ro-MD"/>
          <w14:ligatures w14:val="none"/>
        </w:rPr>
        <w:t xml:space="preserve">: </w:t>
      </w:r>
      <w:r w:rsidR="00805669" w:rsidRPr="00831624">
        <w:rPr>
          <w:rFonts w:ascii="Times New Roman" w:eastAsia="Times New Roman" w:hAnsi="Times New Roman" w:cs="Times New Roman"/>
          <w:kern w:val="0"/>
          <w:sz w:val="24"/>
          <w:szCs w:val="24"/>
          <w:lang w:val="ro-MD" w:eastAsia="ro-MD"/>
          <w14:ligatures w14:val="none"/>
        </w:rPr>
        <w:t xml:space="preserve">Documentul este validat </w:t>
      </w:r>
      <w:r w:rsidR="00805669">
        <w:rPr>
          <w:rFonts w:ascii="Times New Roman" w:eastAsia="Times New Roman" w:hAnsi="Times New Roman" w:cs="Times New Roman"/>
          <w:kern w:val="0"/>
          <w:sz w:val="24"/>
          <w:szCs w:val="24"/>
          <w:lang w:val="ro-MD" w:eastAsia="ro-MD"/>
          <w14:ligatures w14:val="none"/>
        </w:rPr>
        <w:t>de c</w:t>
      </w:r>
      <w:r w:rsidRPr="00831624">
        <w:rPr>
          <w:rFonts w:ascii="Times New Roman" w:eastAsia="Times New Roman" w:hAnsi="Times New Roman" w:cs="Times New Roman"/>
          <w:kern w:val="0"/>
          <w:sz w:val="24"/>
          <w:szCs w:val="24"/>
          <w:lang w:val="ro-MD" w:eastAsia="ro-MD"/>
          <w14:ligatures w14:val="none"/>
        </w:rPr>
        <w:t xml:space="preserve">omisia de validare, formată din experți desemnați de MEC și partenerii sociali, </w:t>
      </w:r>
      <w:r w:rsidR="0066355C">
        <w:rPr>
          <w:rFonts w:ascii="Times New Roman" w:eastAsia="Times New Roman" w:hAnsi="Times New Roman" w:cs="Times New Roman"/>
          <w:kern w:val="0"/>
          <w:sz w:val="24"/>
          <w:szCs w:val="24"/>
          <w:lang w:val="ro-MD" w:eastAsia="ro-MD"/>
          <w14:ligatures w14:val="none"/>
        </w:rPr>
        <w:t xml:space="preserve">care </w:t>
      </w:r>
      <w:r w:rsidRPr="00831624">
        <w:rPr>
          <w:rFonts w:ascii="Times New Roman" w:eastAsia="Times New Roman" w:hAnsi="Times New Roman" w:cs="Times New Roman"/>
          <w:kern w:val="0"/>
          <w:sz w:val="24"/>
          <w:szCs w:val="24"/>
          <w:lang w:val="ro-MD" w:eastAsia="ro-MD"/>
          <w14:ligatures w14:val="none"/>
        </w:rPr>
        <w:t>verifică coerența și conformitatea standardului de competență cu descriptorii de nivel CNC și EQF.</w:t>
      </w:r>
      <w:r w:rsidR="0066355C">
        <w:rPr>
          <w:rFonts w:ascii="Times New Roman" w:eastAsia="Times New Roman" w:hAnsi="Times New Roman" w:cs="Times New Roman"/>
          <w:kern w:val="0"/>
          <w:sz w:val="24"/>
          <w:szCs w:val="24"/>
          <w:lang w:val="ro-MD" w:eastAsia="ro-MD"/>
          <w14:ligatures w14:val="none"/>
        </w:rPr>
        <w:t xml:space="preserve"> După validare, </w:t>
      </w:r>
      <w:r w:rsidR="0066355C" w:rsidRPr="0066355C">
        <w:rPr>
          <w:rFonts w:ascii="Times New Roman" w:eastAsia="Times New Roman" w:hAnsi="Times New Roman" w:cs="Times New Roman"/>
          <w:kern w:val="0"/>
          <w:sz w:val="24"/>
          <w:szCs w:val="24"/>
          <w:lang w:val="ro-MD" w:eastAsia="ro-MD"/>
          <w14:ligatures w14:val="none"/>
        </w:rPr>
        <w:t xml:space="preserve">standardul de competență </w:t>
      </w:r>
      <w:r w:rsidR="0066355C" w:rsidRPr="00831624">
        <w:rPr>
          <w:rFonts w:ascii="Times New Roman" w:eastAsia="Times New Roman" w:hAnsi="Times New Roman" w:cs="Times New Roman"/>
          <w:kern w:val="0"/>
          <w:sz w:val="24"/>
          <w:szCs w:val="24"/>
          <w:lang w:val="ro-MD" w:eastAsia="ro-MD"/>
          <w14:ligatures w14:val="none"/>
        </w:rPr>
        <w:t>constituie baza pentru elaborarea standardului de calificare.</w:t>
      </w:r>
    </w:p>
    <w:p w14:paraId="333061DC" w14:textId="2DFE7D36" w:rsidR="004D2A27" w:rsidRPr="004D2A27" w:rsidRDefault="004D2A27" w:rsidP="00A41843">
      <w:pPr>
        <w:pStyle w:val="a7"/>
        <w:numPr>
          <w:ilvl w:val="1"/>
          <w:numId w:val="205"/>
        </w:numPr>
        <w:spacing w:before="120" w:after="120" w:line="276" w:lineRule="auto"/>
        <w:ind w:left="426" w:hanging="426"/>
        <w:jc w:val="both"/>
        <w:rPr>
          <w:rFonts w:ascii="Times New Roman" w:eastAsia="Times New Roman" w:hAnsi="Times New Roman" w:cs="Times New Roman"/>
          <w:kern w:val="0"/>
          <w:sz w:val="24"/>
          <w:szCs w:val="24"/>
          <w:lang w:val="ro-MD" w:eastAsia="ro-MD"/>
          <w14:ligatures w14:val="none"/>
        </w:rPr>
      </w:pPr>
      <w:r w:rsidRPr="00643A7C">
        <w:rPr>
          <w:rFonts w:ascii="Times New Roman" w:eastAsia="Times New Roman" w:hAnsi="Times New Roman" w:cs="Times New Roman"/>
          <w:i/>
          <w:iCs/>
          <w:kern w:val="0"/>
          <w:sz w:val="24"/>
          <w:szCs w:val="24"/>
          <w:lang w:val="ro-MD" w:eastAsia="ro-MD"/>
          <w14:ligatures w14:val="none"/>
        </w:rPr>
        <w:t>Elaborarea standardului de calificare</w:t>
      </w:r>
      <w:r w:rsidR="00C87F63" w:rsidRPr="00643A7C">
        <w:rPr>
          <w:rFonts w:ascii="Times New Roman" w:eastAsia="Times New Roman" w:hAnsi="Times New Roman" w:cs="Times New Roman"/>
          <w:i/>
          <w:iCs/>
          <w:kern w:val="0"/>
          <w:sz w:val="24"/>
          <w:szCs w:val="24"/>
          <w:lang w:val="ro-MD" w:eastAsia="ro-MD"/>
          <w14:ligatures w14:val="none"/>
        </w:rPr>
        <w:t>:</w:t>
      </w:r>
      <w:r w:rsidR="00C87F63" w:rsidRPr="00643A7C">
        <w:rPr>
          <w:rFonts w:ascii="Times New Roman" w:eastAsia="Times New Roman" w:hAnsi="Times New Roman" w:cs="Times New Roman"/>
          <w:kern w:val="0"/>
          <w:sz w:val="24"/>
          <w:szCs w:val="24"/>
          <w:lang w:val="ro-MD" w:eastAsia="ro-MD"/>
          <w14:ligatures w14:val="none"/>
        </w:rPr>
        <w:t xml:space="preserve"> </w:t>
      </w:r>
      <w:r w:rsidR="002C5BD3" w:rsidRPr="002C5BD3">
        <w:rPr>
          <w:rFonts w:ascii="Times New Roman" w:eastAsia="Times New Roman" w:hAnsi="Times New Roman" w:cs="Times New Roman"/>
          <w:kern w:val="0"/>
          <w:sz w:val="24"/>
          <w:szCs w:val="24"/>
          <w:lang w:val="ro-MD" w:eastAsia="ro-MD"/>
          <w14:ligatures w14:val="none"/>
        </w:rPr>
        <w:t>Grupul de lucru transpune competențele definite în standardul ocupațional (pentru nivelurile 3–5 CNC) sau în standardul de competență (pentru nivelurile 6–8 CNC) în rezultate ale învățării, structurate pe dimensiunile: cunoștințe, aptitudini, responsabilitate și autonomie, completând toate componentele standardului în conformitate cu cerințele metodologiei.</w:t>
      </w:r>
      <w:r w:rsidR="004F0249">
        <w:rPr>
          <w:rFonts w:ascii="Times New Roman" w:eastAsia="Times New Roman" w:hAnsi="Times New Roman" w:cs="Times New Roman"/>
          <w:kern w:val="0"/>
          <w:sz w:val="24"/>
          <w:szCs w:val="24"/>
          <w:lang w:val="ro-MD" w:eastAsia="ro-MD"/>
          <w14:ligatures w14:val="none"/>
        </w:rPr>
        <w:t xml:space="preserve"> </w:t>
      </w:r>
    </w:p>
    <w:p w14:paraId="0CCD7EC7" w14:textId="414D07A5" w:rsidR="004D2A27" w:rsidRPr="004D2A27" w:rsidRDefault="004D2A27" w:rsidP="00A41843">
      <w:pPr>
        <w:pStyle w:val="a7"/>
        <w:numPr>
          <w:ilvl w:val="1"/>
          <w:numId w:val="205"/>
        </w:numPr>
        <w:spacing w:after="0" w:line="276" w:lineRule="auto"/>
        <w:ind w:left="426" w:hanging="426"/>
        <w:jc w:val="both"/>
        <w:rPr>
          <w:rFonts w:ascii="Times New Roman" w:eastAsia="Times New Roman" w:hAnsi="Times New Roman" w:cs="Times New Roman"/>
          <w:kern w:val="0"/>
          <w:sz w:val="24"/>
          <w:szCs w:val="24"/>
          <w:lang w:val="ro-MD" w:eastAsia="ro-MD"/>
          <w14:ligatures w14:val="none"/>
        </w:rPr>
      </w:pPr>
      <w:r w:rsidRPr="004D2A27">
        <w:rPr>
          <w:rFonts w:ascii="Times New Roman" w:eastAsia="Times New Roman" w:hAnsi="Times New Roman" w:cs="Times New Roman"/>
          <w:i/>
          <w:iCs/>
          <w:kern w:val="0"/>
          <w:sz w:val="24"/>
          <w:szCs w:val="24"/>
          <w:lang w:val="ro-MD" w:eastAsia="ro-MD"/>
          <w14:ligatures w14:val="none"/>
        </w:rPr>
        <w:t>Validarea standardului de calificare</w:t>
      </w:r>
      <w:r w:rsidR="00644341" w:rsidRPr="00BD529A">
        <w:rPr>
          <w:rFonts w:ascii="Times New Roman" w:eastAsia="Times New Roman" w:hAnsi="Times New Roman" w:cs="Times New Roman"/>
          <w:i/>
          <w:iCs/>
          <w:kern w:val="0"/>
          <w:sz w:val="24"/>
          <w:szCs w:val="24"/>
          <w:lang w:val="ro-MD" w:eastAsia="ro-MD"/>
          <w14:ligatures w14:val="none"/>
        </w:rPr>
        <w:t>:</w:t>
      </w:r>
      <w:r w:rsidR="00644341">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 xml:space="preserve">Proiectul </w:t>
      </w:r>
      <w:r w:rsidR="00644341">
        <w:rPr>
          <w:rFonts w:ascii="Times New Roman" w:eastAsia="Times New Roman" w:hAnsi="Times New Roman" w:cs="Times New Roman"/>
          <w:kern w:val="0"/>
          <w:sz w:val="24"/>
          <w:szCs w:val="24"/>
          <w:lang w:val="ro-MD" w:eastAsia="ro-MD"/>
          <w14:ligatures w14:val="none"/>
        </w:rPr>
        <w:t xml:space="preserve">standardului </w:t>
      </w:r>
      <w:r w:rsidRPr="004D2A27">
        <w:rPr>
          <w:rFonts w:ascii="Times New Roman" w:eastAsia="Times New Roman" w:hAnsi="Times New Roman" w:cs="Times New Roman"/>
          <w:kern w:val="0"/>
          <w:sz w:val="24"/>
          <w:szCs w:val="24"/>
          <w:lang w:val="ro-MD" w:eastAsia="ro-MD"/>
          <w14:ligatures w14:val="none"/>
        </w:rPr>
        <w:t>este transmis către comisia de validare și partenerii sociali pentru consultare și confirmare a relevanței.</w:t>
      </w:r>
      <w:r w:rsidR="00BD529A">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Se completează Fișa de validare a conformității și Fișa de consultare (Anexele 3 și 4 ale metodologiei).</w:t>
      </w:r>
      <w:r w:rsidR="00BD529A">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 xml:space="preserve">Validarea </w:t>
      </w:r>
      <w:r w:rsidR="00CB5FD4" w:rsidRPr="00CB5FD4">
        <w:rPr>
          <w:rFonts w:ascii="Times New Roman" w:eastAsia="Times New Roman" w:hAnsi="Times New Roman" w:cs="Times New Roman"/>
          <w:kern w:val="0"/>
          <w:sz w:val="24"/>
          <w:szCs w:val="24"/>
          <w:lang w:val="ro-MD" w:eastAsia="ro-MD"/>
          <w14:ligatures w14:val="none"/>
        </w:rPr>
        <w:t xml:space="preserve">atestă coerența și conformitatea </w:t>
      </w:r>
      <w:r w:rsidR="001B28E0" w:rsidRPr="001B28E0">
        <w:rPr>
          <w:rFonts w:ascii="Times New Roman" w:eastAsia="Times New Roman" w:hAnsi="Times New Roman" w:cs="Times New Roman"/>
          <w:kern w:val="0"/>
          <w:sz w:val="24"/>
          <w:szCs w:val="24"/>
          <w:lang w:val="ro-MD" w:eastAsia="ro-MD"/>
          <w14:ligatures w14:val="none"/>
        </w:rPr>
        <w:t xml:space="preserve">standardului </w:t>
      </w:r>
      <w:r w:rsidRPr="004D2A27">
        <w:rPr>
          <w:rFonts w:ascii="Times New Roman" w:eastAsia="Times New Roman" w:hAnsi="Times New Roman" w:cs="Times New Roman"/>
          <w:kern w:val="0"/>
          <w:sz w:val="24"/>
          <w:szCs w:val="24"/>
          <w:lang w:val="ro-MD" w:eastAsia="ro-MD"/>
          <w14:ligatures w14:val="none"/>
        </w:rPr>
        <w:t>cu CNC și cerințele pieței muncii.</w:t>
      </w:r>
    </w:p>
    <w:p w14:paraId="42855090" w14:textId="24EBE118" w:rsidR="004D2A27" w:rsidRPr="004D2A27" w:rsidRDefault="004D2A27" w:rsidP="00A41843">
      <w:pPr>
        <w:pStyle w:val="a7"/>
        <w:numPr>
          <w:ilvl w:val="1"/>
          <w:numId w:val="205"/>
        </w:numPr>
        <w:spacing w:after="0" w:line="276" w:lineRule="auto"/>
        <w:ind w:left="426" w:hanging="426"/>
        <w:jc w:val="both"/>
        <w:rPr>
          <w:rFonts w:ascii="Times New Roman" w:eastAsia="Times New Roman" w:hAnsi="Times New Roman" w:cs="Times New Roman"/>
          <w:kern w:val="0"/>
          <w:sz w:val="24"/>
          <w:szCs w:val="24"/>
          <w:lang w:val="ro-MD" w:eastAsia="ro-MD"/>
          <w14:ligatures w14:val="none"/>
        </w:rPr>
      </w:pPr>
      <w:r w:rsidRPr="004D2A27">
        <w:rPr>
          <w:rFonts w:ascii="Times New Roman" w:eastAsia="Times New Roman" w:hAnsi="Times New Roman" w:cs="Times New Roman"/>
          <w:i/>
          <w:iCs/>
          <w:kern w:val="0"/>
          <w:sz w:val="24"/>
          <w:szCs w:val="24"/>
          <w:lang w:val="ro-MD" w:eastAsia="ro-MD"/>
          <w14:ligatures w14:val="none"/>
        </w:rPr>
        <w:t>Coordonarea cu ministerul de resort</w:t>
      </w:r>
      <w:r w:rsidR="005350AA" w:rsidRPr="005423C4">
        <w:rPr>
          <w:rFonts w:ascii="Times New Roman" w:eastAsia="Times New Roman" w:hAnsi="Times New Roman" w:cs="Times New Roman"/>
          <w:i/>
          <w:iCs/>
          <w:kern w:val="0"/>
          <w:sz w:val="24"/>
          <w:szCs w:val="24"/>
          <w:lang w:val="ro-MD" w:eastAsia="ro-MD"/>
          <w14:ligatures w14:val="none"/>
        </w:rPr>
        <w:t>.</w:t>
      </w:r>
      <w:r w:rsidR="005350AA">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După validare, standardul este transmis ministerului de resort responsabil pentru domeniul respectiv, care asigură coerența sectorială și confirmă aplicabilitatea în practică a calificării propuse.</w:t>
      </w:r>
    </w:p>
    <w:p w14:paraId="0F708DF7" w14:textId="33B8D078" w:rsidR="004D2A27" w:rsidRPr="004D2A27" w:rsidRDefault="004D2A27" w:rsidP="00A41843">
      <w:pPr>
        <w:pStyle w:val="a7"/>
        <w:numPr>
          <w:ilvl w:val="1"/>
          <w:numId w:val="205"/>
        </w:numPr>
        <w:spacing w:after="0" w:line="276" w:lineRule="auto"/>
        <w:ind w:left="426" w:hanging="426"/>
        <w:jc w:val="both"/>
        <w:rPr>
          <w:rFonts w:ascii="Times New Roman" w:eastAsia="Times New Roman" w:hAnsi="Times New Roman" w:cs="Times New Roman"/>
          <w:kern w:val="0"/>
          <w:sz w:val="24"/>
          <w:szCs w:val="24"/>
          <w:lang w:val="ro-MD" w:eastAsia="ro-MD"/>
          <w14:ligatures w14:val="none"/>
        </w:rPr>
      </w:pPr>
      <w:r w:rsidRPr="004D2A27">
        <w:rPr>
          <w:rFonts w:ascii="Times New Roman" w:eastAsia="Times New Roman" w:hAnsi="Times New Roman" w:cs="Times New Roman"/>
          <w:i/>
          <w:iCs/>
          <w:kern w:val="0"/>
          <w:sz w:val="24"/>
          <w:szCs w:val="24"/>
          <w:lang w:val="ro-MD" w:eastAsia="ro-MD"/>
          <w14:ligatures w14:val="none"/>
        </w:rPr>
        <w:t>Avizarea de către Consiliul Național pentru Calificări</w:t>
      </w:r>
      <w:r w:rsidR="005423C4">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Consiliul examinează standardul, avizează conținutul și propune MEC aprobarea acestuia.</w:t>
      </w:r>
      <w:r w:rsidR="005D5BB1">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Această etapă asigură transparența și consensul intersectorial.</w:t>
      </w:r>
    </w:p>
    <w:p w14:paraId="6F9E20DD" w14:textId="3598D8D3" w:rsidR="003A4D51" w:rsidRPr="00593579" w:rsidRDefault="004D2A27" w:rsidP="00A41843">
      <w:pPr>
        <w:pStyle w:val="a7"/>
        <w:numPr>
          <w:ilvl w:val="1"/>
          <w:numId w:val="205"/>
        </w:numPr>
        <w:spacing w:after="0" w:line="276" w:lineRule="auto"/>
        <w:ind w:left="426" w:hanging="426"/>
        <w:jc w:val="both"/>
        <w:rPr>
          <w:rFonts w:ascii="Times New Roman" w:eastAsia="Times New Roman" w:hAnsi="Times New Roman" w:cs="Times New Roman"/>
          <w:kern w:val="0"/>
          <w:sz w:val="24"/>
          <w:szCs w:val="24"/>
          <w:lang w:val="ro-MD" w:eastAsia="ro-MD"/>
          <w14:ligatures w14:val="none"/>
        </w:rPr>
      </w:pPr>
      <w:r w:rsidRPr="004D2A27">
        <w:rPr>
          <w:rFonts w:ascii="Times New Roman" w:eastAsia="Times New Roman" w:hAnsi="Times New Roman" w:cs="Times New Roman"/>
          <w:i/>
          <w:iCs/>
          <w:kern w:val="0"/>
          <w:sz w:val="24"/>
          <w:szCs w:val="24"/>
          <w:lang w:val="ro-MD" w:eastAsia="ro-MD"/>
          <w14:ligatures w14:val="none"/>
        </w:rPr>
        <w:t>Aprobarea și înregistrarea standardului de calificare</w:t>
      </w:r>
      <w:r w:rsidR="005D5BB1" w:rsidRPr="00113ED1">
        <w:rPr>
          <w:rFonts w:ascii="Times New Roman" w:eastAsia="Times New Roman" w:hAnsi="Times New Roman" w:cs="Times New Roman"/>
          <w:i/>
          <w:iCs/>
          <w:kern w:val="0"/>
          <w:sz w:val="24"/>
          <w:szCs w:val="24"/>
          <w:lang w:val="ro-MD" w:eastAsia="ro-MD"/>
          <w14:ligatures w14:val="none"/>
        </w:rPr>
        <w:t>:</w:t>
      </w:r>
      <w:r w:rsidR="005D5BB1" w:rsidRPr="00113ED1">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 xml:space="preserve">MEC aprobă standardul prin ordin ministerial și dispune înregistrarea acestuia în </w:t>
      </w:r>
      <w:r w:rsidR="00711D54" w:rsidRPr="00113ED1">
        <w:rPr>
          <w:rFonts w:ascii="Times New Roman" w:eastAsia="Times New Roman" w:hAnsi="Times New Roman" w:cs="Times New Roman"/>
          <w:kern w:val="0"/>
          <w:sz w:val="24"/>
          <w:szCs w:val="24"/>
          <w:lang w:val="ro-MD" w:eastAsia="ro-MD"/>
          <w14:ligatures w14:val="none"/>
        </w:rPr>
        <w:t xml:space="preserve">CNC și </w:t>
      </w:r>
      <w:r w:rsidRPr="004D2A27">
        <w:rPr>
          <w:rFonts w:ascii="Times New Roman" w:eastAsia="Times New Roman" w:hAnsi="Times New Roman" w:cs="Times New Roman"/>
          <w:kern w:val="0"/>
          <w:sz w:val="24"/>
          <w:szCs w:val="24"/>
          <w:lang w:val="ro-MD" w:eastAsia="ro-MD"/>
          <w14:ligatures w14:val="none"/>
        </w:rPr>
        <w:t>RNC</w:t>
      </w:r>
      <w:r w:rsidR="007101EF" w:rsidRPr="00113ED1">
        <w:rPr>
          <w:rFonts w:ascii="Times New Roman" w:eastAsia="Times New Roman" w:hAnsi="Times New Roman" w:cs="Times New Roman"/>
          <w:kern w:val="0"/>
          <w:sz w:val="24"/>
          <w:szCs w:val="24"/>
          <w:lang w:val="ro-MD" w:eastAsia="ro-MD"/>
          <w14:ligatures w14:val="none"/>
        </w:rPr>
        <w:t xml:space="preserve">. </w:t>
      </w:r>
      <w:r w:rsidR="00113ED1" w:rsidRPr="00113ED1">
        <w:rPr>
          <w:rFonts w:ascii="Times New Roman" w:eastAsia="Times New Roman" w:hAnsi="Times New Roman" w:cs="Times New Roman"/>
          <w:kern w:val="0"/>
          <w:sz w:val="24"/>
          <w:szCs w:val="24"/>
          <w:lang w:val="ro-MD" w:eastAsia="ro-MD"/>
          <w14:ligatures w14:val="none"/>
        </w:rPr>
        <w:t>Includerea în CNC se face pe baza corespunderii descriptorilor calificării cu nivelul CNC, conform art. 109–110 din HG nr. 330/2023.</w:t>
      </w:r>
      <w:r w:rsidR="00113ED1">
        <w:rPr>
          <w:rFonts w:ascii="Times New Roman" w:eastAsia="Times New Roman" w:hAnsi="Times New Roman" w:cs="Times New Roman"/>
          <w:kern w:val="0"/>
          <w:sz w:val="24"/>
          <w:szCs w:val="24"/>
          <w:lang w:val="ro-MD" w:eastAsia="ro-MD"/>
          <w14:ligatures w14:val="none"/>
        </w:rPr>
        <w:t xml:space="preserve"> </w:t>
      </w:r>
      <w:r w:rsidRPr="004D2A27">
        <w:rPr>
          <w:rFonts w:ascii="Times New Roman" w:eastAsia="Times New Roman" w:hAnsi="Times New Roman" w:cs="Times New Roman"/>
          <w:kern w:val="0"/>
          <w:sz w:val="24"/>
          <w:szCs w:val="24"/>
          <w:lang w:val="ro-MD" w:eastAsia="ro-MD"/>
          <w14:ligatures w14:val="none"/>
        </w:rPr>
        <w:t>Odată înregistrat, standardul devine referință oficială pentru programele de formare profesională și pentru procesul de evaluare și certificare a competențelor</w:t>
      </w:r>
      <w:r w:rsidR="00593579">
        <w:rPr>
          <w:rFonts w:ascii="Times New Roman" w:eastAsia="Times New Roman" w:hAnsi="Times New Roman" w:cs="Times New Roman"/>
          <w:kern w:val="0"/>
          <w:sz w:val="24"/>
          <w:szCs w:val="24"/>
          <w:lang w:val="ro-MD" w:eastAsia="ro-MD"/>
          <w14:ligatures w14:val="none"/>
        </w:rPr>
        <w:t>.</w:t>
      </w:r>
    </w:p>
    <w:p w14:paraId="280B7A9F" w14:textId="26686D9D" w:rsidR="00F52E5D" w:rsidRPr="00605C71" w:rsidRDefault="00FB4C2C" w:rsidP="003A4D51">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Pr>
          <w:rFonts w:ascii="Times New Roman" w:eastAsia="Times New Roman" w:hAnsi="Times New Roman" w:cs="Times New Roman"/>
          <w:b/>
          <w:bCs/>
          <w:color w:val="3494BA" w:themeColor="accent1"/>
          <w:kern w:val="0"/>
          <w:sz w:val="24"/>
          <w:szCs w:val="24"/>
          <w:lang w:val="ro-MD" w:eastAsia="ro-MD"/>
          <w14:ligatures w14:val="none"/>
        </w:rPr>
        <w:t xml:space="preserve">4. </w:t>
      </w:r>
      <w:r w:rsidR="00605C71" w:rsidRPr="00605C71">
        <w:rPr>
          <w:rFonts w:ascii="Times New Roman" w:eastAsia="Times New Roman" w:hAnsi="Times New Roman" w:cs="Times New Roman"/>
          <w:b/>
          <w:bCs/>
          <w:color w:val="3494BA" w:themeColor="accent1"/>
          <w:kern w:val="0"/>
          <w:sz w:val="24"/>
          <w:szCs w:val="24"/>
          <w:lang w:val="ro-MD" w:eastAsia="ro-MD"/>
          <w14:ligatures w14:val="none"/>
        </w:rPr>
        <w:t>Rolul și funcțiile</w:t>
      </w:r>
      <w:r w:rsidR="003A4D51" w:rsidRPr="00605C71">
        <w:rPr>
          <w:rFonts w:ascii="Times New Roman" w:eastAsia="Times New Roman" w:hAnsi="Times New Roman" w:cs="Times New Roman"/>
          <w:b/>
          <w:bCs/>
          <w:color w:val="3494BA" w:themeColor="accent1"/>
          <w:kern w:val="0"/>
          <w:sz w:val="24"/>
          <w:szCs w:val="24"/>
          <w:lang w:val="ro-MD" w:eastAsia="ro-MD"/>
          <w14:ligatures w14:val="none"/>
        </w:rPr>
        <w:t xml:space="preserve"> Registrul Național al Calificărilor (RNC)</w:t>
      </w:r>
    </w:p>
    <w:p w14:paraId="16A40365" w14:textId="45FF373B" w:rsidR="005E1220" w:rsidRPr="00F72C70" w:rsidRDefault="005E1220" w:rsidP="00F72C70">
      <w:p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După aprobare, fiecare calificare este înscrisă în RNC, gestionat de MEC, în conformitate cu Metodologia de înscriere a calificării în RNC, aprobată prin ordin ministerial.</w:t>
      </w:r>
      <w:r w:rsidR="00AC38C3">
        <w:rPr>
          <w:rFonts w:ascii="Times New Roman" w:hAnsi="Times New Roman" w:cs="Times New Roman"/>
          <w:sz w:val="24"/>
          <w:szCs w:val="24"/>
        </w:rPr>
        <w:t xml:space="preserve"> </w:t>
      </w:r>
      <w:r w:rsidRPr="00F72C70">
        <w:rPr>
          <w:rFonts w:ascii="Times New Roman" w:hAnsi="Times New Roman" w:cs="Times New Roman"/>
          <w:sz w:val="24"/>
          <w:szCs w:val="24"/>
        </w:rPr>
        <w:t>RNC reprezintă instrumentul oficial de documentare, publicare și consultare a calificărilor incluse în CNC și conține informații standardizate privind:</w:t>
      </w:r>
    </w:p>
    <w:p w14:paraId="2D2301C6" w14:textId="77777777" w:rsidR="005E1220" w:rsidRPr="00F72C70" w:rsidRDefault="005E1220" w:rsidP="00A41843">
      <w:pPr>
        <w:pStyle w:val="a7"/>
        <w:numPr>
          <w:ilvl w:val="0"/>
          <w:numId w:val="210"/>
        </w:num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denumirea calificării și nivelul CNC;</w:t>
      </w:r>
    </w:p>
    <w:p w14:paraId="3307D8BB" w14:textId="77777777" w:rsidR="005E1220" w:rsidRPr="00F72C70" w:rsidRDefault="005E1220" w:rsidP="00A41843">
      <w:pPr>
        <w:pStyle w:val="a7"/>
        <w:numPr>
          <w:ilvl w:val="0"/>
          <w:numId w:val="210"/>
        </w:num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domeniul de formare profesională;</w:t>
      </w:r>
    </w:p>
    <w:p w14:paraId="4F124291" w14:textId="77777777" w:rsidR="005E1220" w:rsidRPr="00F72C70" w:rsidRDefault="005E1220" w:rsidP="00A41843">
      <w:pPr>
        <w:pStyle w:val="a7"/>
        <w:numPr>
          <w:ilvl w:val="0"/>
          <w:numId w:val="210"/>
        </w:num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rezultatele învățării și sistemul de credite;</w:t>
      </w:r>
    </w:p>
    <w:p w14:paraId="0A909D34" w14:textId="77777777" w:rsidR="005E1220" w:rsidRPr="00F72C70" w:rsidRDefault="005E1220" w:rsidP="00A41843">
      <w:pPr>
        <w:pStyle w:val="a7"/>
        <w:numPr>
          <w:ilvl w:val="0"/>
          <w:numId w:val="210"/>
        </w:num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standardul de calificare și actele normative de aprobare.</w:t>
      </w:r>
    </w:p>
    <w:p w14:paraId="68EB9646" w14:textId="6EA18038" w:rsidR="005E1220" w:rsidRPr="00F72C70" w:rsidRDefault="005E1220" w:rsidP="00F72C70">
      <w:p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Conform art. 111–112 din HG nr. 330/2023, în RNC sunt înscrise toate calificările complete și parțiale care au parcurs procedurile de validare și aprobare de către MEC. Înregistrarea confirmă statutul oficial al calificării și îi asigură vizibilitate publică pentru instituțiile de învățământ, angajatori și parteneri internaționali.</w:t>
      </w:r>
      <w:r w:rsidR="00D9667A">
        <w:rPr>
          <w:rFonts w:ascii="Times New Roman" w:hAnsi="Times New Roman" w:cs="Times New Roman"/>
          <w:sz w:val="24"/>
          <w:szCs w:val="24"/>
        </w:rPr>
        <w:t xml:space="preserve"> </w:t>
      </w:r>
      <w:r w:rsidR="008A0498">
        <w:rPr>
          <w:rFonts w:ascii="Times New Roman" w:hAnsi="Times New Roman" w:cs="Times New Roman"/>
          <w:sz w:val="24"/>
          <w:szCs w:val="24"/>
        </w:rPr>
        <w:t xml:space="preserve">La etapa actuală, </w:t>
      </w:r>
      <w:r w:rsidR="00253919">
        <w:rPr>
          <w:rFonts w:ascii="Times New Roman" w:hAnsi="Times New Roman" w:cs="Times New Roman"/>
          <w:sz w:val="24"/>
          <w:szCs w:val="24"/>
        </w:rPr>
        <w:t xml:space="preserve">au fost elaborate/actualizate </w:t>
      </w:r>
      <w:r w:rsidR="004D7231">
        <w:rPr>
          <w:rFonts w:ascii="Times New Roman" w:hAnsi="Times New Roman" w:cs="Times New Roman"/>
          <w:sz w:val="24"/>
          <w:szCs w:val="24"/>
        </w:rPr>
        <w:t xml:space="preserve">și aprobate de Consiliul </w:t>
      </w:r>
      <w:r w:rsidR="004D7231">
        <w:rPr>
          <w:rFonts w:ascii="Times New Roman" w:hAnsi="Times New Roman" w:cs="Times New Roman"/>
          <w:sz w:val="24"/>
          <w:szCs w:val="24"/>
        </w:rPr>
        <w:lastRenderedPageBreak/>
        <w:t xml:space="preserve">Național pentru Calificări 411 standarde de calificare pentru </w:t>
      </w:r>
      <w:r w:rsidR="00D17218">
        <w:rPr>
          <w:rFonts w:ascii="Times New Roman" w:hAnsi="Times New Roman" w:cs="Times New Roman"/>
          <w:sz w:val="24"/>
          <w:szCs w:val="24"/>
        </w:rPr>
        <w:t>nivelurile 3-</w:t>
      </w:r>
      <w:r w:rsidR="006A418B">
        <w:rPr>
          <w:rFonts w:ascii="Times New Roman" w:hAnsi="Times New Roman" w:cs="Times New Roman"/>
          <w:sz w:val="24"/>
          <w:szCs w:val="24"/>
        </w:rPr>
        <w:t xml:space="preserve">8 CNC/EQF, dintre care 331 sunt publicate </w:t>
      </w:r>
      <w:r w:rsidR="00120F03">
        <w:rPr>
          <w:rFonts w:ascii="Times New Roman" w:hAnsi="Times New Roman" w:cs="Times New Roman"/>
          <w:sz w:val="24"/>
          <w:szCs w:val="24"/>
        </w:rPr>
        <w:t>pe platforma</w:t>
      </w:r>
      <w:r w:rsidR="00B00838">
        <w:rPr>
          <w:rFonts w:ascii="Times New Roman" w:hAnsi="Times New Roman" w:cs="Times New Roman"/>
          <w:sz w:val="24"/>
          <w:szCs w:val="24"/>
        </w:rPr>
        <w:t xml:space="preserve"> RNC (</w:t>
      </w:r>
      <w:hyperlink r:id="rId73" w:history="1">
        <w:r w:rsidR="00B00838" w:rsidRPr="00B00838">
          <w:rPr>
            <w:rStyle w:val="aff0"/>
            <w:rFonts w:ascii="Times New Roman" w:hAnsi="Times New Roman" w:cs="Times New Roman"/>
            <w:sz w:val="24"/>
            <w:szCs w:val="24"/>
          </w:rPr>
          <w:t>link</w:t>
        </w:r>
      </w:hyperlink>
      <w:r w:rsidR="00B00838">
        <w:rPr>
          <w:rFonts w:ascii="Times New Roman" w:hAnsi="Times New Roman" w:cs="Times New Roman"/>
          <w:sz w:val="24"/>
          <w:szCs w:val="24"/>
        </w:rPr>
        <w:t xml:space="preserve">). </w:t>
      </w:r>
      <w:r w:rsidR="004D7231">
        <w:rPr>
          <w:rFonts w:ascii="Times New Roman" w:hAnsi="Times New Roman" w:cs="Times New Roman"/>
          <w:sz w:val="24"/>
          <w:szCs w:val="24"/>
        </w:rPr>
        <w:t xml:space="preserve"> </w:t>
      </w:r>
    </w:p>
    <w:p w14:paraId="30F0F916" w14:textId="568BFF42" w:rsidR="005E1220" w:rsidRPr="00F72C70" w:rsidRDefault="005E1220" w:rsidP="00F72C70">
      <w:p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RNC este aliniat la CNC și interoperabil cu Portalul European al EQF, fiind actualizat periodic pentru a reflecta schimbările din sistemul educațional și din piața muncii. Prin aceste caracteristici, RNC consolidează transparența, recunoașterea națională și internațională a calificărilor, mobilitatea beneficiarilor și analiza strategică a politicilor educaționale.</w:t>
      </w:r>
    </w:p>
    <w:p w14:paraId="27908BEC" w14:textId="2B4EE6D9" w:rsidR="005E1220" w:rsidRPr="00F72C70" w:rsidRDefault="005E1220" w:rsidP="00F72C70">
      <w:pPr>
        <w:spacing w:before="120" w:after="120" w:line="276" w:lineRule="auto"/>
        <w:jc w:val="both"/>
        <w:rPr>
          <w:rFonts w:ascii="Times New Roman" w:hAnsi="Times New Roman" w:cs="Times New Roman"/>
          <w:sz w:val="24"/>
          <w:szCs w:val="24"/>
        </w:rPr>
      </w:pPr>
      <w:r w:rsidRPr="00F72C70">
        <w:rPr>
          <w:rFonts w:ascii="Times New Roman" w:hAnsi="Times New Roman" w:cs="Times New Roman"/>
          <w:sz w:val="24"/>
          <w:szCs w:val="24"/>
        </w:rPr>
        <w:t>Astfel, R</w:t>
      </w:r>
      <w:r w:rsidR="00D154C1">
        <w:rPr>
          <w:rFonts w:ascii="Times New Roman" w:hAnsi="Times New Roman" w:cs="Times New Roman"/>
          <w:sz w:val="24"/>
          <w:szCs w:val="24"/>
        </w:rPr>
        <w:t>NC</w:t>
      </w:r>
      <w:r w:rsidRPr="00F72C70">
        <w:rPr>
          <w:rFonts w:ascii="Times New Roman" w:hAnsi="Times New Roman" w:cs="Times New Roman"/>
          <w:sz w:val="24"/>
          <w:szCs w:val="24"/>
        </w:rPr>
        <w:t xml:space="preserve"> funcționează ca o platformă națională de transparență și garanție a calității, oferind o imagine clară asupra calificărilor existente, a corespondenței lor cu nivelurile EQF și a modului în care acestea răspund nevoilor pieței muncii.</w:t>
      </w:r>
      <w:r w:rsidR="00AC38C3">
        <w:rPr>
          <w:rFonts w:ascii="Times New Roman" w:hAnsi="Times New Roman" w:cs="Times New Roman"/>
          <w:sz w:val="24"/>
          <w:szCs w:val="24"/>
        </w:rPr>
        <w:t xml:space="preserve"> </w:t>
      </w:r>
      <w:r w:rsidRPr="00F72C70">
        <w:rPr>
          <w:rFonts w:ascii="Times New Roman" w:hAnsi="Times New Roman" w:cs="Times New Roman"/>
          <w:sz w:val="24"/>
          <w:szCs w:val="24"/>
        </w:rPr>
        <w:t>Prin publicarea deschisă a datelor, RNC facilitează accesul public la informații și monitorizarea procesului de către toate părțile interesate — instituții de formare, angajatori, beneficiari și parteneri internaționali.</w:t>
      </w:r>
    </w:p>
    <w:p w14:paraId="56CCC94A" w14:textId="6A4FCC1E" w:rsidR="00FB4C2C" w:rsidRPr="00FB4C2C" w:rsidRDefault="00FB4C2C" w:rsidP="00D4056A">
      <w:pPr>
        <w:spacing w:before="120" w:after="120" w:line="276" w:lineRule="auto"/>
        <w:jc w:val="both"/>
        <w:outlineLvl w:val="2"/>
        <w:rPr>
          <w:rFonts w:ascii="Times New Roman" w:eastAsia="Times New Roman" w:hAnsi="Times New Roman" w:cs="Times New Roman"/>
          <w:b/>
          <w:bCs/>
          <w:color w:val="3494BA" w:themeColor="accent1"/>
          <w:kern w:val="0"/>
          <w:sz w:val="24"/>
          <w:szCs w:val="24"/>
          <w:lang w:val="ro-MD" w:eastAsia="ro-MD"/>
          <w14:ligatures w14:val="none"/>
        </w:rPr>
      </w:pPr>
      <w:r w:rsidRPr="00FB4C2C">
        <w:rPr>
          <w:rFonts w:ascii="Times New Roman" w:eastAsia="Times New Roman" w:hAnsi="Times New Roman" w:cs="Times New Roman"/>
          <w:b/>
          <w:bCs/>
          <w:color w:val="3494BA" w:themeColor="accent1"/>
          <w:kern w:val="0"/>
          <w:sz w:val="24"/>
          <w:szCs w:val="24"/>
          <w:lang w:val="ro-MD" w:eastAsia="ro-MD"/>
          <w14:ligatures w14:val="none"/>
        </w:rPr>
        <w:t xml:space="preserve">5. </w:t>
      </w:r>
      <w:r w:rsidR="00D4056A" w:rsidRPr="00FB4C2C">
        <w:rPr>
          <w:rFonts w:ascii="Times New Roman" w:eastAsia="Times New Roman" w:hAnsi="Times New Roman" w:cs="Times New Roman"/>
          <w:b/>
          <w:bCs/>
          <w:color w:val="3494BA" w:themeColor="accent1"/>
          <w:kern w:val="0"/>
          <w:sz w:val="24"/>
          <w:szCs w:val="24"/>
          <w:lang w:val="ro-MD" w:eastAsia="ro-MD"/>
          <w14:ligatures w14:val="none"/>
        </w:rPr>
        <w:t xml:space="preserve">Implementarea și monitorizarea continuă a calificărilor </w:t>
      </w:r>
    </w:p>
    <w:p w14:paraId="4D7572E3" w14:textId="5B368D04" w:rsidR="00D4056A" w:rsidRPr="00D4056A" w:rsidRDefault="00D4056A" w:rsidP="00D4056A">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D4056A">
        <w:rPr>
          <w:rFonts w:ascii="Times New Roman" w:eastAsia="Times New Roman" w:hAnsi="Times New Roman" w:cs="Times New Roman"/>
          <w:kern w:val="0"/>
          <w:sz w:val="24"/>
          <w:szCs w:val="24"/>
          <w:lang w:val="ro-MD" w:eastAsia="ro-MD"/>
          <w14:ligatures w14:val="none"/>
        </w:rPr>
        <w:t>După includerea calificării în Cadrul CNC și RNC, urmează etapa de implementare și monitorizare continuă. Pe baza standardului de calificare aprobat, instituțiile de învățământ și alți furnizori elaborează programele de studii și curriculumurile aferente, asigurând coerența cu cerințele pieței muncii și cu descriptorii CNC.</w:t>
      </w:r>
    </w:p>
    <w:p w14:paraId="79016AFE" w14:textId="756291DC" w:rsidR="005A6EB5" w:rsidRPr="005A6EB5" w:rsidRDefault="005A6EB5" w:rsidP="005A6EB5">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5A6EB5">
        <w:rPr>
          <w:rFonts w:ascii="Times New Roman" w:eastAsia="Times New Roman" w:hAnsi="Times New Roman" w:cs="Times New Roman"/>
          <w:kern w:val="0"/>
          <w:sz w:val="24"/>
          <w:szCs w:val="24"/>
          <w:lang w:val="ro-MD" w:eastAsia="ro-MD"/>
          <w14:ligatures w14:val="none"/>
        </w:rPr>
        <w:t xml:space="preserve">Calificările implementate sunt supuse revizuirii periodice pentru a </w:t>
      </w:r>
      <w:r w:rsidR="00F86456">
        <w:rPr>
          <w:rFonts w:ascii="Times New Roman" w:eastAsia="Times New Roman" w:hAnsi="Times New Roman" w:cs="Times New Roman"/>
          <w:kern w:val="0"/>
          <w:sz w:val="24"/>
          <w:szCs w:val="24"/>
          <w:lang w:val="ro-MD" w:eastAsia="ro-MD"/>
          <w14:ligatures w14:val="none"/>
        </w:rPr>
        <w:t>asigura</w:t>
      </w:r>
      <w:r w:rsidRPr="005A6EB5">
        <w:rPr>
          <w:rFonts w:ascii="Times New Roman" w:eastAsia="Times New Roman" w:hAnsi="Times New Roman" w:cs="Times New Roman"/>
          <w:kern w:val="0"/>
          <w:sz w:val="24"/>
          <w:szCs w:val="24"/>
          <w:lang w:val="ro-MD" w:eastAsia="ro-MD"/>
          <w14:ligatures w14:val="none"/>
        </w:rPr>
        <w:t xml:space="preserve"> relevanța </w:t>
      </w:r>
      <w:r w:rsidR="00F86456">
        <w:rPr>
          <w:rFonts w:ascii="Times New Roman" w:eastAsia="Times New Roman" w:hAnsi="Times New Roman" w:cs="Times New Roman"/>
          <w:kern w:val="0"/>
          <w:sz w:val="24"/>
          <w:szCs w:val="24"/>
          <w:lang w:val="ro-MD" w:eastAsia="ro-MD"/>
          <w14:ligatures w14:val="none"/>
        </w:rPr>
        <w:t xml:space="preserve">acestora </w:t>
      </w:r>
      <w:r w:rsidRPr="005A6EB5">
        <w:rPr>
          <w:rFonts w:ascii="Times New Roman" w:eastAsia="Times New Roman" w:hAnsi="Times New Roman" w:cs="Times New Roman"/>
          <w:kern w:val="0"/>
          <w:sz w:val="24"/>
          <w:szCs w:val="24"/>
          <w:lang w:val="ro-MD" w:eastAsia="ro-MD"/>
          <w14:ligatures w14:val="none"/>
        </w:rPr>
        <w:t>în raport cu evoluțiile tehnologice, economice și ocupaționale.</w:t>
      </w:r>
      <w:r w:rsidR="00F86456">
        <w:rPr>
          <w:rFonts w:ascii="Times New Roman" w:eastAsia="Times New Roman" w:hAnsi="Times New Roman" w:cs="Times New Roman"/>
          <w:kern w:val="0"/>
          <w:sz w:val="24"/>
          <w:szCs w:val="24"/>
          <w:lang w:val="ro-MD" w:eastAsia="ro-MD"/>
          <w14:ligatures w14:val="none"/>
        </w:rPr>
        <w:t xml:space="preserve"> </w:t>
      </w:r>
      <w:r w:rsidRPr="005A6EB5">
        <w:rPr>
          <w:rFonts w:ascii="Times New Roman" w:eastAsia="Times New Roman" w:hAnsi="Times New Roman" w:cs="Times New Roman"/>
          <w:kern w:val="0"/>
          <w:sz w:val="24"/>
          <w:szCs w:val="24"/>
          <w:lang w:val="ro-MD" w:eastAsia="ro-MD"/>
          <w14:ligatures w14:val="none"/>
        </w:rPr>
        <w:t>MEC menține un mecanism de consultare și feedback continuu, prin care actorii educaționali, economici și sociali pot propune actualizarea sau arhivarea calificărilor, în funcție de cerințele pieței muncii.</w:t>
      </w:r>
    </w:p>
    <w:p w14:paraId="6C12600C" w14:textId="2F4593F5" w:rsidR="00D4056A" w:rsidRDefault="005A6EB5" w:rsidP="005A6EB5">
      <w:pPr>
        <w:spacing w:before="120" w:after="120" w:line="276" w:lineRule="auto"/>
        <w:jc w:val="both"/>
        <w:outlineLvl w:val="2"/>
        <w:rPr>
          <w:rFonts w:ascii="Times New Roman" w:eastAsia="Times New Roman" w:hAnsi="Times New Roman" w:cs="Times New Roman"/>
          <w:kern w:val="0"/>
          <w:sz w:val="24"/>
          <w:szCs w:val="24"/>
          <w:lang w:val="ro-MD" w:eastAsia="ro-MD"/>
          <w14:ligatures w14:val="none"/>
        </w:rPr>
      </w:pPr>
      <w:r w:rsidRPr="005A6EB5">
        <w:rPr>
          <w:rFonts w:ascii="Times New Roman" w:eastAsia="Times New Roman" w:hAnsi="Times New Roman" w:cs="Times New Roman"/>
          <w:kern w:val="0"/>
          <w:sz w:val="24"/>
          <w:szCs w:val="24"/>
          <w:lang w:val="ro-MD" w:eastAsia="ro-MD"/>
          <w14:ligatures w14:val="none"/>
        </w:rPr>
        <w:t>În cadrul acestui proces, MEC, în colaborare cu ANACEC, comitetele sectoriale pentru formare profesională și instituțiile de învățământ, evaluează periodic relevanța calificărilor și decide, după caz, actualizarea, modernizarea sau radierea celor care au devenit necorespunzătoare contextului actual, conform art. 86 pct. 8 din HG nr. 330/2023.</w:t>
      </w:r>
      <w:r w:rsidR="00DC2B45">
        <w:rPr>
          <w:rFonts w:ascii="Times New Roman" w:eastAsia="Times New Roman" w:hAnsi="Times New Roman" w:cs="Times New Roman"/>
          <w:kern w:val="0"/>
          <w:sz w:val="24"/>
          <w:szCs w:val="24"/>
          <w:lang w:val="ro-MD" w:eastAsia="ro-MD"/>
          <w14:ligatures w14:val="none"/>
        </w:rPr>
        <w:t xml:space="preserve"> </w:t>
      </w:r>
      <w:r w:rsidR="00D4056A" w:rsidRPr="00D4056A">
        <w:rPr>
          <w:rFonts w:ascii="Times New Roman" w:eastAsia="Times New Roman" w:hAnsi="Times New Roman" w:cs="Times New Roman"/>
          <w:kern w:val="0"/>
          <w:sz w:val="24"/>
          <w:szCs w:val="24"/>
          <w:lang w:val="ro-MD" w:eastAsia="ro-MD"/>
          <w14:ligatures w14:val="none"/>
        </w:rPr>
        <w:t xml:space="preserve">Aceste mecanisme asigură calitatea, actualitatea și adaptabilitatea sistemului de calificări, consolidând capacitatea CNC de a răspunde </w:t>
      </w:r>
      <w:r w:rsidR="00DF36BA">
        <w:rPr>
          <w:rFonts w:ascii="Times New Roman" w:eastAsia="Times New Roman" w:hAnsi="Times New Roman" w:cs="Times New Roman"/>
          <w:kern w:val="0"/>
          <w:sz w:val="24"/>
          <w:szCs w:val="24"/>
          <w:lang w:val="ro-MD" w:eastAsia="ro-MD"/>
          <w14:ligatures w14:val="none"/>
        </w:rPr>
        <w:t>în mod continu</w:t>
      </w:r>
      <w:r w:rsidR="00CB4E12">
        <w:rPr>
          <w:rFonts w:ascii="Times New Roman" w:eastAsia="Times New Roman" w:hAnsi="Times New Roman" w:cs="Times New Roman"/>
          <w:kern w:val="0"/>
          <w:sz w:val="24"/>
          <w:szCs w:val="24"/>
          <w:lang w:val="ro-MD" w:eastAsia="ro-MD"/>
          <w14:ligatures w14:val="none"/>
        </w:rPr>
        <w:t>u</w:t>
      </w:r>
      <w:r w:rsidR="00D4056A" w:rsidRPr="00D4056A">
        <w:rPr>
          <w:rFonts w:ascii="Times New Roman" w:eastAsia="Times New Roman" w:hAnsi="Times New Roman" w:cs="Times New Roman"/>
          <w:kern w:val="0"/>
          <w:sz w:val="24"/>
          <w:szCs w:val="24"/>
          <w:lang w:val="ro-MD" w:eastAsia="ro-MD"/>
          <w14:ligatures w14:val="none"/>
        </w:rPr>
        <w:t xml:space="preserve"> nevoilor pieței muncii și obiectivelor educației pe tot parcursul vieții.</w:t>
      </w:r>
    </w:p>
    <w:p w14:paraId="597B7569" w14:textId="1DF3A3C8" w:rsidR="00D81406" w:rsidRPr="00403F7D" w:rsidRDefault="00D81406" w:rsidP="00657917">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403F7D">
        <w:rPr>
          <w:rFonts w:ascii="Times New Roman" w:eastAsia="Times New Roman" w:hAnsi="Times New Roman" w:cs="Times New Roman"/>
          <w:b/>
          <w:bCs/>
          <w:color w:val="3494BA" w:themeColor="accent1"/>
          <w:kern w:val="0"/>
          <w:sz w:val="24"/>
          <w:szCs w:val="24"/>
          <w:lang w:val="ro-MD" w:eastAsia="ro-MD"/>
          <w14:ligatures w14:val="none"/>
        </w:rPr>
        <w:t>4. Mecanisme de asigurare a transparenței și calității procesului de includere</w:t>
      </w:r>
      <w:r w:rsidR="00B75234">
        <w:rPr>
          <w:rFonts w:ascii="Times New Roman" w:eastAsia="Times New Roman" w:hAnsi="Times New Roman" w:cs="Times New Roman"/>
          <w:b/>
          <w:bCs/>
          <w:color w:val="3494BA" w:themeColor="accent1"/>
          <w:kern w:val="0"/>
          <w:sz w:val="24"/>
          <w:szCs w:val="24"/>
          <w:lang w:val="ro-MD" w:eastAsia="ro-MD"/>
          <w14:ligatures w14:val="none"/>
        </w:rPr>
        <w:t xml:space="preserve"> a calificărilor în CNC</w:t>
      </w:r>
    </w:p>
    <w:p w14:paraId="5150B8C7" w14:textId="487F9BF7" w:rsidR="005F4F33" w:rsidRPr="00CD64D0" w:rsidRDefault="005F4F33" w:rsidP="00CD64D0">
      <w:pPr>
        <w:pStyle w:val="af8"/>
        <w:spacing w:before="120" w:beforeAutospacing="0" w:after="120" w:afterAutospacing="0" w:line="276" w:lineRule="auto"/>
        <w:jc w:val="both"/>
        <w:rPr>
          <w:lang w:val="ro-MD"/>
        </w:rPr>
      </w:pPr>
      <w:r w:rsidRPr="00CD64D0">
        <w:t xml:space="preserve">Procesul de includere a calificărilor în </w:t>
      </w:r>
      <w:r w:rsidRPr="00CD64D0">
        <w:rPr>
          <w:rStyle w:val="af9"/>
          <w:rFonts w:eastAsiaTheme="majorEastAsia"/>
          <w:b w:val="0"/>
          <w:bCs w:val="0"/>
        </w:rPr>
        <w:t>CNC</w:t>
      </w:r>
      <w:r w:rsidRPr="00CD64D0">
        <w:t xml:space="preserve"> se bazează pe principiile transparenței, participării și asigurării calității, fiind reglementat de </w:t>
      </w:r>
      <w:r w:rsidRPr="00CD64D0">
        <w:rPr>
          <w:rStyle w:val="af9"/>
          <w:rFonts w:eastAsiaTheme="majorEastAsia"/>
          <w:b w:val="0"/>
          <w:bCs w:val="0"/>
        </w:rPr>
        <w:t>H</w:t>
      </w:r>
      <w:r w:rsidR="00846A70">
        <w:rPr>
          <w:rStyle w:val="af9"/>
          <w:rFonts w:eastAsiaTheme="majorEastAsia"/>
          <w:b w:val="0"/>
          <w:bCs w:val="0"/>
        </w:rPr>
        <w:t xml:space="preserve">G </w:t>
      </w:r>
      <w:r w:rsidRPr="00CD64D0">
        <w:rPr>
          <w:rStyle w:val="af9"/>
          <w:rFonts w:eastAsiaTheme="majorEastAsia"/>
          <w:b w:val="0"/>
          <w:bCs w:val="0"/>
        </w:rPr>
        <w:t>nr. 330/2023</w:t>
      </w:r>
      <w:r w:rsidRPr="00CD64D0">
        <w:t>. Toate etapele</w:t>
      </w:r>
      <w:r w:rsidR="00846A70">
        <w:t>,</w:t>
      </w:r>
      <w:r w:rsidRPr="00CD64D0">
        <w:t xml:space="preserve"> de la elaborarea și validarea standardului de calificare până la înregistrarea calificării în </w:t>
      </w:r>
      <w:r w:rsidRPr="00CD64D0">
        <w:rPr>
          <w:rStyle w:val="af9"/>
          <w:rFonts w:eastAsiaTheme="majorEastAsia"/>
          <w:b w:val="0"/>
          <w:bCs w:val="0"/>
        </w:rPr>
        <w:t>RNC</w:t>
      </w:r>
      <w:r w:rsidR="00846A70">
        <w:rPr>
          <w:rStyle w:val="af9"/>
          <w:rFonts w:eastAsiaTheme="majorEastAsia"/>
          <w:b w:val="0"/>
          <w:bCs w:val="0"/>
        </w:rPr>
        <w:t xml:space="preserve">, </w:t>
      </w:r>
      <w:r w:rsidRPr="00CD64D0">
        <w:t xml:space="preserve">sunt monitorizate de </w:t>
      </w:r>
      <w:r w:rsidRPr="00CD64D0">
        <w:rPr>
          <w:rStyle w:val="af9"/>
          <w:rFonts w:eastAsiaTheme="majorEastAsia"/>
          <w:b w:val="0"/>
          <w:bCs w:val="0"/>
        </w:rPr>
        <w:t>MEC</w:t>
      </w:r>
      <w:r w:rsidRPr="00CD64D0">
        <w:t>, cu participarea actorilor din educație, formare profesională și piața muncii.</w:t>
      </w:r>
    </w:p>
    <w:p w14:paraId="20CD86E8" w14:textId="77777777" w:rsidR="005F4F33" w:rsidRPr="00CD64D0" w:rsidRDefault="005F4F33" w:rsidP="001121DA">
      <w:pPr>
        <w:pStyle w:val="af8"/>
        <w:spacing w:before="0" w:beforeAutospacing="0" w:after="0" w:afterAutospacing="0" w:line="276" w:lineRule="auto"/>
        <w:jc w:val="both"/>
      </w:pPr>
      <w:r w:rsidRPr="00CD64D0">
        <w:t>Pentru a asigura un proces deschis și verificabil, sistemul aplică principii clare de transparență:</w:t>
      </w:r>
    </w:p>
    <w:p w14:paraId="07BD393E" w14:textId="77777777" w:rsidR="005F4F33" w:rsidRPr="00CD64D0" w:rsidRDefault="005F4F33" w:rsidP="00A41843">
      <w:pPr>
        <w:pStyle w:val="af8"/>
        <w:numPr>
          <w:ilvl w:val="0"/>
          <w:numId w:val="209"/>
        </w:numPr>
        <w:spacing w:before="0" w:beforeAutospacing="0" w:after="0" w:afterAutospacing="0" w:line="276" w:lineRule="auto"/>
        <w:jc w:val="both"/>
      </w:pPr>
      <w:r w:rsidRPr="00CD64D0">
        <w:rPr>
          <w:rStyle w:val="af9"/>
          <w:rFonts w:eastAsiaTheme="majorEastAsia"/>
          <w:b w:val="0"/>
          <w:bCs w:val="0"/>
        </w:rPr>
        <w:t>participare intersectorială</w:t>
      </w:r>
      <w:r w:rsidRPr="00CD64D0">
        <w:t xml:space="preserve"> a tuturor părților relevante din educație, formare și piața muncii;</w:t>
      </w:r>
    </w:p>
    <w:p w14:paraId="7746C43C" w14:textId="7935E6D6" w:rsidR="00F6632A" w:rsidRPr="00F6632A" w:rsidRDefault="00F6632A" w:rsidP="00A41843">
      <w:pPr>
        <w:pStyle w:val="af8"/>
        <w:numPr>
          <w:ilvl w:val="0"/>
          <w:numId w:val="209"/>
        </w:numPr>
        <w:spacing w:before="0" w:beforeAutospacing="0" w:after="0" w:afterAutospacing="0" w:line="276" w:lineRule="auto"/>
        <w:jc w:val="both"/>
        <w:rPr>
          <w:rStyle w:val="af9"/>
          <w:b w:val="0"/>
          <w:bCs w:val="0"/>
        </w:rPr>
      </w:pPr>
      <w:r w:rsidRPr="00F6632A">
        <w:rPr>
          <w:rStyle w:val="af9"/>
          <w:rFonts w:eastAsiaTheme="majorEastAsia"/>
          <w:b w:val="0"/>
          <w:bCs w:val="0"/>
        </w:rPr>
        <w:t>documentare publică a etapelor și deciziilor prin site-ul oficial al MEC, platformele instituțiilor de învățământ și RNC</w:t>
      </w:r>
      <w:r>
        <w:rPr>
          <w:rStyle w:val="af9"/>
          <w:rFonts w:eastAsiaTheme="majorEastAsia"/>
          <w:b w:val="0"/>
          <w:bCs w:val="0"/>
        </w:rPr>
        <w:t>;</w:t>
      </w:r>
    </w:p>
    <w:p w14:paraId="0378F7C5" w14:textId="0CCEE2B4" w:rsidR="005F4F33" w:rsidRPr="00E7460F" w:rsidRDefault="005F4F33" w:rsidP="00A41843">
      <w:pPr>
        <w:pStyle w:val="af8"/>
        <w:numPr>
          <w:ilvl w:val="0"/>
          <w:numId w:val="209"/>
        </w:numPr>
        <w:spacing w:before="0" w:beforeAutospacing="0" w:after="0" w:afterAutospacing="0" w:line="276" w:lineRule="auto"/>
        <w:jc w:val="both"/>
        <w:rPr>
          <w:rStyle w:val="af9"/>
          <w:rFonts w:eastAsiaTheme="majorEastAsia"/>
          <w:b w:val="0"/>
          <w:bCs w:val="0"/>
        </w:rPr>
      </w:pPr>
      <w:r w:rsidRPr="00CD64D0">
        <w:rPr>
          <w:rStyle w:val="af9"/>
          <w:rFonts w:eastAsiaTheme="majorEastAsia"/>
          <w:b w:val="0"/>
          <w:bCs w:val="0"/>
        </w:rPr>
        <w:t xml:space="preserve">trasabilitate </w:t>
      </w:r>
      <w:r w:rsidRPr="00E7460F">
        <w:rPr>
          <w:rStyle w:val="af9"/>
          <w:rFonts w:eastAsiaTheme="majorEastAsia"/>
          <w:b w:val="0"/>
          <w:bCs w:val="0"/>
        </w:rPr>
        <w:t>completă a calificărilor prin standarde, metodologii și acte de aprobare</w:t>
      </w:r>
      <w:r w:rsidR="00000996" w:rsidRPr="00E7460F">
        <w:rPr>
          <w:rStyle w:val="af9"/>
          <w:rFonts w:eastAsiaTheme="majorEastAsia"/>
          <w:b w:val="0"/>
          <w:bCs w:val="0"/>
        </w:rPr>
        <w:t xml:space="preserve"> publicate</w:t>
      </w:r>
      <w:r w:rsidRPr="00E7460F">
        <w:rPr>
          <w:rStyle w:val="af9"/>
          <w:rFonts w:eastAsiaTheme="majorEastAsia"/>
          <w:b w:val="0"/>
          <w:bCs w:val="0"/>
        </w:rPr>
        <w:t>;</w:t>
      </w:r>
    </w:p>
    <w:p w14:paraId="52C5FD1C" w14:textId="6D78D5AD" w:rsidR="005F4F33" w:rsidRPr="00E7460F" w:rsidRDefault="005F4F33" w:rsidP="00A41843">
      <w:pPr>
        <w:numPr>
          <w:ilvl w:val="0"/>
          <w:numId w:val="207"/>
        </w:numPr>
        <w:spacing w:after="0" w:line="276" w:lineRule="auto"/>
        <w:jc w:val="both"/>
        <w:rPr>
          <w:rStyle w:val="af9"/>
          <w:rFonts w:ascii="Times New Roman" w:eastAsiaTheme="majorEastAsia" w:hAnsi="Times New Roman" w:cs="Times New Roman"/>
          <w:b w:val="0"/>
          <w:bCs w:val="0"/>
          <w:sz w:val="24"/>
          <w:szCs w:val="24"/>
          <w:lang w:eastAsia="ro-MD"/>
        </w:rPr>
      </w:pPr>
      <w:r w:rsidRPr="00E7460F">
        <w:rPr>
          <w:rStyle w:val="af9"/>
          <w:rFonts w:ascii="Times New Roman" w:eastAsiaTheme="majorEastAsia" w:hAnsi="Times New Roman" w:cs="Times New Roman"/>
          <w:b w:val="0"/>
          <w:bCs w:val="0"/>
          <w:kern w:val="0"/>
          <w:sz w:val="24"/>
          <w:szCs w:val="24"/>
          <w:lang w:eastAsia="ro-MD"/>
          <w14:ligatures w14:val="none"/>
        </w:rPr>
        <w:t xml:space="preserve">evaluare externă realizată de ANACEC pentru verificarea </w:t>
      </w:r>
      <w:r w:rsidR="00F2189D" w:rsidRPr="00E7460F">
        <w:rPr>
          <w:rStyle w:val="af9"/>
          <w:rFonts w:ascii="Times New Roman" w:eastAsiaTheme="majorEastAsia" w:hAnsi="Times New Roman" w:cs="Times New Roman"/>
          <w:b w:val="0"/>
          <w:bCs w:val="0"/>
          <w:sz w:val="24"/>
          <w:szCs w:val="24"/>
        </w:rPr>
        <w:t>coerenței între standarde, programe și nivelurile CNC/EQF</w:t>
      </w:r>
      <w:r w:rsidR="00E7460F">
        <w:rPr>
          <w:rStyle w:val="af9"/>
          <w:rFonts w:ascii="Times New Roman" w:eastAsiaTheme="majorEastAsia" w:hAnsi="Times New Roman" w:cs="Times New Roman"/>
          <w:b w:val="0"/>
          <w:bCs w:val="0"/>
          <w:sz w:val="24"/>
          <w:szCs w:val="24"/>
        </w:rPr>
        <w:t>;</w:t>
      </w:r>
    </w:p>
    <w:p w14:paraId="108BF785" w14:textId="1AA5BF29" w:rsidR="005F4F33" w:rsidRPr="00CD64D0" w:rsidRDefault="005F4F33" w:rsidP="00A41843">
      <w:pPr>
        <w:pStyle w:val="af8"/>
        <w:numPr>
          <w:ilvl w:val="0"/>
          <w:numId w:val="209"/>
        </w:numPr>
        <w:spacing w:before="0" w:beforeAutospacing="0" w:after="0" w:afterAutospacing="0" w:line="276" w:lineRule="auto"/>
        <w:jc w:val="both"/>
      </w:pPr>
      <w:r w:rsidRPr="00CD64D0">
        <w:rPr>
          <w:rStyle w:val="af9"/>
          <w:rFonts w:eastAsiaTheme="majorEastAsia"/>
          <w:b w:val="0"/>
          <w:bCs w:val="0"/>
        </w:rPr>
        <w:t xml:space="preserve">aliniere </w:t>
      </w:r>
      <w:r w:rsidR="00000996">
        <w:rPr>
          <w:rStyle w:val="af9"/>
          <w:rFonts w:eastAsiaTheme="majorEastAsia"/>
          <w:b w:val="0"/>
          <w:bCs w:val="0"/>
        </w:rPr>
        <w:t>continuă</w:t>
      </w:r>
      <w:r w:rsidRPr="00CD64D0">
        <w:t xml:space="preserve"> la </w:t>
      </w:r>
      <w:r w:rsidRPr="00CD64D0">
        <w:rPr>
          <w:rStyle w:val="af9"/>
          <w:rFonts w:eastAsiaTheme="majorEastAsia"/>
          <w:b w:val="0"/>
          <w:bCs w:val="0"/>
        </w:rPr>
        <w:t>EQF</w:t>
      </w:r>
      <w:r w:rsidRPr="00CD64D0">
        <w:t xml:space="preserve"> și </w:t>
      </w:r>
      <w:r w:rsidRPr="00CD64D0">
        <w:rPr>
          <w:rStyle w:val="af9"/>
          <w:rFonts w:eastAsiaTheme="majorEastAsia"/>
          <w:b w:val="0"/>
          <w:bCs w:val="0"/>
        </w:rPr>
        <w:t>QF-EHEA</w:t>
      </w:r>
      <w:r w:rsidRPr="00CD64D0">
        <w:t>, pentru asigurarea comparabilității internaționale.</w:t>
      </w:r>
    </w:p>
    <w:p w14:paraId="3C116C02" w14:textId="67E2512F" w:rsidR="00D47EB4" w:rsidRPr="00D47EB4" w:rsidRDefault="00A337E6" w:rsidP="001121DA">
      <w:pPr>
        <w:pStyle w:val="af8"/>
        <w:spacing w:before="0" w:beforeAutospacing="0" w:after="0" w:afterAutospacing="0" w:line="276" w:lineRule="auto"/>
        <w:jc w:val="both"/>
        <w:rPr>
          <w:lang w:val="ro-MD"/>
        </w:rPr>
      </w:pPr>
      <w:r>
        <w:rPr>
          <w:lang w:val="ro-MD"/>
        </w:rPr>
        <w:lastRenderedPageBreak/>
        <w:t>A</w:t>
      </w:r>
      <w:r w:rsidR="00D47EB4" w:rsidRPr="00D47EB4">
        <w:rPr>
          <w:lang w:val="ro-MD"/>
        </w:rPr>
        <w:t>sigur</w:t>
      </w:r>
      <w:r w:rsidR="007E427B">
        <w:rPr>
          <w:lang w:val="ro-MD"/>
        </w:rPr>
        <w:t>area</w:t>
      </w:r>
      <w:r w:rsidR="00D47EB4" w:rsidRPr="00D47EB4">
        <w:rPr>
          <w:lang w:val="ro-MD"/>
        </w:rPr>
        <w:t xml:space="preserve"> accesul</w:t>
      </w:r>
      <w:r w:rsidR="007E427B">
        <w:rPr>
          <w:lang w:val="ro-MD"/>
        </w:rPr>
        <w:t>ui</w:t>
      </w:r>
      <w:r w:rsidR="00D47EB4" w:rsidRPr="00D47EB4">
        <w:rPr>
          <w:lang w:val="ro-MD"/>
        </w:rPr>
        <w:t xml:space="preserve"> public și gratuit la informațiile privind calificările incluse în CNC, prin intermediul platformei digitale a RNC</w:t>
      </w:r>
      <w:r w:rsidR="00D47EB4" w:rsidRPr="00D47EB4">
        <w:t xml:space="preserve"> </w:t>
      </w:r>
      <w:r w:rsidR="00D47EB4" w:rsidRPr="00D47EB4">
        <w:rPr>
          <w:lang w:val="ro-MD"/>
        </w:rPr>
        <w:t>și al paginilor oficiale ale MEC și ale instituțiilor de învățământ</w:t>
      </w:r>
      <w:r w:rsidR="009B0585">
        <w:rPr>
          <w:lang w:val="ro-MD"/>
        </w:rPr>
        <w:t>,</w:t>
      </w:r>
      <w:r w:rsidR="00D47EB4" w:rsidRPr="00D47EB4">
        <w:rPr>
          <w:lang w:val="ro-MD"/>
        </w:rPr>
        <w:t xml:space="preserve"> permite:</w:t>
      </w:r>
    </w:p>
    <w:p w14:paraId="03695575" w14:textId="77777777" w:rsidR="00D47EB4" w:rsidRPr="00D47EB4" w:rsidRDefault="00D47EB4" w:rsidP="00A41843">
      <w:pPr>
        <w:pStyle w:val="af8"/>
        <w:numPr>
          <w:ilvl w:val="0"/>
          <w:numId w:val="206"/>
        </w:numPr>
        <w:spacing w:before="0" w:beforeAutospacing="0" w:after="0" w:afterAutospacing="0" w:line="276" w:lineRule="auto"/>
        <w:jc w:val="both"/>
        <w:rPr>
          <w:lang w:val="ro-MD"/>
        </w:rPr>
      </w:pPr>
      <w:r w:rsidRPr="00D47EB4">
        <w:rPr>
          <w:lang w:val="ro-MD"/>
        </w:rPr>
        <w:t>monitorizarea permanentă a ofertei naționale de calificări;</w:t>
      </w:r>
    </w:p>
    <w:p w14:paraId="7B001CFA" w14:textId="77777777" w:rsidR="00D47EB4" w:rsidRPr="00D47EB4" w:rsidRDefault="00D47EB4" w:rsidP="00A41843">
      <w:pPr>
        <w:pStyle w:val="af8"/>
        <w:numPr>
          <w:ilvl w:val="0"/>
          <w:numId w:val="206"/>
        </w:numPr>
        <w:spacing w:before="0" w:beforeAutospacing="0" w:after="0" w:afterAutospacing="0" w:line="276" w:lineRule="auto"/>
        <w:jc w:val="both"/>
        <w:rPr>
          <w:lang w:val="ro-MD"/>
        </w:rPr>
      </w:pPr>
      <w:r w:rsidRPr="00D47EB4">
        <w:rPr>
          <w:lang w:val="ro-MD"/>
        </w:rPr>
        <w:t>promovarea mobilității educaționale și profesionale;</w:t>
      </w:r>
    </w:p>
    <w:p w14:paraId="4E649ADB" w14:textId="77777777" w:rsidR="00D47EB4" w:rsidRPr="00D47EB4" w:rsidRDefault="00D47EB4" w:rsidP="00A41843">
      <w:pPr>
        <w:pStyle w:val="af8"/>
        <w:numPr>
          <w:ilvl w:val="0"/>
          <w:numId w:val="206"/>
        </w:numPr>
        <w:spacing w:before="0" w:beforeAutospacing="0" w:after="0" w:afterAutospacing="0" w:line="276" w:lineRule="auto"/>
        <w:jc w:val="both"/>
        <w:rPr>
          <w:lang w:val="ro-MD"/>
        </w:rPr>
      </w:pPr>
      <w:r w:rsidRPr="00D47EB4">
        <w:rPr>
          <w:lang w:val="ro-MD"/>
        </w:rPr>
        <w:t>recunoașterea mutuală a calificărilor la nivel european, în conformitate cu principiile EQF și QF-EHEA.</w:t>
      </w:r>
    </w:p>
    <w:p w14:paraId="119C4867" w14:textId="70EA196F" w:rsidR="00D81406" w:rsidRPr="00884F25" w:rsidRDefault="005F4F33" w:rsidP="00884F25">
      <w:pPr>
        <w:pStyle w:val="af8"/>
        <w:spacing w:before="120" w:beforeAutospacing="0" w:after="120" w:afterAutospacing="0" w:line="276" w:lineRule="auto"/>
        <w:jc w:val="both"/>
      </w:pPr>
      <w:r w:rsidRPr="00CD64D0">
        <w:t xml:space="preserve">Prin aplicarea acestor mecanisme, Republica Moldova garantează un sistem coerent, transparent și bazat pe dovezi, care confirmă că fiecare calificare inclusă în CNC corespunde descriptorilor de nivel și </w:t>
      </w:r>
      <w:r w:rsidR="006E2712">
        <w:t xml:space="preserve">este aliniată </w:t>
      </w:r>
      <w:r w:rsidRPr="00CD64D0">
        <w:t>la obiectivele europene privind transparența, calitatea și învățarea pe tot parcursul vieții.</w:t>
      </w:r>
    </w:p>
    <w:p w14:paraId="1B4F1FD8" w14:textId="27B6981C" w:rsidR="00461BF9" w:rsidRPr="00403F7D" w:rsidRDefault="00461BF9" w:rsidP="00657917">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403F7D">
        <w:rPr>
          <w:rFonts w:ascii="Times New Roman" w:eastAsia="Times New Roman" w:hAnsi="Times New Roman" w:cs="Times New Roman"/>
          <w:b/>
          <w:bCs/>
          <w:color w:val="3494BA" w:themeColor="accent1"/>
          <w:kern w:val="0"/>
          <w:sz w:val="24"/>
          <w:szCs w:val="24"/>
          <w:lang w:val="ro-MD" w:eastAsia="ro-MD"/>
          <w14:ligatures w14:val="none"/>
        </w:rPr>
        <w:t>5. Dovada de conformitate</w:t>
      </w:r>
      <w:r w:rsidRPr="005E53FC">
        <w:rPr>
          <w:rFonts w:ascii="Times New Roman" w:eastAsia="Times New Roman" w:hAnsi="Times New Roman" w:cs="Times New Roman"/>
          <w:color w:val="3494BA" w:themeColor="accent1"/>
          <w:kern w:val="0"/>
          <w:sz w:val="24"/>
          <w:szCs w:val="24"/>
          <w:lang w:val="ro-MD" w:eastAsia="ro-MD"/>
          <w14:ligatures w14:val="none"/>
        </w:rPr>
        <w:t xml:space="preserve"> </w:t>
      </w:r>
      <w:r w:rsidR="005E53FC" w:rsidRPr="005E53FC">
        <w:rPr>
          <w:rFonts w:ascii="Times New Roman" w:eastAsia="Times New Roman" w:hAnsi="Times New Roman" w:cs="Times New Roman"/>
          <w:color w:val="3494BA" w:themeColor="accent1"/>
          <w:kern w:val="0"/>
          <w:sz w:val="24"/>
          <w:szCs w:val="24"/>
          <w:lang w:val="ro-MD" w:eastAsia="ro-MD"/>
          <w14:ligatures w14:val="none"/>
        </w:rPr>
        <w:t>(</w:t>
      </w:r>
      <w:r w:rsidRPr="005E53FC">
        <w:rPr>
          <w:rFonts w:ascii="Times New Roman" w:eastAsia="Times New Roman" w:hAnsi="Times New Roman" w:cs="Times New Roman"/>
          <w:color w:val="3494BA" w:themeColor="accent1"/>
          <w:kern w:val="0"/>
          <w:sz w:val="24"/>
          <w:szCs w:val="24"/>
          <w:lang w:val="ro-MD" w:eastAsia="ro-MD"/>
          <w14:ligatures w14:val="none"/>
        </w:rPr>
        <w:t>sinteză narativă</w:t>
      </w:r>
      <w:r w:rsidR="005E53FC" w:rsidRPr="005E53FC">
        <w:rPr>
          <w:rFonts w:ascii="Times New Roman" w:eastAsia="Times New Roman" w:hAnsi="Times New Roman" w:cs="Times New Roman"/>
          <w:color w:val="3494BA" w:themeColor="accent1"/>
          <w:kern w:val="0"/>
          <w:sz w:val="24"/>
          <w:szCs w:val="24"/>
          <w:lang w:val="ro-MD" w:eastAsia="ro-MD"/>
          <w14:ligatures w14:val="none"/>
        </w:rPr>
        <w:t>)</w:t>
      </w:r>
    </w:p>
    <w:p w14:paraId="4585673A" w14:textId="007A53CD" w:rsidR="00461BF9" w:rsidRPr="00657917" w:rsidRDefault="00461BF9" w:rsidP="0065791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Republica Moldova a instituit un sistem transparent, participativ și reglementat de includere a calificărilor în CNC, în deplină concordanță cu cerințele Criteriului 4 din Recomandarea Consiliului UE privind EQF și cu principiile QF-EHEA privind transparența și responsabilitatea instituțională.</w:t>
      </w:r>
    </w:p>
    <w:p w14:paraId="29D5FA08" w14:textId="22F331EA" w:rsidR="00461BF9" w:rsidRPr="00657917" w:rsidRDefault="00461BF9" w:rsidP="0065791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 xml:space="preserve">Procesul de includere a calificărilor se bazează pe </w:t>
      </w:r>
      <w:r w:rsidR="00314908">
        <w:rPr>
          <w:rFonts w:ascii="Times New Roman" w:eastAsia="Times New Roman" w:hAnsi="Times New Roman" w:cs="Times New Roman"/>
          <w:kern w:val="0"/>
          <w:sz w:val="24"/>
          <w:szCs w:val="24"/>
          <w:lang w:val="ro-MD" w:eastAsia="ro-MD"/>
          <w14:ligatures w14:val="none"/>
        </w:rPr>
        <w:t xml:space="preserve">acte </w:t>
      </w:r>
      <w:r w:rsidRPr="00657917">
        <w:rPr>
          <w:rFonts w:ascii="Times New Roman" w:eastAsia="Times New Roman" w:hAnsi="Times New Roman" w:cs="Times New Roman"/>
          <w:kern w:val="0"/>
          <w:sz w:val="24"/>
          <w:szCs w:val="24"/>
          <w:lang w:val="ro-MD" w:eastAsia="ro-MD"/>
          <w14:ligatures w14:val="none"/>
        </w:rPr>
        <w:t>norm</w:t>
      </w:r>
      <w:r w:rsidR="00314908">
        <w:rPr>
          <w:rFonts w:ascii="Times New Roman" w:eastAsia="Times New Roman" w:hAnsi="Times New Roman" w:cs="Times New Roman"/>
          <w:kern w:val="0"/>
          <w:sz w:val="24"/>
          <w:szCs w:val="24"/>
          <w:lang w:val="ro-MD" w:eastAsia="ro-MD"/>
          <w14:ligatures w14:val="none"/>
        </w:rPr>
        <w:t>ative</w:t>
      </w:r>
      <w:r w:rsidRPr="00657917">
        <w:rPr>
          <w:rFonts w:ascii="Times New Roman" w:eastAsia="Times New Roman" w:hAnsi="Times New Roman" w:cs="Times New Roman"/>
          <w:kern w:val="0"/>
          <w:sz w:val="24"/>
          <w:szCs w:val="24"/>
          <w:lang w:val="ro-MD" w:eastAsia="ro-MD"/>
          <w14:ligatures w14:val="none"/>
        </w:rPr>
        <w:t xml:space="preserve"> clare, publice și verificabile, stabilite prin </w:t>
      </w:r>
      <w:r w:rsidR="00314908">
        <w:rPr>
          <w:rFonts w:ascii="Times New Roman" w:eastAsia="Times New Roman" w:hAnsi="Times New Roman" w:cs="Times New Roman"/>
          <w:kern w:val="0"/>
          <w:sz w:val="24"/>
          <w:szCs w:val="24"/>
          <w:lang w:val="ro-MD" w:eastAsia="ro-MD"/>
          <w14:ligatures w14:val="none"/>
        </w:rPr>
        <w:t>HG</w:t>
      </w:r>
      <w:r w:rsidRPr="00657917">
        <w:rPr>
          <w:rFonts w:ascii="Times New Roman" w:eastAsia="Times New Roman" w:hAnsi="Times New Roman" w:cs="Times New Roman"/>
          <w:kern w:val="0"/>
          <w:sz w:val="24"/>
          <w:szCs w:val="24"/>
          <w:lang w:val="ro-MD" w:eastAsia="ro-MD"/>
          <w14:ligatures w14:val="none"/>
        </w:rPr>
        <w:t xml:space="preserve"> nr. 330/2023 și prin Metodologia de elaborare, validare și aprobare a standardelor de calificare (Ordin MEC nr. 573/2022).</w:t>
      </w:r>
      <w:r w:rsidR="00314908">
        <w:rPr>
          <w:rFonts w:ascii="Times New Roman" w:eastAsia="Times New Roman" w:hAnsi="Times New Roman" w:cs="Times New Roman"/>
          <w:kern w:val="0"/>
          <w:sz w:val="24"/>
          <w:szCs w:val="24"/>
          <w:lang w:val="ro-MD" w:eastAsia="ro-MD"/>
          <w14:ligatures w14:val="none"/>
        </w:rPr>
        <w:t xml:space="preserve"> </w:t>
      </w:r>
      <w:r w:rsidRPr="00657917">
        <w:rPr>
          <w:rFonts w:ascii="Times New Roman" w:eastAsia="Times New Roman" w:hAnsi="Times New Roman" w:cs="Times New Roman"/>
          <w:kern w:val="0"/>
          <w:sz w:val="24"/>
          <w:szCs w:val="24"/>
          <w:lang w:val="ro-MD" w:eastAsia="ro-MD"/>
          <w14:ligatures w14:val="none"/>
        </w:rPr>
        <w:t>Aceste acte normative definesc în mod explicit:</w:t>
      </w:r>
    </w:p>
    <w:p w14:paraId="10E5D635" w14:textId="74D4734C" w:rsidR="00461BF9" w:rsidRPr="00657917" w:rsidRDefault="00461BF9" w:rsidP="00A41843">
      <w:pPr>
        <w:numPr>
          <w:ilvl w:val="0"/>
          <w:numId w:val="20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etapele procesului de includere, de la identificarea nevoii de calificare până la aprobarea și înregistrarea în RNC;</w:t>
      </w:r>
    </w:p>
    <w:p w14:paraId="5C5765CD" w14:textId="77777777" w:rsidR="00461BF9" w:rsidRPr="00657917" w:rsidRDefault="00461BF9" w:rsidP="00A41843">
      <w:pPr>
        <w:numPr>
          <w:ilvl w:val="0"/>
          <w:numId w:val="20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criteriile de includere, care asigură relevanța pentru piața muncii, nediscriminarea, accesul echitabil, corelarea cu CNC/EQF și posibilitatea de validare a învățării anterioare;</w:t>
      </w:r>
    </w:p>
    <w:p w14:paraId="1FE94C4E" w14:textId="77777777" w:rsidR="00461BF9" w:rsidRPr="00657917" w:rsidRDefault="00461BF9" w:rsidP="00A41843">
      <w:pPr>
        <w:numPr>
          <w:ilvl w:val="0"/>
          <w:numId w:val="208"/>
        </w:num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rolul instituțiilor competente, inclusiv al MEC, Consiliului Național pentru Calificări, comitetelor sectoriale, furnizorilor de formare profesională și ANACEC.</w:t>
      </w:r>
    </w:p>
    <w:p w14:paraId="54211637" w14:textId="6BFDC91D" w:rsidR="00461BF9" w:rsidRPr="00657917" w:rsidRDefault="00461BF9" w:rsidP="0065791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 xml:space="preserve">RNC </w:t>
      </w:r>
      <w:r w:rsidR="00A2222F">
        <w:rPr>
          <w:rFonts w:ascii="Times New Roman" w:eastAsia="Times New Roman" w:hAnsi="Times New Roman" w:cs="Times New Roman"/>
          <w:kern w:val="0"/>
          <w:sz w:val="24"/>
          <w:szCs w:val="24"/>
          <w:lang w:val="ro-MD" w:eastAsia="ro-MD"/>
          <w14:ligatures w14:val="none"/>
        </w:rPr>
        <w:t>și site-ul MEC (</w:t>
      </w:r>
      <w:hyperlink r:id="rId74" w:history="1">
        <w:r w:rsidR="00AA2B51" w:rsidRPr="00AA2B51">
          <w:rPr>
            <w:rStyle w:val="aff0"/>
            <w:rFonts w:ascii="Times New Roman" w:eastAsia="Times New Roman" w:hAnsi="Times New Roman" w:cs="Times New Roman"/>
            <w:kern w:val="0"/>
            <w:sz w:val="24"/>
            <w:szCs w:val="24"/>
            <w:lang w:val="ro-MD" w:eastAsia="ro-MD"/>
            <w14:ligatures w14:val="none"/>
          </w:rPr>
          <w:t>link</w:t>
        </w:r>
      </w:hyperlink>
      <w:r w:rsidR="00AA2B51">
        <w:rPr>
          <w:rFonts w:ascii="Times New Roman" w:eastAsia="Times New Roman" w:hAnsi="Times New Roman" w:cs="Times New Roman"/>
          <w:kern w:val="0"/>
          <w:sz w:val="24"/>
          <w:szCs w:val="24"/>
          <w:lang w:val="ro-MD" w:eastAsia="ro-MD"/>
          <w14:ligatures w14:val="none"/>
        </w:rPr>
        <w:t xml:space="preserve">) </w:t>
      </w:r>
      <w:r w:rsidRPr="00657917">
        <w:rPr>
          <w:rFonts w:ascii="Times New Roman" w:eastAsia="Times New Roman" w:hAnsi="Times New Roman" w:cs="Times New Roman"/>
          <w:kern w:val="0"/>
          <w:sz w:val="24"/>
          <w:szCs w:val="24"/>
          <w:lang w:val="ro-MD" w:eastAsia="ro-MD"/>
          <w14:ligatures w14:val="none"/>
        </w:rPr>
        <w:t>asigură vizibilitatea și accesul public la toate calificările aprobate, inclusiv nivelul CNC/EQF, rezultatele învățării, creditele de studii și documentele de referință. Publicarea online, participarea părților interesate și procedurile standardizate de feedback garantează transparența și trasabilitatea deciziilor.</w:t>
      </w:r>
    </w:p>
    <w:p w14:paraId="7907A47E" w14:textId="280A31EF" w:rsidR="00461BF9" w:rsidRPr="00657917" w:rsidRDefault="00461BF9" w:rsidP="00657917">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7917">
        <w:rPr>
          <w:rFonts w:ascii="Times New Roman" w:eastAsia="Times New Roman" w:hAnsi="Times New Roman" w:cs="Times New Roman"/>
          <w:kern w:val="0"/>
          <w:sz w:val="24"/>
          <w:szCs w:val="24"/>
          <w:lang w:val="ro-MD" w:eastAsia="ro-MD"/>
          <w14:ligatures w14:val="none"/>
        </w:rPr>
        <w:t>Procesul este supus monitorizării externe prin evaluările ANACEC, care verifică coerența calificărilor, relevanța standardelor și aplicarea principiilor de asigurare a calității.</w:t>
      </w:r>
      <w:r w:rsidR="008E5FFC">
        <w:rPr>
          <w:rFonts w:ascii="Times New Roman" w:eastAsia="Times New Roman" w:hAnsi="Times New Roman" w:cs="Times New Roman"/>
          <w:kern w:val="0"/>
          <w:sz w:val="24"/>
          <w:szCs w:val="24"/>
          <w:lang w:val="ro-MD" w:eastAsia="ro-MD"/>
          <w14:ligatures w14:val="none"/>
        </w:rPr>
        <w:t xml:space="preserve"> </w:t>
      </w:r>
      <w:r w:rsidRPr="00657917">
        <w:rPr>
          <w:rFonts w:ascii="Times New Roman" w:eastAsia="Times New Roman" w:hAnsi="Times New Roman" w:cs="Times New Roman"/>
          <w:kern w:val="0"/>
          <w:sz w:val="24"/>
          <w:szCs w:val="24"/>
          <w:lang w:val="ro-MD" w:eastAsia="ro-MD"/>
          <w14:ligatures w14:val="none"/>
        </w:rPr>
        <w:t>Prin aceste mecanisme, Republica Moldova demonstrează o aliniere completă și operațională la cerințele europene privind transparența</w:t>
      </w:r>
      <w:r w:rsidR="002B28DD">
        <w:rPr>
          <w:rFonts w:ascii="Times New Roman" w:eastAsia="Times New Roman" w:hAnsi="Times New Roman" w:cs="Times New Roman"/>
          <w:kern w:val="0"/>
          <w:sz w:val="24"/>
          <w:szCs w:val="24"/>
          <w:lang w:val="ro-MD" w:eastAsia="ro-MD"/>
          <w14:ligatures w14:val="none"/>
        </w:rPr>
        <w:t xml:space="preserve"> procesului de includere a calificărilor în CNC</w:t>
      </w:r>
      <w:r w:rsidRPr="00657917">
        <w:rPr>
          <w:rFonts w:ascii="Times New Roman" w:eastAsia="Times New Roman" w:hAnsi="Times New Roman" w:cs="Times New Roman"/>
          <w:kern w:val="0"/>
          <w:sz w:val="24"/>
          <w:szCs w:val="24"/>
          <w:lang w:val="ro-MD" w:eastAsia="ro-MD"/>
          <w14:ligatures w14:val="none"/>
        </w:rPr>
        <w:t>, responsabilitatea și încrederea publică în sistemul național de calificări.</w:t>
      </w:r>
    </w:p>
    <w:p w14:paraId="353E674A" w14:textId="78CB7659" w:rsidR="00461BF9" w:rsidRPr="001121DA" w:rsidRDefault="00461BF9" w:rsidP="001121DA">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1121DA">
        <w:rPr>
          <w:rFonts w:ascii="Times New Roman" w:eastAsia="Times New Roman" w:hAnsi="Times New Roman" w:cs="Times New Roman"/>
          <w:b/>
          <w:bCs/>
          <w:color w:val="3494BA" w:themeColor="accent1"/>
          <w:kern w:val="0"/>
          <w:sz w:val="24"/>
          <w:szCs w:val="24"/>
          <w:lang w:val="ro-MD" w:eastAsia="ro-MD"/>
          <w14:ligatures w14:val="none"/>
        </w:rPr>
        <w:t>Tabel – Dovada de conformitate: Criteriul 4 (detalierea factuală)</w:t>
      </w:r>
    </w:p>
    <w:tbl>
      <w:tblPr>
        <w:tblStyle w:val="aff"/>
        <w:tblW w:w="0" w:type="auto"/>
        <w:tblLook w:val="04A0" w:firstRow="1" w:lastRow="0" w:firstColumn="1" w:lastColumn="0" w:noHBand="0" w:noVBand="1"/>
      </w:tblPr>
      <w:tblGrid>
        <w:gridCol w:w="2407"/>
        <w:gridCol w:w="3684"/>
        <w:gridCol w:w="1701"/>
        <w:gridCol w:w="1836"/>
      </w:tblGrid>
      <w:tr w:rsidR="009B176B" w:rsidRPr="009B176B" w14:paraId="590FF719" w14:textId="77777777" w:rsidTr="009B176B">
        <w:tc>
          <w:tcPr>
            <w:tcW w:w="2407" w:type="dxa"/>
            <w:shd w:val="clear" w:color="auto" w:fill="A9D5E7" w:themeFill="accent1" w:themeFillTint="66"/>
            <w:vAlign w:val="center"/>
          </w:tcPr>
          <w:p w14:paraId="26B6AE84" w14:textId="6A0EEEBB" w:rsidR="009B176B" w:rsidRPr="009B176B" w:rsidRDefault="009B176B" w:rsidP="009B176B">
            <w:pPr>
              <w:jc w:val="center"/>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b/>
                <w:bCs/>
                <w:kern w:val="0"/>
                <w:sz w:val="20"/>
                <w:szCs w:val="20"/>
                <w:lang w:val="ro-MD" w:eastAsia="ro-MD"/>
                <w14:ligatures w14:val="none"/>
              </w:rPr>
              <w:t>Elemente de verificare (cerințe EQF/QF-EHEA)</w:t>
            </w:r>
          </w:p>
        </w:tc>
        <w:tc>
          <w:tcPr>
            <w:tcW w:w="3684" w:type="dxa"/>
            <w:shd w:val="clear" w:color="auto" w:fill="A9D5E7" w:themeFill="accent1" w:themeFillTint="66"/>
            <w:vAlign w:val="center"/>
          </w:tcPr>
          <w:p w14:paraId="4951D099" w14:textId="59E9711F" w:rsidR="009B176B" w:rsidRPr="009B176B" w:rsidRDefault="009B176B" w:rsidP="009B176B">
            <w:pPr>
              <w:jc w:val="center"/>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b/>
                <w:bCs/>
                <w:kern w:val="0"/>
                <w:sz w:val="20"/>
                <w:szCs w:val="20"/>
                <w:lang w:val="ro-MD" w:eastAsia="ro-MD"/>
                <w14:ligatures w14:val="none"/>
              </w:rPr>
              <w:t>Dovezi privind implementarea în Republica Moldova</w:t>
            </w:r>
          </w:p>
        </w:tc>
        <w:tc>
          <w:tcPr>
            <w:tcW w:w="1701" w:type="dxa"/>
            <w:shd w:val="clear" w:color="auto" w:fill="A9D5E7" w:themeFill="accent1" w:themeFillTint="66"/>
            <w:vAlign w:val="center"/>
          </w:tcPr>
          <w:p w14:paraId="62BC64D5" w14:textId="6BA58F65" w:rsidR="009B176B" w:rsidRPr="009B176B" w:rsidRDefault="009B176B" w:rsidP="009B176B">
            <w:pPr>
              <w:jc w:val="center"/>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b/>
                <w:bCs/>
                <w:kern w:val="0"/>
                <w:sz w:val="20"/>
                <w:szCs w:val="20"/>
                <w:lang w:val="ro-MD" w:eastAsia="ro-MD"/>
                <w14:ligatures w14:val="none"/>
              </w:rPr>
              <w:t>Documente de referință</w:t>
            </w:r>
          </w:p>
        </w:tc>
        <w:tc>
          <w:tcPr>
            <w:tcW w:w="1836" w:type="dxa"/>
            <w:shd w:val="clear" w:color="auto" w:fill="A9D5E7" w:themeFill="accent1" w:themeFillTint="66"/>
            <w:vAlign w:val="center"/>
          </w:tcPr>
          <w:p w14:paraId="707524C1" w14:textId="497B0D6D" w:rsidR="009B176B" w:rsidRPr="009B176B" w:rsidRDefault="009B176B" w:rsidP="009B176B">
            <w:pPr>
              <w:jc w:val="center"/>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b/>
                <w:bCs/>
                <w:kern w:val="0"/>
                <w:sz w:val="20"/>
                <w:szCs w:val="20"/>
                <w:lang w:val="ro-MD" w:eastAsia="ro-MD"/>
                <w14:ligatures w14:val="none"/>
              </w:rPr>
              <w:t>Concluzie privind conformitatea</w:t>
            </w:r>
          </w:p>
        </w:tc>
      </w:tr>
      <w:tr w:rsidR="009B176B" w:rsidRPr="009B176B" w14:paraId="10539681" w14:textId="77777777" w:rsidTr="009B176B">
        <w:tc>
          <w:tcPr>
            <w:tcW w:w="2407" w:type="dxa"/>
            <w:vAlign w:val="center"/>
          </w:tcPr>
          <w:p w14:paraId="54876501" w14:textId="10BEF2A1"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Existența procedurilor oficiale, publice și transparente pentru includerea calificărilor în NQF</w:t>
            </w:r>
          </w:p>
        </w:tc>
        <w:tc>
          <w:tcPr>
            <w:tcW w:w="3684" w:type="dxa"/>
            <w:vAlign w:val="center"/>
          </w:tcPr>
          <w:p w14:paraId="693AB8EB" w14:textId="086ED0C6"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Procedura completă este stabilită prin HG nr. 330/2023 și Metodologia de elaborare, validare și aprobare a standardelor de calificare. Etapele includ: inițierea, elaborarea, validarea, aprobarea, înregistrarea în RNC și publicarea.</w:t>
            </w:r>
          </w:p>
        </w:tc>
        <w:tc>
          <w:tcPr>
            <w:tcW w:w="1701" w:type="dxa"/>
            <w:vAlign w:val="center"/>
          </w:tcPr>
          <w:p w14:paraId="0CD4FC3F" w14:textId="1E4BFDF2"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HG nr. 330/2023, Ordin MEC nr. 573/2022</w:t>
            </w:r>
          </w:p>
        </w:tc>
        <w:tc>
          <w:tcPr>
            <w:tcW w:w="1836" w:type="dxa"/>
            <w:vAlign w:val="center"/>
          </w:tcPr>
          <w:p w14:paraId="61DDAD70" w14:textId="6459E15D"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Conform – proceduri clare, documentate și publice</w:t>
            </w:r>
          </w:p>
        </w:tc>
      </w:tr>
      <w:tr w:rsidR="009B176B" w:rsidRPr="009B176B" w14:paraId="4432F532" w14:textId="77777777" w:rsidTr="009B176B">
        <w:tc>
          <w:tcPr>
            <w:tcW w:w="2407" w:type="dxa"/>
            <w:vAlign w:val="center"/>
          </w:tcPr>
          <w:p w14:paraId="71C18D28" w14:textId="67278C51"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 xml:space="preserve">Implicarea actorilor relevanți (autorități, </w:t>
            </w:r>
            <w:r w:rsidRPr="009B176B">
              <w:rPr>
                <w:rFonts w:ascii="Times New Roman" w:eastAsia="Times New Roman" w:hAnsi="Times New Roman" w:cs="Times New Roman"/>
                <w:kern w:val="0"/>
                <w:sz w:val="20"/>
                <w:szCs w:val="20"/>
                <w:lang w:val="ro-MD" w:eastAsia="ro-MD"/>
                <w14:ligatures w14:val="none"/>
              </w:rPr>
              <w:lastRenderedPageBreak/>
              <w:t>parteneri sociali, instituții de formare)</w:t>
            </w:r>
          </w:p>
        </w:tc>
        <w:tc>
          <w:tcPr>
            <w:tcW w:w="3684" w:type="dxa"/>
            <w:vAlign w:val="center"/>
          </w:tcPr>
          <w:p w14:paraId="29511D83" w14:textId="733EEFF7"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lastRenderedPageBreak/>
              <w:t xml:space="preserve">Participarea MEC, CNC, comitetelor sectoriale, patronatelor, sindicatelor și </w:t>
            </w:r>
            <w:r w:rsidRPr="009B176B">
              <w:rPr>
                <w:rFonts w:ascii="Times New Roman" w:eastAsia="Times New Roman" w:hAnsi="Times New Roman" w:cs="Times New Roman"/>
                <w:kern w:val="0"/>
                <w:sz w:val="20"/>
                <w:szCs w:val="20"/>
                <w:lang w:val="ro-MD" w:eastAsia="ro-MD"/>
                <w14:ligatures w14:val="none"/>
              </w:rPr>
              <w:lastRenderedPageBreak/>
              <w:t>furnizorilor de educație este reglementată și obligatorie în procesul de validare.</w:t>
            </w:r>
          </w:p>
        </w:tc>
        <w:tc>
          <w:tcPr>
            <w:tcW w:w="1701" w:type="dxa"/>
            <w:vAlign w:val="center"/>
          </w:tcPr>
          <w:p w14:paraId="27E5E64F" w14:textId="5088D030"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lastRenderedPageBreak/>
              <w:t>Metodologia MEC nr. 573/2022</w:t>
            </w:r>
          </w:p>
        </w:tc>
        <w:tc>
          <w:tcPr>
            <w:tcW w:w="1836" w:type="dxa"/>
            <w:vAlign w:val="center"/>
          </w:tcPr>
          <w:p w14:paraId="39C1359F" w14:textId="2BA7AC36"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 xml:space="preserve">Conform – mecanisme de </w:t>
            </w:r>
            <w:r w:rsidRPr="009B176B">
              <w:rPr>
                <w:rFonts w:ascii="Times New Roman" w:eastAsia="Times New Roman" w:hAnsi="Times New Roman" w:cs="Times New Roman"/>
                <w:kern w:val="0"/>
                <w:sz w:val="20"/>
                <w:szCs w:val="20"/>
                <w:lang w:val="ro-MD" w:eastAsia="ro-MD"/>
                <w14:ligatures w14:val="none"/>
              </w:rPr>
              <w:lastRenderedPageBreak/>
              <w:t>participare instituționalizate</w:t>
            </w:r>
          </w:p>
        </w:tc>
      </w:tr>
      <w:tr w:rsidR="009B176B" w:rsidRPr="009B176B" w14:paraId="7FD83B2D" w14:textId="77777777" w:rsidTr="009B176B">
        <w:tc>
          <w:tcPr>
            <w:tcW w:w="2407" w:type="dxa"/>
            <w:vAlign w:val="center"/>
          </w:tcPr>
          <w:p w14:paraId="71F5503C" w14:textId="5A86673C"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lastRenderedPageBreak/>
              <w:t>Publicarea informațiilor privind calificările incluse</w:t>
            </w:r>
          </w:p>
        </w:tc>
        <w:tc>
          <w:tcPr>
            <w:tcW w:w="3684" w:type="dxa"/>
            <w:vAlign w:val="center"/>
          </w:tcPr>
          <w:p w14:paraId="6B13FC2A" w14:textId="71335DE8"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Toate calificările aprobate sunt înregistrate în RNC și accesibile public pe platforma MEC.</w:t>
            </w:r>
          </w:p>
        </w:tc>
        <w:tc>
          <w:tcPr>
            <w:tcW w:w="1701" w:type="dxa"/>
            <w:vAlign w:val="center"/>
          </w:tcPr>
          <w:p w14:paraId="78BDC686" w14:textId="5AA689D0"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HG nr. 330/2023, RNC online</w:t>
            </w:r>
          </w:p>
        </w:tc>
        <w:tc>
          <w:tcPr>
            <w:tcW w:w="1836" w:type="dxa"/>
            <w:vAlign w:val="center"/>
          </w:tcPr>
          <w:p w14:paraId="2375F8D8" w14:textId="4201C635"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Conform – acces public și transparență deplină</w:t>
            </w:r>
          </w:p>
        </w:tc>
      </w:tr>
      <w:tr w:rsidR="009B176B" w:rsidRPr="009B176B" w14:paraId="195B52F0" w14:textId="77777777" w:rsidTr="009B176B">
        <w:tc>
          <w:tcPr>
            <w:tcW w:w="2407" w:type="dxa"/>
            <w:vAlign w:val="center"/>
          </w:tcPr>
          <w:p w14:paraId="3B9C1C90" w14:textId="591DAA55"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Utilizarea unor criterii obiective și verificabile pentru includere</w:t>
            </w:r>
          </w:p>
        </w:tc>
        <w:tc>
          <w:tcPr>
            <w:tcW w:w="3684" w:type="dxa"/>
            <w:vAlign w:val="center"/>
          </w:tcPr>
          <w:p w14:paraId="6F008731" w14:textId="621C58DE"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Criteriile (art. 88 HG 330/2023) asigură relevanța, nediscriminarea, validarea NFIL și corelarea cu EQF.</w:t>
            </w:r>
          </w:p>
        </w:tc>
        <w:tc>
          <w:tcPr>
            <w:tcW w:w="1701" w:type="dxa"/>
            <w:vAlign w:val="center"/>
          </w:tcPr>
          <w:p w14:paraId="024F5C90" w14:textId="748A1C41"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HG nr. 330/2023, Anexa 1</w:t>
            </w:r>
          </w:p>
        </w:tc>
        <w:tc>
          <w:tcPr>
            <w:tcW w:w="1836" w:type="dxa"/>
            <w:vAlign w:val="center"/>
          </w:tcPr>
          <w:p w14:paraId="399EBA3C" w14:textId="716AE11F"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Conform – criterii transparente și măsurabile</w:t>
            </w:r>
          </w:p>
        </w:tc>
      </w:tr>
      <w:tr w:rsidR="009B176B" w:rsidRPr="009B176B" w14:paraId="5A96C6CF" w14:textId="77777777" w:rsidTr="009B176B">
        <w:tc>
          <w:tcPr>
            <w:tcW w:w="2407" w:type="dxa"/>
            <w:vAlign w:val="center"/>
          </w:tcPr>
          <w:p w14:paraId="42837DC5" w14:textId="2C4B57AD"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Corelarea cu EQF și QF-EHEA</w:t>
            </w:r>
          </w:p>
        </w:tc>
        <w:tc>
          <w:tcPr>
            <w:tcW w:w="3684" w:type="dxa"/>
            <w:vAlign w:val="center"/>
          </w:tcPr>
          <w:p w14:paraId="497CBD04" w14:textId="616F5399"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 xml:space="preserve">Fiecare calificare inclusă este corelată explicit cu descriptorii CNC/EQF/QF-EHEA; </w:t>
            </w:r>
          </w:p>
        </w:tc>
        <w:tc>
          <w:tcPr>
            <w:tcW w:w="1701" w:type="dxa"/>
            <w:vAlign w:val="center"/>
          </w:tcPr>
          <w:p w14:paraId="516C231C" w14:textId="06E706ED"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HG nr. 330/2023, Anexa 2, RNC</w:t>
            </w:r>
          </w:p>
        </w:tc>
        <w:tc>
          <w:tcPr>
            <w:tcW w:w="1836" w:type="dxa"/>
            <w:vAlign w:val="center"/>
          </w:tcPr>
          <w:p w14:paraId="3C8BCF26" w14:textId="68016C9D"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Conform – aliniere completă la EQF și QF-EHEA</w:t>
            </w:r>
          </w:p>
        </w:tc>
      </w:tr>
      <w:tr w:rsidR="009B176B" w:rsidRPr="009B176B" w14:paraId="77A49E86" w14:textId="77777777" w:rsidTr="009B176B">
        <w:tc>
          <w:tcPr>
            <w:tcW w:w="2407" w:type="dxa"/>
            <w:vAlign w:val="center"/>
          </w:tcPr>
          <w:p w14:paraId="25631CD8" w14:textId="19B0BDEC"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Mecanisme de asigurare a calității procesului</w:t>
            </w:r>
          </w:p>
        </w:tc>
        <w:tc>
          <w:tcPr>
            <w:tcW w:w="3684" w:type="dxa"/>
            <w:vAlign w:val="center"/>
          </w:tcPr>
          <w:p w14:paraId="665648BB" w14:textId="2C72B604"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ANACEC monitorizează aplicarea corectă a procedurilor și coerența calificărilor cu standardele.</w:t>
            </w:r>
          </w:p>
        </w:tc>
        <w:tc>
          <w:tcPr>
            <w:tcW w:w="1701" w:type="dxa"/>
            <w:vAlign w:val="center"/>
          </w:tcPr>
          <w:p w14:paraId="17312BF7" w14:textId="47BD8288"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HG nr. 330/2023, Standardele ANACEC</w:t>
            </w:r>
          </w:p>
        </w:tc>
        <w:tc>
          <w:tcPr>
            <w:tcW w:w="1836" w:type="dxa"/>
            <w:vAlign w:val="center"/>
          </w:tcPr>
          <w:p w14:paraId="54706A23" w14:textId="4C457565"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Conform – monitorizare externă funcțională</w:t>
            </w:r>
          </w:p>
        </w:tc>
      </w:tr>
      <w:tr w:rsidR="009B176B" w:rsidRPr="009B176B" w14:paraId="1EF34913" w14:textId="77777777" w:rsidTr="009B176B">
        <w:tc>
          <w:tcPr>
            <w:tcW w:w="2407" w:type="dxa"/>
            <w:vAlign w:val="center"/>
          </w:tcPr>
          <w:p w14:paraId="01626468" w14:textId="1FB5834D"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Posibilitatea de actualizare sau arhivare a calificărilor</w:t>
            </w:r>
          </w:p>
        </w:tc>
        <w:tc>
          <w:tcPr>
            <w:tcW w:w="3684" w:type="dxa"/>
            <w:vAlign w:val="center"/>
          </w:tcPr>
          <w:p w14:paraId="36B2A8A6" w14:textId="117AF220"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Prevederile art. 86 și 91–97 reglementează actualizarea, revalidarea și arhivarea calificărilor irelevante.</w:t>
            </w:r>
          </w:p>
        </w:tc>
        <w:tc>
          <w:tcPr>
            <w:tcW w:w="1701" w:type="dxa"/>
            <w:vAlign w:val="center"/>
          </w:tcPr>
          <w:p w14:paraId="7EFCAAFD" w14:textId="34A75E3D"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HG nr. 330/2023, Ordin MEC nr. 573/2022</w:t>
            </w:r>
          </w:p>
        </w:tc>
        <w:tc>
          <w:tcPr>
            <w:tcW w:w="1836" w:type="dxa"/>
            <w:vAlign w:val="center"/>
          </w:tcPr>
          <w:p w14:paraId="3E38AA8A" w14:textId="13D70EDF" w:rsidR="009B176B" w:rsidRPr="009B176B" w:rsidRDefault="009B176B" w:rsidP="009B176B">
            <w:pPr>
              <w:jc w:val="both"/>
              <w:outlineLvl w:val="1"/>
              <w:rPr>
                <w:rFonts w:ascii="Times New Roman" w:eastAsia="Times New Roman" w:hAnsi="Times New Roman" w:cs="Times New Roman"/>
                <w:b/>
                <w:bCs/>
                <w:color w:val="3494BA" w:themeColor="accent1"/>
                <w:kern w:val="0"/>
                <w:sz w:val="20"/>
                <w:szCs w:val="20"/>
                <w:lang w:val="ro-MD" w:eastAsia="ro-MD"/>
                <w14:ligatures w14:val="none"/>
              </w:rPr>
            </w:pPr>
            <w:r w:rsidRPr="009B176B">
              <w:rPr>
                <w:rFonts w:ascii="Times New Roman" w:eastAsia="Times New Roman" w:hAnsi="Times New Roman" w:cs="Times New Roman"/>
                <w:kern w:val="0"/>
                <w:sz w:val="20"/>
                <w:szCs w:val="20"/>
                <w:lang w:val="ro-MD" w:eastAsia="ro-MD"/>
                <w14:ligatures w14:val="none"/>
              </w:rPr>
              <w:t>Conform – mecanisme de revizuire periodică active</w:t>
            </w:r>
          </w:p>
        </w:tc>
      </w:tr>
    </w:tbl>
    <w:p w14:paraId="674E0358" w14:textId="77777777" w:rsidR="00461BF9" w:rsidRPr="00AB50E1" w:rsidRDefault="00461BF9" w:rsidP="00AB50E1">
      <w:pPr>
        <w:spacing w:before="120" w:after="120" w:line="276" w:lineRule="auto"/>
        <w:outlineLvl w:val="1"/>
        <w:rPr>
          <w:rFonts w:ascii="Times New Roman" w:eastAsia="Times New Roman" w:hAnsi="Times New Roman" w:cs="Times New Roman"/>
          <w:b/>
          <w:bCs/>
          <w:color w:val="3494BA" w:themeColor="accent1"/>
          <w:kern w:val="0"/>
          <w:sz w:val="24"/>
          <w:szCs w:val="24"/>
          <w:lang w:val="ro-MD" w:eastAsia="ro-MD"/>
          <w14:ligatures w14:val="none"/>
        </w:rPr>
      </w:pPr>
      <w:r w:rsidRPr="00AB50E1">
        <w:rPr>
          <w:rFonts w:ascii="Times New Roman" w:eastAsia="Times New Roman" w:hAnsi="Times New Roman" w:cs="Times New Roman"/>
          <w:b/>
          <w:bCs/>
          <w:color w:val="3494BA" w:themeColor="accent1"/>
          <w:kern w:val="0"/>
          <w:sz w:val="24"/>
          <w:szCs w:val="24"/>
          <w:lang w:val="ro-MD" w:eastAsia="ro-MD"/>
          <w14:ligatures w14:val="none"/>
        </w:rPr>
        <w:t>7. Concluzii generale privind Criteriul 4</w:t>
      </w:r>
    </w:p>
    <w:p w14:paraId="53D5D8A9" w14:textId="796AF315" w:rsidR="00C422C0" w:rsidRDefault="00C422C0" w:rsidP="00C422C0">
      <w:pPr>
        <w:pStyle w:val="af8"/>
        <w:spacing w:before="120" w:beforeAutospacing="0" w:after="120" w:afterAutospacing="0" w:line="276" w:lineRule="auto"/>
        <w:jc w:val="both"/>
        <w:rPr>
          <w:lang w:val="ro-MD"/>
        </w:rPr>
      </w:pPr>
      <w:r>
        <w:t xml:space="preserve">Republica Moldova dispune de un sistem complet și operațional de includere a calificărilor în CNC, fundamentat pe </w:t>
      </w:r>
      <w:r w:rsidR="00054ACB">
        <w:t xml:space="preserve">acte </w:t>
      </w:r>
      <w:r>
        <w:t>norm</w:t>
      </w:r>
      <w:r w:rsidR="00054ACB">
        <w:t>ative</w:t>
      </w:r>
      <w:r>
        <w:t xml:space="preserve"> clare, proceduri publice și implicare intersectorială. Procesul este documentat, verificabil și susținut de mecanisme funcționale de feedback și monitorizare, garantând transparența, credibilitatea și calitatea calificărilor incluse în CNC și înscrise în RNC.</w:t>
      </w:r>
    </w:p>
    <w:p w14:paraId="207B6858" w14:textId="2472CB09" w:rsidR="0090481E" w:rsidRPr="00C422C0" w:rsidRDefault="00C422C0" w:rsidP="00C422C0">
      <w:pPr>
        <w:pStyle w:val="af8"/>
        <w:spacing w:before="120" w:beforeAutospacing="0" w:after="120" w:afterAutospacing="0" w:line="276" w:lineRule="auto"/>
        <w:jc w:val="both"/>
      </w:pPr>
      <w:r>
        <w:t xml:space="preserve">Prin aplicarea unitară a cadrului normativ și utilizarea instrumentelor naționale și europene de transparență (RNC, Europass, sistemele de credite ECVET/ECTS), Republica Moldova demonstrează </w:t>
      </w:r>
      <w:r w:rsidRPr="00054ACB">
        <w:rPr>
          <w:rStyle w:val="af9"/>
          <w:rFonts w:eastAsiaTheme="majorEastAsia"/>
          <w:b w:val="0"/>
          <w:bCs w:val="0"/>
        </w:rPr>
        <w:t>alinierea deplină la principiile europene privind transparența, trasabilitatea și comparabilitatea calificărilor</w:t>
      </w:r>
      <w:r>
        <w:t>, asigurând vizibilitatea și recunoașterea lor în spațiul european al educației și formării profesionale.</w:t>
      </w:r>
    </w:p>
    <w:p w14:paraId="19D8DA84" w14:textId="77777777" w:rsidR="0096700D" w:rsidRDefault="0096700D" w:rsidP="0023314B">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p>
    <w:p w14:paraId="62CF9930" w14:textId="77F1FF37" w:rsidR="00601534" w:rsidRPr="001F6026" w:rsidRDefault="00601534" w:rsidP="0023314B">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eastAsia="Times New Roman" w:hAnsi="Times New Roman" w:cs="Times New Roman"/>
          <w:b/>
          <w:bCs/>
          <w:color w:val="3494BA" w:themeColor="accent1"/>
          <w:kern w:val="0"/>
          <w:sz w:val="24"/>
          <w:szCs w:val="24"/>
          <w:lang w:eastAsia="ro-MD"/>
          <w14:ligatures w14:val="none"/>
        </w:rPr>
        <w:t>CRITERIUL 5</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601534" w:rsidRPr="001F6026" w14:paraId="6C9F0252" w14:textId="77777777" w:rsidTr="00B81475">
        <w:tc>
          <w:tcPr>
            <w:tcW w:w="9618" w:type="dxa"/>
          </w:tcPr>
          <w:p w14:paraId="5134AB5D" w14:textId="77777777" w:rsidR="00601534" w:rsidRPr="001F6026" w:rsidRDefault="00601534" w:rsidP="0023314B">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1F6026">
              <w:rPr>
                <w:rFonts w:ascii="Times New Roman" w:hAnsi="Times New Roman" w:cs="Times New Roman"/>
                <w:sz w:val="24"/>
                <w:szCs w:val="24"/>
              </w:rPr>
              <w:t>Sistemul (sistemele) național(e) de asigurare a calității în domeniul educației și formării profesionale se referă la cadrele sau sistemele naționale ale calificărilor și este (sunt) conform(e) cu principiile de asigurare a calității specificate în anexa IV a Recomandării Consiliului UE din 22 mai 2017.</w:t>
            </w:r>
          </w:p>
        </w:tc>
      </w:tr>
    </w:tbl>
    <w:p w14:paraId="69607E80" w14:textId="187C1C98" w:rsidR="000F1BA3" w:rsidRDefault="000F1BA3" w:rsidP="000F1BA3">
      <w:pPr>
        <w:pStyle w:val="af8"/>
      </w:pPr>
      <w:r>
        <w:rPr>
          <w:b/>
          <w:bCs/>
          <w:color w:val="3494BA" w:themeColor="accent1"/>
        </w:rPr>
        <w:t>Aspecte cheie</w:t>
      </w:r>
      <w:r w:rsidRPr="000772DE">
        <w:rPr>
          <w:rFonts w:hAnsi="Symbol"/>
          <w:b/>
          <w:bCs/>
          <w:color w:val="3494BA" w:themeColor="accent1"/>
        </w:rPr>
        <w:t xml:space="preserve"> </w:t>
      </w:r>
      <w:r w:rsidRPr="000772DE">
        <w:rPr>
          <w:b/>
          <w:bCs/>
          <w:color w:val="3494BA" w:themeColor="accent1"/>
        </w:rPr>
        <w:t>pentru Criteriul</w:t>
      </w:r>
      <w:r>
        <w:rPr>
          <w:b/>
          <w:bCs/>
          <w:color w:val="3494BA" w:themeColor="accent1"/>
        </w:rPr>
        <w:t xml:space="preserve"> 5:</w:t>
      </w:r>
    </w:p>
    <w:p w14:paraId="14143052" w14:textId="6A4DE867" w:rsidR="00672D68" w:rsidRPr="000F1BA3" w:rsidRDefault="00672D68" w:rsidP="00A41843">
      <w:pPr>
        <w:pStyle w:val="af8"/>
        <w:numPr>
          <w:ilvl w:val="0"/>
          <w:numId w:val="152"/>
        </w:numPr>
        <w:spacing w:before="0" w:beforeAutospacing="0" w:after="0" w:afterAutospacing="0"/>
        <w:rPr>
          <w:color w:val="3494BA" w:themeColor="accent1"/>
          <w:lang w:val="ro-MD"/>
        </w:rPr>
      </w:pPr>
      <w:r w:rsidRPr="000F1BA3">
        <w:rPr>
          <w:rStyle w:val="af9"/>
          <w:rFonts w:eastAsiaTheme="majorEastAsia"/>
          <w:color w:val="3494BA" w:themeColor="accent1"/>
        </w:rPr>
        <w:t>Element-cheie pentru creșterea încrederii în procesul EQF</w:t>
      </w:r>
      <w:r w:rsidRPr="000F1BA3">
        <w:rPr>
          <w:color w:val="3494BA" w:themeColor="accent1"/>
        </w:rPr>
        <w:t>.</w:t>
      </w:r>
    </w:p>
    <w:p w14:paraId="658E6924" w14:textId="1DCBFD8C" w:rsidR="00672D68" w:rsidRPr="000F1BA3" w:rsidRDefault="00672D68" w:rsidP="00A41843">
      <w:pPr>
        <w:pStyle w:val="af8"/>
        <w:numPr>
          <w:ilvl w:val="0"/>
          <w:numId w:val="152"/>
        </w:numPr>
        <w:spacing w:before="0" w:beforeAutospacing="0" w:after="0" w:afterAutospacing="0"/>
        <w:rPr>
          <w:color w:val="3494BA" w:themeColor="accent1"/>
        </w:rPr>
      </w:pPr>
      <w:r w:rsidRPr="000F1BA3">
        <w:rPr>
          <w:rStyle w:val="af9"/>
          <w:rFonts w:eastAsiaTheme="majorEastAsia"/>
          <w:color w:val="3494BA" w:themeColor="accent1"/>
        </w:rPr>
        <w:t>Informații privind mecanismele de asigurare a calității</w:t>
      </w:r>
      <w:r w:rsidRPr="000F1BA3">
        <w:rPr>
          <w:color w:val="3494BA" w:themeColor="accent1"/>
        </w:rPr>
        <w:t>:</w:t>
      </w:r>
    </w:p>
    <w:p w14:paraId="2364827D" w14:textId="77777777" w:rsidR="00672D68" w:rsidRPr="000F1BA3" w:rsidRDefault="00672D68" w:rsidP="00A41843">
      <w:pPr>
        <w:pStyle w:val="af8"/>
        <w:numPr>
          <w:ilvl w:val="0"/>
          <w:numId w:val="151"/>
        </w:numPr>
        <w:spacing w:before="0" w:beforeAutospacing="0" w:after="0" w:afterAutospacing="0"/>
        <w:rPr>
          <w:color w:val="3494BA" w:themeColor="accent1"/>
        </w:rPr>
      </w:pPr>
      <w:r w:rsidRPr="000F1BA3">
        <w:rPr>
          <w:color w:val="3494BA" w:themeColor="accent1"/>
        </w:rPr>
        <w:t>Strategia de asigurare a calității;</w:t>
      </w:r>
    </w:p>
    <w:p w14:paraId="61EECB47" w14:textId="77777777" w:rsidR="00672D68" w:rsidRPr="000F1BA3" w:rsidRDefault="00672D68" w:rsidP="00A41843">
      <w:pPr>
        <w:pStyle w:val="af8"/>
        <w:numPr>
          <w:ilvl w:val="0"/>
          <w:numId w:val="151"/>
        </w:numPr>
        <w:spacing w:before="0" w:beforeAutospacing="0" w:after="0" w:afterAutospacing="0"/>
        <w:rPr>
          <w:color w:val="3494BA" w:themeColor="accent1"/>
        </w:rPr>
      </w:pPr>
      <w:r w:rsidRPr="000F1BA3">
        <w:rPr>
          <w:color w:val="3494BA" w:themeColor="accent1"/>
        </w:rPr>
        <w:t>Evaluare internă și externă;</w:t>
      </w:r>
    </w:p>
    <w:p w14:paraId="20F942C7" w14:textId="77777777" w:rsidR="00672D68" w:rsidRPr="000F1BA3" w:rsidRDefault="00672D68" w:rsidP="00A41843">
      <w:pPr>
        <w:pStyle w:val="af8"/>
        <w:numPr>
          <w:ilvl w:val="0"/>
          <w:numId w:val="151"/>
        </w:numPr>
        <w:spacing w:before="0" w:beforeAutospacing="0" w:after="0" w:afterAutospacing="0"/>
        <w:rPr>
          <w:color w:val="3494BA" w:themeColor="accent1"/>
        </w:rPr>
      </w:pPr>
      <w:r w:rsidRPr="000F1BA3">
        <w:rPr>
          <w:color w:val="3494BA" w:themeColor="accent1"/>
        </w:rPr>
        <w:t>Indicatori de calitate;</w:t>
      </w:r>
    </w:p>
    <w:p w14:paraId="158399EC" w14:textId="77777777" w:rsidR="00672D68" w:rsidRPr="000F1BA3" w:rsidRDefault="00672D68" w:rsidP="00A41843">
      <w:pPr>
        <w:pStyle w:val="af8"/>
        <w:numPr>
          <w:ilvl w:val="0"/>
          <w:numId w:val="151"/>
        </w:numPr>
        <w:spacing w:before="0" w:beforeAutospacing="0" w:after="0" w:afterAutospacing="0"/>
        <w:rPr>
          <w:color w:val="3494BA" w:themeColor="accent1"/>
        </w:rPr>
      </w:pPr>
      <w:r w:rsidRPr="000F1BA3">
        <w:rPr>
          <w:color w:val="3494BA" w:themeColor="accent1"/>
        </w:rPr>
        <w:t>Legislația care fundamentează asigurarea calității în educație și formare;</w:t>
      </w:r>
    </w:p>
    <w:p w14:paraId="74B4AD1A" w14:textId="77777777" w:rsidR="00672D68" w:rsidRPr="000F1BA3" w:rsidRDefault="00672D68" w:rsidP="00A41843">
      <w:pPr>
        <w:pStyle w:val="af8"/>
        <w:numPr>
          <w:ilvl w:val="0"/>
          <w:numId w:val="151"/>
        </w:numPr>
        <w:spacing w:before="0" w:beforeAutospacing="0" w:after="0" w:afterAutospacing="0"/>
        <w:rPr>
          <w:color w:val="3494BA" w:themeColor="accent1"/>
        </w:rPr>
      </w:pPr>
      <w:r w:rsidRPr="000F1BA3">
        <w:rPr>
          <w:color w:val="3494BA" w:themeColor="accent1"/>
        </w:rPr>
        <w:t>Rolul actorilor implicați în asigurarea calității;</w:t>
      </w:r>
    </w:p>
    <w:p w14:paraId="5261AB64" w14:textId="77777777" w:rsidR="00672D68" w:rsidRPr="000F1BA3" w:rsidRDefault="00672D68" w:rsidP="00A41843">
      <w:pPr>
        <w:pStyle w:val="af8"/>
        <w:numPr>
          <w:ilvl w:val="0"/>
          <w:numId w:val="151"/>
        </w:numPr>
        <w:spacing w:before="0" w:beforeAutospacing="0" w:after="0" w:afterAutospacing="0"/>
        <w:rPr>
          <w:color w:val="3494BA" w:themeColor="accent1"/>
        </w:rPr>
      </w:pPr>
      <w:r w:rsidRPr="000F1BA3">
        <w:rPr>
          <w:color w:val="3494BA" w:themeColor="accent1"/>
        </w:rPr>
        <w:t>Incluziunea calificărilor în CNC.</w:t>
      </w:r>
    </w:p>
    <w:p w14:paraId="01FF09D2" w14:textId="77777777" w:rsidR="00672D68" w:rsidRPr="002F22EF" w:rsidRDefault="00672D68" w:rsidP="003743A0">
      <w:pPr>
        <w:spacing w:after="0" w:line="276" w:lineRule="auto"/>
        <w:ind w:left="632" w:right="632"/>
        <w:jc w:val="center"/>
        <w:rPr>
          <w:rFonts w:ascii="Times New Roman" w:hAnsi="Times New Roman" w:cs="Times New Roman"/>
          <w:iCs/>
          <w:w w:val="105"/>
          <w:sz w:val="24"/>
          <w:szCs w:val="24"/>
        </w:rPr>
      </w:pPr>
    </w:p>
    <w:p w14:paraId="63185FBE" w14:textId="77777777" w:rsidR="0011678A" w:rsidRPr="0011678A" w:rsidRDefault="0011678A" w:rsidP="0011678A">
      <w:pPr>
        <w:spacing w:after="0" w:line="276" w:lineRule="auto"/>
        <w:ind w:right="632"/>
        <w:rPr>
          <w:rFonts w:ascii="Times New Roman" w:hAnsi="Times New Roman" w:cs="Times New Roman"/>
          <w:b/>
          <w:bCs/>
          <w:iCs/>
          <w:color w:val="3494BA" w:themeColor="accent1"/>
          <w:w w:val="105"/>
          <w:sz w:val="24"/>
          <w:szCs w:val="24"/>
          <w:lang w:val="ro-MD"/>
        </w:rPr>
      </w:pPr>
      <w:r w:rsidRPr="0011678A">
        <w:rPr>
          <w:rFonts w:ascii="Times New Roman" w:hAnsi="Times New Roman" w:cs="Times New Roman"/>
          <w:b/>
          <w:bCs/>
          <w:iCs/>
          <w:color w:val="3494BA" w:themeColor="accent1"/>
          <w:w w:val="105"/>
          <w:sz w:val="24"/>
          <w:szCs w:val="24"/>
          <w:lang w:val="ro-MD"/>
        </w:rPr>
        <w:t>1. Cadrul normativ și instituțional</w:t>
      </w:r>
    </w:p>
    <w:p w14:paraId="391DD723" w14:textId="419CDDC7" w:rsidR="0011678A" w:rsidRPr="0011678A" w:rsidRDefault="0011678A" w:rsidP="00FB20A3">
      <w:pPr>
        <w:spacing w:before="120" w:after="120" w:line="276" w:lineRule="auto"/>
        <w:ind w:right="-1"/>
        <w:jc w:val="both"/>
        <w:rPr>
          <w:rFonts w:ascii="Times New Roman" w:hAnsi="Times New Roman" w:cs="Times New Roman"/>
          <w:iCs/>
          <w:w w:val="105"/>
          <w:sz w:val="24"/>
          <w:szCs w:val="24"/>
          <w:lang w:val="ro-MD"/>
        </w:rPr>
      </w:pPr>
      <w:r w:rsidRPr="0011678A">
        <w:rPr>
          <w:rFonts w:ascii="Times New Roman" w:hAnsi="Times New Roman" w:cs="Times New Roman"/>
          <w:i/>
          <w:w w:val="105"/>
          <w:sz w:val="24"/>
          <w:szCs w:val="24"/>
          <w:lang w:val="ro-MD"/>
        </w:rPr>
        <w:lastRenderedPageBreak/>
        <w:t>Sistemul național de asigurare a calității</w:t>
      </w:r>
      <w:r w:rsidRPr="0011678A">
        <w:rPr>
          <w:rFonts w:ascii="Times New Roman" w:hAnsi="Times New Roman" w:cs="Times New Roman"/>
          <w:iCs/>
          <w:w w:val="105"/>
          <w:sz w:val="24"/>
          <w:szCs w:val="24"/>
          <w:lang w:val="ro-MD"/>
        </w:rPr>
        <w:t xml:space="preserve"> în educație și formare profesională din Republica Moldova este structurat pe baze legale clare și interconectat direct cu Cadrul Național al Calificărilor (CNC). Acesta funcționează în conformitate cu principiile stabilite în Anexa IV a Recomandării Consiliului Uniunii Europene din 22 mai 2017, care vizează </w:t>
      </w:r>
      <w:r w:rsidR="00BC2935" w:rsidRPr="00BC2935">
        <w:rPr>
          <w:rFonts w:ascii="Times New Roman" w:hAnsi="Times New Roman" w:cs="Times New Roman"/>
          <w:iCs/>
          <w:w w:val="105"/>
          <w:sz w:val="24"/>
          <w:szCs w:val="24"/>
        </w:rPr>
        <w:t>transparența proceselor, implicarea părților interesate, orientarea pe rezultate ale învățării, utilizarea unor proceduri interne și externe robuste și accesul public la rezultatele evaluărilor</w:t>
      </w:r>
      <w:r w:rsidRPr="0011678A">
        <w:rPr>
          <w:rFonts w:ascii="Times New Roman" w:hAnsi="Times New Roman" w:cs="Times New Roman"/>
          <w:iCs/>
          <w:w w:val="105"/>
          <w:sz w:val="24"/>
          <w:szCs w:val="24"/>
          <w:lang w:val="ro-MD"/>
        </w:rPr>
        <w:t>.</w:t>
      </w:r>
    </w:p>
    <w:p w14:paraId="48D32EC2" w14:textId="77777777" w:rsidR="0011678A" w:rsidRPr="0011678A" w:rsidRDefault="0011678A" w:rsidP="0011678A">
      <w:p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Baza normativă principală este constituită din:</w:t>
      </w:r>
    </w:p>
    <w:p w14:paraId="68B5A888" w14:textId="7A11AE87" w:rsidR="0011678A" w:rsidRPr="0011678A" w:rsidRDefault="0011678A" w:rsidP="00A41843">
      <w:pPr>
        <w:numPr>
          <w:ilvl w:val="0"/>
          <w:numId w:val="213"/>
        </w:numPr>
        <w:spacing w:before="120" w:after="120" w:line="276" w:lineRule="auto"/>
        <w:ind w:right="-1"/>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Codul educației al Republicii Moldova (nr. 152/2014)</w:t>
      </w:r>
      <w:r w:rsidR="00E55D48">
        <w:rPr>
          <w:rFonts w:ascii="Times New Roman" w:hAnsi="Times New Roman" w:cs="Times New Roman"/>
          <w:iCs/>
          <w:w w:val="105"/>
          <w:sz w:val="24"/>
          <w:szCs w:val="24"/>
          <w:lang w:val="ro-MD"/>
        </w:rPr>
        <w:t>,</w:t>
      </w:r>
      <w:r w:rsidRPr="0011678A">
        <w:rPr>
          <w:rFonts w:ascii="Times New Roman" w:hAnsi="Times New Roman" w:cs="Times New Roman"/>
          <w:iCs/>
          <w:w w:val="105"/>
          <w:sz w:val="24"/>
          <w:szCs w:val="24"/>
          <w:lang w:val="ro-MD"/>
        </w:rPr>
        <w:t xml:space="preserve"> articolele 44¹, 65, 113 și 115</w:t>
      </w:r>
      <w:r w:rsidR="00E55D48">
        <w:rPr>
          <w:rFonts w:ascii="Times New Roman" w:hAnsi="Times New Roman" w:cs="Times New Roman"/>
          <w:iCs/>
          <w:w w:val="105"/>
          <w:sz w:val="24"/>
          <w:szCs w:val="24"/>
          <w:lang w:val="ro-MD"/>
        </w:rPr>
        <w:t xml:space="preserve"> (</w:t>
      </w:r>
      <w:hyperlink r:id="rId75" w:history="1">
        <w:r w:rsidR="00E55D48" w:rsidRPr="00E55D48">
          <w:rPr>
            <w:rStyle w:val="aff0"/>
            <w:rFonts w:ascii="Times New Roman" w:hAnsi="Times New Roman" w:cs="Times New Roman"/>
            <w:iCs/>
            <w:w w:val="105"/>
            <w:sz w:val="24"/>
            <w:szCs w:val="24"/>
            <w:lang w:val="ro-MD"/>
          </w:rPr>
          <w:t>link</w:t>
        </w:r>
      </w:hyperlink>
      <w:r w:rsidR="00E55D48">
        <w:rPr>
          <w:rFonts w:ascii="Times New Roman" w:hAnsi="Times New Roman" w:cs="Times New Roman"/>
          <w:iCs/>
          <w:w w:val="105"/>
          <w:sz w:val="24"/>
          <w:szCs w:val="24"/>
          <w:lang w:val="ro-MD"/>
        </w:rPr>
        <w:t>)</w:t>
      </w:r>
      <w:r w:rsidRPr="0011678A">
        <w:rPr>
          <w:rFonts w:ascii="Times New Roman" w:hAnsi="Times New Roman" w:cs="Times New Roman"/>
          <w:iCs/>
          <w:w w:val="105"/>
          <w:sz w:val="24"/>
          <w:szCs w:val="24"/>
          <w:lang w:val="ro-MD"/>
        </w:rPr>
        <w:t xml:space="preserve"> definesc instituțiile, competențele și principiile de evaluare a calității;</w:t>
      </w:r>
    </w:p>
    <w:p w14:paraId="135A83D0" w14:textId="77777777" w:rsidR="00610F7F" w:rsidRDefault="009256CE" w:rsidP="00A41843">
      <w:pPr>
        <w:numPr>
          <w:ilvl w:val="0"/>
          <w:numId w:val="213"/>
        </w:numPr>
        <w:spacing w:before="120" w:after="120" w:line="276" w:lineRule="auto"/>
        <w:ind w:right="-1"/>
        <w:jc w:val="both"/>
        <w:rPr>
          <w:rFonts w:ascii="Times New Roman" w:hAnsi="Times New Roman" w:cs="Times New Roman"/>
          <w:iCs/>
          <w:w w:val="105"/>
          <w:sz w:val="24"/>
          <w:szCs w:val="24"/>
          <w:lang w:val="ro-MD"/>
        </w:rPr>
      </w:pPr>
      <w:r>
        <w:rPr>
          <w:rFonts w:ascii="Times New Roman" w:hAnsi="Times New Roman" w:cs="Times New Roman"/>
          <w:iCs/>
          <w:w w:val="105"/>
          <w:sz w:val="24"/>
          <w:szCs w:val="24"/>
          <w:lang w:val="ro-MD"/>
        </w:rPr>
        <w:t>HG</w:t>
      </w:r>
      <w:r w:rsidR="0011678A" w:rsidRPr="0011678A">
        <w:rPr>
          <w:rFonts w:ascii="Times New Roman" w:hAnsi="Times New Roman" w:cs="Times New Roman"/>
          <w:iCs/>
          <w:w w:val="105"/>
          <w:sz w:val="24"/>
          <w:szCs w:val="24"/>
          <w:lang w:val="ro-MD"/>
        </w:rPr>
        <w:t xml:space="preserve"> nr. 201/2018</w:t>
      </w:r>
      <w:r w:rsidR="00A83493">
        <w:rPr>
          <w:rFonts w:ascii="Times New Roman" w:hAnsi="Times New Roman" w:cs="Times New Roman"/>
          <w:iCs/>
          <w:w w:val="105"/>
          <w:sz w:val="24"/>
          <w:szCs w:val="24"/>
          <w:lang w:val="ro-MD"/>
        </w:rPr>
        <w:t>(</w:t>
      </w:r>
      <w:hyperlink r:id="rId76" w:history="1">
        <w:r w:rsidR="00A83493" w:rsidRPr="00A83493">
          <w:rPr>
            <w:rStyle w:val="aff0"/>
            <w:rFonts w:ascii="Times New Roman" w:hAnsi="Times New Roman" w:cs="Times New Roman"/>
            <w:iCs/>
            <w:w w:val="105"/>
            <w:sz w:val="24"/>
            <w:szCs w:val="24"/>
            <w:lang w:val="ro-MD"/>
          </w:rPr>
          <w:t>link</w:t>
        </w:r>
      </w:hyperlink>
      <w:r w:rsidR="00A83493">
        <w:rPr>
          <w:rFonts w:ascii="Times New Roman" w:hAnsi="Times New Roman" w:cs="Times New Roman"/>
          <w:iCs/>
          <w:w w:val="105"/>
          <w:sz w:val="24"/>
          <w:szCs w:val="24"/>
          <w:lang w:val="ro-MD"/>
        </w:rPr>
        <w:t>)</w:t>
      </w:r>
      <w:r w:rsidR="0011678A" w:rsidRPr="0011678A">
        <w:rPr>
          <w:rFonts w:ascii="Times New Roman" w:hAnsi="Times New Roman" w:cs="Times New Roman"/>
          <w:iCs/>
          <w:w w:val="105"/>
          <w:sz w:val="24"/>
          <w:szCs w:val="24"/>
          <w:lang w:val="ro-MD"/>
        </w:rPr>
        <w:t xml:space="preserve"> privind organizarea și funcționarea Agenției Naționale de Asigurare a Calității în Educație și Cercetare (ANACEC)</w:t>
      </w:r>
      <w:r w:rsidR="00590941">
        <w:rPr>
          <w:rFonts w:ascii="Times New Roman" w:hAnsi="Times New Roman" w:cs="Times New Roman"/>
          <w:iCs/>
          <w:w w:val="105"/>
          <w:sz w:val="24"/>
          <w:szCs w:val="24"/>
          <w:lang w:val="ro-MD"/>
        </w:rPr>
        <w:t xml:space="preserve"> - </w:t>
      </w:r>
      <w:r w:rsidR="00590941" w:rsidRPr="00590941">
        <w:rPr>
          <w:rFonts w:ascii="Times New Roman" w:hAnsi="Times New Roman" w:cs="Times New Roman"/>
          <w:iCs/>
          <w:w w:val="105"/>
          <w:sz w:val="24"/>
          <w:szCs w:val="24"/>
          <w:lang w:val="ro-MD"/>
        </w:rPr>
        <w:t>reglementează evaluarea externă a instituțiilor și programelor de studii, validarea standardelor de calificare și monitorizarea calității proceselor educaționale și de cercetare</w:t>
      </w:r>
      <w:r w:rsidR="0011678A" w:rsidRPr="0011678A">
        <w:rPr>
          <w:rFonts w:ascii="Times New Roman" w:hAnsi="Times New Roman" w:cs="Times New Roman"/>
          <w:iCs/>
          <w:w w:val="105"/>
          <w:sz w:val="24"/>
          <w:szCs w:val="24"/>
          <w:lang w:val="ro-MD"/>
        </w:rPr>
        <w:t>;</w:t>
      </w:r>
    </w:p>
    <w:p w14:paraId="158A2066" w14:textId="509DFC2F" w:rsidR="0011678A" w:rsidRPr="0011678A" w:rsidRDefault="009256CE" w:rsidP="00A41843">
      <w:pPr>
        <w:numPr>
          <w:ilvl w:val="0"/>
          <w:numId w:val="213"/>
        </w:numPr>
        <w:spacing w:before="120" w:after="120" w:line="276" w:lineRule="auto"/>
        <w:ind w:right="-1"/>
        <w:jc w:val="both"/>
        <w:rPr>
          <w:rFonts w:ascii="Times New Roman" w:hAnsi="Times New Roman" w:cs="Times New Roman"/>
          <w:iCs/>
          <w:w w:val="105"/>
          <w:sz w:val="24"/>
          <w:szCs w:val="24"/>
          <w:lang w:val="ro-MD"/>
        </w:rPr>
      </w:pPr>
      <w:r w:rsidRPr="00610F7F">
        <w:rPr>
          <w:rFonts w:ascii="Times New Roman" w:hAnsi="Times New Roman" w:cs="Times New Roman"/>
          <w:iCs/>
          <w:w w:val="105"/>
          <w:sz w:val="24"/>
          <w:szCs w:val="24"/>
          <w:lang w:val="ro-MD"/>
        </w:rPr>
        <w:t>HG</w:t>
      </w:r>
      <w:r w:rsidR="0011678A" w:rsidRPr="00610F7F">
        <w:rPr>
          <w:rFonts w:ascii="Times New Roman" w:hAnsi="Times New Roman" w:cs="Times New Roman"/>
          <w:iCs/>
          <w:w w:val="105"/>
          <w:sz w:val="24"/>
          <w:szCs w:val="24"/>
          <w:lang w:val="ro-MD"/>
        </w:rPr>
        <w:t xml:space="preserve"> nr. 616/2016 </w:t>
      </w:r>
      <w:r w:rsidR="00610F7F">
        <w:rPr>
          <w:rFonts w:ascii="Times New Roman" w:hAnsi="Times New Roman" w:cs="Times New Roman"/>
          <w:iCs/>
          <w:w w:val="105"/>
          <w:sz w:val="24"/>
          <w:szCs w:val="24"/>
          <w:lang w:val="ro-MD"/>
        </w:rPr>
        <w:t>(</w:t>
      </w:r>
      <w:hyperlink r:id="rId77" w:history="1">
        <w:r w:rsidR="00610F7F" w:rsidRPr="00B117B3">
          <w:rPr>
            <w:rStyle w:val="aff0"/>
            <w:rFonts w:ascii="Times New Roman" w:hAnsi="Times New Roman" w:cs="Times New Roman"/>
            <w:iCs/>
            <w:w w:val="105"/>
            <w:sz w:val="24"/>
            <w:szCs w:val="24"/>
            <w:lang w:val="ro-MD"/>
          </w:rPr>
          <w:t>link</w:t>
        </w:r>
      </w:hyperlink>
      <w:r w:rsidR="00610F7F">
        <w:rPr>
          <w:rFonts w:ascii="Times New Roman" w:hAnsi="Times New Roman" w:cs="Times New Roman"/>
          <w:iCs/>
          <w:w w:val="105"/>
          <w:sz w:val="24"/>
          <w:szCs w:val="24"/>
          <w:lang w:val="ro-MD"/>
        </w:rPr>
        <w:t xml:space="preserve">) </w:t>
      </w:r>
      <w:r w:rsidR="0011678A" w:rsidRPr="00610F7F">
        <w:rPr>
          <w:rFonts w:ascii="Times New Roman" w:hAnsi="Times New Roman" w:cs="Times New Roman"/>
          <w:iCs/>
          <w:w w:val="105"/>
          <w:sz w:val="24"/>
          <w:szCs w:val="24"/>
          <w:lang w:val="ro-MD"/>
        </w:rPr>
        <w:t xml:space="preserve">privind </w:t>
      </w:r>
      <w:r w:rsidR="0011678A" w:rsidRPr="00CD7105">
        <w:rPr>
          <w:rFonts w:ascii="Times New Roman" w:hAnsi="Times New Roman" w:cs="Times New Roman"/>
          <w:i/>
          <w:w w:val="105"/>
          <w:sz w:val="24"/>
          <w:szCs w:val="24"/>
          <w:lang w:val="ro-MD"/>
        </w:rPr>
        <w:t>Metodologia de evaluare externă a calității în învățământul profesional tehnic, superior și formarea profesională a adulților</w:t>
      </w:r>
      <w:r w:rsidR="00610F7F" w:rsidRPr="00610F7F">
        <w:rPr>
          <w:rFonts w:ascii="Times New Roman" w:hAnsi="Times New Roman" w:cs="Times New Roman"/>
          <w:iCs/>
          <w:w w:val="105"/>
          <w:sz w:val="24"/>
          <w:szCs w:val="24"/>
          <w:lang w:val="ro-MD"/>
        </w:rPr>
        <w:t xml:space="preserve"> - stabilește principiile, procedurile și criteriile unitare de evaluare, utilizate de ANACEC pentru autorizarea și acreditarea instituțiilor și programelor de studii.</w:t>
      </w:r>
    </w:p>
    <w:p w14:paraId="6F09B002" w14:textId="2ED7D246" w:rsidR="0011678A" w:rsidRPr="0011678A" w:rsidRDefault="00E429A7" w:rsidP="00A41843">
      <w:pPr>
        <w:numPr>
          <w:ilvl w:val="0"/>
          <w:numId w:val="213"/>
        </w:numPr>
        <w:spacing w:before="120" w:after="120" w:line="276" w:lineRule="auto"/>
        <w:ind w:right="-1"/>
        <w:jc w:val="both"/>
        <w:rPr>
          <w:rFonts w:ascii="Times New Roman" w:hAnsi="Times New Roman" w:cs="Times New Roman"/>
          <w:iCs/>
          <w:w w:val="105"/>
          <w:sz w:val="24"/>
          <w:szCs w:val="24"/>
          <w:lang w:val="ro-MD"/>
        </w:rPr>
      </w:pPr>
      <w:r>
        <w:rPr>
          <w:rFonts w:ascii="Times New Roman" w:hAnsi="Times New Roman" w:cs="Times New Roman"/>
          <w:iCs/>
          <w:w w:val="105"/>
          <w:sz w:val="24"/>
          <w:szCs w:val="24"/>
          <w:lang w:val="ro-MD"/>
        </w:rPr>
        <w:t>HG</w:t>
      </w:r>
      <w:r w:rsidR="0011678A" w:rsidRPr="0011678A">
        <w:rPr>
          <w:rFonts w:ascii="Times New Roman" w:hAnsi="Times New Roman" w:cs="Times New Roman"/>
          <w:iCs/>
          <w:w w:val="105"/>
          <w:sz w:val="24"/>
          <w:szCs w:val="24"/>
          <w:lang w:val="ro-MD"/>
        </w:rPr>
        <w:t xml:space="preserve"> nr. 330/2023 </w:t>
      </w:r>
      <w:r w:rsidR="00B117B3">
        <w:rPr>
          <w:rFonts w:ascii="Times New Roman" w:hAnsi="Times New Roman" w:cs="Times New Roman"/>
          <w:iCs/>
          <w:w w:val="105"/>
          <w:sz w:val="24"/>
          <w:szCs w:val="24"/>
          <w:lang w:val="ro-MD"/>
        </w:rPr>
        <w:t>(</w:t>
      </w:r>
      <w:hyperlink r:id="rId78" w:history="1">
        <w:r w:rsidR="00B117B3" w:rsidRPr="00E429A7">
          <w:rPr>
            <w:rStyle w:val="aff0"/>
            <w:rFonts w:ascii="Times New Roman" w:hAnsi="Times New Roman" w:cs="Times New Roman"/>
            <w:iCs/>
            <w:w w:val="105"/>
            <w:sz w:val="24"/>
            <w:szCs w:val="24"/>
            <w:lang w:val="ro-MD"/>
          </w:rPr>
          <w:t>link</w:t>
        </w:r>
      </w:hyperlink>
      <w:r w:rsidR="00B117B3">
        <w:rPr>
          <w:rFonts w:ascii="Times New Roman" w:hAnsi="Times New Roman" w:cs="Times New Roman"/>
          <w:iCs/>
          <w:w w:val="105"/>
          <w:sz w:val="24"/>
          <w:szCs w:val="24"/>
          <w:lang w:val="ro-MD"/>
        </w:rPr>
        <w:t xml:space="preserve">) </w:t>
      </w:r>
      <w:r w:rsidR="0011678A" w:rsidRPr="0011678A">
        <w:rPr>
          <w:rFonts w:ascii="Times New Roman" w:hAnsi="Times New Roman" w:cs="Times New Roman"/>
          <w:iCs/>
          <w:w w:val="105"/>
          <w:sz w:val="24"/>
          <w:szCs w:val="24"/>
          <w:lang w:val="ro-MD"/>
        </w:rPr>
        <w:t>privind Cadrul Național al Calificărilor, care consacră rolul ANACEC în procesul de verificare a calității rezultatelor învățării și al calificărilor în raport cu descriptorii CNC și EQF.</w:t>
      </w:r>
    </w:p>
    <w:p w14:paraId="61B23D74" w14:textId="77777777" w:rsidR="0011678A" w:rsidRPr="0011678A" w:rsidRDefault="0011678A" w:rsidP="00FB20A3">
      <w:pPr>
        <w:tabs>
          <w:tab w:val="left" w:pos="8931"/>
        </w:tabs>
        <w:spacing w:before="120" w:after="120" w:line="276" w:lineRule="auto"/>
        <w:ind w:right="632"/>
        <w:jc w:val="both"/>
        <w:rPr>
          <w:rFonts w:ascii="Times New Roman" w:hAnsi="Times New Roman" w:cs="Times New Roman"/>
          <w:b/>
          <w:bCs/>
          <w:iCs/>
          <w:color w:val="3494BA" w:themeColor="accent1"/>
          <w:w w:val="105"/>
          <w:sz w:val="24"/>
          <w:szCs w:val="24"/>
          <w:lang w:val="ro-MD"/>
        </w:rPr>
      </w:pPr>
      <w:r w:rsidRPr="0011678A">
        <w:rPr>
          <w:rFonts w:ascii="Times New Roman" w:hAnsi="Times New Roman" w:cs="Times New Roman"/>
          <w:b/>
          <w:bCs/>
          <w:iCs/>
          <w:color w:val="3494BA" w:themeColor="accent1"/>
          <w:w w:val="105"/>
          <w:sz w:val="24"/>
          <w:szCs w:val="24"/>
          <w:lang w:val="ro-MD"/>
        </w:rPr>
        <w:t>Instituțiile responsabile</w:t>
      </w:r>
    </w:p>
    <w:p w14:paraId="7BA0F29B" w14:textId="77777777" w:rsidR="006F28A0" w:rsidRDefault="0011678A" w:rsidP="00FB20A3">
      <w:pPr>
        <w:tabs>
          <w:tab w:val="left" w:pos="8931"/>
        </w:tabs>
        <w:spacing w:before="120" w:after="120" w:line="276" w:lineRule="auto"/>
        <w:ind w:right="632"/>
        <w:jc w:val="both"/>
        <w:rPr>
          <w:rFonts w:ascii="Times New Roman" w:hAnsi="Times New Roman" w:cs="Times New Roman"/>
          <w:b/>
          <w:bCs/>
          <w:iCs/>
          <w:w w:val="105"/>
          <w:sz w:val="24"/>
          <w:szCs w:val="24"/>
          <w:lang w:val="ro-MD"/>
        </w:rPr>
      </w:pPr>
      <w:r w:rsidRPr="0011678A">
        <w:rPr>
          <w:rFonts w:ascii="Times New Roman" w:hAnsi="Times New Roman" w:cs="Times New Roman"/>
          <w:b/>
          <w:bCs/>
          <w:iCs/>
          <w:w w:val="105"/>
          <w:sz w:val="24"/>
          <w:szCs w:val="24"/>
          <w:lang w:val="ro-MD"/>
        </w:rPr>
        <w:t>Agenția Națională de Asigurare a Calității în Educație și Cercetare (ANACEC)</w:t>
      </w:r>
      <w:r w:rsidR="006F28A0">
        <w:rPr>
          <w:rFonts w:ascii="Times New Roman" w:hAnsi="Times New Roman" w:cs="Times New Roman"/>
          <w:b/>
          <w:bCs/>
          <w:iCs/>
          <w:w w:val="105"/>
          <w:sz w:val="24"/>
          <w:szCs w:val="24"/>
          <w:lang w:val="ro-MD"/>
        </w:rPr>
        <w:t xml:space="preserve"> </w:t>
      </w:r>
    </w:p>
    <w:p w14:paraId="2CAAA38D" w14:textId="1844ADD0" w:rsidR="009B6071" w:rsidRPr="009B6071" w:rsidRDefault="002368B9" w:rsidP="00A54FC8">
      <w:pPr>
        <w:spacing w:before="120" w:after="120"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iCs/>
          <w:w w:val="105"/>
          <w:sz w:val="24"/>
          <w:szCs w:val="24"/>
          <w:lang w:val="ro-MD"/>
        </w:rPr>
        <w:t>ANACEC e</w:t>
      </w:r>
      <w:r w:rsidR="0011678A" w:rsidRPr="0011678A">
        <w:rPr>
          <w:rFonts w:ascii="Times New Roman" w:hAnsi="Times New Roman" w:cs="Times New Roman"/>
          <w:iCs/>
          <w:w w:val="105"/>
          <w:sz w:val="24"/>
          <w:szCs w:val="24"/>
          <w:lang w:val="ro-MD"/>
        </w:rPr>
        <w:t xml:space="preserve">ste autoritate administrativă în subordinea Ministerului Educației și Cercetării, instituită de Guvern și finanțată din bugetul de stat și din venituri proprii. </w:t>
      </w:r>
      <w:r w:rsidR="009B6071" w:rsidRPr="009B6071">
        <w:rPr>
          <w:rFonts w:ascii="Times New Roman" w:eastAsia="Times New Roman" w:hAnsi="Times New Roman" w:cs="Times New Roman"/>
          <w:kern w:val="0"/>
          <w:sz w:val="24"/>
          <w:szCs w:val="24"/>
          <w14:ligatures w14:val="none"/>
        </w:rPr>
        <w:t>ANACEC este instituția responsabilă pentru evaluarea externă a calității în învățământul profesional tehnic, superior și al adulților, precum și pentru evaluarea organizațiilor de cercetare. Prin aplicarea cadrului normativ național (HG nr. 616/2016, HG nr. 201/2018, HG nr. 330/2023) și a standardelor europene relevante (ESG</w:t>
      </w:r>
      <w:r w:rsidR="000F557E">
        <w:rPr>
          <w:rFonts w:ascii="Times New Roman" w:hAnsi="Times New Roman" w:cs="Times New Roman"/>
          <w:iCs/>
          <w:w w:val="105"/>
          <w:sz w:val="24"/>
          <w:szCs w:val="24"/>
          <w:lang w:val="ro-MD"/>
        </w:rPr>
        <w:t xml:space="preserve"> </w:t>
      </w:r>
      <w:r w:rsidR="00127F64">
        <w:rPr>
          <w:rFonts w:ascii="Times New Roman" w:hAnsi="Times New Roman" w:cs="Times New Roman"/>
          <w:iCs/>
          <w:w w:val="105"/>
          <w:sz w:val="24"/>
          <w:szCs w:val="24"/>
          <w:lang w:val="ro-MD"/>
        </w:rPr>
        <w:t>(</w:t>
      </w:r>
      <w:r w:rsidR="00E2308B" w:rsidRPr="0011678A">
        <w:rPr>
          <w:rFonts w:ascii="Times New Roman" w:hAnsi="Times New Roman" w:cs="Times New Roman"/>
          <w:iCs/>
          <w:w w:val="105"/>
          <w:sz w:val="24"/>
          <w:szCs w:val="24"/>
          <w:lang w:val="ro-MD"/>
        </w:rPr>
        <w:t>European Standards and Guidelines for Higher Education</w:t>
      </w:r>
      <w:r w:rsidR="000467B8">
        <w:rPr>
          <w:rFonts w:ascii="Times New Roman" w:hAnsi="Times New Roman" w:cs="Times New Roman"/>
          <w:iCs/>
          <w:w w:val="105"/>
          <w:sz w:val="24"/>
          <w:szCs w:val="24"/>
          <w:lang w:val="ro-MD"/>
        </w:rPr>
        <w:t>)</w:t>
      </w:r>
      <w:r w:rsidR="00E2308B" w:rsidRPr="0011678A">
        <w:rPr>
          <w:rFonts w:ascii="Times New Roman" w:hAnsi="Times New Roman" w:cs="Times New Roman"/>
          <w:iCs/>
          <w:w w:val="105"/>
          <w:sz w:val="24"/>
          <w:szCs w:val="24"/>
          <w:lang w:val="ro-MD"/>
        </w:rPr>
        <w:t xml:space="preserve"> </w:t>
      </w:r>
      <w:r w:rsidR="009B6071" w:rsidRPr="009B6071">
        <w:rPr>
          <w:rFonts w:ascii="Times New Roman" w:eastAsia="Times New Roman" w:hAnsi="Times New Roman" w:cs="Times New Roman"/>
          <w:kern w:val="0"/>
          <w:sz w:val="24"/>
          <w:szCs w:val="24"/>
          <w14:ligatures w14:val="none"/>
        </w:rPr>
        <w:t xml:space="preserve">pentru învățământul superior și EQAVET </w:t>
      </w:r>
      <w:r w:rsidR="000F557E" w:rsidRPr="0011678A">
        <w:rPr>
          <w:rFonts w:ascii="Times New Roman" w:hAnsi="Times New Roman" w:cs="Times New Roman"/>
          <w:iCs/>
          <w:w w:val="105"/>
          <w:sz w:val="24"/>
          <w:szCs w:val="24"/>
          <w:lang w:val="ro-MD"/>
        </w:rPr>
        <w:t>(European Quality Assurance for Vocational Education and Training)</w:t>
      </w:r>
      <w:r w:rsidR="000F557E">
        <w:rPr>
          <w:rFonts w:ascii="Times New Roman" w:hAnsi="Times New Roman" w:cs="Times New Roman"/>
          <w:iCs/>
          <w:w w:val="105"/>
          <w:sz w:val="24"/>
          <w:szCs w:val="24"/>
          <w:lang w:val="ro-MD"/>
        </w:rPr>
        <w:t xml:space="preserve"> </w:t>
      </w:r>
      <w:r w:rsidR="009B6071" w:rsidRPr="009B6071">
        <w:rPr>
          <w:rFonts w:ascii="Times New Roman" w:eastAsia="Times New Roman" w:hAnsi="Times New Roman" w:cs="Times New Roman"/>
          <w:kern w:val="0"/>
          <w:sz w:val="24"/>
          <w:szCs w:val="24"/>
          <w14:ligatures w14:val="none"/>
        </w:rPr>
        <w:t xml:space="preserve">pentru </w:t>
      </w:r>
      <w:r w:rsidR="000467B8">
        <w:rPr>
          <w:rFonts w:ascii="Times New Roman" w:eastAsia="Times New Roman" w:hAnsi="Times New Roman" w:cs="Times New Roman"/>
          <w:kern w:val="0"/>
          <w:sz w:val="24"/>
          <w:szCs w:val="24"/>
          <w14:ligatures w14:val="none"/>
        </w:rPr>
        <w:t>ÎPT</w:t>
      </w:r>
      <w:r w:rsidR="009B6071" w:rsidRPr="009B6071">
        <w:rPr>
          <w:rFonts w:ascii="Times New Roman" w:eastAsia="Times New Roman" w:hAnsi="Times New Roman" w:cs="Times New Roman"/>
          <w:kern w:val="0"/>
          <w:sz w:val="24"/>
          <w:szCs w:val="24"/>
          <w14:ligatures w14:val="none"/>
        </w:rPr>
        <w:t>), ANACEC se asigură că toate calificările incluse în CNC respectă criterii unitare de calitate și sunt compatibile cu instrumentele europene.</w:t>
      </w:r>
    </w:p>
    <w:p w14:paraId="0DEC6761" w14:textId="29511D4F" w:rsidR="0011678A" w:rsidRPr="0011678A" w:rsidRDefault="0011678A" w:rsidP="00FB20A3">
      <w:pPr>
        <w:tabs>
          <w:tab w:val="left" w:pos="8931"/>
        </w:tabs>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Conform articolului 115 din Codul educației, ANACEC:</w:t>
      </w:r>
    </w:p>
    <w:p w14:paraId="4146BEB8" w14:textId="77777777" w:rsidR="0011678A" w:rsidRPr="0011678A" w:rsidRDefault="0011678A" w:rsidP="00A41843">
      <w:pPr>
        <w:numPr>
          <w:ilvl w:val="0"/>
          <w:numId w:val="214"/>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implementează politicile statului privind calitatea învățământului profesional tehnic, superior și al formării continue;</w:t>
      </w:r>
    </w:p>
    <w:p w14:paraId="520F6173" w14:textId="46460F65" w:rsidR="0011678A" w:rsidRPr="0011678A" w:rsidRDefault="0011678A" w:rsidP="00A41843">
      <w:pPr>
        <w:numPr>
          <w:ilvl w:val="0"/>
          <w:numId w:val="214"/>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elaborează și publică metodologiile de evaluare, standardele naționale de referință, standardele de acreditare și indicatorii de performanță, aliniați la standardele europene ESG și EQAVET;</w:t>
      </w:r>
    </w:p>
    <w:p w14:paraId="331A52FE" w14:textId="77777777" w:rsidR="0011678A" w:rsidRPr="0011678A" w:rsidRDefault="0011678A" w:rsidP="00A41843">
      <w:pPr>
        <w:numPr>
          <w:ilvl w:val="0"/>
          <w:numId w:val="214"/>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asigură transparența și obiectivitatea proceselor de evaluare externă, publicând rezultatele evaluărilor;</w:t>
      </w:r>
    </w:p>
    <w:p w14:paraId="13EEA86D" w14:textId="5900D484" w:rsidR="0011678A" w:rsidRPr="0011678A" w:rsidRDefault="0011678A" w:rsidP="00A41843">
      <w:pPr>
        <w:numPr>
          <w:ilvl w:val="0"/>
          <w:numId w:val="214"/>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lastRenderedPageBreak/>
        <w:t>colaborează cu agenții similare din alte țări și este membru afiliat ENQA</w:t>
      </w:r>
      <w:r w:rsidR="005B65E3">
        <w:rPr>
          <w:rFonts w:ascii="Times New Roman" w:hAnsi="Times New Roman" w:cs="Times New Roman"/>
          <w:iCs/>
          <w:w w:val="105"/>
          <w:sz w:val="24"/>
          <w:szCs w:val="24"/>
          <w:lang w:val="ro-MD"/>
        </w:rPr>
        <w:t xml:space="preserve"> </w:t>
      </w:r>
      <w:r w:rsidR="00FD3C7C" w:rsidRPr="00FD3C7C">
        <w:rPr>
          <w:rFonts w:ascii="Times New Roman" w:hAnsi="Times New Roman" w:cs="Times New Roman"/>
          <w:iCs/>
          <w:w w:val="105"/>
          <w:sz w:val="24"/>
          <w:szCs w:val="24"/>
        </w:rPr>
        <w:t>(</w:t>
      </w:r>
      <w:hyperlink r:id="rId79" w:history="1">
        <w:r w:rsidR="00FD3C7C" w:rsidRPr="00FD3C7C">
          <w:rPr>
            <w:rStyle w:val="aff0"/>
            <w:rFonts w:ascii="Times New Roman" w:hAnsi="Times New Roman" w:cs="Times New Roman"/>
            <w:iCs/>
            <w:w w:val="105"/>
            <w:sz w:val="24"/>
            <w:szCs w:val="24"/>
          </w:rPr>
          <w:t>link</w:t>
        </w:r>
      </w:hyperlink>
      <w:r w:rsidR="00FD3C7C" w:rsidRPr="00FD3C7C">
        <w:rPr>
          <w:rFonts w:ascii="Times New Roman" w:hAnsi="Times New Roman" w:cs="Times New Roman"/>
          <w:iCs/>
          <w:w w:val="105"/>
          <w:sz w:val="24"/>
          <w:szCs w:val="24"/>
        </w:rPr>
        <w:t>)</w:t>
      </w:r>
      <w:r w:rsidRPr="0011678A">
        <w:rPr>
          <w:rFonts w:ascii="Times New Roman" w:hAnsi="Times New Roman" w:cs="Times New Roman"/>
          <w:iCs/>
          <w:w w:val="105"/>
          <w:sz w:val="24"/>
          <w:szCs w:val="24"/>
          <w:lang w:val="ro-MD"/>
        </w:rPr>
        <w:t xml:space="preserve">, ceea ce </w:t>
      </w:r>
      <w:r w:rsidR="00BB5001">
        <w:rPr>
          <w:rFonts w:ascii="Times New Roman" w:hAnsi="Times New Roman" w:cs="Times New Roman"/>
          <w:iCs/>
          <w:w w:val="105"/>
          <w:sz w:val="24"/>
          <w:szCs w:val="24"/>
          <w:lang w:val="ro-MD"/>
        </w:rPr>
        <w:t>atestă</w:t>
      </w:r>
      <w:r w:rsidRPr="0011678A">
        <w:rPr>
          <w:rFonts w:ascii="Times New Roman" w:hAnsi="Times New Roman" w:cs="Times New Roman"/>
          <w:iCs/>
          <w:w w:val="105"/>
          <w:sz w:val="24"/>
          <w:szCs w:val="24"/>
          <w:lang w:val="ro-MD"/>
        </w:rPr>
        <w:t xml:space="preserve"> conformitatea cu principiile și practicile europene de asigurare a calității;</w:t>
      </w:r>
    </w:p>
    <w:p w14:paraId="45C02262" w14:textId="77777777" w:rsidR="0011678A" w:rsidRPr="0011678A" w:rsidRDefault="0011678A" w:rsidP="00A41843">
      <w:pPr>
        <w:numPr>
          <w:ilvl w:val="0"/>
          <w:numId w:val="214"/>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urmărește înscrierea în Registrul European pentru Asigurarea Calității în Învățământul Superior (EQAR).</w:t>
      </w:r>
    </w:p>
    <w:p w14:paraId="20BB9579" w14:textId="77777777" w:rsidR="00807354" w:rsidRPr="0011678A" w:rsidRDefault="00807354" w:rsidP="00807354">
      <w:p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De asemenea, articolul 153 din HG nr. 330/2023</w:t>
      </w:r>
      <w:r>
        <w:rPr>
          <w:rFonts w:ascii="Times New Roman" w:hAnsi="Times New Roman" w:cs="Times New Roman"/>
          <w:iCs/>
          <w:w w:val="105"/>
          <w:sz w:val="24"/>
          <w:szCs w:val="24"/>
          <w:lang w:val="ro-MD"/>
        </w:rPr>
        <w:t xml:space="preserve"> </w:t>
      </w:r>
      <w:r w:rsidRPr="0011678A">
        <w:rPr>
          <w:rFonts w:ascii="Times New Roman" w:hAnsi="Times New Roman" w:cs="Times New Roman"/>
          <w:iCs/>
          <w:w w:val="105"/>
          <w:sz w:val="24"/>
          <w:szCs w:val="24"/>
          <w:lang w:val="ro-MD"/>
        </w:rPr>
        <w:t>precizează explicit responsabilitățile ANACEC:</w:t>
      </w:r>
    </w:p>
    <w:p w14:paraId="576201BF" w14:textId="77777777" w:rsidR="00807354" w:rsidRPr="0011678A" w:rsidRDefault="00807354" w:rsidP="00A41843">
      <w:pPr>
        <w:numPr>
          <w:ilvl w:val="0"/>
          <w:numId w:val="216"/>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evaluarea externă și monitorizarea calității programelor care duc la acordarea calificărilor complete sau parțiale;</w:t>
      </w:r>
    </w:p>
    <w:p w14:paraId="65E9DE77" w14:textId="77777777" w:rsidR="00807354" w:rsidRPr="0011678A" w:rsidRDefault="00807354" w:rsidP="00A41843">
      <w:pPr>
        <w:numPr>
          <w:ilvl w:val="0"/>
          <w:numId w:val="216"/>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autorizarea de funcționare provizorie și acreditarea programelor de studii;</w:t>
      </w:r>
    </w:p>
    <w:p w14:paraId="58087284" w14:textId="77777777" w:rsidR="00807354" w:rsidRPr="0011678A" w:rsidRDefault="00807354" w:rsidP="00A41843">
      <w:pPr>
        <w:numPr>
          <w:ilvl w:val="0"/>
          <w:numId w:val="216"/>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gestionarea Registrului experților evaluatori;</w:t>
      </w:r>
    </w:p>
    <w:p w14:paraId="571E1262" w14:textId="77777777" w:rsidR="00807354" w:rsidRPr="0011678A" w:rsidRDefault="00807354" w:rsidP="00A41843">
      <w:pPr>
        <w:numPr>
          <w:ilvl w:val="0"/>
          <w:numId w:val="216"/>
        </w:num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evaluarea relevanței și comparabilității calificărilor naționale cu cele internaționale, în colaborare cu subdiviziunea responsabilă de dezvoltarea CNC din cadrul Ministerului Educației și Cercetării.</w:t>
      </w:r>
    </w:p>
    <w:p w14:paraId="353513B5" w14:textId="4F10F057" w:rsidR="00536155" w:rsidRDefault="0011678A" w:rsidP="0011678A">
      <w:pPr>
        <w:spacing w:before="120" w:after="120" w:line="276" w:lineRule="auto"/>
        <w:ind w:right="632"/>
        <w:jc w:val="both"/>
        <w:rPr>
          <w:rFonts w:ascii="Times New Roman" w:hAnsi="Times New Roman" w:cs="Times New Roman"/>
          <w:b/>
          <w:bCs/>
          <w:iCs/>
          <w:w w:val="105"/>
          <w:sz w:val="24"/>
          <w:szCs w:val="24"/>
          <w:lang w:val="ro-MD"/>
        </w:rPr>
      </w:pPr>
      <w:r w:rsidRPr="0011678A">
        <w:rPr>
          <w:rFonts w:ascii="Times New Roman" w:hAnsi="Times New Roman" w:cs="Times New Roman"/>
          <w:b/>
          <w:bCs/>
          <w:iCs/>
          <w:w w:val="105"/>
          <w:sz w:val="24"/>
          <w:szCs w:val="24"/>
          <w:lang w:val="ro-MD"/>
        </w:rPr>
        <w:t>Agenția Națională pentru Curriculum și Evaluare (ANCE)</w:t>
      </w:r>
    </w:p>
    <w:p w14:paraId="03F3888A" w14:textId="56F217C6" w:rsidR="0011678A" w:rsidRPr="0011678A" w:rsidRDefault="00536155" w:rsidP="0011678A">
      <w:pPr>
        <w:spacing w:before="120" w:after="120" w:line="276" w:lineRule="auto"/>
        <w:ind w:right="632"/>
        <w:jc w:val="both"/>
        <w:rPr>
          <w:rFonts w:ascii="Times New Roman" w:hAnsi="Times New Roman" w:cs="Times New Roman"/>
          <w:iCs/>
          <w:w w:val="105"/>
          <w:sz w:val="24"/>
          <w:szCs w:val="24"/>
          <w:lang w:val="ro-MD"/>
        </w:rPr>
      </w:pPr>
      <w:r w:rsidRPr="00536155">
        <w:rPr>
          <w:rFonts w:ascii="Times New Roman" w:hAnsi="Times New Roman" w:cs="Times New Roman"/>
          <w:iCs/>
          <w:w w:val="105"/>
          <w:sz w:val="24"/>
          <w:szCs w:val="24"/>
          <w:lang w:val="ro-MD"/>
        </w:rPr>
        <w:t xml:space="preserve">ANCE </w:t>
      </w:r>
      <w:r>
        <w:rPr>
          <w:rFonts w:ascii="Times New Roman" w:hAnsi="Times New Roman" w:cs="Times New Roman"/>
          <w:iCs/>
          <w:w w:val="105"/>
          <w:sz w:val="24"/>
          <w:szCs w:val="24"/>
          <w:lang w:val="ro-MD"/>
        </w:rPr>
        <w:t>f</w:t>
      </w:r>
      <w:r w:rsidR="0011678A" w:rsidRPr="0011678A">
        <w:rPr>
          <w:rFonts w:ascii="Times New Roman" w:hAnsi="Times New Roman" w:cs="Times New Roman"/>
          <w:iCs/>
          <w:w w:val="105"/>
          <w:sz w:val="24"/>
          <w:szCs w:val="24"/>
          <w:lang w:val="ro-MD"/>
        </w:rPr>
        <w:t>uncționează în subordinea Ministerului Educației și Cercetării, conform articolului 44¹ din Codul educației. Aceasta are rolul de a evalua implementarea curriculumului național, de a organiza examenele și evaluările naționale și internaționale, precum și de a evalua instituțiile de învățământ general în vederea acreditării sau autorizării provizorii. Astfel, ANCE contribuie la consolidarea calit</w:t>
      </w:r>
      <w:r w:rsidR="00592C6D">
        <w:rPr>
          <w:rFonts w:ascii="Times New Roman" w:hAnsi="Times New Roman" w:cs="Times New Roman"/>
          <w:iCs/>
          <w:w w:val="105"/>
          <w:sz w:val="24"/>
          <w:szCs w:val="24"/>
          <w:lang w:val="ro-MD"/>
        </w:rPr>
        <w:t>ății</w:t>
      </w:r>
      <w:r w:rsidR="0011678A" w:rsidRPr="0011678A">
        <w:rPr>
          <w:rFonts w:ascii="Times New Roman" w:hAnsi="Times New Roman" w:cs="Times New Roman"/>
          <w:iCs/>
          <w:w w:val="105"/>
          <w:sz w:val="24"/>
          <w:szCs w:val="24"/>
          <w:lang w:val="ro-MD"/>
        </w:rPr>
        <w:t xml:space="preserve"> procesului de formare preuniversitară și asigură coerența dintre conținuturile educaționale și standardele de învățare.</w:t>
      </w:r>
    </w:p>
    <w:p w14:paraId="30C9C7D0" w14:textId="77777777" w:rsidR="0011678A" w:rsidRPr="0011678A" w:rsidRDefault="0011678A" w:rsidP="0011678A">
      <w:pPr>
        <w:spacing w:before="120" w:after="120" w:line="276" w:lineRule="auto"/>
        <w:ind w:right="632"/>
        <w:jc w:val="both"/>
        <w:rPr>
          <w:rFonts w:ascii="Times New Roman" w:hAnsi="Times New Roman" w:cs="Times New Roman"/>
          <w:b/>
          <w:bCs/>
          <w:iCs/>
          <w:color w:val="3494BA" w:themeColor="accent1"/>
          <w:w w:val="105"/>
          <w:sz w:val="24"/>
          <w:szCs w:val="24"/>
          <w:lang w:val="ro-MD"/>
        </w:rPr>
      </w:pPr>
      <w:r w:rsidRPr="0011678A">
        <w:rPr>
          <w:rFonts w:ascii="Times New Roman" w:hAnsi="Times New Roman" w:cs="Times New Roman"/>
          <w:b/>
          <w:bCs/>
          <w:iCs/>
          <w:color w:val="3494BA" w:themeColor="accent1"/>
          <w:w w:val="105"/>
          <w:sz w:val="24"/>
          <w:szCs w:val="24"/>
          <w:lang w:val="ro-MD"/>
        </w:rPr>
        <w:t>2. Politici și instrumente de asigurare a calității</w:t>
      </w:r>
    </w:p>
    <w:p w14:paraId="48033A73" w14:textId="19AF3EC5" w:rsidR="0011678A" w:rsidRPr="0011678A" w:rsidRDefault="0011678A" w:rsidP="0011678A">
      <w:pPr>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 xml:space="preserve">În Republica Moldova, politicile și instrumentele de asigurare a calității sunt integrate într-un cadru procedural unitar, coordonat de ANACEC. Acestea sunt completate de </w:t>
      </w:r>
      <w:r w:rsidR="00566DDD">
        <w:rPr>
          <w:rFonts w:ascii="Times New Roman" w:hAnsi="Times New Roman" w:cs="Times New Roman"/>
          <w:iCs/>
          <w:w w:val="105"/>
          <w:sz w:val="24"/>
          <w:szCs w:val="24"/>
          <w:lang w:val="ro-MD"/>
        </w:rPr>
        <w:t xml:space="preserve">cadrul </w:t>
      </w:r>
      <w:r w:rsidRPr="0011678A">
        <w:rPr>
          <w:rFonts w:ascii="Times New Roman" w:hAnsi="Times New Roman" w:cs="Times New Roman"/>
          <w:iCs/>
          <w:w w:val="105"/>
          <w:sz w:val="24"/>
          <w:szCs w:val="24"/>
          <w:lang w:val="ro-MD"/>
        </w:rPr>
        <w:t>metodologi</w:t>
      </w:r>
      <w:r w:rsidR="00566DDD">
        <w:rPr>
          <w:rFonts w:ascii="Times New Roman" w:hAnsi="Times New Roman" w:cs="Times New Roman"/>
          <w:iCs/>
          <w:w w:val="105"/>
          <w:sz w:val="24"/>
          <w:szCs w:val="24"/>
          <w:lang w:val="ro-MD"/>
        </w:rPr>
        <w:t xml:space="preserve">c </w:t>
      </w:r>
      <w:r w:rsidRPr="0011678A">
        <w:rPr>
          <w:rFonts w:ascii="Times New Roman" w:hAnsi="Times New Roman" w:cs="Times New Roman"/>
          <w:iCs/>
          <w:w w:val="105"/>
          <w:sz w:val="24"/>
          <w:szCs w:val="24"/>
          <w:lang w:val="ro-MD"/>
        </w:rPr>
        <w:t>și se aplică la toate nivelurile educației și formării profesionale.</w:t>
      </w:r>
    </w:p>
    <w:p w14:paraId="6BA89358" w14:textId="2C964E8B" w:rsidR="00571830" w:rsidRPr="00725BE1" w:rsidRDefault="0011678A" w:rsidP="00725BE1">
      <w:pPr>
        <w:spacing w:before="120" w:after="120" w:line="276" w:lineRule="auto"/>
        <w:ind w:right="632"/>
        <w:jc w:val="both"/>
        <w:rPr>
          <w:rFonts w:ascii="Times New Roman" w:hAnsi="Times New Roman" w:cs="Times New Roman"/>
          <w:b/>
          <w:bCs/>
          <w:iCs/>
          <w:w w:val="105"/>
          <w:sz w:val="24"/>
          <w:szCs w:val="24"/>
          <w:lang w:val="ro-MD"/>
        </w:rPr>
      </w:pPr>
      <w:r w:rsidRPr="0011678A">
        <w:rPr>
          <w:rFonts w:ascii="Times New Roman" w:hAnsi="Times New Roman" w:cs="Times New Roman"/>
          <w:b/>
          <w:bCs/>
          <w:iCs/>
          <w:w w:val="105"/>
          <w:sz w:val="24"/>
          <w:szCs w:val="24"/>
          <w:lang w:val="ro-MD"/>
        </w:rPr>
        <w:t>Cadrul metodologic aplicat de ANACEC include:</w:t>
      </w:r>
    </w:p>
    <w:p w14:paraId="6E2CE4AD" w14:textId="2A96863D" w:rsidR="00E556B0" w:rsidRPr="00E556B0"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rPr>
      </w:pPr>
      <w:r w:rsidRPr="00E556B0">
        <w:rPr>
          <w:rFonts w:ascii="Times New Roman" w:hAnsi="Times New Roman" w:cs="Times New Roman"/>
          <w:i/>
          <w:w w:val="105"/>
          <w:sz w:val="24"/>
          <w:szCs w:val="24"/>
        </w:rPr>
        <w:t>Procedura privind autorizarea de funcționare provizorie și acreditarea programelor comune de studii superioare</w:t>
      </w:r>
      <w:r w:rsidRPr="00E556B0">
        <w:rPr>
          <w:rFonts w:ascii="Times New Roman" w:hAnsi="Times New Roman" w:cs="Times New Roman"/>
          <w:iCs/>
          <w:w w:val="105"/>
          <w:sz w:val="24"/>
          <w:szCs w:val="24"/>
        </w:rPr>
        <w:t>, aprobată de Consiliul de conducere al ANACEC, decizia nr. 75 din 21.12.2022 (</w:t>
      </w:r>
      <w:hyperlink r:id="rId80"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 descrie procesul de evaluare externă a calității programelor comune de studii superioare oferite de către instituțiile de învățământ superior din Republica Moldova în cadrul consorțiilor/ parteneriatelor create de acestea cu instituțiile de învățământ din țară și de peste hotare.</w:t>
      </w:r>
    </w:p>
    <w:p w14:paraId="4B4DC519" w14:textId="635571E4" w:rsidR="00E556B0" w:rsidRPr="00E556B0"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rPr>
      </w:pPr>
      <w:r w:rsidRPr="00E556B0">
        <w:rPr>
          <w:rFonts w:ascii="Times New Roman" w:hAnsi="Times New Roman" w:cs="Times New Roman"/>
          <w:i/>
          <w:w w:val="105"/>
          <w:sz w:val="24"/>
          <w:szCs w:val="24"/>
        </w:rPr>
        <w:t>Metodologia de selectare a experților evaluator, aprobată de Consiliul de conducere al ANACEC</w:t>
      </w:r>
      <w:r w:rsidRPr="00E556B0">
        <w:rPr>
          <w:rFonts w:ascii="Times New Roman" w:hAnsi="Times New Roman" w:cs="Times New Roman"/>
          <w:iCs/>
          <w:w w:val="105"/>
          <w:sz w:val="24"/>
          <w:szCs w:val="24"/>
        </w:rPr>
        <w:t>, decizia nr. 70 din 27.11.2020 (</w:t>
      </w:r>
      <w:hyperlink r:id="rId81"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xml:space="preserve">) - reglementează modul de selectare a experților evaluatori ai </w:t>
      </w:r>
      <w:r w:rsidR="00BB2308">
        <w:rPr>
          <w:rFonts w:ascii="Times New Roman" w:hAnsi="Times New Roman" w:cs="Times New Roman"/>
          <w:iCs/>
          <w:w w:val="105"/>
          <w:sz w:val="24"/>
          <w:szCs w:val="24"/>
        </w:rPr>
        <w:t>ANACEC</w:t>
      </w:r>
      <w:r w:rsidR="00ED7F5B">
        <w:rPr>
          <w:rFonts w:ascii="Times New Roman" w:hAnsi="Times New Roman" w:cs="Times New Roman"/>
          <w:iCs/>
          <w:w w:val="105"/>
          <w:sz w:val="24"/>
          <w:szCs w:val="24"/>
        </w:rPr>
        <w:t xml:space="preserve"> </w:t>
      </w:r>
      <w:r w:rsidRPr="00E556B0">
        <w:rPr>
          <w:rFonts w:ascii="Times New Roman" w:hAnsi="Times New Roman" w:cs="Times New Roman"/>
          <w:iCs/>
          <w:w w:val="105"/>
          <w:sz w:val="24"/>
          <w:szCs w:val="24"/>
        </w:rPr>
        <w:t xml:space="preserve">și de gestionare a Registrului experților evaluatori al </w:t>
      </w:r>
      <w:r w:rsidR="00ED7F5B">
        <w:rPr>
          <w:rFonts w:ascii="Times New Roman" w:hAnsi="Times New Roman" w:cs="Times New Roman"/>
          <w:iCs/>
          <w:w w:val="105"/>
          <w:sz w:val="24"/>
          <w:szCs w:val="24"/>
        </w:rPr>
        <w:t>ANACEC</w:t>
      </w:r>
      <w:r w:rsidRPr="00E556B0">
        <w:rPr>
          <w:rFonts w:ascii="Times New Roman" w:hAnsi="Times New Roman" w:cs="Times New Roman"/>
          <w:iCs/>
          <w:w w:val="105"/>
          <w:sz w:val="24"/>
          <w:szCs w:val="24"/>
        </w:rPr>
        <w:t>, precum și stabilirea normelor de conduită a experților evaluatori în activitățile de evaluare</w:t>
      </w:r>
    </w:p>
    <w:p w14:paraId="018F1A7D" w14:textId="77777777" w:rsidR="00E556B0" w:rsidRPr="00E556B0"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rPr>
      </w:pPr>
      <w:r w:rsidRPr="00E556B0">
        <w:rPr>
          <w:rFonts w:ascii="Times New Roman" w:hAnsi="Times New Roman" w:cs="Times New Roman"/>
          <w:i/>
          <w:w w:val="105"/>
          <w:sz w:val="24"/>
          <w:szCs w:val="24"/>
        </w:rPr>
        <w:lastRenderedPageBreak/>
        <w:t>Standard de competențe pentru evaluatorul extern, aprobat de Consiliul de conducere al ANACEC</w:t>
      </w:r>
      <w:r w:rsidRPr="00E556B0">
        <w:rPr>
          <w:rFonts w:ascii="Times New Roman" w:hAnsi="Times New Roman" w:cs="Times New Roman"/>
          <w:iCs/>
          <w:w w:val="105"/>
          <w:sz w:val="24"/>
          <w:szCs w:val="24"/>
        </w:rPr>
        <w:t>, decizia nr. 18 din 16.09.2022 (</w:t>
      </w:r>
      <w:hyperlink r:id="rId82"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 stabilește profilul, cerințele și domeniile de competență necesare, asigurând profesionalizarea, transparența și alinierea proceselor de evaluare externă la standardele europene.</w:t>
      </w:r>
    </w:p>
    <w:p w14:paraId="69F7EF0C" w14:textId="77777777" w:rsidR="00E556B0" w:rsidRPr="00E556B0"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rPr>
      </w:pPr>
      <w:r w:rsidRPr="00E556B0">
        <w:rPr>
          <w:rFonts w:ascii="Times New Roman" w:hAnsi="Times New Roman" w:cs="Times New Roman"/>
          <w:i/>
          <w:w w:val="105"/>
          <w:sz w:val="24"/>
          <w:szCs w:val="24"/>
        </w:rPr>
        <w:t>Regulamentul privind implicarea părților interesate în activitățile de asigurare externă a calității</w:t>
      </w:r>
      <w:r w:rsidRPr="00E556B0">
        <w:rPr>
          <w:rFonts w:ascii="Times New Roman" w:hAnsi="Times New Roman" w:cs="Times New Roman"/>
          <w:iCs/>
          <w:w w:val="105"/>
          <w:sz w:val="24"/>
          <w:szCs w:val="24"/>
        </w:rPr>
        <w:t>, aprobat de Consiliul de conducere al ANACEC, decizia nr. 56 din 28.04.2022 (</w:t>
      </w:r>
      <w:hyperlink r:id="rId83"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 are drept scop descrierea și reglementarea acțiunilor prin care se constituie și se mențin relații constructive cu părțile interesate, pentru asigurarea furnizării la timp a informațiilor relevante în cadrul activităților de consultare și realizare a procedurilor în domeniul de competență.</w:t>
      </w:r>
    </w:p>
    <w:p w14:paraId="679A7DB1" w14:textId="77777777" w:rsidR="00E556B0" w:rsidRPr="00E556B0"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rPr>
      </w:pPr>
      <w:r w:rsidRPr="00E556B0">
        <w:rPr>
          <w:rFonts w:ascii="Times New Roman" w:hAnsi="Times New Roman" w:cs="Times New Roman"/>
          <w:i/>
          <w:w w:val="105"/>
          <w:sz w:val="24"/>
          <w:szCs w:val="24"/>
        </w:rPr>
        <w:t>Procedura de monitorizare post-evaluare a programelor de studii și a instituțiilor de învățământ profesional tehnic, superior și formare profesională a adulților</w:t>
      </w:r>
      <w:r w:rsidRPr="00E556B0">
        <w:rPr>
          <w:rFonts w:ascii="Times New Roman" w:hAnsi="Times New Roman" w:cs="Times New Roman"/>
          <w:iCs/>
          <w:w w:val="105"/>
          <w:sz w:val="24"/>
          <w:szCs w:val="24"/>
        </w:rPr>
        <w:t>, aprobată de Consiliul de conducere al ANACEC, decizia nr. 30 din 15.03.2019 (</w:t>
      </w:r>
      <w:hyperlink r:id="rId84"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 stabilește modul de realizare a monitorizării post-evaluare a acțiunilor întreprinse de instituțiile de învățământ pentru îmbunătățirea serviciilor educaționale oferite, ca rezultat al evaluării externe a calității în vederea autorizării de funcționare provizorie/ acreditării/ reacreditării programelor de studii și a instituțiilor de învățământ profesional tehnic, superior și de formare profesională a adulților.</w:t>
      </w:r>
    </w:p>
    <w:p w14:paraId="2CD4EEE8" w14:textId="77777777" w:rsidR="00E556B0" w:rsidRPr="00E556B0"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rPr>
      </w:pPr>
      <w:r w:rsidRPr="00E556B0">
        <w:rPr>
          <w:rFonts w:ascii="Times New Roman" w:hAnsi="Times New Roman" w:cs="Times New Roman"/>
          <w:i/>
          <w:w w:val="105"/>
          <w:sz w:val="24"/>
          <w:szCs w:val="24"/>
        </w:rPr>
        <w:t>Regulament privind organizarea și desfășurarea ședințelor Consiliului de conducere al ANACEC</w:t>
      </w:r>
      <w:r w:rsidRPr="00E556B0">
        <w:rPr>
          <w:rFonts w:ascii="Times New Roman" w:hAnsi="Times New Roman" w:cs="Times New Roman"/>
          <w:iCs/>
          <w:w w:val="105"/>
          <w:sz w:val="24"/>
          <w:szCs w:val="24"/>
        </w:rPr>
        <w:t>, aprobat de Consiliul de conducere al ANACEC, decizia nr. 38 din 26.02.2021 (</w:t>
      </w:r>
      <w:hyperlink r:id="rId85"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 conține prevederi clare care asigură lipsa conflictului de interese şi transparență în luarea deciziilor prin obligativitatea declarării conflictelor, neparticipării membrilor afectați la vot, și cerința ca deciziile să fie adoptate cu vot majoritar, consemnate în proces verbal.</w:t>
      </w:r>
    </w:p>
    <w:p w14:paraId="16C2E211" w14:textId="7FDDFA91" w:rsidR="007B252E" w:rsidRPr="007B252E" w:rsidRDefault="00E556B0" w:rsidP="00A41843">
      <w:pPr>
        <w:numPr>
          <w:ilvl w:val="0"/>
          <w:numId w:val="215"/>
        </w:numPr>
        <w:spacing w:before="120" w:after="120" w:line="276" w:lineRule="auto"/>
        <w:ind w:right="632"/>
        <w:jc w:val="both"/>
        <w:rPr>
          <w:rFonts w:ascii="Times New Roman" w:hAnsi="Times New Roman" w:cs="Times New Roman"/>
          <w:iCs/>
          <w:w w:val="105"/>
          <w:sz w:val="24"/>
          <w:szCs w:val="24"/>
          <w:lang w:val="ro-MD"/>
        </w:rPr>
      </w:pPr>
      <w:r w:rsidRPr="00DD2774">
        <w:rPr>
          <w:rFonts w:ascii="Times New Roman" w:hAnsi="Times New Roman" w:cs="Times New Roman"/>
          <w:i/>
          <w:w w:val="105"/>
          <w:sz w:val="24"/>
          <w:szCs w:val="24"/>
        </w:rPr>
        <w:t>Regulament privind soluționarea petițiilor depuse la ANACEC, aprobat de Consiliul de conducere al ANACEC</w:t>
      </w:r>
      <w:r w:rsidRPr="00E556B0">
        <w:rPr>
          <w:rFonts w:ascii="Times New Roman" w:hAnsi="Times New Roman" w:cs="Times New Roman"/>
          <w:iCs/>
          <w:w w:val="105"/>
          <w:sz w:val="24"/>
          <w:szCs w:val="24"/>
        </w:rPr>
        <w:t>, decizia nr. 58 din 26.03.2021 (</w:t>
      </w:r>
      <w:hyperlink r:id="rId86" w:history="1">
        <w:r w:rsidRPr="00E556B0">
          <w:rPr>
            <w:rStyle w:val="aff0"/>
            <w:rFonts w:ascii="Times New Roman" w:hAnsi="Times New Roman" w:cs="Times New Roman"/>
            <w:iCs/>
            <w:w w:val="105"/>
            <w:sz w:val="24"/>
            <w:szCs w:val="24"/>
          </w:rPr>
          <w:t>link</w:t>
        </w:r>
      </w:hyperlink>
      <w:r w:rsidRPr="00E556B0">
        <w:rPr>
          <w:rFonts w:ascii="Times New Roman" w:hAnsi="Times New Roman" w:cs="Times New Roman"/>
          <w:iCs/>
          <w:w w:val="105"/>
          <w:sz w:val="24"/>
          <w:szCs w:val="24"/>
        </w:rPr>
        <w:t>) - prevede un cadru transparent prin care se asigură imparțialitatea şi corectitudinea: petițiile și contestațiile sunt înregistrate, examinate de comisii competente, membrii acestora nu pot fi în conflict de interese şi deciziile se comunică oficial petenţilor.</w:t>
      </w:r>
    </w:p>
    <w:p w14:paraId="630B1D2B" w14:textId="781E6E17" w:rsidR="007B252E" w:rsidRPr="000C5283" w:rsidRDefault="00725BE1" w:rsidP="00A41843">
      <w:pPr>
        <w:numPr>
          <w:ilvl w:val="0"/>
          <w:numId w:val="215"/>
        </w:numPr>
        <w:spacing w:before="120" w:after="120" w:line="276" w:lineRule="auto"/>
        <w:ind w:right="632"/>
        <w:jc w:val="both"/>
        <w:rPr>
          <w:rFonts w:ascii="Times New Roman" w:hAnsi="Times New Roman" w:cs="Times New Roman"/>
          <w:iCs/>
          <w:w w:val="105"/>
          <w:sz w:val="24"/>
          <w:szCs w:val="24"/>
          <w:lang w:val="ro-MD"/>
        </w:rPr>
      </w:pPr>
      <w:r w:rsidRPr="00725BE1">
        <w:rPr>
          <w:rFonts w:ascii="Times New Roman" w:eastAsia="Times New Roman" w:hAnsi="Times New Roman" w:cs="Times New Roman"/>
          <w:i/>
          <w:iCs/>
          <w:kern w:val="0"/>
          <w:sz w:val="24"/>
          <w:szCs w:val="24"/>
          <w14:ligatures w14:val="none"/>
        </w:rPr>
        <w:t>Ghiduri metodologice</w:t>
      </w:r>
      <w:r w:rsidRPr="00725BE1">
        <w:rPr>
          <w:rFonts w:ascii="Times New Roman" w:eastAsia="Times New Roman" w:hAnsi="Times New Roman" w:cs="Times New Roman"/>
          <w:kern w:val="0"/>
          <w:sz w:val="24"/>
          <w:szCs w:val="24"/>
          <w14:ligatures w14:val="none"/>
        </w:rPr>
        <w:t xml:space="preserve"> </w:t>
      </w:r>
      <w:r w:rsidR="005523C6">
        <w:rPr>
          <w:rFonts w:ascii="Times New Roman" w:eastAsia="Times New Roman" w:hAnsi="Times New Roman" w:cs="Times New Roman"/>
          <w:kern w:val="0"/>
          <w:sz w:val="24"/>
          <w:szCs w:val="24"/>
          <w14:ligatures w14:val="none"/>
        </w:rPr>
        <w:t xml:space="preserve">- </w:t>
      </w:r>
      <w:r w:rsidR="005523C6" w:rsidRPr="0011678A">
        <w:rPr>
          <w:rFonts w:ascii="Times New Roman" w:hAnsi="Times New Roman" w:cs="Times New Roman"/>
          <w:iCs/>
          <w:w w:val="105"/>
          <w:sz w:val="24"/>
          <w:szCs w:val="24"/>
          <w:lang w:val="ro-MD"/>
        </w:rPr>
        <w:t xml:space="preserve">oferă un cadru coerent </w:t>
      </w:r>
      <w:r w:rsidRPr="00725BE1">
        <w:rPr>
          <w:rFonts w:ascii="Times New Roman" w:eastAsia="Times New Roman" w:hAnsi="Times New Roman" w:cs="Times New Roman"/>
          <w:kern w:val="0"/>
          <w:sz w:val="24"/>
          <w:szCs w:val="24"/>
          <w14:ligatures w14:val="none"/>
        </w:rPr>
        <w:t>pentru evaluarea externă</w:t>
      </w:r>
      <w:r w:rsidR="00B070CB" w:rsidRPr="00B070CB">
        <w:rPr>
          <w:rFonts w:ascii="Times New Roman" w:hAnsi="Times New Roman" w:cs="Times New Roman"/>
          <w:iCs/>
          <w:w w:val="105"/>
          <w:sz w:val="24"/>
          <w:szCs w:val="24"/>
          <w:lang w:val="ro-MD"/>
        </w:rPr>
        <w:t xml:space="preserve"> </w:t>
      </w:r>
      <w:r w:rsidR="00B070CB">
        <w:rPr>
          <w:rFonts w:ascii="Times New Roman" w:hAnsi="Times New Roman" w:cs="Times New Roman"/>
          <w:iCs/>
          <w:w w:val="105"/>
          <w:sz w:val="24"/>
          <w:szCs w:val="24"/>
          <w:lang w:val="ro-MD"/>
        </w:rPr>
        <w:t xml:space="preserve">a </w:t>
      </w:r>
      <w:r w:rsidR="00B070CB" w:rsidRPr="0011678A">
        <w:rPr>
          <w:rFonts w:ascii="Times New Roman" w:hAnsi="Times New Roman" w:cs="Times New Roman"/>
          <w:iCs/>
          <w:w w:val="105"/>
          <w:sz w:val="24"/>
          <w:szCs w:val="24"/>
          <w:lang w:val="ro-MD"/>
        </w:rPr>
        <w:t>programelor de studii</w:t>
      </w:r>
      <w:r w:rsidRPr="00725BE1">
        <w:rPr>
          <w:rFonts w:ascii="Times New Roman" w:eastAsia="Times New Roman" w:hAnsi="Times New Roman" w:cs="Times New Roman"/>
          <w:kern w:val="0"/>
          <w:sz w:val="24"/>
          <w:szCs w:val="24"/>
          <w14:ligatures w14:val="none"/>
        </w:rPr>
        <w:t>, în care rezultatele învățării, sistemele de credite și corelarea cu nivelurile CNC/EQF/QF-EHEA constituie elemente esențiale</w:t>
      </w:r>
      <w:r>
        <w:rPr>
          <w:rFonts w:ascii="Times New Roman" w:eastAsia="Times New Roman" w:hAnsi="Times New Roman" w:cs="Times New Roman"/>
          <w:kern w:val="0"/>
          <w:sz w:val="24"/>
          <w:szCs w:val="24"/>
          <w14:ligatures w14:val="none"/>
        </w:rPr>
        <w:t xml:space="preserve">. </w:t>
      </w:r>
    </w:p>
    <w:p w14:paraId="59A9DFEA" w14:textId="77777777" w:rsidR="0011678A" w:rsidRPr="0011678A" w:rsidRDefault="0011678A" w:rsidP="0011678A">
      <w:pPr>
        <w:spacing w:before="120" w:after="120" w:line="276" w:lineRule="auto"/>
        <w:ind w:right="632"/>
        <w:jc w:val="both"/>
        <w:rPr>
          <w:rFonts w:ascii="Times New Roman" w:hAnsi="Times New Roman" w:cs="Times New Roman"/>
          <w:b/>
          <w:bCs/>
          <w:iCs/>
          <w:color w:val="3494BA" w:themeColor="accent1"/>
          <w:w w:val="105"/>
          <w:sz w:val="24"/>
          <w:szCs w:val="24"/>
          <w:lang w:val="ro-MD"/>
        </w:rPr>
      </w:pPr>
      <w:r w:rsidRPr="0011678A">
        <w:rPr>
          <w:rFonts w:ascii="Times New Roman" w:hAnsi="Times New Roman" w:cs="Times New Roman"/>
          <w:b/>
          <w:bCs/>
          <w:iCs/>
          <w:color w:val="3494BA" w:themeColor="accent1"/>
          <w:w w:val="105"/>
          <w:sz w:val="24"/>
          <w:szCs w:val="24"/>
          <w:lang w:val="ro-MD"/>
        </w:rPr>
        <w:t>3. Mecanisme de implementare, transparență și monitorizare</w:t>
      </w:r>
    </w:p>
    <w:p w14:paraId="65000440" w14:textId="72EABA7A" w:rsidR="0011678A" w:rsidRPr="0011678A" w:rsidRDefault="0011678A" w:rsidP="00AF6258">
      <w:pPr>
        <w:tabs>
          <w:tab w:val="left" w:pos="8931"/>
        </w:tabs>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Evaluarea calității în sistemul educațional moldovenesc este un proces complex, bazat pe cooperarea transparentă între instituțiile de stat, furnizorii de educație, mediul economic și partenerii sociali</w:t>
      </w:r>
      <w:r w:rsidR="00043EB0">
        <w:rPr>
          <w:rFonts w:ascii="Times New Roman" w:hAnsi="Times New Roman" w:cs="Times New Roman"/>
          <w:iCs/>
          <w:w w:val="105"/>
          <w:sz w:val="24"/>
          <w:szCs w:val="24"/>
          <w:lang w:val="ro-MD"/>
        </w:rPr>
        <w:t xml:space="preserve">, asigurând </w:t>
      </w:r>
      <w:r w:rsidR="00043EB0" w:rsidRPr="00043EB0">
        <w:rPr>
          <w:rFonts w:ascii="Times New Roman" w:hAnsi="Times New Roman" w:cs="Times New Roman"/>
          <w:iCs/>
          <w:w w:val="105"/>
          <w:sz w:val="24"/>
          <w:szCs w:val="24"/>
        </w:rPr>
        <w:t>relevanța și legitimitatea deciziilor</w:t>
      </w:r>
      <w:r w:rsidRPr="0011678A">
        <w:rPr>
          <w:rFonts w:ascii="Times New Roman" w:hAnsi="Times New Roman" w:cs="Times New Roman"/>
          <w:iCs/>
          <w:w w:val="105"/>
          <w:sz w:val="24"/>
          <w:szCs w:val="24"/>
          <w:lang w:val="ro-MD"/>
        </w:rPr>
        <w:t>. Conform articolelor 65 și 113 din Codul educației, evaluarea calității în învățământul profesional tehnic și superior cuprinde analiza capacității instituționale, eficienței educaționale, calității programelor de formare profesională, rezultatelor învățării și concordanței dintre evaluarea internă și cea externă.</w:t>
      </w:r>
    </w:p>
    <w:p w14:paraId="4CAFE8D6" w14:textId="77777777" w:rsidR="0011678A" w:rsidRPr="0011678A" w:rsidRDefault="0011678A" w:rsidP="00AF6258">
      <w:pPr>
        <w:tabs>
          <w:tab w:val="left" w:pos="8931"/>
        </w:tabs>
        <w:spacing w:before="120" w:after="120" w:line="276" w:lineRule="auto"/>
        <w:ind w:right="632"/>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lastRenderedPageBreak/>
        <w:t>Evaluarea externă este realizată de ANACEC, iar evaluarea internă este asigurată de structurile instituționale de calitate. Articolul 165 din HG nr. 330/2023 confirmă că asigurarea calității calificărilor se realizează prin cooperarea transparentă și asumarea responsabilităților de către toate părțile implicate, pe întreg lanțul – de la elaborarea standardului de calificare până la evaluarea rezultatelor învățării și certificarea finală.</w:t>
      </w:r>
    </w:p>
    <w:p w14:paraId="13842E90" w14:textId="77777777" w:rsidR="0011678A" w:rsidRPr="0011678A" w:rsidRDefault="0011678A" w:rsidP="00AF6258">
      <w:pPr>
        <w:tabs>
          <w:tab w:val="left" w:pos="8931"/>
        </w:tabs>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Articolul 166 din aceeași hotărâre prevede că asigurarea calității respectă principiile EQF, incluzând:</w:t>
      </w:r>
    </w:p>
    <w:p w14:paraId="50FB1577"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conceperea calificărilor pe baza rezultatelor învățării;</w:t>
      </w:r>
    </w:p>
    <w:p w14:paraId="4B735730"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evaluarea fiabilă și certificarea transparentă a calificărilor;</w:t>
      </w:r>
    </w:p>
    <w:p w14:paraId="22E4A7ED"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dezvoltarea mecanismelor de feedback și îmbunătățire continuă;</w:t>
      </w:r>
    </w:p>
    <w:p w14:paraId="390B009F"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implicarea părților interesate în toate etapele;</w:t>
      </w:r>
    </w:p>
    <w:p w14:paraId="76239F36"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combinarea autoevaluării cu evaluarea externă;</w:t>
      </w:r>
    </w:p>
    <w:p w14:paraId="4F9FD772"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integrarea calității în managementul intern și în programele colaborative;</w:t>
      </w:r>
    </w:p>
    <w:p w14:paraId="421921EE"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definirea obiectivelor și indicatorilor măsurabili;</w:t>
      </w:r>
    </w:p>
    <w:p w14:paraId="5937886B"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asigurarea resurselor și infrastructurii adecvate;</w:t>
      </w:r>
    </w:p>
    <w:p w14:paraId="42794C5C"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revizuirea periodică a evaluatorilor;</w:t>
      </w:r>
    </w:p>
    <w:p w14:paraId="427336F2"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asigurarea accesului electronic la rezultate;</w:t>
      </w:r>
    </w:p>
    <w:p w14:paraId="590FAD5E" w14:textId="77777777" w:rsidR="0011678A" w:rsidRPr="0011678A" w:rsidRDefault="0011678A" w:rsidP="00A41843">
      <w:pPr>
        <w:numPr>
          <w:ilvl w:val="0"/>
          <w:numId w:val="217"/>
        </w:numPr>
        <w:spacing w:after="0" w:line="276" w:lineRule="auto"/>
        <w:ind w:right="629"/>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asigurarea calității procesului de implementare a CNC.</w:t>
      </w:r>
    </w:p>
    <w:p w14:paraId="497AC59E" w14:textId="77777777" w:rsidR="0011678A" w:rsidRPr="0011678A" w:rsidRDefault="0011678A" w:rsidP="00AF6258">
      <w:pPr>
        <w:spacing w:before="120" w:after="120" w:line="276" w:lineRule="auto"/>
        <w:ind w:right="-1"/>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Articolul 167 stabilește că standardele și procedurile de calitate sunt implementate prin regulamentele specifice fiecărui nivel CNC, care includ politici de calitate, proiectarea și validarea programelor, predarea și evaluarea centrată pe elev/student, admiterea, certificarea, asigurarea resurselor, transparența și evaluarea continuă a programelor.</w:t>
      </w:r>
    </w:p>
    <w:p w14:paraId="05FC0968" w14:textId="77777777" w:rsidR="0011678A" w:rsidRPr="0011678A" w:rsidRDefault="0011678A" w:rsidP="00AF6258">
      <w:pPr>
        <w:spacing w:before="120" w:after="120" w:line="276" w:lineRule="auto"/>
        <w:ind w:right="-1"/>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Articolele 168–170 prevăd, de asemenea, că toate programele care conduc la calificări complete sau parțiale cu nivel CNC sunt supuse procesului de asigurare a calității, inclusiv autorizării și acreditării de către ANACEC sau o altă agenție recunoscută internațional și inclusă în EQAR. În cazul constatării unor abateri persistente, ANACEC are dreptul de a recomanda Ministerului Educației și Cercetării retragerea acreditării.</w:t>
      </w:r>
    </w:p>
    <w:p w14:paraId="0C29FE5B" w14:textId="4B4E11CB" w:rsidR="00B270C7" w:rsidRPr="00827374" w:rsidRDefault="00B270C7" w:rsidP="00920379">
      <w:pPr>
        <w:pStyle w:val="af8"/>
        <w:spacing w:before="120" w:beforeAutospacing="0" w:after="120" w:afterAutospacing="0" w:line="276" w:lineRule="auto"/>
        <w:jc w:val="both"/>
      </w:pPr>
      <w:r w:rsidRPr="00827374">
        <w:t>Prin implicarea experților independent naționali, ANACEC asigură credibilitatea și compatibilitatea procedurilor naționale cu bunele practici europene, consolidând astfel încrederea în procesul de includere a calificărilor în CNC și în poziționarea acestora în raport cu EQF și QF-EHEA.</w:t>
      </w:r>
    </w:p>
    <w:p w14:paraId="25C3A989" w14:textId="3333C935" w:rsidR="00991F47" w:rsidRPr="001F6026" w:rsidRDefault="00827374" w:rsidP="00991F47">
      <w:pPr>
        <w:spacing w:before="120" w:after="120" w:line="276" w:lineRule="auto"/>
        <w:jc w:val="both"/>
        <w:rPr>
          <w:rFonts w:ascii="Times New Roman" w:eastAsia="Times New Roman" w:hAnsi="Times New Roman" w:cs="Times New Roman"/>
          <w:kern w:val="0"/>
          <w:sz w:val="24"/>
          <w:szCs w:val="24"/>
          <w:lang w:eastAsia="ro-MD"/>
          <w14:ligatures w14:val="none"/>
        </w:rPr>
      </w:pPr>
      <w:r w:rsidRPr="0011678A">
        <w:rPr>
          <w:rFonts w:ascii="Times New Roman" w:hAnsi="Times New Roman" w:cs="Times New Roman"/>
          <w:iCs/>
          <w:w w:val="105"/>
          <w:sz w:val="24"/>
          <w:szCs w:val="24"/>
          <w:lang w:val="ro-MD"/>
        </w:rPr>
        <w:t>În anul 2024, în procesul de evaluare externă au fost implicați 313 experți naționali, consolidând baza de expertiză profesională și obiectivitatea proceselor. Rapoartele de evaluare, precum și listele instituțiilor și programelor acreditate sunt publicate pe site-ul ANACEC, asigurând transparență totală și acces public la informații</w:t>
      </w:r>
      <w:r w:rsidRPr="00603B86">
        <w:rPr>
          <w:rFonts w:ascii="Times New Roman" w:hAnsi="Times New Roman" w:cs="Times New Roman"/>
          <w:b/>
          <w:bCs/>
          <w:iCs/>
          <w:w w:val="105"/>
          <w:sz w:val="24"/>
          <w:szCs w:val="24"/>
          <w:lang w:val="ro-MD"/>
        </w:rPr>
        <w:t xml:space="preserve"> </w:t>
      </w:r>
      <w:r w:rsidRPr="00603B86">
        <w:rPr>
          <w:rFonts w:ascii="Times New Roman" w:hAnsi="Times New Roman" w:cs="Times New Roman"/>
          <w:iCs/>
          <w:w w:val="105"/>
          <w:sz w:val="24"/>
          <w:szCs w:val="24"/>
        </w:rPr>
        <w:t xml:space="preserve">(ÎPT </w:t>
      </w:r>
      <w:hyperlink r:id="rId87" w:history="1">
        <w:r w:rsidRPr="00603B86">
          <w:rPr>
            <w:rStyle w:val="aff0"/>
            <w:rFonts w:ascii="Times New Roman" w:hAnsi="Times New Roman" w:cs="Times New Roman"/>
            <w:iCs/>
            <w:w w:val="105"/>
            <w:sz w:val="24"/>
            <w:szCs w:val="24"/>
          </w:rPr>
          <w:t>link</w:t>
        </w:r>
      </w:hyperlink>
      <w:r w:rsidRPr="00603B86">
        <w:rPr>
          <w:rFonts w:ascii="Times New Roman" w:hAnsi="Times New Roman" w:cs="Times New Roman"/>
          <w:iCs/>
          <w:w w:val="105"/>
          <w:sz w:val="24"/>
          <w:szCs w:val="24"/>
        </w:rPr>
        <w:t xml:space="preserve">, ÎS </w:t>
      </w:r>
      <w:hyperlink r:id="rId88" w:history="1">
        <w:r w:rsidRPr="00603B86">
          <w:rPr>
            <w:rStyle w:val="aff0"/>
            <w:rFonts w:ascii="Times New Roman" w:hAnsi="Times New Roman" w:cs="Times New Roman"/>
            <w:iCs/>
            <w:w w:val="105"/>
            <w:sz w:val="24"/>
            <w:szCs w:val="24"/>
          </w:rPr>
          <w:t>link</w:t>
        </w:r>
      </w:hyperlink>
      <w:r w:rsidRPr="00603B86">
        <w:rPr>
          <w:rFonts w:ascii="Times New Roman" w:hAnsi="Times New Roman" w:cs="Times New Roman"/>
          <w:iCs/>
          <w:w w:val="105"/>
          <w:sz w:val="24"/>
          <w:szCs w:val="24"/>
        </w:rPr>
        <w:t>)</w:t>
      </w:r>
      <w:r w:rsidR="0028575C">
        <w:rPr>
          <w:rFonts w:ascii="Times New Roman" w:hAnsi="Times New Roman" w:cs="Times New Roman"/>
          <w:iCs/>
          <w:w w:val="105"/>
          <w:sz w:val="24"/>
          <w:szCs w:val="24"/>
        </w:rPr>
        <w:t xml:space="preserve">, </w:t>
      </w:r>
      <w:r w:rsidR="00991F47" w:rsidRPr="001F6026">
        <w:rPr>
          <w:rFonts w:ascii="Times New Roman" w:eastAsia="Times New Roman" w:hAnsi="Times New Roman" w:cs="Times New Roman"/>
          <w:kern w:val="0"/>
          <w:sz w:val="24"/>
          <w:szCs w:val="24"/>
          <w:lang w:eastAsia="ro-MD"/>
          <w14:ligatures w14:val="none"/>
        </w:rPr>
        <w:t xml:space="preserve">pe site-ul </w:t>
      </w:r>
      <w:r w:rsidR="0028575C">
        <w:rPr>
          <w:rFonts w:ascii="Times New Roman" w:eastAsia="Times New Roman" w:hAnsi="Times New Roman" w:cs="Times New Roman"/>
          <w:kern w:val="0"/>
          <w:sz w:val="24"/>
          <w:szCs w:val="24"/>
          <w:lang w:eastAsia="ro-MD"/>
          <w14:ligatures w14:val="none"/>
        </w:rPr>
        <w:t>MEC</w:t>
      </w:r>
      <w:r w:rsidR="00991F47" w:rsidRPr="001F6026">
        <w:rPr>
          <w:rFonts w:ascii="Times New Roman" w:eastAsia="Times New Roman" w:hAnsi="Times New Roman" w:cs="Times New Roman"/>
          <w:kern w:val="0"/>
          <w:sz w:val="24"/>
          <w:szCs w:val="24"/>
          <w:lang w:eastAsia="ro-MD"/>
          <w14:ligatures w14:val="none"/>
        </w:rPr>
        <w:t xml:space="preserve"> (</w:t>
      </w:r>
      <w:hyperlink r:id="rId89" w:history="1">
        <w:r w:rsidR="00991F47" w:rsidRPr="001F6026">
          <w:rPr>
            <w:rStyle w:val="aff0"/>
            <w:rFonts w:ascii="Times New Roman" w:eastAsia="Times New Roman" w:hAnsi="Times New Roman" w:cs="Times New Roman"/>
            <w:kern w:val="0"/>
            <w:sz w:val="24"/>
            <w:szCs w:val="24"/>
            <w:lang w:eastAsia="ro-MD"/>
            <w14:ligatures w14:val="none"/>
          </w:rPr>
          <w:t>link</w:t>
        </w:r>
      </w:hyperlink>
      <w:r w:rsidR="00991F47" w:rsidRPr="001F6026">
        <w:rPr>
          <w:rFonts w:ascii="Times New Roman" w:eastAsia="Times New Roman" w:hAnsi="Times New Roman" w:cs="Times New Roman"/>
          <w:kern w:val="0"/>
          <w:sz w:val="24"/>
          <w:szCs w:val="24"/>
          <w:lang w:eastAsia="ro-MD"/>
          <w14:ligatures w14:val="none"/>
        </w:rPr>
        <w:t>), cât și pe site-urile instituționale:</w:t>
      </w:r>
      <w:r w:rsidR="0047114D">
        <w:rPr>
          <w:rFonts w:ascii="Times New Roman" w:eastAsia="Times New Roman" w:hAnsi="Times New Roman" w:cs="Times New Roman"/>
          <w:kern w:val="0"/>
          <w:sz w:val="24"/>
          <w:szCs w:val="24"/>
          <w:lang w:eastAsia="ro-MD"/>
          <w14:ligatures w14:val="none"/>
        </w:rPr>
        <w:t xml:space="preserve"> de ex.,</w:t>
      </w:r>
      <w:r w:rsidR="00991F47" w:rsidRPr="001F6026">
        <w:rPr>
          <w:rFonts w:ascii="Times New Roman" w:eastAsia="Times New Roman" w:hAnsi="Times New Roman" w:cs="Times New Roman"/>
          <w:kern w:val="0"/>
          <w:sz w:val="24"/>
          <w:szCs w:val="24"/>
          <w:lang w:eastAsia="ro-MD"/>
          <w14:ligatures w14:val="none"/>
        </w:rPr>
        <w:t xml:space="preserve"> UPSC (</w:t>
      </w:r>
      <w:hyperlink r:id="rId90" w:history="1">
        <w:r w:rsidR="00991F47" w:rsidRPr="001F6026">
          <w:rPr>
            <w:rStyle w:val="aff0"/>
            <w:rFonts w:ascii="Times New Roman" w:eastAsia="Times New Roman" w:hAnsi="Times New Roman" w:cs="Times New Roman"/>
            <w:kern w:val="0"/>
            <w:sz w:val="24"/>
            <w:szCs w:val="24"/>
            <w:lang w:eastAsia="ro-MD"/>
            <w14:ligatures w14:val="none"/>
          </w:rPr>
          <w:t>link</w:t>
        </w:r>
      </w:hyperlink>
      <w:r w:rsidR="00991F47" w:rsidRPr="001F6026">
        <w:rPr>
          <w:rFonts w:ascii="Times New Roman" w:eastAsia="Times New Roman" w:hAnsi="Times New Roman" w:cs="Times New Roman"/>
          <w:kern w:val="0"/>
          <w:sz w:val="24"/>
          <w:szCs w:val="24"/>
          <w:lang w:eastAsia="ro-MD"/>
          <w14:ligatures w14:val="none"/>
        </w:rPr>
        <w:t xml:space="preserve">); </w:t>
      </w:r>
      <w:hyperlink r:id="rId91" w:tgtFrame="_blank" w:history="1">
        <w:r w:rsidR="00991F47" w:rsidRPr="0047114D">
          <w:rPr>
            <w:rStyle w:val="aff0"/>
            <w:rFonts w:ascii="Times New Roman" w:eastAsia="Times New Roman" w:hAnsi="Times New Roman" w:cs="Times New Roman"/>
            <w:color w:val="auto"/>
            <w:kern w:val="0"/>
            <w:sz w:val="24"/>
            <w:szCs w:val="24"/>
            <w:u w:val="none"/>
            <w:lang w:eastAsia="ro-MD"/>
            <w14:ligatures w14:val="none"/>
          </w:rPr>
          <w:t>Rapoartele anuale privind Controlul Intern Managerial al Universității Pedagogice de Stat „Ion Creangă” din Chișinău</w:t>
        </w:r>
      </w:hyperlink>
      <w:r w:rsidR="00991F47" w:rsidRPr="0047114D">
        <w:rPr>
          <w:rFonts w:ascii="Times New Roman" w:eastAsia="Times New Roman" w:hAnsi="Times New Roman" w:cs="Times New Roman"/>
          <w:kern w:val="0"/>
          <w:sz w:val="24"/>
          <w:szCs w:val="24"/>
          <w:lang w:eastAsia="ro-MD"/>
          <w14:ligatures w14:val="none"/>
        </w:rPr>
        <w:t xml:space="preserve"> </w:t>
      </w:r>
      <w:r w:rsidR="00991F47" w:rsidRPr="0047114D">
        <w:rPr>
          <w:rFonts w:ascii="Times New Roman" w:hAnsi="Times New Roman" w:cs="Times New Roman"/>
          <w:sz w:val="24"/>
          <w:szCs w:val="24"/>
        </w:rPr>
        <w:t>(</w:t>
      </w:r>
      <w:hyperlink r:id="rId92" w:history="1">
        <w:r w:rsidR="00991F47" w:rsidRPr="0047114D">
          <w:rPr>
            <w:rStyle w:val="aff0"/>
            <w:rFonts w:ascii="Times New Roman" w:hAnsi="Times New Roman" w:cs="Times New Roman"/>
            <w:sz w:val="24"/>
            <w:szCs w:val="24"/>
          </w:rPr>
          <w:t>link</w:t>
        </w:r>
      </w:hyperlink>
      <w:r w:rsidR="00991F47" w:rsidRPr="0047114D">
        <w:rPr>
          <w:rFonts w:ascii="Times New Roman" w:hAnsi="Times New Roman" w:cs="Times New Roman"/>
          <w:sz w:val="24"/>
          <w:szCs w:val="24"/>
        </w:rPr>
        <w:t>)</w:t>
      </w:r>
    </w:p>
    <w:p w14:paraId="09777BC6" w14:textId="455F501D" w:rsidR="00827374" w:rsidRPr="00603B86" w:rsidRDefault="00AF779B" w:rsidP="00827374">
      <w:pPr>
        <w:spacing w:before="120" w:after="120" w:line="276" w:lineRule="auto"/>
        <w:ind w:right="-1"/>
        <w:jc w:val="both"/>
        <w:rPr>
          <w:rFonts w:ascii="Times New Roman" w:hAnsi="Times New Roman" w:cs="Times New Roman"/>
          <w:iCs/>
          <w:w w:val="105"/>
          <w:sz w:val="24"/>
          <w:szCs w:val="24"/>
        </w:rPr>
      </w:pPr>
      <w:r w:rsidRPr="00827374">
        <w:rPr>
          <w:rFonts w:ascii="Times New Roman" w:hAnsi="Times New Roman" w:cs="Times New Roman"/>
          <w:sz w:val="24"/>
          <w:szCs w:val="24"/>
        </w:rPr>
        <w:t>Totodată, agenția contribuie la validarea standardelor de calificare și la menținerea transparenței prin publicarea rapoartelor de evaluare și a registrelor instituțiilor și programelor autorizate sau acreditate.</w:t>
      </w:r>
      <w:r w:rsidR="009B779D">
        <w:rPr>
          <w:rFonts w:ascii="Times New Roman" w:hAnsi="Times New Roman" w:cs="Times New Roman"/>
          <w:sz w:val="24"/>
          <w:szCs w:val="24"/>
        </w:rPr>
        <w:t xml:space="preserve"> Rapoartele de activitate ale ANACEC sunt la fel publicate. </w:t>
      </w:r>
      <w:r w:rsidR="00D424C9" w:rsidRPr="00D424C9">
        <w:rPr>
          <w:rFonts w:ascii="Times New Roman" w:eastAsia="Times New Roman" w:hAnsi="Times New Roman" w:cs="Times New Roman"/>
          <w:kern w:val="0"/>
          <w:sz w:val="24"/>
          <w:szCs w:val="24"/>
          <w14:ligatures w14:val="none"/>
        </w:rPr>
        <w:t>Raportul de activitate al ANACEC, 2024 (</w:t>
      </w:r>
      <w:hyperlink r:id="rId93" w:history="1">
        <w:r w:rsidR="00D424C9" w:rsidRPr="00D424C9">
          <w:rPr>
            <w:rStyle w:val="aff0"/>
            <w:rFonts w:ascii="Times New Roman" w:eastAsia="Times New Roman" w:hAnsi="Times New Roman" w:cs="Times New Roman"/>
            <w:color w:val="auto"/>
            <w:kern w:val="0"/>
            <w:sz w:val="24"/>
            <w:szCs w:val="24"/>
            <w14:ligatures w14:val="none"/>
          </w:rPr>
          <w:t>link</w:t>
        </w:r>
      </w:hyperlink>
      <w:r w:rsidR="00D424C9" w:rsidRPr="00D424C9">
        <w:rPr>
          <w:rFonts w:ascii="Times New Roman" w:eastAsia="Times New Roman" w:hAnsi="Times New Roman" w:cs="Times New Roman"/>
          <w:kern w:val="0"/>
          <w:sz w:val="24"/>
          <w:szCs w:val="24"/>
          <w14:ligatures w14:val="none"/>
        </w:rPr>
        <w:t>)</w:t>
      </w:r>
    </w:p>
    <w:p w14:paraId="304A54A5" w14:textId="77777777" w:rsidR="0011678A" w:rsidRPr="0011678A" w:rsidRDefault="0011678A" w:rsidP="0011678A">
      <w:pPr>
        <w:spacing w:before="120" w:after="120" w:line="276" w:lineRule="auto"/>
        <w:ind w:right="632"/>
        <w:jc w:val="both"/>
        <w:rPr>
          <w:rFonts w:ascii="Times New Roman" w:hAnsi="Times New Roman" w:cs="Times New Roman"/>
          <w:b/>
          <w:bCs/>
          <w:iCs/>
          <w:color w:val="3494BA" w:themeColor="accent1"/>
          <w:w w:val="105"/>
          <w:sz w:val="24"/>
          <w:szCs w:val="24"/>
          <w:lang w:val="ro-MD"/>
        </w:rPr>
      </w:pPr>
      <w:r w:rsidRPr="0011678A">
        <w:rPr>
          <w:rFonts w:ascii="Times New Roman" w:hAnsi="Times New Roman" w:cs="Times New Roman"/>
          <w:b/>
          <w:bCs/>
          <w:iCs/>
          <w:color w:val="3494BA" w:themeColor="accent1"/>
          <w:w w:val="105"/>
          <w:sz w:val="24"/>
          <w:szCs w:val="24"/>
          <w:lang w:val="ro-MD"/>
        </w:rPr>
        <w:t>4. Legătura dintre asigurarea calității și Cadrul Național al Calificărilor</w:t>
      </w:r>
    </w:p>
    <w:p w14:paraId="41D153AE" w14:textId="1662146C" w:rsidR="00AF17AA" w:rsidRPr="0011678A" w:rsidRDefault="0011678A" w:rsidP="00D60600">
      <w:pPr>
        <w:pStyle w:val="af8"/>
        <w:spacing w:before="120" w:beforeAutospacing="0" w:after="120" w:afterAutospacing="0" w:line="276" w:lineRule="auto"/>
        <w:jc w:val="both"/>
        <w:rPr>
          <w:iCs/>
          <w:w w:val="105"/>
          <w:lang w:val="ro-MD"/>
        </w:rPr>
      </w:pPr>
      <w:r w:rsidRPr="0011678A">
        <w:rPr>
          <w:iCs/>
          <w:w w:val="105"/>
          <w:lang w:val="ro-MD"/>
        </w:rPr>
        <w:lastRenderedPageBreak/>
        <w:t xml:space="preserve">Prin prevederile din HG nr. 330/2023, sistemul de asigurare a calității este complet integrat în arhitectura </w:t>
      </w:r>
      <w:r w:rsidR="0027341D">
        <w:rPr>
          <w:iCs/>
          <w:w w:val="105"/>
          <w:lang w:val="ro-MD"/>
        </w:rPr>
        <w:t>CNC</w:t>
      </w:r>
      <w:r w:rsidRPr="0011678A">
        <w:rPr>
          <w:iCs/>
          <w:w w:val="105"/>
          <w:lang w:val="ro-MD"/>
        </w:rPr>
        <w:t xml:space="preserve">. ANACEC verifică relevanța și complexitatea rezultatelor învățării, </w:t>
      </w:r>
      <w:r w:rsidR="00C2788E" w:rsidRPr="00827374">
        <w:t xml:space="preserve">corelarea acestora cu standardele </w:t>
      </w:r>
      <w:r w:rsidR="00E50797">
        <w:t>de calificare</w:t>
      </w:r>
      <w:r w:rsidR="003D5394">
        <w:t xml:space="preserve"> </w:t>
      </w:r>
      <w:r w:rsidR="00C2788E" w:rsidRPr="00827374">
        <w:t>și conformitatea cu nivelurile CNC</w:t>
      </w:r>
      <w:r w:rsidR="003D5394">
        <w:t xml:space="preserve"> și EQF</w:t>
      </w:r>
      <w:r w:rsidR="00C2788E" w:rsidRPr="00827374">
        <w:t xml:space="preserve">. </w:t>
      </w:r>
      <w:r w:rsidR="00AF17AA" w:rsidRPr="0011678A">
        <w:rPr>
          <w:iCs/>
          <w:w w:val="105"/>
          <w:lang w:val="ro-MD"/>
        </w:rPr>
        <w:t xml:space="preserve">Conform articolului 77 din HG nr. 330/2023, ANACEC verifică prin evaluarea externă </w:t>
      </w:r>
      <w:r w:rsidR="00AF17AA" w:rsidRPr="0011678A">
        <w:rPr>
          <w:rFonts w:eastAsiaTheme="majorEastAsia"/>
          <w:b/>
          <w:bCs/>
          <w:iCs/>
          <w:w w:val="105"/>
          <w:lang w:val="ro-MD"/>
        </w:rPr>
        <w:t>calitatea evaluării rezultatelor învățării</w:t>
      </w:r>
      <w:r w:rsidR="00AF17AA" w:rsidRPr="0011678A">
        <w:rPr>
          <w:iCs/>
          <w:w w:val="105"/>
          <w:lang w:val="ro-MD"/>
        </w:rPr>
        <w:t xml:space="preserve">, </w:t>
      </w:r>
      <w:r w:rsidR="00AF17AA" w:rsidRPr="0011678A">
        <w:rPr>
          <w:rFonts w:eastAsiaTheme="majorEastAsia"/>
          <w:b/>
          <w:bCs/>
          <w:iCs/>
          <w:w w:val="105"/>
          <w:lang w:val="ro-MD"/>
        </w:rPr>
        <w:t>corectitudinea metodelor de evaluare aplicate</w:t>
      </w:r>
      <w:r w:rsidR="00AF17AA" w:rsidRPr="0011678A">
        <w:rPr>
          <w:iCs/>
          <w:w w:val="105"/>
          <w:lang w:val="ro-MD"/>
        </w:rPr>
        <w:t xml:space="preserve"> și </w:t>
      </w:r>
      <w:r w:rsidR="00AF17AA" w:rsidRPr="0011678A">
        <w:rPr>
          <w:rFonts w:eastAsiaTheme="majorEastAsia"/>
          <w:b/>
          <w:bCs/>
          <w:iCs/>
          <w:w w:val="105"/>
          <w:lang w:val="ro-MD"/>
        </w:rPr>
        <w:t>corespunderea nivelului de complexitate al rezultatelor demonstrate cu descriptorii CNC</w:t>
      </w:r>
      <w:r w:rsidR="00AF17AA" w:rsidRPr="0011678A">
        <w:rPr>
          <w:iCs/>
          <w:w w:val="105"/>
          <w:lang w:val="ro-MD"/>
        </w:rPr>
        <w:t>.</w:t>
      </w:r>
    </w:p>
    <w:p w14:paraId="00E97202" w14:textId="77777777" w:rsidR="0011678A" w:rsidRPr="0011678A" w:rsidRDefault="0011678A" w:rsidP="00D60600">
      <w:pPr>
        <w:spacing w:before="120" w:after="120" w:line="276" w:lineRule="auto"/>
        <w:ind w:right="-1"/>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Evaluarea externă a calității este o condiție obligatorie pentru autorizarea provizorie, acreditarea și monitorizarea continuă a programelor de studii, garantând că fiecare calificare inclusă în CNC respectă cerințele de calitate, relevanță și comparabilitate internațională.</w:t>
      </w:r>
    </w:p>
    <w:p w14:paraId="16C7579F" w14:textId="77777777" w:rsidR="0011678A" w:rsidRPr="0011678A" w:rsidRDefault="0011678A" w:rsidP="00D60600">
      <w:pPr>
        <w:spacing w:before="120" w:after="120" w:line="276" w:lineRule="auto"/>
        <w:ind w:right="-1"/>
        <w:jc w:val="both"/>
        <w:rPr>
          <w:rFonts w:ascii="Times New Roman" w:hAnsi="Times New Roman" w:cs="Times New Roman"/>
          <w:iCs/>
          <w:w w:val="105"/>
          <w:sz w:val="24"/>
          <w:szCs w:val="24"/>
          <w:lang w:val="ro-MD"/>
        </w:rPr>
      </w:pPr>
      <w:r w:rsidRPr="0011678A">
        <w:rPr>
          <w:rFonts w:ascii="Times New Roman" w:hAnsi="Times New Roman" w:cs="Times New Roman"/>
          <w:iCs/>
          <w:w w:val="105"/>
          <w:sz w:val="24"/>
          <w:szCs w:val="24"/>
          <w:lang w:val="ro-MD"/>
        </w:rPr>
        <w:t>Acest mecanism permite Republicii Moldova să asigure un lanț complet de garanții ale calității – de la conceperea și validarea standardului de calificare până la implementare, certificare și actualizare periodică.</w:t>
      </w:r>
    </w:p>
    <w:p w14:paraId="4B871994" w14:textId="77777777" w:rsidR="006170EC" w:rsidRPr="006170EC" w:rsidRDefault="006170EC" w:rsidP="00D60600">
      <w:pPr>
        <w:spacing w:after="0" w:line="276" w:lineRule="auto"/>
        <w:ind w:right="-1"/>
        <w:jc w:val="both"/>
        <w:rPr>
          <w:rFonts w:ascii="Times New Roman" w:hAnsi="Times New Roman" w:cs="Times New Roman"/>
          <w:b/>
          <w:bCs/>
          <w:iCs/>
          <w:w w:val="105"/>
          <w:sz w:val="24"/>
          <w:szCs w:val="24"/>
          <w:lang w:val="ro-MD"/>
        </w:rPr>
      </w:pPr>
      <w:r w:rsidRPr="006170EC">
        <w:rPr>
          <w:rFonts w:ascii="Times New Roman" w:hAnsi="Times New Roman" w:cs="Times New Roman"/>
          <w:b/>
          <w:bCs/>
          <w:iCs/>
          <w:color w:val="3494BA" w:themeColor="accent1"/>
          <w:w w:val="105"/>
          <w:sz w:val="24"/>
          <w:szCs w:val="24"/>
          <w:lang w:val="ro-MD"/>
        </w:rPr>
        <w:t>5. Conformitatea cu principiile europene (Anexa IV a Recomandării Consiliului UE, 2017)</w:t>
      </w:r>
    </w:p>
    <w:p w14:paraId="18ED1EB5" w14:textId="77777777" w:rsidR="006170EC" w:rsidRDefault="006170EC" w:rsidP="00D60600">
      <w:pPr>
        <w:spacing w:after="0" w:line="276" w:lineRule="auto"/>
        <w:ind w:right="-1"/>
        <w:jc w:val="both"/>
        <w:rPr>
          <w:rFonts w:ascii="Times New Roman" w:hAnsi="Times New Roman" w:cs="Times New Roman"/>
          <w:iCs/>
          <w:w w:val="105"/>
          <w:sz w:val="24"/>
          <w:szCs w:val="24"/>
          <w:lang w:val="ro-MD"/>
        </w:rPr>
      </w:pPr>
      <w:r w:rsidRPr="006170EC">
        <w:rPr>
          <w:rFonts w:ascii="Times New Roman" w:hAnsi="Times New Roman" w:cs="Times New Roman"/>
          <w:iCs/>
          <w:w w:val="105"/>
          <w:sz w:val="24"/>
          <w:szCs w:val="24"/>
          <w:lang w:val="ro-MD"/>
        </w:rPr>
        <w:t>Sistemul național de asigurare a calității în educație și formare profesională al Republicii Moldova respectă integral principiile europene de referință. Aceste principii, definite în Anexa IV a Recomandării Consiliului UE privind EQF (2017), se reflectă atât în cadrul legislativ (Codul educației, HG nr. 201/2018, HG nr. 616/2016, HG nr. 330/2023), cât și în practicile instituționale ale ANACEC și Ministerului Educației și Cercetării.</w:t>
      </w:r>
    </w:p>
    <w:tbl>
      <w:tblPr>
        <w:tblStyle w:val="aff"/>
        <w:tblW w:w="0" w:type="auto"/>
        <w:tblLook w:val="04A0" w:firstRow="1" w:lastRow="0" w:firstColumn="1" w:lastColumn="0" w:noHBand="0" w:noVBand="1"/>
      </w:tblPr>
      <w:tblGrid>
        <w:gridCol w:w="562"/>
        <w:gridCol w:w="2410"/>
        <w:gridCol w:w="6656"/>
      </w:tblGrid>
      <w:tr w:rsidR="00D26FFC" w:rsidRPr="008804CA" w14:paraId="6BEF8EA5" w14:textId="77777777" w:rsidTr="008804CA">
        <w:tc>
          <w:tcPr>
            <w:tcW w:w="562" w:type="dxa"/>
            <w:shd w:val="clear" w:color="auto" w:fill="A9D5E7" w:themeFill="accent1" w:themeFillTint="66"/>
            <w:vAlign w:val="center"/>
          </w:tcPr>
          <w:p w14:paraId="132AD684" w14:textId="32EAF512"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Nr.</w:t>
            </w:r>
          </w:p>
        </w:tc>
        <w:tc>
          <w:tcPr>
            <w:tcW w:w="2410" w:type="dxa"/>
            <w:shd w:val="clear" w:color="auto" w:fill="A9D5E7" w:themeFill="accent1" w:themeFillTint="66"/>
            <w:vAlign w:val="center"/>
          </w:tcPr>
          <w:p w14:paraId="6D7442CB" w14:textId="7AC88F19" w:rsidR="00D26FFC" w:rsidRPr="008804CA" w:rsidRDefault="00D26FFC" w:rsidP="008804CA">
            <w:pPr>
              <w:jc w:val="both"/>
              <w:rPr>
                <w:rFonts w:ascii="Times New Roman" w:hAnsi="Times New Roman" w:cs="Times New Roman"/>
                <w:b/>
                <w:bCs/>
                <w:iCs/>
                <w:w w:val="105"/>
                <w:sz w:val="20"/>
                <w:szCs w:val="20"/>
                <w:lang w:val="ro-MD"/>
              </w:rPr>
            </w:pPr>
            <w:r w:rsidRPr="006170EC">
              <w:rPr>
                <w:rFonts w:ascii="Times New Roman" w:hAnsi="Times New Roman" w:cs="Times New Roman"/>
                <w:b/>
                <w:bCs/>
                <w:iCs/>
                <w:w w:val="105"/>
                <w:sz w:val="20"/>
                <w:szCs w:val="20"/>
                <w:lang w:val="ro-MD"/>
              </w:rPr>
              <w:t>Principiu european de asigurare a calității</w:t>
            </w:r>
          </w:p>
        </w:tc>
        <w:tc>
          <w:tcPr>
            <w:tcW w:w="6656" w:type="dxa"/>
            <w:shd w:val="clear" w:color="auto" w:fill="A9D5E7" w:themeFill="accent1" w:themeFillTint="66"/>
            <w:vAlign w:val="center"/>
          </w:tcPr>
          <w:p w14:paraId="20335278" w14:textId="7B26B0EF"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Aplicarea în Republica Moldova</w:t>
            </w:r>
          </w:p>
        </w:tc>
      </w:tr>
      <w:tr w:rsidR="00D26FFC" w:rsidRPr="008804CA" w14:paraId="626911E8" w14:textId="77777777" w:rsidTr="008804CA">
        <w:tc>
          <w:tcPr>
            <w:tcW w:w="562" w:type="dxa"/>
            <w:vAlign w:val="center"/>
          </w:tcPr>
          <w:p w14:paraId="52A170A7" w14:textId="165EAE99"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1</w:t>
            </w:r>
          </w:p>
        </w:tc>
        <w:tc>
          <w:tcPr>
            <w:tcW w:w="2410" w:type="dxa"/>
            <w:vAlign w:val="center"/>
          </w:tcPr>
          <w:p w14:paraId="166B8A5E" w14:textId="495CDB1B"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Conceperea calificărilor pe baza rezultatelor învățării</w:t>
            </w:r>
          </w:p>
        </w:tc>
        <w:tc>
          <w:tcPr>
            <w:tcW w:w="6656" w:type="dxa"/>
            <w:vAlign w:val="center"/>
          </w:tcPr>
          <w:p w14:paraId="36A7E781" w14:textId="0A4E6524"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Toate standardele de calificare se fundamentează pe rezultatele învățării, structurate pe dimensiunile „cunoștințe–aptitudini–responsabilitate și autonomie”. Conform art. 166 (1) din HG nr. 330/2023, ANACEC verifică alinierea rezultatelor la descriptorii CNC și EQF.</w:t>
            </w:r>
          </w:p>
        </w:tc>
      </w:tr>
      <w:tr w:rsidR="00D26FFC" w:rsidRPr="008804CA" w14:paraId="50DC5A8C" w14:textId="77777777" w:rsidTr="008804CA">
        <w:tc>
          <w:tcPr>
            <w:tcW w:w="562" w:type="dxa"/>
            <w:vAlign w:val="center"/>
          </w:tcPr>
          <w:p w14:paraId="6CDA555C" w14:textId="7C8AD0BE"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2</w:t>
            </w:r>
          </w:p>
        </w:tc>
        <w:tc>
          <w:tcPr>
            <w:tcW w:w="2410" w:type="dxa"/>
            <w:vAlign w:val="center"/>
          </w:tcPr>
          <w:p w14:paraId="0F0995F3" w14:textId="747711D7"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Evaluare valabilă și fiabilă conform standardelor transparente</w:t>
            </w:r>
          </w:p>
        </w:tc>
        <w:tc>
          <w:tcPr>
            <w:tcW w:w="6656" w:type="dxa"/>
            <w:vAlign w:val="center"/>
          </w:tcPr>
          <w:p w14:paraId="7DCA3190" w14:textId="16F45906"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Evaluarea externă realizată de ANACEC (art. 77 și 153 din HG nr. 330/2023) asigură aplicarea corectă a metodelor de evaluare și coerența între rezultatele învățării și nivelul de calificare. Procedurile de autorizare și acreditare (HG nr. 616/2016) se bazează pe standarde publice și criterii unitare.</w:t>
            </w:r>
          </w:p>
        </w:tc>
      </w:tr>
      <w:tr w:rsidR="00D26FFC" w:rsidRPr="008804CA" w14:paraId="3A12F99C" w14:textId="77777777" w:rsidTr="008804CA">
        <w:tc>
          <w:tcPr>
            <w:tcW w:w="562" w:type="dxa"/>
            <w:vAlign w:val="center"/>
          </w:tcPr>
          <w:p w14:paraId="6633DB07" w14:textId="3707EEA8"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3</w:t>
            </w:r>
          </w:p>
        </w:tc>
        <w:tc>
          <w:tcPr>
            <w:tcW w:w="2410" w:type="dxa"/>
            <w:vAlign w:val="center"/>
          </w:tcPr>
          <w:p w14:paraId="6E66905B" w14:textId="465B74B4"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Mecanisme de feedback și îmbunătățire continuă</w:t>
            </w:r>
          </w:p>
        </w:tc>
        <w:tc>
          <w:tcPr>
            <w:tcW w:w="6656" w:type="dxa"/>
            <w:vAlign w:val="center"/>
          </w:tcPr>
          <w:p w14:paraId="6FBCD3B7" w14:textId="3D98F6C8"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Sistemul de monitorizare post-evaluare (Decizia ANACEC nr. 30/2019) urmărește implementarea recomandărilor formulate în urma evaluărilor externe. Art. 166 (3) din HG nr. 330/2023 confirmă existența procedurilor de feedback și perfecționare continuă a calificărilor.</w:t>
            </w:r>
          </w:p>
        </w:tc>
      </w:tr>
      <w:tr w:rsidR="00D26FFC" w:rsidRPr="008804CA" w14:paraId="11C07801" w14:textId="77777777" w:rsidTr="008804CA">
        <w:tc>
          <w:tcPr>
            <w:tcW w:w="562" w:type="dxa"/>
            <w:vAlign w:val="center"/>
          </w:tcPr>
          <w:p w14:paraId="00A51826" w14:textId="304024E2"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4</w:t>
            </w:r>
          </w:p>
        </w:tc>
        <w:tc>
          <w:tcPr>
            <w:tcW w:w="2410" w:type="dxa"/>
            <w:vAlign w:val="center"/>
          </w:tcPr>
          <w:p w14:paraId="589C2C44" w14:textId="27D3BDDB"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Implicarea părților interesate relevante în toate etapele</w:t>
            </w:r>
          </w:p>
        </w:tc>
        <w:tc>
          <w:tcPr>
            <w:tcW w:w="6656" w:type="dxa"/>
            <w:vAlign w:val="center"/>
          </w:tcPr>
          <w:p w14:paraId="7A5B0AF6" w14:textId="0127468A"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În procesul de evaluare externă, ANACEC implică instituțiile de învățământ, angajatorii, comitetele sectoriale, studenții și organizațiile profesionale (Regulamentul aprobat prin Decizia nr. 56/28.04.2022). Art. 166 (4) din HG nr. 330/2023 prevede explicit participarea acestora în toate etapele asigurării calității.</w:t>
            </w:r>
          </w:p>
        </w:tc>
      </w:tr>
      <w:tr w:rsidR="00D26FFC" w:rsidRPr="008804CA" w14:paraId="454B8272" w14:textId="77777777" w:rsidTr="008804CA">
        <w:tc>
          <w:tcPr>
            <w:tcW w:w="562" w:type="dxa"/>
            <w:vAlign w:val="center"/>
          </w:tcPr>
          <w:p w14:paraId="604053F7" w14:textId="5AC9D6A7"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5</w:t>
            </w:r>
          </w:p>
        </w:tc>
        <w:tc>
          <w:tcPr>
            <w:tcW w:w="2410" w:type="dxa"/>
            <w:vAlign w:val="center"/>
          </w:tcPr>
          <w:p w14:paraId="1EE206AB" w14:textId="0C3C9931"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Asocierea autoevaluării cu evaluarea externă</w:t>
            </w:r>
          </w:p>
        </w:tc>
        <w:tc>
          <w:tcPr>
            <w:tcW w:w="6656" w:type="dxa"/>
            <w:vAlign w:val="center"/>
          </w:tcPr>
          <w:p w14:paraId="6026A317" w14:textId="0BCDA78C"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Conform art. 166 (5), asigurarea calității combină evaluarea internă (autoevaluarea instituțională) cu evaluarea externă realizată de ANACEC. În baza HG nr. 616/2016, raportul de autoevaluare este documentul central în procesul de acreditare.</w:t>
            </w:r>
          </w:p>
        </w:tc>
      </w:tr>
      <w:tr w:rsidR="00D26FFC" w:rsidRPr="008804CA" w14:paraId="01BDFEB4" w14:textId="77777777" w:rsidTr="008804CA">
        <w:tc>
          <w:tcPr>
            <w:tcW w:w="562" w:type="dxa"/>
            <w:vAlign w:val="center"/>
          </w:tcPr>
          <w:p w14:paraId="7CD82820" w14:textId="6BA168EB"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6</w:t>
            </w:r>
          </w:p>
        </w:tc>
        <w:tc>
          <w:tcPr>
            <w:tcW w:w="2410" w:type="dxa"/>
            <w:vAlign w:val="center"/>
          </w:tcPr>
          <w:p w14:paraId="0B88563B" w14:textId="2A42EF04"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Integrarea calității în managementul intern al instituțiilor</w:t>
            </w:r>
          </w:p>
        </w:tc>
        <w:tc>
          <w:tcPr>
            <w:tcW w:w="6656" w:type="dxa"/>
            <w:vAlign w:val="center"/>
          </w:tcPr>
          <w:p w14:paraId="0860B9A1" w14:textId="64D838CE"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Art. 166 (6) prevede integrarea procesului de asigurare a calității în sistemul intern de management al instituțiilor, inclusiv pentru programele colaborative. Toate instituțiile de învățământ acreditate trebuie să dețină structuri interne de asigurare a calității.</w:t>
            </w:r>
          </w:p>
        </w:tc>
      </w:tr>
      <w:tr w:rsidR="00D26FFC" w:rsidRPr="008804CA" w14:paraId="3BD717F8" w14:textId="77777777" w:rsidTr="008804CA">
        <w:tc>
          <w:tcPr>
            <w:tcW w:w="562" w:type="dxa"/>
            <w:vAlign w:val="center"/>
          </w:tcPr>
          <w:p w14:paraId="70E0EF1E" w14:textId="56081432"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7</w:t>
            </w:r>
          </w:p>
        </w:tc>
        <w:tc>
          <w:tcPr>
            <w:tcW w:w="2410" w:type="dxa"/>
            <w:vAlign w:val="center"/>
          </w:tcPr>
          <w:p w14:paraId="004246CB" w14:textId="0EFBA872"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Obiective, standarde și indicatori clari și măsurabili</w:t>
            </w:r>
          </w:p>
        </w:tc>
        <w:tc>
          <w:tcPr>
            <w:tcW w:w="6656" w:type="dxa"/>
            <w:vAlign w:val="center"/>
          </w:tcPr>
          <w:p w14:paraId="09A28BBA" w14:textId="6779CE91"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Standardele naționale de referință și indicatorii de performanță sunt formulați și revizuiți de ANACEC, conform art. 115 (2)(c) din Codul educației și art. 167 (7) din HG nr. 330/2023. Cadrul normativ include metodologii și ghiduri publice care detaliază acești indicatori.</w:t>
            </w:r>
          </w:p>
        </w:tc>
      </w:tr>
      <w:tr w:rsidR="00D26FFC" w:rsidRPr="008804CA" w14:paraId="75C789D7" w14:textId="77777777" w:rsidTr="008804CA">
        <w:tc>
          <w:tcPr>
            <w:tcW w:w="562" w:type="dxa"/>
            <w:vAlign w:val="center"/>
          </w:tcPr>
          <w:p w14:paraId="45BF4C31" w14:textId="46F67082"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8</w:t>
            </w:r>
          </w:p>
        </w:tc>
        <w:tc>
          <w:tcPr>
            <w:tcW w:w="2410" w:type="dxa"/>
            <w:vAlign w:val="center"/>
          </w:tcPr>
          <w:p w14:paraId="56DACCD1" w14:textId="77471147"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Resurse adecvate pentru asigurarea calității</w:t>
            </w:r>
          </w:p>
        </w:tc>
        <w:tc>
          <w:tcPr>
            <w:tcW w:w="6656" w:type="dxa"/>
            <w:vAlign w:val="center"/>
          </w:tcPr>
          <w:p w14:paraId="22F03FAD" w14:textId="7C6EB9C4"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Art. 167 (8) impune asigurarea procesului educațional cu resurse umane și materiale corespunzătoare. ANACEC dispune de un corp extins de experți (313 implicați în 2024), selectați conform procedurii reglementate de Decizia nr. 70/2020.</w:t>
            </w:r>
          </w:p>
        </w:tc>
      </w:tr>
      <w:tr w:rsidR="00D26FFC" w:rsidRPr="008804CA" w14:paraId="3F4ED5AF" w14:textId="77777777" w:rsidTr="008804CA">
        <w:tc>
          <w:tcPr>
            <w:tcW w:w="562" w:type="dxa"/>
            <w:vAlign w:val="center"/>
          </w:tcPr>
          <w:p w14:paraId="32BC3A77" w14:textId="3ED9807A"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lastRenderedPageBreak/>
              <w:t>9</w:t>
            </w:r>
          </w:p>
        </w:tc>
        <w:tc>
          <w:tcPr>
            <w:tcW w:w="2410" w:type="dxa"/>
            <w:vAlign w:val="center"/>
          </w:tcPr>
          <w:p w14:paraId="7A1BB501" w14:textId="39228DEE"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Revizuirea periodică a organismelor de evaluare</w:t>
            </w:r>
          </w:p>
        </w:tc>
        <w:tc>
          <w:tcPr>
            <w:tcW w:w="6656" w:type="dxa"/>
            <w:vAlign w:val="center"/>
          </w:tcPr>
          <w:p w14:paraId="13FBD609" w14:textId="7DABB37B"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Art. 166 (9) stabilește obligativitatea revizuirii periodice a activității evaluatorilor și a autorităților implicate în asigurarea calității. ANACEC actualizează periodic Registrul experților evaluatori (art. 153 (15) din HG nr. 330/2023).</w:t>
            </w:r>
          </w:p>
        </w:tc>
      </w:tr>
      <w:tr w:rsidR="00D26FFC" w:rsidRPr="008804CA" w14:paraId="18DC9C75" w14:textId="77777777" w:rsidTr="008804CA">
        <w:tc>
          <w:tcPr>
            <w:tcW w:w="562" w:type="dxa"/>
            <w:vAlign w:val="center"/>
          </w:tcPr>
          <w:p w14:paraId="02FFED94" w14:textId="3F117596"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b/>
                <w:bCs/>
                <w:iCs/>
                <w:w w:val="105"/>
                <w:sz w:val="20"/>
                <w:szCs w:val="20"/>
                <w:lang w:val="ro-MD"/>
              </w:rPr>
              <w:t>10</w:t>
            </w:r>
          </w:p>
        </w:tc>
        <w:tc>
          <w:tcPr>
            <w:tcW w:w="2410" w:type="dxa"/>
            <w:vAlign w:val="center"/>
          </w:tcPr>
          <w:p w14:paraId="2F49EC9B" w14:textId="1BD8D7BB"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Acces electronic la rezultatele evaluării și învățării</w:t>
            </w:r>
          </w:p>
        </w:tc>
        <w:tc>
          <w:tcPr>
            <w:tcW w:w="6656" w:type="dxa"/>
            <w:vAlign w:val="center"/>
          </w:tcPr>
          <w:p w14:paraId="4206C5BC" w14:textId="68D8EB69" w:rsidR="00D26FFC" w:rsidRPr="008804CA" w:rsidRDefault="00D26FFC" w:rsidP="008804CA">
            <w:pPr>
              <w:jc w:val="both"/>
              <w:rPr>
                <w:rFonts w:ascii="Times New Roman" w:hAnsi="Times New Roman" w:cs="Times New Roman"/>
                <w:iCs/>
                <w:w w:val="105"/>
                <w:sz w:val="20"/>
                <w:szCs w:val="20"/>
                <w:lang w:val="ro-MD"/>
              </w:rPr>
            </w:pPr>
            <w:r w:rsidRPr="006170EC">
              <w:rPr>
                <w:rFonts w:ascii="Times New Roman" w:hAnsi="Times New Roman" w:cs="Times New Roman"/>
                <w:iCs/>
                <w:w w:val="105"/>
                <w:sz w:val="20"/>
                <w:szCs w:val="20"/>
                <w:lang w:val="ro-MD"/>
              </w:rPr>
              <w:t xml:space="preserve">Conform art. 166 (10) și (11), sistemul național garantează accesul electronic la rezultatele evaluărilor și la informațiile despre calificări prin platformele </w:t>
            </w:r>
            <w:r w:rsidRPr="006170EC">
              <w:rPr>
                <w:rFonts w:ascii="Times New Roman" w:hAnsi="Times New Roman" w:cs="Times New Roman"/>
                <w:b/>
                <w:bCs/>
                <w:iCs/>
                <w:w w:val="105"/>
                <w:sz w:val="20"/>
                <w:szCs w:val="20"/>
                <w:lang w:val="ro-MD"/>
              </w:rPr>
              <w:t>RNC</w:t>
            </w:r>
            <w:r w:rsidRPr="006170EC">
              <w:rPr>
                <w:rFonts w:ascii="Times New Roman" w:hAnsi="Times New Roman" w:cs="Times New Roman"/>
                <w:iCs/>
                <w:w w:val="105"/>
                <w:sz w:val="20"/>
                <w:szCs w:val="20"/>
                <w:lang w:val="ro-MD"/>
              </w:rPr>
              <w:t xml:space="preserve"> și </w:t>
            </w:r>
            <w:r w:rsidRPr="006170EC">
              <w:rPr>
                <w:rFonts w:ascii="Times New Roman" w:hAnsi="Times New Roman" w:cs="Times New Roman"/>
                <w:b/>
                <w:bCs/>
                <w:iCs/>
                <w:w w:val="105"/>
                <w:sz w:val="20"/>
                <w:szCs w:val="20"/>
                <w:lang w:val="ro-MD"/>
              </w:rPr>
              <w:t>ANACEC</w:t>
            </w:r>
            <w:r w:rsidRPr="006170EC">
              <w:rPr>
                <w:rFonts w:ascii="Times New Roman" w:hAnsi="Times New Roman" w:cs="Times New Roman"/>
                <w:iCs/>
                <w:w w:val="105"/>
                <w:sz w:val="20"/>
                <w:szCs w:val="20"/>
                <w:lang w:val="ro-MD"/>
              </w:rPr>
              <w:t>. Toate rapoartele de evaluare și listele programelor acreditate sunt publice pe site-ul oficial.</w:t>
            </w:r>
          </w:p>
        </w:tc>
      </w:tr>
    </w:tbl>
    <w:p w14:paraId="5AF45DF6" w14:textId="11A7443A" w:rsidR="00D26FFC" w:rsidRPr="008C70D7" w:rsidRDefault="008C70D7" w:rsidP="008C70D7">
      <w:pPr>
        <w:spacing w:before="120" w:after="120" w:line="276" w:lineRule="auto"/>
        <w:jc w:val="both"/>
        <w:rPr>
          <w:rFonts w:ascii="Times New Roman" w:hAnsi="Times New Roman" w:cs="Times New Roman"/>
          <w:iCs/>
          <w:w w:val="105"/>
          <w:sz w:val="24"/>
          <w:szCs w:val="24"/>
          <w:lang w:val="ro-MD"/>
        </w:rPr>
      </w:pPr>
      <w:r w:rsidRPr="008C70D7">
        <w:rPr>
          <w:rFonts w:ascii="Times New Roman" w:hAnsi="Times New Roman" w:cs="Times New Roman"/>
          <w:sz w:val="24"/>
          <w:szCs w:val="24"/>
        </w:rPr>
        <w:t xml:space="preserve">Aceste mecanisme demonstrează că </w:t>
      </w:r>
      <w:r w:rsidRPr="008C70D7">
        <w:rPr>
          <w:rStyle w:val="af9"/>
          <w:rFonts w:ascii="Times New Roman" w:hAnsi="Times New Roman" w:cs="Times New Roman"/>
          <w:b w:val="0"/>
          <w:bCs w:val="0"/>
          <w:sz w:val="24"/>
          <w:szCs w:val="24"/>
        </w:rPr>
        <w:t>Republica Moldova implementează integral principiile europene privind asigurarea calității</w:t>
      </w:r>
      <w:r w:rsidRPr="008C70D7">
        <w:rPr>
          <w:rFonts w:ascii="Times New Roman" w:hAnsi="Times New Roman" w:cs="Times New Roman"/>
          <w:b/>
          <w:bCs/>
          <w:sz w:val="24"/>
          <w:szCs w:val="24"/>
        </w:rPr>
        <w:t>.</w:t>
      </w:r>
      <w:r w:rsidRPr="008C70D7">
        <w:rPr>
          <w:rFonts w:ascii="Times New Roman" w:hAnsi="Times New Roman" w:cs="Times New Roman"/>
          <w:sz w:val="24"/>
          <w:szCs w:val="24"/>
        </w:rPr>
        <w:t xml:space="preserve"> Sistemul național este coerent, transparent și orientat spre îmbunătățire continuă, asigurând că toate calificările cu nivel CNC sunt proiectate, evaluate și recunoscute în conformitate cu standardele </w:t>
      </w:r>
      <w:r w:rsidRPr="008C70D7">
        <w:rPr>
          <w:rStyle w:val="af9"/>
          <w:rFonts w:ascii="Times New Roman" w:hAnsi="Times New Roman" w:cs="Times New Roman"/>
          <w:b w:val="0"/>
          <w:bCs w:val="0"/>
          <w:sz w:val="24"/>
          <w:szCs w:val="24"/>
        </w:rPr>
        <w:t>EQF</w:t>
      </w:r>
      <w:r w:rsidRPr="008C70D7">
        <w:rPr>
          <w:rFonts w:ascii="Times New Roman" w:hAnsi="Times New Roman" w:cs="Times New Roman"/>
          <w:b/>
          <w:bCs/>
          <w:sz w:val="24"/>
          <w:szCs w:val="24"/>
        </w:rPr>
        <w:t xml:space="preserve"> și </w:t>
      </w:r>
      <w:r w:rsidRPr="008C70D7">
        <w:rPr>
          <w:rStyle w:val="af9"/>
          <w:rFonts w:ascii="Times New Roman" w:hAnsi="Times New Roman" w:cs="Times New Roman"/>
          <w:b w:val="0"/>
          <w:bCs w:val="0"/>
          <w:sz w:val="24"/>
          <w:szCs w:val="24"/>
        </w:rPr>
        <w:t>QF-EHEA</w:t>
      </w:r>
      <w:r w:rsidRPr="008C70D7">
        <w:rPr>
          <w:rFonts w:ascii="Times New Roman" w:hAnsi="Times New Roman" w:cs="Times New Roman"/>
          <w:sz w:val="24"/>
          <w:szCs w:val="24"/>
        </w:rPr>
        <w:t>.</w:t>
      </w:r>
    </w:p>
    <w:p w14:paraId="03259707" w14:textId="77777777" w:rsidR="00656A8F" w:rsidRPr="00656A8F" w:rsidRDefault="00656A8F" w:rsidP="001638F1">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656A8F">
        <w:rPr>
          <w:rFonts w:ascii="Times New Roman" w:eastAsia="Times New Roman" w:hAnsi="Times New Roman" w:cs="Times New Roman"/>
          <w:b/>
          <w:bCs/>
          <w:color w:val="3494BA" w:themeColor="accent1"/>
          <w:kern w:val="0"/>
          <w:sz w:val="24"/>
          <w:szCs w:val="24"/>
          <w:lang w:val="ro-MD" w:eastAsia="ro-MD"/>
          <w14:ligatures w14:val="none"/>
        </w:rPr>
        <w:t>6. Dovada de conformitate – Criteriul 5 (detalierea factuală)</w:t>
      </w:r>
    </w:p>
    <w:p w14:paraId="541F8703" w14:textId="77777777" w:rsidR="00656A8F" w:rsidRDefault="00656A8F" w:rsidP="001638F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6A8F">
        <w:rPr>
          <w:rFonts w:ascii="Times New Roman" w:eastAsia="Times New Roman" w:hAnsi="Times New Roman" w:cs="Times New Roman"/>
          <w:kern w:val="0"/>
          <w:sz w:val="24"/>
          <w:szCs w:val="24"/>
          <w:lang w:val="ro-MD" w:eastAsia="ro-MD"/>
          <w14:ligatures w14:val="none"/>
        </w:rPr>
        <w:t xml:space="preserve">Tabelul de mai jos sintetizează dovezile factuale care confirmă conformitatea sistemului național de asigurare a calității din Republica Moldova cu </w:t>
      </w:r>
      <w:r w:rsidRPr="00656A8F">
        <w:rPr>
          <w:rFonts w:ascii="Times New Roman" w:eastAsia="Times New Roman" w:hAnsi="Times New Roman" w:cs="Times New Roman"/>
          <w:b/>
          <w:bCs/>
          <w:kern w:val="0"/>
          <w:sz w:val="24"/>
          <w:szCs w:val="24"/>
          <w:lang w:val="ro-MD" w:eastAsia="ro-MD"/>
          <w14:ligatures w14:val="none"/>
        </w:rPr>
        <w:t>principiile europene EQF/QF-EHEA</w:t>
      </w:r>
      <w:r w:rsidRPr="00656A8F">
        <w:rPr>
          <w:rFonts w:ascii="Times New Roman" w:eastAsia="Times New Roman" w:hAnsi="Times New Roman" w:cs="Times New Roman"/>
          <w:kern w:val="0"/>
          <w:sz w:val="24"/>
          <w:szCs w:val="24"/>
          <w:lang w:val="ro-MD" w:eastAsia="ro-MD"/>
          <w14:ligatures w14:val="none"/>
        </w:rPr>
        <w:t>, prezentate în Anexa IV a Recomandării Consiliului UE din 22 mai 2017. Fiecare element demonstrează că procesele de evaluare, acreditare și monitorizare a calității sunt complet integrate în Cadrul Național al Calificărilor (CNC) și sunt reglementate prin acte oficiale, ghiduri și practici validate internațional.</w:t>
      </w:r>
    </w:p>
    <w:tbl>
      <w:tblPr>
        <w:tblStyle w:val="aff"/>
        <w:tblW w:w="0" w:type="auto"/>
        <w:tblLook w:val="04A0" w:firstRow="1" w:lastRow="0" w:firstColumn="1" w:lastColumn="0" w:noHBand="0" w:noVBand="1"/>
      </w:tblPr>
      <w:tblGrid>
        <w:gridCol w:w="1838"/>
        <w:gridCol w:w="5387"/>
        <w:gridCol w:w="2403"/>
      </w:tblGrid>
      <w:tr w:rsidR="001638F1" w14:paraId="73B613A5" w14:textId="77777777" w:rsidTr="001638F1">
        <w:tc>
          <w:tcPr>
            <w:tcW w:w="1838" w:type="dxa"/>
            <w:shd w:val="clear" w:color="auto" w:fill="A9D5E7" w:themeFill="accent1" w:themeFillTint="66"/>
            <w:vAlign w:val="center"/>
          </w:tcPr>
          <w:p w14:paraId="2C7EA335" w14:textId="3B4F1E17"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Domeniu / Principiu cheie</w:t>
            </w:r>
          </w:p>
        </w:tc>
        <w:tc>
          <w:tcPr>
            <w:tcW w:w="5387" w:type="dxa"/>
            <w:shd w:val="clear" w:color="auto" w:fill="A9D5E7" w:themeFill="accent1" w:themeFillTint="66"/>
            <w:vAlign w:val="center"/>
          </w:tcPr>
          <w:p w14:paraId="1147F5CF" w14:textId="6542363D"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Dovadă de conformitate națională</w:t>
            </w:r>
          </w:p>
        </w:tc>
        <w:tc>
          <w:tcPr>
            <w:tcW w:w="2403" w:type="dxa"/>
            <w:shd w:val="clear" w:color="auto" w:fill="A9D5E7" w:themeFill="accent1" w:themeFillTint="66"/>
            <w:vAlign w:val="center"/>
          </w:tcPr>
          <w:p w14:paraId="10ADB99A" w14:textId="3827B2DA"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Acte și surse de referință</w:t>
            </w:r>
          </w:p>
        </w:tc>
      </w:tr>
      <w:tr w:rsidR="001638F1" w14:paraId="48FF084D" w14:textId="77777777" w:rsidTr="001638F1">
        <w:tc>
          <w:tcPr>
            <w:tcW w:w="1838" w:type="dxa"/>
            <w:vAlign w:val="center"/>
          </w:tcPr>
          <w:p w14:paraId="296032D4" w14:textId="6605363A"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Proiectarea calificărilor pe baza rezultatelor învățării</w:t>
            </w:r>
          </w:p>
        </w:tc>
        <w:tc>
          <w:tcPr>
            <w:tcW w:w="5387" w:type="dxa"/>
            <w:vAlign w:val="center"/>
          </w:tcPr>
          <w:p w14:paraId="6A8ABC31" w14:textId="70FE3186"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Toate standardele de calificare se elaborează pornind de la rezultatele învățării, structurate pe cunoștințe, aptitudini, responsabilitate și autonomie. ANACEC verifică coerența acestora cu descriptorii CNC și EQF.</w:t>
            </w:r>
          </w:p>
        </w:tc>
        <w:tc>
          <w:tcPr>
            <w:tcW w:w="2403" w:type="dxa"/>
            <w:vAlign w:val="center"/>
          </w:tcPr>
          <w:p w14:paraId="67628116" w14:textId="62BED571"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330/2023, art. 77, 166 (1); Metodologia privind elaborarea standardelor de calificare (Ordin MEC nr. 573/2022)</w:t>
            </w:r>
          </w:p>
        </w:tc>
      </w:tr>
      <w:tr w:rsidR="001638F1" w14:paraId="13E035DB" w14:textId="77777777" w:rsidTr="001638F1">
        <w:tc>
          <w:tcPr>
            <w:tcW w:w="1838" w:type="dxa"/>
            <w:vAlign w:val="center"/>
          </w:tcPr>
          <w:p w14:paraId="23AA7BAB" w14:textId="4E0F4251"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Evaluare externă transparentă și fiabilă</w:t>
            </w:r>
          </w:p>
        </w:tc>
        <w:tc>
          <w:tcPr>
            <w:tcW w:w="5387" w:type="dxa"/>
            <w:vAlign w:val="center"/>
          </w:tcPr>
          <w:p w14:paraId="5E570F09" w14:textId="3A6FF757"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ANACEC aplică metodologii publice și criterii unitare pentru autorizare, acreditare și monitorizare. Evaluările sunt efectuate de experți independenți selectați prin proceduri standardizate.</w:t>
            </w:r>
          </w:p>
        </w:tc>
        <w:tc>
          <w:tcPr>
            <w:tcW w:w="2403" w:type="dxa"/>
            <w:vAlign w:val="center"/>
          </w:tcPr>
          <w:p w14:paraId="4CE8A3C9" w14:textId="74709D3E"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616/2016; HG nr. 201/2018; Decizia ANACEC nr. 70/2020 privind selectarea experților evaluatori</w:t>
            </w:r>
          </w:p>
        </w:tc>
      </w:tr>
      <w:tr w:rsidR="001638F1" w14:paraId="29CF8870" w14:textId="77777777" w:rsidTr="001638F1">
        <w:tc>
          <w:tcPr>
            <w:tcW w:w="1838" w:type="dxa"/>
            <w:vAlign w:val="center"/>
          </w:tcPr>
          <w:p w14:paraId="7E2B9DDC" w14:textId="1F4D4F28"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Feedback și îmbunătățire continuă</w:t>
            </w:r>
          </w:p>
        </w:tc>
        <w:tc>
          <w:tcPr>
            <w:tcW w:w="5387" w:type="dxa"/>
            <w:vAlign w:val="center"/>
          </w:tcPr>
          <w:p w14:paraId="6A540B03" w14:textId="73E28047"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Evaluările externe includ recomandări obligatorii, iar implementarea acestora este monitorizată. Mecanismul de feedback post-evaluare contribuie la perfecționarea continuă a programelor și calificărilor.</w:t>
            </w:r>
          </w:p>
        </w:tc>
        <w:tc>
          <w:tcPr>
            <w:tcW w:w="2403" w:type="dxa"/>
            <w:vAlign w:val="center"/>
          </w:tcPr>
          <w:p w14:paraId="3537694D" w14:textId="53602053"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330/2023, art. 166 (3); Decizia ANACEC nr. 30/2019 privind monitorizarea post-evaluare</w:t>
            </w:r>
          </w:p>
        </w:tc>
      </w:tr>
      <w:tr w:rsidR="001638F1" w14:paraId="2FDFFB7E" w14:textId="77777777" w:rsidTr="001638F1">
        <w:tc>
          <w:tcPr>
            <w:tcW w:w="1838" w:type="dxa"/>
            <w:vAlign w:val="center"/>
          </w:tcPr>
          <w:p w14:paraId="2D22FE7D" w14:textId="29C4E5CC"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Implicarea părților interesate</w:t>
            </w:r>
          </w:p>
        </w:tc>
        <w:tc>
          <w:tcPr>
            <w:tcW w:w="5387" w:type="dxa"/>
            <w:vAlign w:val="center"/>
          </w:tcPr>
          <w:p w14:paraId="3289C9DE" w14:textId="01B08E31"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Părțile relevante (furnizori, angajatori, comitete sectoriale, studenți) sunt implicate sistematic în elaborarea, validarea și evaluarea programelor și calificărilor.</w:t>
            </w:r>
          </w:p>
        </w:tc>
        <w:tc>
          <w:tcPr>
            <w:tcW w:w="2403" w:type="dxa"/>
            <w:vAlign w:val="center"/>
          </w:tcPr>
          <w:p w14:paraId="6B1215EC" w14:textId="6D4BA16D"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330/2023, art. 166 (4); Decizia ANACEC nr. 56/2022 privind implicarea părților interesate</w:t>
            </w:r>
          </w:p>
        </w:tc>
      </w:tr>
      <w:tr w:rsidR="001638F1" w14:paraId="46F4C1B6" w14:textId="77777777" w:rsidTr="001638F1">
        <w:tc>
          <w:tcPr>
            <w:tcW w:w="1838" w:type="dxa"/>
            <w:vAlign w:val="center"/>
          </w:tcPr>
          <w:p w14:paraId="09FA1B2D" w14:textId="097CB236"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Autoevaluare + evaluare externă</w:t>
            </w:r>
          </w:p>
        </w:tc>
        <w:tc>
          <w:tcPr>
            <w:tcW w:w="5387" w:type="dxa"/>
            <w:vAlign w:val="center"/>
          </w:tcPr>
          <w:p w14:paraId="5AF139DB" w14:textId="0FCD837C"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Instituțiile educaționale elaborează rapoarte de autoevaluare ca parte a procedurii de acreditare, iar ANACEC efectuează evaluarea externă și validarea rezultatelor.</w:t>
            </w:r>
          </w:p>
        </w:tc>
        <w:tc>
          <w:tcPr>
            <w:tcW w:w="2403" w:type="dxa"/>
            <w:vAlign w:val="center"/>
          </w:tcPr>
          <w:p w14:paraId="73455C59" w14:textId="5A39D28F"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Codul educației, art. 65 (5); HG nr. 616/2016; HG nr. 330/2023, art. 166 (5)</w:t>
            </w:r>
          </w:p>
        </w:tc>
      </w:tr>
      <w:tr w:rsidR="001638F1" w14:paraId="3ABBA342" w14:textId="77777777" w:rsidTr="001638F1">
        <w:tc>
          <w:tcPr>
            <w:tcW w:w="1838" w:type="dxa"/>
            <w:vAlign w:val="center"/>
          </w:tcPr>
          <w:p w14:paraId="2B1CA4D1" w14:textId="774F9FB9"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Integrarea calității în managementul intern</w:t>
            </w:r>
          </w:p>
        </w:tc>
        <w:tc>
          <w:tcPr>
            <w:tcW w:w="5387" w:type="dxa"/>
            <w:vAlign w:val="center"/>
          </w:tcPr>
          <w:p w14:paraId="04EBB3C8" w14:textId="44AF6C00"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Calitatea este inclusă în procesele de guvernanță internă ale instituțiilor, iar structurile interne de asigurare a calității sunt obligatorii pentru instituțiile acreditate.</w:t>
            </w:r>
          </w:p>
        </w:tc>
        <w:tc>
          <w:tcPr>
            <w:tcW w:w="2403" w:type="dxa"/>
            <w:vAlign w:val="center"/>
          </w:tcPr>
          <w:p w14:paraId="615CA891" w14:textId="18CF1624"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330/2023, art. 166 (6), 167; Codul educației, art. 65 și 113</w:t>
            </w:r>
          </w:p>
        </w:tc>
      </w:tr>
      <w:tr w:rsidR="001638F1" w14:paraId="1683E9AD" w14:textId="77777777" w:rsidTr="001638F1">
        <w:tc>
          <w:tcPr>
            <w:tcW w:w="1838" w:type="dxa"/>
            <w:vAlign w:val="center"/>
          </w:tcPr>
          <w:p w14:paraId="4B72F9FC" w14:textId="5B912A42"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Standardele și indicatorii clari de calitate</w:t>
            </w:r>
          </w:p>
        </w:tc>
        <w:tc>
          <w:tcPr>
            <w:tcW w:w="5387" w:type="dxa"/>
            <w:vAlign w:val="center"/>
          </w:tcPr>
          <w:p w14:paraId="14ED1EAD" w14:textId="6B0F153E"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ANACEC definește standarde și indicatori măsurabili, aliniați la ESG și EQAVET, publicând metodologiile proprii și ghidurile de evaluare.</w:t>
            </w:r>
          </w:p>
        </w:tc>
        <w:tc>
          <w:tcPr>
            <w:tcW w:w="2403" w:type="dxa"/>
            <w:vAlign w:val="center"/>
          </w:tcPr>
          <w:p w14:paraId="67BE9C6D" w14:textId="3CAEE19C"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Codul educației, art. 115 (2)(c); HG nr. 330/2023, art. 167 (7)</w:t>
            </w:r>
          </w:p>
        </w:tc>
      </w:tr>
      <w:tr w:rsidR="001638F1" w14:paraId="20A45D3F" w14:textId="77777777" w:rsidTr="001638F1">
        <w:tc>
          <w:tcPr>
            <w:tcW w:w="1838" w:type="dxa"/>
            <w:vAlign w:val="center"/>
          </w:tcPr>
          <w:p w14:paraId="5DA850C9" w14:textId="1C1201B4"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Resurse umane și materiale adecvate</w:t>
            </w:r>
          </w:p>
        </w:tc>
        <w:tc>
          <w:tcPr>
            <w:tcW w:w="5387" w:type="dxa"/>
            <w:vAlign w:val="center"/>
          </w:tcPr>
          <w:p w14:paraId="1D301F0A" w14:textId="79D81CAC"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Rețeaua națională de experți evaluatori (313 în 2024) și procedurile transparente de selecție asigură calitatea și independența evaluării externe.</w:t>
            </w:r>
          </w:p>
        </w:tc>
        <w:tc>
          <w:tcPr>
            <w:tcW w:w="2403" w:type="dxa"/>
            <w:vAlign w:val="center"/>
          </w:tcPr>
          <w:p w14:paraId="5A238B50" w14:textId="72D0DADB"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201/2018; Decizia ANACEC nr. 70/2020; Raportul ANACEC 2024</w:t>
            </w:r>
          </w:p>
        </w:tc>
      </w:tr>
      <w:tr w:rsidR="001638F1" w14:paraId="4700D373" w14:textId="77777777" w:rsidTr="001638F1">
        <w:tc>
          <w:tcPr>
            <w:tcW w:w="1838" w:type="dxa"/>
            <w:vAlign w:val="center"/>
          </w:tcPr>
          <w:p w14:paraId="5C9A03EA" w14:textId="516904CF"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t>Revizuirea periodică a agențiilor și experților</w:t>
            </w:r>
          </w:p>
        </w:tc>
        <w:tc>
          <w:tcPr>
            <w:tcW w:w="5387" w:type="dxa"/>
            <w:vAlign w:val="center"/>
          </w:tcPr>
          <w:p w14:paraId="1B951388" w14:textId="44EA5FC7"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Activitatea evaluatorilor și a agențiilor de calitate este revizuită periodic, iar Registrul experților este actualizat constant.</w:t>
            </w:r>
          </w:p>
        </w:tc>
        <w:tc>
          <w:tcPr>
            <w:tcW w:w="2403" w:type="dxa"/>
            <w:vAlign w:val="center"/>
          </w:tcPr>
          <w:p w14:paraId="411B14FC" w14:textId="6E692251"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330/2023, art. 166 (9), 153 (15); HG nr. 201/2018</w:t>
            </w:r>
          </w:p>
        </w:tc>
      </w:tr>
      <w:tr w:rsidR="001638F1" w14:paraId="47BEAAE4" w14:textId="77777777" w:rsidTr="001638F1">
        <w:tc>
          <w:tcPr>
            <w:tcW w:w="1838" w:type="dxa"/>
            <w:vAlign w:val="center"/>
          </w:tcPr>
          <w:p w14:paraId="05BCBCB2" w14:textId="52567323"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b/>
                <w:bCs/>
                <w:kern w:val="0"/>
                <w:sz w:val="20"/>
                <w:szCs w:val="20"/>
                <w:lang w:val="ro-MD" w:eastAsia="ro-MD"/>
                <w14:ligatures w14:val="none"/>
              </w:rPr>
              <w:lastRenderedPageBreak/>
              <w:t>Acces electronic la informații și transparență publică</w:t>
            </w:r>
          </w:p>
        </w:tc>
        <w:tc>
          <w:tcPr>
            <w:tcW w:w="5387" w:type="dxa"/>
            <w:vAlign w:val="center"/>
          </w:tcPr>
          <w:p w14:paraId="349FAAF1" w14:textId="598BED57"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Toate calificările și programele acreditate sunt publicate online (RNC și site-ul ANACEC), iar rapoartele de evaluare sunt accesibile public.</w:t>
            </w:r>
          </w:p>
        </w:tc>
        <w:tc>
          <w:tcPr>
            <w:tcW w:w="2403" w:type="dxa"/>
            <w:vAlign w:val="center"/>
          </w:tcPr>
          <w:p w14:paraId="6C6DB4D1" w14:textId="681D0476" w:rsidR="001638F1" w:rsidRPr="001638F1" w:rsidRDefault="001638F1" w:rsidP="001638F1">
            <w:pPr>
              <w:jc w:val="both"/>
              <w:rPr>
                <w:rFonts w:ascii="Times New Roman" w:eastAsia="Times New Roman" w:hAnsi="Times New Roman" w:cs="Times New Roman"/>
                <w:kern w:val="0"/>
                <w:sz w:val="20"/>
                <w:szCs w:val="20"/>
                <w:lang w:val="ro-MD" w:eastAsia="ro-MD"/>
                <w14:ligatures w14:val="none"/>
              </w:rPr>
            </w:pPr>
            <w:r w:rsidRPr="00656A8F">
              <w:rPr>
                <w:rFonts w:ascii="Times New Roman" w:eastAsia="Times New Roman" w:hAnsi="Times New Roman" w:cs="Times New Roman"/>
                <w:kern w:val="0"/>
                <w:sz w:val="20"/>
                <w:szCs w:val="20"/>
                <w:lang w:val="ro-MD" w:eastAsia="ro-MD"/>
                <w14:ligatures w14:val="none"/>
              </w:rPr>
              <w:t>HG nr. 330/2023, art. 166 (10–11); site-ul www.anacec.md; platforma RNC</w:t>
            </w:r>
          </w:p>
        </w:tc>
      </w:tr>
    </w:tbl>
    <w:p w14:paraId="70F8F2DD" w14:textId="111AB669" w:rsidR="00656A8F" w:rsidRPr="00656A8F" w:rsidRDefault="00656A8F" w:rsidP="000961A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656A8F">
        <w:rPr>
          <w:rFonts w:ascii="Times New Roman" w:eastAsia="Times New Roman" w:hAnsi="Times New Roman" w:cs="Times New Roman"/>
          <w:kern w:val="0"/>
          <w:sz w:val="24"/>
          <w:szCs w:val="24"/>
          <w:lang w:val="ro-MD" w:eastAsia="ro-MD"/>
          <w14:ligatures w14:val="none"/>
        </w:rPr>
        <w:t>Aceste dovezi confirmă că sistemul de asigurare a calității din Republica Moldova este complet integrat cu CNC, bazat pe rezultate ale învățării și reglementat de standarde clare, transparente și comparabile internațional.</w:t>
      </w:r>
      <w:r w:rsidR="000961A1">
        <w:rPr>
          <w:rFonts w:ascii="Times New Roman" w:eastAsia="Times New Roman" w:hAnsi="Times New Roman" w:cs="Times New Roman"/>
          <w:kern w:val="0"/>
          <w:sz w:val="24"/>
          <w:szCs w:val="24"/>
          <w:lang w:val="ro-MD" w:eastAsia="ro-MD"/>
          <w14:ligatures w14:val="none"/>
        </w:rPr>
        <w:t xml:space="preserve"> </w:t>
      </w:r>
      <w:r w:rsidRPr="00656A8F">
        <w:rPr>
          <w:rFonts w:ascii="Times New Roman" w:eastAsia="Times New Roman" w:hAnsi="Times New Roman" w:cs="Times New Roman"/>
          <w:kern w:val="0"/>
          <w:sz w:val="24"/>
          <w:szCs w:val="24"/>
          <w:lang w:val="ro-MD" w:eastAsia="ro-MD"/>
          <w14:ligatures w14:val="none"/>
        </w:rPr>
        <w:t>Prin aplicarea acestor mecanisme, Republica Moldova demonstrează conformitate deplină cu Criteriul 5 al procesului de referențiere la EQF și de autocertificare în raport cu QF-EHEA, consolidând încrederea națională și europeană în calitatea și recunoașterea calificărilor sale.</w:t>
      </w:r>
    </w:p>
    <w:p w14:paraId="40A9344D" w14:textId="77777777" w:rsidR="00073722" w:rsidRPr="00073722" w:rsidRDefault="00073722" w:rsidP="000961A1">
      <w:pPr>
        <w:spacing w:before="120" w:after="120" w:line="276" w:lineRule="auto"/>
        <w:jc w:val="both"/>
        <w:outlineLvl w:val="1"/>
        <w:rPr>
          <w:rFonts w:ascii="Times New Roman" w:eastAsia="Times New Roman" w:hAnsi="Times New Roman" w:cs="Times New Roman"/>
          <w:b/>
          <w:bCs/>
          <w:color w:val="3494BA" w:themeColor="accent1"/>
          <w:kern w:val="0"/>
          <w:sz w:val="24"/>
          <w:szCs w:val="24"/>
          <w:lang w:val="ro-MD" w:eastAsia="ro-MD"/>
          <w14:ligatures w14:val="none"/>
        </w:rPr>
      </w:pPr>
      <w:r w:rsidRPr="00073722">
        <w:rPr>
          <w:rFonts w:ascii="Times New Roman" w:eastAsia="Times New Roman" w:hAnsi="Times New Roman" w:cs="Times New Roman"/>
          <w:b/>
          <w:bCs/>
          <w:color w:val="3494BA" w:themeColor="accent1"/>
          <w:kern w:val="0"/>
          <w:sz w:val="24"/>
          <w:szCs w:val="24"/>
          <w:lang w:val="ro-MD" w:eastAsia="ro-MD"/>
          <w14:ligatures w14:val="none"/>
        </w:rPr>
        <w:t>7. Concluzii generale privind Criteriul 5</w:t>
      </w:r>
    </w:p>
    <w:p w14:paraId="364843EB" w14:textId="6F8EBF94" w:rsidR="00073722" w:rsidRPr="00073722" w:rsidRDefault="00073722" w:rsidP="000961A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 xml:space="preserve">Republica Moldova dispune de un sistem coerent, complet și interconectat de asigurare a calității în educație și formare profesională, fundamentat pe un cadru normativ solid, pe procese transparente și pe o guvernanță instituțională clar definită. Prin activitatea ANACEC, susținută de </w:t>
      </w:r>
      <w:r w:rsidR="002F1DA6">
        <w:rPr>
          <w:rFonts w:ascii="Times New Roman" w:eastAsia="Times New Roman" w:hAnsi="Times New Roman" w:cs="Times New Roman"/>
          <w:kern w:val="0"/>
          <w:sz w:val="24"/>
          <w:szCs w:val="24"/>
          <w:lang w:val="ro-MD" w:eastAsia="ro-MD"/>
          <w14:ligatures w14:val="none"/>
        </w:rPr>
        <w:t>MEC</w:t>
      </w:r>
      <w:r w:rsidRPr="00073722">
        <w:rPr>
          <w:rFonts w:ascii="Times New Roman" w:eastAsia="Times New Roman" w:hAnsi="Times New Roman" w:cs="Times New Roman"/>
          <w:kern w:val="0"/>
          <w:sz w:val="24"/>
          <w:szCs w:val="24"/>
          <w:lang w:val="ro-MD" w:eastAsia="ro-MD"/>
          <w14:ligatures w14:val="none"/>
        </w:rPr>
        <w:t xml:space="preserve"> și corelată cu </w:t>
      </w:r>
      <w:r w:rsidR="002F1DA6">
        <w:rPr>
          <w:rFonts w:ascii="Times New Roman" w:eastAsia="Times New Roman" w:hAnsi="Times New Roman" w:cs="Times New Roman"/>
          <w:kern w:val="0"/>
          <w:sz w:val="24"/>
          <w:szCs w:val="24"/>
          <w:lang w:val="ro-MD" w:eastAsia="ro-MD"/>
          <w14:ligatures w14:val="none"/>
        </w:rPr>
        <w:t>ANCE</w:t>
      </w:r>
      <w:r w:rsidRPr="00073722">
        <w:rPr>
          <w:rFonts w:ascii="Times New Roman" w:eastAsia="Times New Roman" w:hAnsi="Times New Roman" w:cs="Times New Roman"/>
          <w:kern w:val="0"/>
          <w:sz w:val="24"/>
          <w:szCs w:val="24"/>
          <w:lang w:val="ro-MD" w:eastAsia="ro-MD"/>
          <w14:ligatures w14:val="none"/>
        </w:rPr>
        <w:t>, se asigură o abordare integrată a calității la toate nivelurile educaționale – de la conceperea standardelor de calificare până la evaluarea și certificarea rezultatelor învățării.</w:t>
      </w:r>
    </w:p>
    <w:p w14:paraId="0D624EF6" w14:textId="77777777" w:rsidR="00073722" w:rsidRPr="00073722" w:rsidRDefault="00073722" w:rsidP="000961A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Sistemul se bazează pe principiile de calitate europene prevăzute în Anexa IV a Recomandării Consiliului UE (2017), fiind orientat pe rezultate ale învățării, validitate, transparență și îmbunătățire continuă. Evaluarea internă și externă sunt complementare, iar implicarea activă a părților interesate – instituții de învățământ, angajatori, comitete sectoriale, studenți și parteneri sociali – consolidează relevanța și legitimitatea calificărilor acordate.</w:t>
      </w:r>
    </w:p>
    <w:p w14:paraId="0F7BFCE0" w14:textId="0E4E7186" w:rsidR="00073722" w:rsidRPr="00073722" w:rsidRDefault="00073722" w:rsidP="000961A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De asemenea, integrarea proceselor de asigurare a calității în CNC garantează că fiecare calificare inclusă este verificată nu doar din perspectiva conținutului și a coerenței curriculare, ci și a nivelului de complexitate și comparabilitate internațională.</w:t>
      </w:r>
      <w:r w:rsidR="00423F7E">
        <w:rPr>
          <w:rFonts w:ascii="Times New Roman" w:eastAsia="Times New Roman" w:hAnsi="Times New Roman" w:cs="Times New Roman"/>
          <w:kern w:val="0"/>
          <w:sz w:val="24"/>
          <w:szCs w:val="24"/>
          <w:lang w:val="ro-MD" w:eastAsia="ro-MD"/>
          <w14:ligatures w14:val="none"/>
        </w:rPr>
        <w:t xml:space="preserve"> </w:t>
      </w:r>
      <w:r w:rsidRPr="00073722">
        <w:rPr>
          <w:rFonts w:ascii="Times New Roman" w:eastAsia="Times New Roman" w:hAnsi="Times New Roman" w:cs="Times New Roman"/>
          <w:kern w:val="0"/>
          <w:sz w:val="24"/>
          <w:szCs w:val="24"/>
          <w:lang w:val="ro-MD" w:eastAsia="ro-MD"/>
          <w14:ligatures w14:val="none"/>
        </w:rPr>
        <w:t>Standardele și indicatorii de calitate sunt aliniați la European Standards and Guidelines (ESG) pentru învățământul superior și la European Quality Assurance Reference Framework (EQAVET) pentru formarea profesională.</w:t>
      </w:r>
    </w:p>
    <w:p w14:paraId="22A0D81F" w14:textId="77777777" w:rsidR="00073722" w:rsidRPr="00073722" w:rsidRDefault="00073722" w:rsidP="000961A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Prin recunoașterea internațională a ANACEC ca membru afiliat ENQA, Republica Moldova confirmă compatibilitatea procedurilor sale de evaluare și acreditare cu bunele practici europene, demonstrând că sistemul național de asigurare a calității:</w:t>
      </w:r>
    </w:p>
    <w:p w14:paraId="0F8FE053" w14:textId="77777777" w:rsidR="00073722" w:rsidRPr="00073722" w:rsidRDefault="00073722" w:rsidP="00A41843">
      <w:pPr>
        <w:numPr>
          <w:ilvl w:val="0"/>
          <w:numId w:val="218"/>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este funcțional și transparent,</w:t>
      </w:r>
    </w:p>
    <w:p w14:paraId="1D9D996F" w14:textId="77777777" w:rsidR="00073722" w:rsidRPr="00073722" w:rsidRDefault="00073722" w:rsidP="00A41843">
      <w:pPr>
        <w:numPr>
          <w:ilvl w:val="0"/>
          <w:numId w:val="218"/>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se bazează pe standardele EQF și QF-EHEA,</w:t>
      </w:r>
    </w:p>
    <w:p w14:paraId="42140387" w14:textId="77777777" w:rsidR="00073722" w:rsidRPr="00073722" w:rsidRDefault="00073722" w:rsidP="00A41843">
      <w:pPr>
        <w:numPr>
          <w:ilvl w:val="0"/>
          <w:numId w:val="218"/>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favorizează mobilitatea și recunoașterea calificărilor,</w:t>
      </w:r>
    </w:p>
    <w:p w14:paraId="14D82178" w14:textId="77777777" w:rsidR="00073722" w:rsidRPr="00073722" w:rsidRDefault="00073722" w:rsidP="00A41843">
      <w:pPr>
        <w:numPr>
          <w:ilvl w:val="0"/>
          <w:numId w:val="218"/>
        </w:numPr>
        <w:spacing w:after="0" w:line="276" w:lineRule="auto"/>
        <w:ind w:left="714" w:hanging="357"/>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sprijină învățarea pe tot parcursul vieții.</w:t>
      </w:r>
    </w:p>
    <w:p w14:paraId="4288C0C0" w14:textId="77777777" w:rsidR="00073722" w:rsidRPr="00073722" w:rsidRDefault="00073722" w:rsidP="000961A1">
      <w:pPr>
        <w:spacing w:before="120" w:after="120" w:line="276" w:lineRule="auto"/>
        <w:jc w:val="both"/>
        <w:rPr>
          <w:rFonts w:ascii="Times New Roman" w:eastAsia="Times New Roman" w:hAnsi="Times New Roman" w:cs="Times New Roman"/>
          <w:kern w:val="0"/>
          <w:sz w:val="24"/>
          <w:szCs w:val="24"/>
          <w:lang w:val="ro-MD" w:eastAsia="ro-MD"/>
          <w14:ligatures w14:val="none"/>
        </w:rPr>
      </w:pPr>
      <w:r w:rsidRPr="00073722">
        <w:rPr>
          <w:rFonts w:ascii="Times New Roman" w:eastAsia="Times New Roman" w:hAnsi="Times New Roman" w:cs="Times New Roman"/>
          <w:kern w:val="0"/>
          <w:sz w:val="24"/>
          <w:szCs w:val="24"/>
          <w:lang w:val="ro-MD" w:eastAsia="ro-MD"/>
          <w14:ligatures w14:val="none"/>
        </w:rPr>
        <w:t>Prin urmare, Republica Moldova îndeplinește integral Criteriul 5 al procesului de referențiere la EQF și de autocertificare la QF-EHEA, consolidând credibilitatea, relevanța și comparabilitatea calificărilor naționale în contextul spațiului european al educației și formării profesionale.</w:t>
      </w:r>
    </w:p>
    <w:p w14:paraId="459169E2" w14:textId="77777777" w:rsidR="00C038E7" w:rsidRPr="001F6026" w:rsidRDefault="00C038E7" w:rsidP="00601534">
      <w:pPr>
        <w:spacing w:after="0" w:line="240" w:lineRule="auto"/>
        <w:rPr>
          <w:rFonts w:ascii="Times New Roman" w:eastAsia="Times New Roman" w:hAnsi="Times New Roman" w:cs="Times New Roman"/>
          <w:kern w:val="0"/>
          <w:sz w:val="24"/>
          <w:szCs w:val="24"/>
          <w:lang w:eastAsia="ro-MD"/>
          <w14:ligatures w14:val="none"/>
        </w:rPr>
      </w:pPr>
    </w:p>
    <w:p w14:paraId="10E475DD" w14:textId="77777777" w:rsidR="00601534" w:rsidRPr="0020102C" w:rsidRDefault="00601534" w:rsidP="00601534">
      <w:pPr>
        <w:spacing w:before="120" w:after="120" w:line="276" w:lineRule="auto"/>
        <w:jc w:val="both"/>
        <w:rPr>
          <w:rFonts w:ascii="Times New Roman" w:eastAsia="Times New Roman" w:hAnsi="Times New Roman" w:cs="Times New Roman"/>
          <w:b/>
          <w:bCs/>
          <w:color w:val="3494BA" w:themeColor="accent1"/>
          <w:kern w:val="0"/>
          <w:sz w:val="24"/>
          <w:szCs w:val="24"/>
          <w:lang w:eastAsia="ro-MD"/>
          <w14:ligatures w14:val="none"/>
        </w:rPr>
      </w:pPr>
      <w:r w:rsidRPr="0020102C">
        <w:rPr>
          <w:rFonts w:ascii="Times New Roman" w:eastAsia="Times New Roman" w:hAnsi="Times New Roman" w:cs="Times New Roman"/>
          <w:b/>
          <w:bCs/>
          <w:color w:val="3494BA" w:themeColor="accent1"/>
          <w:kern w:val="0"/>
          <w:sz w:val="24"/>
          <w:szCs w:val="24"/>
          <w:lang w:eastAsia="ro-MD"/>
          <w14:ligatures w14:val="none"/>
        </w:rPr>
        <w:t xml:space="preserve">CRITERIUL 6. </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601534" w:rsidRPr="001F6026" w14:paraId="03B210B1" w14:textId="77777777" w:rsidTr="00B81475">
        <w:tc>
          <w:tcPr>
            <w:tcW w:w="9618" w:type="dxa"/>
          </w:tcPr>
          <w:p w14:paraId="278A6785" w14:textId="77777777" w:rsidR="00601534" w:rsidRPr="0020102C" w:rsidRDefault="00601534" w:rsidP="00B81475">
            <w:p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20102C">
              <w:rPr>
                <w:rFonts w:ascii="Times New Roman" w:hAnsi="Times New Roman" w:cs="Times New Roman"/>
                <w:sz w:val="24"/>
                <w:szCs w:val="24"/>
              </w:rPr>
              <w:t>Procesul de corelare include confirmarea explicită a organismelor relevante de asigurare a calității privind conformitatea raportului de corelare cu mecanismele, dispozițiile și practicile naționale relevante de asigurare a calității.</w:t>
            </w:r>
          </w:p>
        </w:tc>
      </w:tr>
    </w:tbl>
    <w:p w14:paraId="4A9C0744" w14:textId="50C2AC05" w:rsidR="00602797" w:rsidRPr="001D7BEB" w:rsidRDefault="00602797" w:rsidP="00602797">
      <w:pPr>
        <w:pStyle w:val="af8"/>
        <w:spacing w:before="0" w:beforeAutospacing="0" w:after="0" w:afterAutospacing="0"/>
        <w:rPr>
          <w:color w:val="3494BA" w:themeColor="accent1"/>
        </w:rPr>
      </w:pPr>
      <w:r w:rsidRPr="00602797">
        <w:rPr>
          <w:rFonts w:hAnsi="Symbol"/>
          <w:b/>
          <w:bCs/>
          <w:color w:val="3494BA" w:themeColor="accent1"/>
        </w:rPr>
        <w:lastRenderedPageBreak/>
        <w:t xml:space="preserve">Aspecte cheie pentru Criteriul </w:t>
      </w:r>
      <w:r w:rsidR="0076284E">
        <w:rPr>
          <w:rFonts w:hAnsi="Symbol"/>
          <w:b/>
          <w:bCs/>
          <w:color w:val="3494BA" w:themeColor="accent1"/>
        </w:rPr>
        <w:t>6</w:t>
      </w:r>
      <w:r w:rsidRPr="00602797">
        <w:rPr>
          <w:rFonts w:hAnsi="Symbol"/>
          <w:b/>
          <w:bCs/>
          <w:color w:val="3494BA" w:themeColor="accent1"/>
        </w:rPr>
        <w:t>:</w:t>
      </w:r>
      <w:r w:rsidR="002D206F">
        <w:rPr>
          <w:rFonts w:hAnsi="Symbol"/>
          <w:b/>
          <w:bCs/>
          <w:color w:val="3494BA" w:themeColor="accent1"/>
        </w:rPr>
        <w:t xml:space="preserve"> </w:t>
      </w:r>
    </w:p>
    <w:p w14:paraId="15664D06" w14:textId="64103C24" w:rsidR="00602797" w:rsidRPr="00602797" w:rsidRDefault="00602797" w:rsidP="00A41843">
      <w:pPr>
        <w:pStyle w:val="af8"/>
        <w:numPr>
          <w:ilvl w:val="0"/>
          <w:numId w:val="153"/>
        </w:numPr>
        <w:spacing w:before="0" w:beforeAutospacing="0" w:after="0" w:afterAutospacing="0"/>
        <w:rPr>
          <w:b/>
          <w:bCs/>
          <w:color w:val="3494BA" w:themeColor="accent1"/>
          <w:lang w:val="ro-MD"/>
        </w:rPr>
      </w:pPr>
      <w:r w:rsidRPr="00602797">
        <w:rPr>
          <w:rStyle w:val="af9"/>
          <w:rFonts w:eastAsiaTheme="majorEastAsia"/>
          <w:b w:val="0"/>
          <w:bCs w:val="0"/>
          <w:color w:val="3494BA" w:themeColor="accent1"/>
        </w:rPr>
        <w:t>Legături cu criteriul 5</w:t>
      </w:r>
      <w:r w:rsidRPr="00602797">
        <w:rPr>
          <w:b/>
          <w:bCs/>
          <w:color w:val="3494BA" w:themeColor="accent1"/>
        </w:rPr>
        <w:t>.</w:t>
      </w:r>
    </w:p>
    <w:p w14:paraId="10A58FD0" w14:textId="5DE014CE" w:rsidR="00602797" w:rsidRPr="00602797" w:rsidRDefault="00602797" w:rsidP="00A41843">
      <w:pPr>
        <w:pStyle w:val="af8"/>
        <w:numPr>
          <w:ilvl w:val="0"/>
          <w:numId w:val="153"/>
        </w:numPr>
        <w:spacing w:before="0" w:beforeAutospacing="0" w:after="0" w:afterAutospacing="0"/>
        <w:rPr>
          <w:b/>
          <w:bCs/>
          <w:color w:val="3494BA" w:themeColor="accent1"/>
        </w:rPr>
      </w:pPr>
      <w:r w:rsidRPr="00602797">
        <w:rPr>
          <w:rStyle w:val="af9"/>
          <w:rFonts w:eastAsiaTheme="majorEastAsia"/>
          <w:b w:val="0"/>
          <w:bCs w:val="0"/>
          <w:color w:val="3494BA" w:themeColor="accent1"/>
        </w:rPr>
        <w:t>Pe lângă rolul posibil în procesul de referențiere, organismele de asigurare a calității trebuie să își exprime acordul asupra raportului</w:t>
      </w:r>
      <w:r w:rsidRPr="00602797">
        <w:rPr>
          <w:b/>
          <w:bCs/>
          <w:color w:val="3494BA" w:themeColor="accent1"/>
        </w:rPr>
        <w:t>.</w:t>
      </w:r>
    </w:p>
    <w:p w14:paraId="3A8ACD9E" w14:textId="788B19F8" w:rsidR="00602797" w:rsidRPr="00602797" w:rsidRDefault="00602797" w:rsidP="00A41843">
      <w:pPr>
        <w:pStyle w:val="af8"/>
        <w:numPr>
          <w:ilvl w:val="0"/>
          <w:numId w:val="153"/>
        </w:numPr>
        <w:spacing w:before="0" w:beforeAutospacing="0" w:after="0" w:afterAutospacing="0"/>
        <w:rPr>
          <w:b/>
          <w:bCs/>
          <w:color w:val="3494BA" w:themeColor="accent1"/>
        </w:rPr>
      </w:pPr>
      <w:r w:rsidRPr="00602797">
        <w:rPr>
          <w:rStyle w:val="af9"/>
          <w:rFonts w:eastAsiaTheme="majorEastAsia"/>
          <w:b w:val="0"/>
          <w:bCs w:val="0"/>
          <w:color w:val="3494BA" w:themeColor="accent1"/>
        </w:rPr>
        <w:t>Implicarea organismelor din diferite sisteme de educație și formare</w:t>
      </w:r>
      <w:r w:rsidRPr="00602797">
        <w:rPr>
          <w:b/>
          <w:bCs/>
          <w:color w:val="3494BA" w:themeColor="accent1"/>
        </w:rPr>
        <w:t>.</w:t>
      </w:r>
    </w:p>
    <w:p w14:paraId="610A537A" w14:textId="0F372C19" w:rsidR="0024088F" w:rsidRPr="0024088F" w:rsidRDefault="0024088F" w:rsidP="005E40B2">
      <w:pPr>
        <w:spacing w:before="120" w:after="120" w:line="276" w:lineRule="auto"/>
        <w:jc w:val="both"/>
        <w:outlineLvl w:val="2"/>
        <w:rPr>
          <w:rFonts w:ascii="Times New Roman" w:hAnsi="Times New Roman" w:cs="Times New Roman"/>
          <w:sz w:val="24"/>
          <w:szCs w:val="24"/>
        </w:rPr>
      </w:pPr>
      <w:r w:rsidRPr="0024088F">
        <w:rPr>
          <w:rFonts w:ascii="Times New Roman" w:hAnsi="Times New Roman" w:cs="Times New Roman"/>
          <w:sz w:val="24"/>
          <w:szCs w:val="24"/>
        </w:rPr>
        <w:t xml:space="preserve">(Se definitivează după discuții publice) </w:t>
      </w:r>
    </w:p>
    <w:p w14:paraId="13F5A338" w14:textId="77777777" w:rsidR="00C0260E" w:rsidRDefault="00C0260E" w:rsidP="0093101C">
      <w:pPr>
        <w:spacing w:before="120" w:after="120" w:line="276" w:lineRule="auto"/>
        <w:jc w:val="both"/>
        <w:rPr>
          <w:rFonts w:ascii="Times New Roman" w:hAnsi="Times New Roman" w:cs="Times New Roman"/>
          <w:b/>
          <w:bCs/>
          <w:color w:val="3494BA" w:themeColor="accent1"/>
          <w:sz w:val="24"/>
          <w:szCs w:val="24"/>
        </w:rPr>
      </w:pPr>
    </w:p>
    <w:p w14:paraId="1232E92B" w14:textId="2D864AF0" w:rsidR="0093101C" w:rsidRPr="001F6026" w:rsidRDefault="0093101C" w:rsidP="0093101C">
      <w:pPr>
        <w:spacing w:before="120" w:after="120" w:line="276" w:lineRule="auto"/>
        <w:jc w:val="both"/>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 xml:space="preserve">CRITERIUL 7 </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93101C" w:rsidRPr="001F6026" w14:paraId="01A8D9ED" w14:textId="77777777" w:rsidTr="00B81475">
        <w:tc>
          <w:tcPr>
            <w:tcW w:w="9628" w:type="dxa"/>
          </w:tcPr>
          <w:p w14:paraId="4627D87C" w14:textId="77777777" w:rsidR="0093101C" w:rsidRPr="001F6026" w:rsidRDefault="0093101C" w:rsidP="00B81475">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t>Procesul de corelare implică experți internaționali, iar rapoartele de corelare conțin o declarație scrisă referitoare la procesul de corelare, semnată de cel puțin doi experți internaționali din două țări diferite.</w:t>
            </w:r>
          </w:p>
        </w:tc>
      </w:tr>
    </w:tbl>
    <w:p w14:paraId="016AC466" w14:textId="591C4F26" w:rsidR="00AB2493" w:rsidRDefault="00AB2493" w:rsidP="006273C8">
      <w:pPr>
        <w:pStyle w:val="af8"/>
        <w:rPr>
          <w:b/>
          <w:bCs/>
          <w:color w:val="3494BA" w:themeColor="accent1"/>
        </w:rPr>
      </w:pPr>
      <w:r w:rsidRPr="00AB2493">
        <w:rPr>
          <w:b/>
          <w:bCs/>
          <w:color w:val="3494BA" w:themeColor="accent1"/>
        </w:rPr>
        <w:t xml:space="preserve">Aspecte cheie pentru </w:t>
      </w:r>
      <w:r>
        <w:rPr>
          <w:b/>
          <w:bCs/>
          <w:color w:val="3494BA" w:themeColor="accent1"/>
        </w:rPr>
        <w:t>C</w:t>
      </w:r>
      <w:r w:rsidRPr="00AB2493">
        <w:rPr>
          <w:b/>
          <w:bCs/>
          <w:color w:val="3494BA" w:themeColor="accent1"/>
        </w:rPr>
        <w:t>riteriul 7</w:t>
      </w:r>
      <w:r w:rsidR="00652DD4">
        <w:rPr>
          <w:b/>
          <w:bCs/>
          <w:color w:val="3494BA" w:themeColor="accent1"/>
        </w:rPr>
        <w:t xml:space="preserve"> </w:t>
      </w:r>
    </w:p>
    <w:p w14:paraId="5C3F24AE" w14:textId="4E6C0017" w:rsidR="00EA11EB" w:rsidRPr="00EA11EB" w:rsidRDefault="00EA11EB" w:rsidP="00A41843">
      <w:pPr>
        <w:pStyle w:val="af8"/>
        <w:numPr>
          <w:ilvl w:val="0"/>
          <w:numId w:val="154"/>
        </w:numPr>
        <w:rPr>
          <w:b/>
          <w:bCs/>
          <w:color w:val="3494BA" w:themeColor="accent1"/>
          <w:lang w:val="ro-MD"/>
        </w:rPr>
      </w:pPr>
      <w:r w:rsidRPr="00EA11EB">
        <w:rPr>
          <w:rStyle w:val="af9"/>
          <w:rFonts w:eastAsiaTheme="majorEastAsia"/>
          <w:b w:val="0"/>
          <w:bCs w:val="0"/>
          <w:color w:val="3494BA" w:themeColor="accent1"/>
        </w:rPr>
        <w:t>Rol crucial, promovând învățarea prin schimb de experiență</w:t>
      </w:r>
      <w:r w:rsidRPr="00EA11EB">
        <w:rPr>
          <w:b/>
          <w:bCs/>
          <w:color w:val="3494BA" w:themeColor="accent1"/>
        </w:rPr>
        <w:t>.</w:t>
      </w:r>
    </w:p>
    <w:p w14:paraId="7D6F01CC" w14:textId="204C3EB6" w:rsidR="00EA11EB" w:rsidRPr="00EA11EB" w:rsidRDefault="00EA11EB" w:rsidP="00A41843">
      <w:pPr>
        <w:pStyle w:val="af8"/>
        <w:numPr>
          <w:ilvl w:val="0"/>
          <w:numId w:val="154"/>
        </w:numPr>
        <w:rPr>
          <w:b/>
          <w:bCs/>
          <w:color w:val="3494BA" w:themeColor="accent1"/>
        </w:rPr>
      </w:pPr>
      <w:r w:rsidRPr="00EA11EB">
        <w:rPr>
          <w:rStyle w:val="af9"/>
          <w:rFonts w:eastAsiaTheme="majorEastAsia"/>
          <w:b w:val="0"/>
          <w:bCs w:val="0"/>
          <w:color w:val="3494BA" w:themeColor="accent1"/>
        </w:rPr>
        <w:t>Implicarea experților internaționali încă dintr-o etapă timpurie</w:t>
      </w:r>
      <w:r w:rsidRPr="00EA11EB">
        <w:rPr>
          <w:b/>
          <w:bCs/>
          <w:color w:val="3494BA" w:themeColor="accent1"/>
        </w:rPr>
        <w:t>.</w:t>
      </w:r>
    </w:p>
    <w:p w14:paraId="26A4E01A" w14:textId="280E831E" w:rsidR="00EA11EB" w:rsidRPr="00EA11EB" w:rsidRDefault="00EA11EB" w:rsidP="00A41843">
      <w:pPr>
        <w:pStyle w:val="af8"/>
        <w:numPr>
          <w:ilvl w:val="0"/>
          <w:numId w:val="154"/>
        </w:numPr>
        <w:rPr>
          <w:b/>
          <w:bCs/>
          <w:color w:val="3494BA" w:themeColor="accent1"/>
        </w:rPr>
      </w:pPr>
      <w:r w:rsidRPr="00EA11EB">
        <w:rPr>
          <w:rStyle w:val="af9"/>
          <w:rFonts w:eastAsiaTheme="majorEastAsia"/>
          <w:b w:val="0"/>
          <w:bCs w:val="0"/>
          <w:color w:val="3494BA" w:themeColor="accent1"/>
        </w:rPr>
        <w:t>Vizită în țară – pentru o mai bună înțelegere a contextului național</w:t>
      </w:r>
      <w:r w:rsidRPr="00EA11EB">
        <w:rPr>
          <w:b/>
          <w:bCs/>
          <w:color w:val="3494BA" w:themeColor="accent1"/>
        </w:rPr>
        <w:t>.</w:t>
      </w:r>
    </w:p>
    <w:p w14:paraId="6D73B2C0" w14:textId="025B5F15" w:rsidR="00701009" w:rsidRPr="0024088F" w:rsidRDefault="0024088F" w:rsidP="00C1398A">
      <w:pPr>
        <w:spacing w:before="120" w:after="120" w:line="276" w:lineRule="auto"/>
        <w:rPr>
          <w:rFonts w:ascii="Times New Roman" w:eastAsia="Times New Roman" w:hAnsi="Times New Roman" w:cs="Times New Roman"/>
          <w:kern w:val="0"/>
          <w:sz w:val="24"/>
          <w:szCs w:val="24"/>
          <w:lang w:eastAsia="ro-MD"/>
          <w14:ligatures w14:val="none"/>
        </w:rPr>
      </w:pPr>
      <w:r w:rsidRPr="0024088F">
        <w:rPr>
          <w:rFonts w:ascii="Times New Roman" w:hAnsi="Times New Roman" w:cs="Times New Roman"/>
        </w:rPr>
        <w:t>(Se definitivează după discuții publice)</w:t>
      </w:r>
    </w:p>
    <w:p w14:paraId="768846D2" w14:textId="77777777" w:rsidR="0024088F" w:rsidRDefault="0024088F" w:rsidP="00701009">
      <w:pPr>
        <w:spacing w:before="120" w:after="120" w:line="276" w:lineRule="auto"/>
        <w:jc w:val="both"/>
        <w:rPr>
          <w:rFonts w:ascii="Times New Roman" w:hAnsi="Times New Roman" w:cs="Times New Roman"/>
          <w:b/>
          <w:bCs/>
          <w:color w:val="3494BA" w:themeColor="accent1"/>
          <w:sz w:val="24"/>
          <w:szCs w:val="24"/>
        </w:rPr>
      </w:pPr>
    </w:p>
    <w:p w14:paraId="0A9D6730" w14:textId="622D14EA" w:rsidR="00701009" w:rsidRPr="001F6026" w:rsidRDefault="00701009" w:rsidP="00701009">
      <w:pPr>
        <w:spacing w:before="120" w:after="120" w:line="276" w:lineRule="auto"/>
        <w:jc w:val="both"/>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 xml:space="preserve">CRITERIUL 8 </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701009" w:rsidRPr="001F6026" w14:paraId="4BFBF1FC" w14:textId="77777777" w:rsidTr="00B81475">
        <w:tc>
          <w:tcPr>
            <w:tcW w:w="9618" w:type="dxa"/>
          </w:tcPr>
          <w:p w14:paraId="538C6498" w14:textId="77777777" w:rsidR="00701009" w:rsidRPr="001F6026" w:rsidRDefault="00701009" w:rsidP="00B81475">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t>Autoritatea (autoritățile) competentă(e) certifică respectiva corelare a cadrelor sau sistemelor naționale ale calificărilor cu CEC. Autoritățile competente, inclusiv centrele naționale de coordonare pentru CEC, publică un raport detaliat care descrie procesul de corelare, precum și elementele care stau la baza acestuia, și analizează separat fiecare dintre criterii. Același raport poate fi utilizat pentru autocertificarea în temeiul Cadrului calificărilor pentru Spațiul european al învățământului superior, în conformitate cu criteriile de autocertificare ale acestuia din urmă.</w:t>
            </w:r>
          </w:p>
        </w:tc>
      </w:tr>
    </w:tbl>
    <w:p w14:paraId="154D79AC" w14:textId="2D7CE60A" w:rsidR="004E4B9B" w:rsidRPr="00212228" w:rsidRDefault="004E4B9B" w:rsidP="0060203D">
      <w:pPr>
        <w:pStyle w:val="af8"/>
        <w:rPr>
          <w:b/>
          <w:bCs/>
          <w:color w:val="3494BA" w:themeColor="accent1"/>
        </w:rPr>
      </w:pPr>
      <w:r w:rsidRPr="00212228">
        <w:rPr>
          <w:b/>
          <w:bCs/>
          <w:color w:val="3494BA" w:themeColor="accent1"/>
        </w:rPr>
        <w:t>Aspecte chei</w:t>
      </w:r>
      <w:r w:rsidR="00212228" w:rsidRPr="00212228">
        <w:rPr>
          <w:b/>
          <w:bCs/>
          <w:color w:val="3494BA" w:themeColor="accent1"/>
        </w:rPr>
        <w:t xml:space="preserve">e pentru criteriul </w:t>
      </w:r>
      <w:r w:rsidR="00652DD4">
        <w:rPr>
          <w:b/>
          <w:bCs/>
          <w:color w:val="3494BA" w:themeColor="accent1"/>
        </w:rPr>
        <w:t>8</w:t>
      </w:r>
      <w:r w:rsidR="00212228" w:rsidRPr="00212228">
        <w:rPr>
          <w:b/>
          <w:bCs/>
          <w:color w:val="3494BA" w:themeColor="accent1"/>
        </w:rPr>
        <w:t xml:space="preserve">. </w:t>
      </w:r>
    </w:p>
    <w:p w14:paraId="41E97141" w14:textId="77777777" w:rsidR="00212228" w:rsidRPr="00212228" w:rsidRDefault="00E065F0" w:rsidP="00A41843">
      <w:pPr>
        <w:pStyle w:val="af8"/>
        <w:numPr>
          <w:ilvl w:val="0"/>
          <w:numId w:val="157"/>
        </w:numPr>
        <w:rPr>
          <w:color w:val="3494BA" w:themeColor="accent1"/>
        </w:rPr>
      </w:pPr>
      <w:r w:rsidRPr="00212228">
        <w:rPr>
          <w:color w:val="3494BA" w:themeColor="accent1"/>
        </w:rPr>
        <w:t>Raportul național de referențiere CNC–EQF (în curs de elaborare).</w:t>
      </w:r>
    </w:p>
    <w:p w14:paraId="2DE34E58" w14:textId="77777777" w:rsidR="00212228" w:rsidRPr="00212228" w:rsidRDefault="00E065F0" w:rsidP="00A41843">
      <w:pPr>
        <w:pStyle w:val="af8"/>
        <w:numPr>
          <w:ilvl w:val="0"/>
          <w:numId w:val="157"/>
        </w:numPr>
        <w:rPr>
          <w:color w:val="3494BA" w:themeColor="accent1"/>
        </w:rPr>
      </w:pPr>
      <w:r w:rsidRPr="00212228">
        <w:rPr>
          <w:color w:val="3494BA" w:themeColor="accent1"/>
        </w:rPr>
        <w:t>Semnătura MEC și ANACEC pe raport.</w:t>
      </w:r>
    </w:p>
    <w:p w14:paraId="163CEC3C" w14:textId="6910358D" w:rsidR="00E065F0" w:rsidRPr="00212228" w:rsidRDefault="00E065F0" w:rsidP="00A41843">
      <w:pPr>
        <w:pStyle w:val="af8"/>
        <w:numPr>
          <w:ilvl w:val="0"/>
          <w:numId w:val="157"/>
        </w:numPr>
        <w:rPr>
          <w:color w:val="3494BA" w:themeColor="accent1"/>
        </w:rPr>
      </w:pPr>
      <w:r w:rsidRPr="00212228">
        <w:rPr>
          <w:color w:val="3494BA" w:themeColor="accent1"/>
        </w:rPr>
        <w:t>Publicarea raportului pe site MEC și transmiterea la Comisia Europeană.</w:t>
      </w:r>
    </w:p>
    <w:p w14:paraId="7A42E769" w14:textId="05912D20" w:rsidR="0024088F" w:rsidRPr="0024088F" w:rsidRDefault="0024088F" w:rsidP="00701009">
      <w:pPr>
        <w:spacing w:before="120" w:after="120" w:line="276" w:lineRule="auto"/>
        <w:jc w:val="both"/>
        <w:rPr>
          <w:rFonts w:ascii="Times New Roman" w:hAnsi="Times New Roman" w:cs="Times New Roman"/>
          <w:sz w:val="24"/>
          <w:szCs w:val="24"/>
        </w:rPr>
      </w:pPr>
      <w:r w:rsidRPr="0024088F">
        <w:rPr>
          <w:rFonts w:ascii="Times New Roman" w:hAnsi="Times New Roman" w:cs="Times New Roman"/>
          <w:sz w:val="24"/>
          <w:szCs w:val="24"/>
        </w:rPr>
        <w:t>(Se definitivează după discuții publice)</w:t>
      </w:r>
    </w:p>
    <w:p w14:paraId="1B7F376D" w14:textId="6511E31E" w:rsidR="00701009" w:rsidRPr="001F6026" w:rsidRDefault="00701009" w:rsidP="00701009">
      <w:pPr>
        <w:spacing w:before="120" w:after="120" w:line="276" w:lineRule="auto"/>
        <w:jc w:val="both"/>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 xml:space="preserve">CRITERIUL 9 </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701009" w:rsidRPr="001F6026" w14:paraId="51B0E494" w14:textId="77777777" w:rsidTr="00B81475">
        <w:tc>
          <w:tcPr>
            <w:tcW w:w="9618" w:type="dxa"/>
          </w:tcPr>
          <w:p w14:paraId="7A7E1321" w14:textId="77777777" w:rsidR="00701009" w:rsidRPr="001F6026" w:rsidRDefault="00701009" w:rsidP="00B81475">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t>În termen de 6 luni de la corelare sau de la actualizarea raportului de corelare, statele membre și alte țări participante publică raportul de corelare și furnizează pe portalul european relevant informații relevante în scopul comparării.</w:t>
            </w:r>
          </w:p>
        </w:tc>
      </w:tr>
    </w:tbl>
    <w:p w14:paraId="5EF7476E" w14:textId="2B91D710" w:rsidR="00212228" w:rsidRPr="00212228" w:rsidRDefault="00212228" w:rsidP="00212228">
      <w:pPr>
        <w:pStyle w:val="af8"/>
        <w:rPr>
          <w:b/>
          <w:bCs/>
          <w:color w:val="3494BA" w:themeColor="accent1"/>
        </w:rPr>
      </w:pPr>
      <w:r w:rsidRPr="00212228">
        <w:rPr>
          <w:b/>
          <w:bCs/>
          <w:color w:val="3494BA" w:themeColor="accent1"/>
        </w:rPr>
        <w:t xml:space="preserve">Aspecte cheie pentru criteriul </w:t>
      </w:r>
      <w:r w:rsidR="00652DD4">
        <w:rPr>
          <w:b/>
          <w:bCs/>
          <w:color w:val="3494BA" w:themeColor="accent1"/>
        </w:rPr>
        <w:t>9</w:t>
      </w:r>
      <w:r w:rsidRPr="00212228">
        <w:rPr>
          <w:b/>
          <w:bCs/>
          <w:color w:val="3494BA" w:themeColor="accent1"/>
        </w:rPr>
        <w:t xml:space="preserve">. </w:t>
      </w:r>
    </w:p>
    <w:p w14:paraId="33843ECE" w14:textId="77777777" w:rsidR="00212228" w:rsidRPr="00212228" w:rsidRDefault="00E065F0" w:rsidP="00A41843">
      <w:pPr>
        <w:pStyle w:val="af8"/>
        <w:numPr>
          <w:ilvl w:val="0"/>
          <w:numId w:val="156"/>
        </w:numPr>
        <w:rPr>
          <w:color w:val="3494BA" w:themeColor="accent1"/>
        </w:rPr>
      </w:pPr>
      <w:r w:rsidRPr="00212228">
        <w:rPr>
          <w:color w:val="3494BA" w:themeColor="accent1"/>
        </w:rPr>
        <w:lastRenderedPageBreak/>
        <w:t>Raportul de referențiere va fi publicat în termen de 6 luni.</w:t>
      </w:r>
    </w:p>
    <w:p w14:paraId="5B83BE22" w14:textId="77777777" w:rsidR="00212228" w:rsidRPr="00212228" w:rsidRDefault="00E065F0" w:rsidP="00A41843">
      <w:pPr>
        <w:pStyle w:val="af8"/>
        <w:numPr>
          <w:ilvl w:val="0"/>
          <w:numId w:val="156"/>
        </w:numPr>
        <w:rPr>
          <w:color w:val="3494BA" w:themeColor="accent1"/>
        </w:rPr>
      </w:pPr>
      <w:r w:rsidRPr="00212228">
        <w:rPr>
          <w:color w:val="3494BA" w:themeColor="accent1"/>
        </w:rPr>
        <w:t xml:space="preserve">Integrarea în </w:t>
      </w:r>
      <w:r w:rsidRPr="00212228">
        <w:rPr>
          <w:rStyle w:val="af9"/>
          <w:rFonts w:eastAsiaTheme="majorEastAsia"/>
          <w:color w:val="3494BA" w:themeColor="accent1"/>
        </w:rPr>
        <w:t>EQF Portal</w:t>
      </w:r>
      <w:r w:rsidRPr="00212228">
        <w:rPr>
          <w:color w:val="3494BA" w:themeColor="accent1"/>
        </w:rPr>
        <w:t xml:space="preserve"> – vizibilitatea internațională.</w:t>
      </w:r>
    </w:p>
    <w:p w14:paraId="3A5B8625" w14:textId="4CAE7322" w:rsidR="00E065F0" w:rsidRPr="00212228" w:rsidRDefault="00E065F0" w:rsidP="00A41843">
      <w:pPr>
        <w:pStyle w:val="af8"/>
        <w:numPr>
          <w:ilvl w:val="0"/>
          <w:numId w:val="156"/>
        </w:numPr>
        <w:rPr>
          <w:color w:val="3494BA" w:themeColor="accent1"/>
        </w:rPr>
      </w:pPr>
      <w:r w:rsidRPr="00212228">
        <w:rPr>
          <w:color w:val="3494BA" w:themeColor="accent1"/>
        </w:rPr>
        <w:t>Actualizări periodice transmise către CE și EQF Advisory Group.</w:t>
      </w:r>
    </w:p>
    <w:p w14:paraId="7D5209D2" w14:textId="451679DD" w:rsidR="0024088F" w:rsidRPr="0024088F" w:rsidRDefault="0024088F" w:rsidP="00701009">
      <w:pPr>
        <w:spacing w:before="120" w:after="120" w:line="276" w:lineRule="auto"/>
        <w:jc w:val="both"/>
        <w:rPr>
          <w:rFonts w:ascii="Times New Roman" w:hAnsi="Times New Roman" w:cs="Times New Roman"/>
          <w:sz w:val="24"/>
          <w:szCs w:val="24"/>
        </w:rPr>
      </w:pPr>
      <w:r w:rsidRPr="0024088F">
        <w:rPr>
          <w:rFonts w:ascii="Times New Roman" w:hAnsi="Times New Roman" w:cs="Times New Roman"/>
          <w:sz w:val="24"/>
          <w:szCs w:val="24"/>
        </w:rPr>
        <w:t>(Se definitivează după discuții publice)</w:t>
      </w:r>
    </w:p>
    <w:p w14:paraId="0A3DEAE5" w14:textId="14F45AF4" w:rsidR="00701009" w:rsidRPr="001F6026" w:rsidRDefault="00701009" w:rsidP="00701009">
      <w:pPr>
        <w:spacing w:before="120" w:after="120" w:line="276" w:lineRule="auto"/>
        <w:jc w:val="both"/>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CRITERIUL 10</w:t>
      </w:r>
    </w:p>
    <w:tbl>
      <w:tblPr>
        <w:tblStyle w:val="aff"/>
        <w:tblW w:w="0" w:type="auto"/>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Look w:val="04A0" w:firstRow="1" w:lastRow="0" w:firstColumn="1" w:lastColumn="0" w:noHBand="0" w:noVBand="1"/>
      </w:tblPr>
      <w:tblGrid>
        <w:gridCol w:w="9618"/>
      </w:tblGrid>
      <w:tr w:rsidR="00701009" w:rsidRPr="001F6026" w14:paraId="4B48CA45" w14:textId="77777777" w:rsidTr="00CC6729">
        <w:tc>
          <w:tcPr>
            <w:tcW w:w="9618" w:type="dxa"/>
          </w:tcPr>
          <w:p w14:paraId="0469009A" w14:textId="77777777" w:rsidR="00701009" w:rsidRPr="001F6026" w:rsidRDefault="00701009" w:rsidP="00B81475">
            <w:pPr>
              <w:spacing w:before="120" w:after="120" w:line="276" w:lineRule="auto"/>
              <w:rPr>
                <w:rFonts w:ascii="Times New Roman" w:hAnsi="Times New Roman" w:cs="Times New Roman"/>
                <w:sz w:val="24"/>
                <w:szCs w:val="24"/>
              </w:rPr>
            </w:pPr>
            <w:r w:rsidRPr="001F6026">
              <w:rPr>
                <w:rFonts w:ascii="Times New Roman" w:hAnsi="Times New Roman" w:cs="Times New Roman"/>
                <w:sz w:val="24"/>
                <w:szCs w:val="24"/>
              </w:rPr>
              <w:t>După încheierea procesului de corelare, toate documentele nou eliberate în legătură cu calificări care fac parte din cadrele sau sistemele naționale ale calificărilor (de exemplu, certificate, diplome, suplimente la certificate, suplimente la diplome) și/sau cu registre ale calificărilor, eliberate de autoritățile competente, ar trebui să conțină o trimitere clară la nivelul CEC corespunzător, prin intermediul cadrelor sau sistemelor naționale ale calificărilor.</w:t>
            </w:r>
          </w:p>
        </w:tc>
      </w:tr>
    </w:tbl>
    <w:p w14:paraId="0BE45357" w14:textId="0A4DEE07" w:rsidR="00212228" w:rsidRDefault="00212228" w:rsidP="004B2B9C">
      <w:pPr>
        <w:pStyle w:val="af8"/>
        <w:rPr>
          <w:b/>
          <w:bCs/>
          <w:color w:val="3494BA" w:themeColor="accent1"/>
        </w:rPr>
      </w:pPr>
      <w:r w:rsidRPr="00212228">
        <w:rPr>
          <w:b/>
          <w:bCs/>
          <w:color w:val="3494BA" w:themeColor="accent1"/>
        </w:rPr>
        <w:t xml:space="preserve">Aspecte cheie pentru criteriul </w:t>
      </w:r>
      <w:r w:rsidR="00123054">
        <w:rPr>
          <w:b/>
          <w:bCs/>
          <w:color w:val="3494BA" w:themeColor="accent1"/>
        </w:rPr>
        <w:t>10</w:t>
      </w:r>
      <w:r w:rsidRPr="00212228">
        <w:rPr>
          <w:b/>
          <w:bCs/>
          <w:color w:val="3494BA" w:themeColor="accent1"/>
        </w:rPr>
        <w:t xml:space="preserve">. </w:t>
      </w:r>
    </w:p>
    <w:p w14:paraId="52237EC9" w14:textId="77777777" w:rsidR="00212228" w:rsidRDefault="00CC6729" w:rsidP="00A41843">
      <w:pPr>
        <w:pStyle w:val="af8"/>
        <w:numPr>
          <w:ilvl w:val="0"/>
          <w:numId w:val="155"/>
        </w:numPr>
        <w:rPr>
          <w:color w:val="3494BA" w:themeColor="accent1"/>
        </w:rPr>
      </w:pPr>
      <w:r w:rsidRPr="00212228">
        <w:rPr>
          <w:color w:val="3494BA" w:themeColor="accent1"/>
        </w:rPr>
        <w:t>După referențiere, diplomele/certificatele vor include nivelul CNC + nivelul EQF.</w:t>
      </w:r>
    </w:p>
    <w:p w14:paraId="4879434C" w14:textId="77777777" w:rsidR="00212228" w:rsidRDefault="00CC6729" w:rsidP="00A41843">
      <w:pPr>
        <w:pStyle w:val="af8"/>
        <w:numPr>
          <w:ilvl w:val="0"/>
          <w:numId w:val="155"/>
        </w:numPr>
        <w:rPr>
          <w:color w:val="3494BA" w:themeColor="accent1"/>
        </w:rPr>
      </w:pPr>
      <w:r w:rsidRPr="00212228">
        <w:rPr>
          <w:color w:val="3494BA" w:themeColor="accent1"/>
        </w:rPr>
        <w:t>Conform art. 20 din HG 330/2023 și Ordinelor MEC privind formularele actelor de studii.</w:t>
      </w:r>
    </w:p>
    <w:p w14:paraId="2553D131" w14:textId="1535256C" w:rsidR="00014A64" w:rsidRPr="00652DD4" w:rsidRDefault="00CC6729" w:rsidP="00A41843">
      <w:pPr>
        <w:pStyle w:val="af8"/>
        <w:numPr>
          <w:ilvl w:val="0"/>
          <w:numId w:val="155"/>
        </w:numPr>
        <w:rPr>
          <w:color w:val="3494BA" w:themeColor="accent1"/>
        </w:rPr>
      </w:pPr>
      <w:r w:rsidRPr="00212228">
        <w:rPr>
          <w:color w:val="3494BA" w:themeColor="accent1"/>
        </w:rPr>
        <w:t>Integrarea în Europass Moldova (portofoliul electronic).</w:t>
      </w:r>
    </w:p>
    <w:p w14:paraId="0CEF0D02" w14:textId="597598E1" w:rsidR="00014A64" w:rsidRPr="0024088F" w:rsidRDefault="0024088F" w:rsidP="00DE230D">
      <w:pPr>
        <w:pStyle w:val="af8"/>
        <w:spacing w:before="120" w:beforeAutospacing="0" w:after="120" w:afterAutospacing="0" w:line="276" w:lineRule="auto"/>
        <w:jc w:val="both"/>
      </w:pPr>
      <w:r w:rsidRPr="0024088F">
        <w:t>(Se definitivează după discuții publice)</w:t>
      </w:r>
    </w:p>
    <w:p w14:paraId="5A4B4E02" w14:textId="77777777" w:rsidR="0024088F" w:rsidRDefault="0071521A" w:rsidP="00A41843">
      <w:pPr>
        <w:numPr>
          <w:ilvl w:val="1"/>
          <w:numId w:val="7"/>
        </w:numPr>
        <w:spacing w:after="0" w:line="240" w:lineRule="auto"/>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CRITERII ȘI PROCEDURI DE AUTOCERTIFICARE A CNC ÎN RAPORT CU QF-</w:t>
      </w:r>
      <w:r w:rsidR="002513BE" w:rsidRPr="001F6026">
        <w:rPr>
          <w:rFonts w:ascii="Times New Roman" w:eastAsia="MS Gothic" w:hAnsi="Times New Roman" w:cs="Times New Roman"/>
          <w:b/>
          <w:bCs/>
          <w:color w:val="3494BA" w:themeColor="accent1"/>
          <w:kern w:val="0"/>
          <w:sz w:val="24"/>
          <w:szCs w:val="24"/>
          <w14:ligatures w14:val="none"/>
        </w:rPr>
        <w:t>EHEA</w:t>
      </w:r>
    </w:p>
    <w:p w14:paraId="791E248B" w14:textId="70D0F680" w:rsidR="00A5067C" w:rsidRPr="00A86B14" w:rsidRDefault="00A5067C" w:rsidP="000F5418">
      <w:pPr>
        <w:pStyle w:val="af8"/>
        <w:spacing w:before="120" w:beforeAutospacing="0" w:after="120" w:afterAutospacing="0" w:line="276" w:lineRule="auto"/>
        <w:jc w:val="both"/>
        <w:rPr>
          <w:rFonts w:eastAsia="MS Gothic"/>
          <w:color w:val="3494BA" w:themeColor="accent1"/>
          <w:lang w:eastAsia="en-US"/>
        </w:rPr>
      </w:pPr>
      <w:r w:rsidRPr="00A86B14">
        <w:rPr>
          <w:rFonts w:eastAsia="MS Gothic"/>
          <w:color w:val="3494BA" w:themeColor="accent1"/>
          <w:lang w:eastAsia="en-US"/>
        </w:rPr>
        <w:t xml:space="preserve">(Se definitivează după </w:t>
      </w:r>
      <w:r w:rsidR="00FE2582">
        <w:rPr>
          <w:rFonts w:eastAsia="MS Gothic"/>
          <w:color w:val="3494BA" w:themeColor="accent1"/>
          <w:lang w:eastAsia="en-US"/>
        </w:rPr>
        <w:t>aprobarea criteriilor 1-5</w:t>
      </w:r>
      <w:r w:rsidRPr="00A86B14">
        <w:rPr>
          <w:rFonts w:eastAsia="MS Gothic"/>
          <w:color w:val="3494BA" w:themeColor="accent1"/>
          <w:lang w:eastAsia="en-US"/>
        </w:rPr>
        <w:t>)</w:t>
      </w:r>
    </w:p>
    <w:p w14:paraId="260529EF" w14:textId="1B193FB4" w:rsidR="00F432EB" w:rsidRPr="00F56DAD" w:rsidRDefault="00F432EB" w:rsidP="00F56DAD">
      <w:pPr>
        <w:pStyle w:val="a7"/>
        <w:numPr>
          <w:ilvl w:val="0"/>
          <w:numId w:val="177"/>
        </w:numPr>
        <w:spacing w:after="0" w:line="240" w:lineRule="auto"/>
        <w:rPr>
          <w:rFonts w:ascii="Times New Roman" w:eastAsia="MS Gothic" w:hAnsi="Times New Roman" w:cs="Times New Roman"/>
          <w:b/>
          <w:bCs/>
          <w:color w:val="3494BA" w:themeColor="accent1"/>
          <w:kern w:val="0"/>
          <w:sz w:val="24"/>
          <w:szCs w:val="24"/>
          <w14:ligatures w14:val="none"/>
        </w:rPr>
      </w:pPr>
      <w:r w:rsidRPr="00F56DAD">
        <w:rPr>
          <w:rFonts w:ascii="Times New Roman" w:eastAsia="MS Gothic" w:hAnsi="Times New Roman" w:cs="Times New Roman"/>
          <w:b/>
          <w:bCs/>
          <w:color w:val="3494BA" w:themeColor="accent1"/>
          <w:kern w:val="0"/>
          <w:sz w:val="24"/>
          <w:szCs w:val="24"/>
          <w14:ligatures w14:val="none"/>
        </w:rPr>
        <w:t>ASIGURAREA CALITĂȚII ÎN PROCESUL DE CORELARE</w:t>
      </w:r>
    </w:p>
    <w:p w14:paraId="0CFF6E22" w14:textId="17690BE2" w:rsidR="00F350C0" w:rsidRPr="001F6026"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 xml:space="preserve">Procesul de corelare a Cadrului Național al Calificărilor (CNC) cu Cadrul European al Calificărilor (EQF) și de </w:t>
      </w:r>
      <w:r w:rsidRPr="00F56DAD">
        <w:rPr>
          <w:rFonts w:ascii="Times New Roman" w:eastAsia="Times New Roman" w:hAnsi="Times New Roman" w:cs="Times New Roman"/>
          <w:kern w:val="0"/>
          <w:sz w:val="24"/>
          <w:szCs w:val="24"/>
          <w:lang w:eastAsia="ro-MD"/>
          <w14:ligatures w14:val="none"/>
        </w:rPr>
        <w:t>autocertificare în raport cu QF-</w:t>
      </w:r>
      <w:r w:rsidR="002513BE" w:rsidRPr="00F56DAD">
        <w:rPr>
          <w:rFonts w:ascii="Times New Roman" w:eastAsia="Times New Roman" w:hAnsi="Times New Roman" w:cs="Times New Roman"/>
          <w:kern w:val="0"/>
          <w:sz w:val="24"/>
          <w:szCs w:val="24"/>
          <w:lang w:eastAsia="ro-MD"/>
          <w14:ligatures w14:val="none"/>
        </w:rPr>
        <w:t>EHEA</w:t>
      </w:r>
      <w:r w:rsidRPr="00F56DAD">
        <w:rPr>
          <w:rFonts w:ascii="Times New Roman" w:eastAsia="Times New Roman" w:hAnsi="Times New Roman" w:cs="Times New Roman"/>
          <w:kern w:val="0"/>
          <w:sz w:val="24"/>
          <w:szCs w:val="24"/>
          <w:lang w:eastAsia="ro-MD"/>
          <w14:ligatures w14:val="none"/>
        </w:rPr>
        <w:t xml:space="preserve"> se desfășoară în baza unor mecanisme clare de asigurare a calității, care garantează că rezultatele sunt transparente, credibile și conforme atât cu normele naționale, cât și</w:t>
      </w:r>
      <w:r w:rsidRPr="001F6026">
        <w:rPr>
          <w:rFonts w:ascii="Times New Roman" w:eastAsia="Times New Roman" w:hAnsi="Times New Roman" w:cs="Times New Roman"/>
          <w:kern w:val="0"/>
          <w:sz w:val="24"/>
          <w:szCs w:val="24"/>
          <w:lang w:eastAsia="ro-MD"/>
          <w14:ligatures w14:val="none"/>
        </w:rPr>
        <w:t xml:space="preserve"> cu standardele europene.</w:t>
      </w:r>
    </w:p>
    <w:p w14:paraId="3E30B4B7" w14:textId="77777777" w:rsidR="00F350C0" w:rsidRPr="001F6026" w:rsidRDefault="00F350C0" w:rsidP="003378C9">
      <w:pPr>
        <w:spacing w:before="120" w:after="120" w:line="276" w:lineRule="auto"/>
        <w:jc w:val="both"/>
        <w:outlineLvl w:val="2"/>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Fundament normativ</w:t>
      </w:r>
    </w:p>
    <w:p w14:paraId="6D91AA51" w14:textId="77777777" w:rsidR="00F350C0" w:rsidRPr="00F56DAD"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 xml:space="preserve">Conform </w:t>
      </w:r>
      <w:r w:rsidRPr="00F56DAD">
        <w:rPr>
          <w:rFonts w:ascii="Times New Roman" w:eastAsia="Times New Roman" w:hAnsi="Times New Roman" w:cs="Times New Roman"/>
          <w:kern w:val="0"/>
          <w:sz w:val="24"/>
          <w:szCs w:val="24"/>
          <w:lang w:eastAsia="ro-MD"/>
          <w14:ligatures w14:val="none"/>
        </w:rPr>
        <w:t>Codului educației al Republicii Moldova (art. 18, art. 65, art. 113–114), responsabilitatea pentru asigurarea calității este partajată între:</w:t>
      </w:r>
    </w:p>
    <w:p w14:paraId="083FDD77" w14:textId="77777777" w:rsidR="00F350C0" w:rsidRPr="00F56DAD" w:rsidRDefault="00F350C0" w:rsidP="00A41843">
      <w:pPr>
        <w:numPr>
          <w:ilvl w:val="0"/>
          <w:numId w:val="134"/>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Ministerul Educației și Cercetării (MEC) – elaborarea politicilor și coordonarea cadrului normativ;</w:t>
      </w:r>
    </w:p>
    <w:p w14:paraId="151FD169" w14:textId="77777777" w:rsidR="00F350C0" w:rsidRPr="00F56DAD" w:rsidRDefault="00F350C0" w:rsidP="00A41843">
      <w:pPr>
        <w:numPr>
          <w:ilvl w:val="0"/>
          <w:numId w:val="134"/>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Agenția Națională de Asigurare a Calității în Educație și Cercetare (ANACEC) – evaluarea externă a programelor și instituțiilor;</w:t>
      </w:r>
    </w:p>
    <w:p w14:paraId="00B15EF2" w14:textId="77777777" w:rsidR="00F350C0" w:rsidRPr="00F56DAD" w:rsidRDefault="00F350C0" w:rsidP="00A41843">
      <w:pPr>
        <w:numPr>
          <w:ilvl w:val="0"/>
          <w:numId w:val="134"/>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furnizorii de educație și formare profesională – asigurarea calității interne, autoevaluare și raportare;</w:t>
      </w:r>
    </w:p>
    <w:p w14:paraId="2F942D6D" w14:textId="77777777" w:rsidR="00F350C0" w:rsidRPr="00F56DAD" w:rsidRDefault="00F350C0" w:rsidP="00A41843">
      <w:pPr>
        <w:numPr>
          <w:ilvl w:val="0"/>
          <w:numId w:val="134"/>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actorii sociali și economici – implicarea în elaborarea standardelor și validarea rezultatelor.</w:t>
      </w:r>
    </w:p>
    <w:p w14:paraId="629F7B53" w14:textId="77777777" w:rsidR="00F350C0" w:rsidRPr="00F56DAD"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În plus, Hotărârea Guvernului nr. 330/2023 (Anexa nr. 1, punctele 165–170) stabilește principiile și procedurile pentru asigurarea calității calificărilor cu nivel CNC, în deplină coerență cu principiile EQF:</w:t>
      </w:r>
    </w:p>
    <w:p w14:paraId="1B4B047F"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calificări concepute pe baza rezultatelor învățării;</w:t>
      </w:r>
    </w:p>
    <w:p w14:paraId="27F83622"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lastRenderedPageBreak/>
        <w:t>evaluare validă și fiabilă, conform standardelor transparente;</w:t>
      </w:r>
    </w:p>
    <w:p w14:paraId="78418074"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implicarea părților interesate;</w:t>
      </w:r>
    </w:p>
    <w:p w14:paraId="03E9D4A3"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mecanisme de feedback și îmbunătățire continuă;</w:t>
      </w:r>
    </w:p>
    <w:p w14:paraId="3C8F134F"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integrarea calității în managementul intern al instituțiilor;</w:t>
      </w:r>
    </w:p>
    <w:p w14:paraId="57E489FA"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autoevaluare + evaluare externă;</w:t>
      </w:r>
    </w:p>
    <w:p w14:paraId="758E1236" w14:textId="77777777" w:rsidR="00F350C0" w:rsidRPr="001F6026" w:rsidRDefault="00F350C0" w:rsidP="00A41843">
      <w:pPr>
        <w:numPr>
          <w:ilvl w:val="0"/>
          <w:numId w:val="135"/>
        </w:numPr>
        <w:spacing w:before="120" w:after="120" w:line="276" w:lineRule="auto"/>
        <w:jc w:val="both"/>
        <w:rPr>
          <w:rFonts w:ascii="Times New Roman" w:eastAsia="Times New Roman" w:hAnsi="Times New Roman" w:cs="Times New Roman"/>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acces public la rezultate și la calificări prin Registrul Național al Calificărilor (RNC).</w:t>
      </w:r>
    </w:p>
    <w:p w14:paraId="665D8C03" w14:textId="4018D2FF" w:rsidR="00F350C0" w:rsidRPr="00F56DAD"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 xml:space="preserve">HG nr. 616/2016 reglementează metodologia de evaluare externă a calității în ÎPT, </w:t>
      </w:r>
      <w:r w:rsidR="00356848" w:rsidRPr="00F56DAD">
        <w:rPr>
          <w:rFonts w:ascii="Times New Roman" w:eastAsia="Times New Roman" w:hAnsi="Times New Roman" w:cs="Times New Roman"/>
          <w:kern w:val="0"/>
          <w:sz w:val="24"/>
          <w:szCs w:val="24"/>
          <w:lang w:eastAsia="ro-MD"/>
          <w14:ligatures w14:val="none"/>
        </w:rPr>
        <w:t>ÎS</w:t>
      </w:r>
      <w:r w:rsidRPr="00F56DAD">
        <w:rPr>
          <w:rFonts w:ascii="Times New Roman" w:eastAsia="Times New Roman" w:hAnsi="Times New Roman" w:cs="Times New Roman"/>
          <w:kern w:val="0"/>
          <w:sz w:val="24"/>
          <w:szCs w:val="24"/>
          <w:lang w:eastAsia="ro-MD"/>
          <w14:ligatures w14:val="none"/>
        </w:rPr>
        <w:t xml:space="preserve"> și formarea profesională a adulților, aplicată de ANACEC și alte agenții de calitate recunoscute internațional și înregistrate în EQAR (European Quality Assurance Register).</w:t>
      </w:r>
    </w:p>
    <w:p w14:paraId="2DD14C99" w14:textId="77777777" w:rsidR="00F350C0" w:rsidRPr="00F56DAD" w:rsidRDefault="00F350C0" w:rsidP="003378C9">
      <w:pPr>
        <w:spacing w:before="120" w:after="120" w:line="276" w:lineRule="auto"/>
        <w:jc w:val="both"/>
        <w:outlineLvl w:val="2"/>
        <w:rPr>
          <w:rFonts w:ascii="Times New Roman" w:eastAsia="MS Gothic" w:hAnsi="Times New Roman" w:cs="Times New Roman"/>
          <w:color w:val="3494BA" w:themeColor="accent1"/>
          <w:kern w:val="0"/>
          <w:sz w:val="24"/>
          <w:szCs w:val="24"/>
          <w14:ligatures w14:val="none"/>
        </w:rPr>
      </w:pPr>
      <w:r w:rsidRPr="00F56DAD">
        <w:rPr>
          <w:rFonts w:ascii="Times New Roman" w:eastAsia="MS Gothic" w:hAnsi="Times New Roman" w:cs="Times New Roman"/>
          <w:color w:val="3494BA" w:themeColor="accent1"/>
          <w:kern w:val="0"/>
          <w:sz w:val="24"/>
          <w:szCs w:val="24"/>
          <w14:ligatures w14:val="none"/>
        </w:rPr>
        <w:t>Dimensiunea europeană</w:t>
      </w:r>
    </w:p>
    <w:p w14:paraId="51744693" w14:textId="77777777" w:rsidR="00F350C0" w:rsidRPr="00F56DAD"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Procesul de corelare respectă principiile europene stabilite în:</w:t>
      </w:r>
    </w:p>
    <w:p w14:paraId="74C449B2" w14:textId="77777777" w:rsidR="00F350C0" w:rsidRPr="00F56DAD" w:rsidRDefault="00F350C0" w:rsidP="00A41843">
      <w:pPr>
        <w:numPr>
          <w:ilvl w:val="0"/>
          <w:numId w:val="136"/>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Recomandarea Consiliului UE din 22 mai 2017 privind EQF, care cere ca referențierea să se facă pe baza unor mecanisme transparente de QA;</w:t>
      </w:r>
    </w:p>
    <w:p w14:paraId="294C18C4" w14:textId="20CD0157" w:rsidR="00F350C0" w:rsidRPr="00F56DAD" w:rsidRDefault="00F350C0" w:rsidP="00A41843">
      <w:pPr>
        <w:numPr>
          <w:ilvl w:val="0"/>
          <w:numId w:val="136"/>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 xml:space="preserve">Standards and Guidelines for Quality Assurance in </w:t>
      </w:r>
      <w:r w:rsidR="001846AE" w:rsidRPr="00F56DAD">
        <w:rPr>
          <w:rFonts w:ascii="Times New Roman" w:eastAsia="Times New Roman" w:hAnsi="Times New Roman" w:cs="Times New Roman"/>
          <w:kern w:val="0"/>
          <w:sz w:val="24"/>
          <w:szCs w:val="24"/>
          <w:lang w:eastAsia="ro-MD"/>
          <w14:ligatures w14:val="none"/>
        </w:rPr>
        <w:t>the</w:t>
      </w:r>
      <w:r w:rsidRPr="00F56DAD">
        <w:rPr>
          <w:rFonts w:ascii="Times New Roman" w:eastAsia="Times New Roman" w:hAnsi="Times New Roman" w:cs="Times New Roman"/>
          <w:kern w:val="0"/>
          <w:sz w:val="24"/>
          <w:szCs w:val="24"/>
          <w:lang w:eastAsia="ro-MD"/>
          <w14:ligatures w14:val="none"/>
        </w:rPr>
        <w:t xml:space="preserve"> European </w:t>
      </w:r>
      <w:r w:rsidR="00246852" w:rsidRPr="00F56DAD">
        <w:rPr>
          <w:rFonts w:ascii="Times New Roman" w:eastAsia="Times New Roman" w:hAnsi="Times New Roman" w:cs="Times New Roman"/>
          <w:kern w:val="0"/>
          <w:sz w:val="24"/>
          <w:szCs w:val="24"/>
          <w:lang w:eastAsia="ro-MD"/>
          <w14:ligatures w14:val="none"/>
        </w:rPr>
        <w:t>Higher</w:t>
      </w:r>
      <w:r w:rsidRPr="00F56DAD">
        <w:rPr>
          <w:rFonts w:ascii="Times New Roman" w:eastAsia="Times New Roman" w:hAnsi="Times New Roman" w:cs="Times New Roman"/>
          <w:kern w:val="0"/>
          <w:sz w:val="24"/>
          <w:szCs w:val="24"/>
          <w:lang w:eastAsia="ro-MD"/>
          <w14:ligatures w14:val="none"/>
        </w:rPr>
        <w:t xml:space="preserve"> Education Area (ESG) – aplicabile pentru învățământul superior;</w:t>
      </w:r>
    </w:p>
    <w:p w14:paraId="675EEEA4" w14:textId="39EBFCC8" w:rsidR="00F350C0" w:rsidRPr="00F56DAD" w:rsidRDefault="00F350C0" w:rsidP="00A41843">
      <w:pPr>
        <w:numPr>
          <w:ilvl w:val="0"/>
          <w:numId w:val="136"/>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European Quality Assurance in Vocational Education and Training (</w:t>
      </w:r>
      <w:r w:rsidR="00BB2A74" w:rsidRPr="00F56DAD">
        <w:rPr>
          <w:rFonts w:ascii="Times New Roman" w:eastAsia="Times New Roman" w:hAnsi="Times New Roman" w:cs="Times New Roman"/>
          <w:kern w:val="0"/>
          <w:sz w:val="24"/>
          <w:szCs w:val="24"/>
          <w:lang w:eastAsia="ro-MD"/>
          <w14:ligatures w14:val="none"/>
        </w:rPr>
        <w:t>EQAVET</w:t>
      </w:r>
      <w:r w:rsidRPr="00F56DAD">
        <w:rPr>
          <w:rFonts w:ascii="Times New Roman" w:eastAsia="Times New Roman" w:hAnsi="Times New Roman" w:cs="Times New Roman"/>
          <w:kern w:val="0"/>
          <w:sz w:val="24"/>
          <w:szCs w:val="24"/>
          <w:lang w:eastAsia="ro-MD"/>
          <w14:ligatures w14:val="none"/>
        </w:rPr>
        <w:t>) – aplicabile pentru învățământul profesional tehnic;</w:t>
      </w:r>
    </w:p>
    <w:p w14:paraId="3FF608CF" w14:textId="0B0C2E55" w:rsidR="00F350C0" w:rsidRPr="001F6026" w:rsidRDefault="00F350C0" w:rsidP="00A41843">
      <w:pPr>
        <w:numPr>
          <w:ilvl w:val="0"/>
          <w:numId w:val="136"/>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criteriile și procedurile de autocertificare la QF-</w:t>
      </w:r>
      <w:r w:rsidR="002513BE" w:rsidRPr="00F56DAD">
        <w:rPr>
          <w:rFonts w:ascii="Times New Roman" w:eastAsia="Times New Roman" w:hAnsi="Times New Roman" w:cs="Times New Roman"/>
          <w:kern w:val="0"/>
          <w:sz w:val="24"/>
          <w:szCs w:val="24"/>
          <w:lang w:eastAsia="ro-MD"/>
          <w14:ligatures w14:val="none"/>
        </w:rPr>
        <w:t>EHEA</w:t>
      </w:r>
      <w:r w:rsidRPr="00F56DAD">
        <w:rPr>
          <w:rFonts w:ascii="Times New Roman" w:eastAsia="Times New Roman" w:hAnsi="Times New Roman" w:cs="Times New Roman"/>
          <w:kern w:val="0"/>
          <w:sz w:val="24"/>
          <w:szCs w:val="24"/>
          <w:lang w:eastAsia="ro-MD"/>
          <w14:ligatures w14:val="none"/>
        </w:rPr>
        <w:t>,</w:t>
      </w:r>
      <w:r w:rsidRPr="001F6026">
        <w:rPr>
          <w:rFonts w:ascii="Times New Roman" w:eastAsia="Times New Roman" w:hAnsi="Times New Roman" w:cs="Times New Roman"/>
          <w:kern w:val="0"/>
          <w:sz w:val="24"/>
          <w:szCs w:val="24"/>
          <w:lang w:eastAsia="ro-MD"/>
          <w14:ligatures w14:val="none"/>
        </w:rPr>
        <w:t xml:space="preserve"> care cer ca procesul să fie documentat, validat și recunoscut de comunitatea internațională.</w:t>
      </w:r>
    </w:p>
    <w:p w14:paraId="5CBCB102" w14:textId="77777777" w:rsidR="00F350C0" w:rsidRPr="001F6026" w:rsidRDefault="00F350C0" w:rsidP="003378C9">
      <w:pPr>
        <w:spacing w:before="120" w:after="120" w:line="276" w:lineRule="auto"/>
        <w:jc w:val="both"/>
        <w:outlineLvl w:val="2"/>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Aplicarea în procesul de corelare</w:t>
      </w:r>
    </w:p>
    <w:p w14:paraId="4DCC19BA" w14:textId="394CE266" w:rsidR="00B415C5" w:rsidRPr="00F56DAD" w:rsidRDefault="00B415C5"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Aplicarea în procesul de corelare se referă la transpunerea principiilor și standardelor de asigurare a calității prevăzute de Codul educației, HG nr. 330/2023 și metodologiile ANACEC, în toate etapele raportului de referențiere. Această aplicare garantează că procesul este transparent, participativ și comparabil cu cerințele europene, consolidând credibilitatea corelării CNC cu EQF și QF-</w:t>
      </w:r>
      <w:r w:rsidR="002513BE" w:rsidRPr="00F56DAD">
        <w:rPr>
          <w:rFonts w:ascii="Times New Roman" w:eastAsia="Times New Roman" w:hAnsi="Times New Roman" w:cs="Times New Roman"/>
          <w:kern w:val="0"/>
          <w:sz w:val="24"/>
          <w:szCs w:val="24"/>
          <w:lang w:eastAsia="ro-MD"/>
          <w14:ligatures w14:val="none"/>
        </w:rPr>
        <w:t>EHEA</w:t>
      </w:r>
      <w:r w:rsidRPr="00F56DAD">
        <w:rPr>
          <w:rFonts w:ascii="Times New Roman" w:eastAsia="Times New Roman" w:hAnsi="Times New Roman" w:cs="Times New Roman"/>
          <w:kern w:val="0"/>
          <w:sz w:val="24"/>
          <w:szCs w:val="24"/>
          <w:lang w:eastAsia="ro-MD"/>
          <w14:ligatures w14:val="none"/>
        </w:rPr>
        <w:t>.</w:t>
      </w:r>
    </w:p>
    <w:p w14:paraId="4DDF8253" w14:textId="18765C4E" w:rsidR="00F350C0" w:rsidRPr="00F56DAD"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 xml:space="preserve">Pentru referențierea CNC, mecanismele de </w:t>
      </w:r>
      <w:r w:rsidR="00FD088C" w:rsidRPr="00F56DAD">
        <w:rPr>
          <w:rFonts w:ascii="Times New Roman" w:eastAsia="Times New Roman" w:hAnsi="Times New Roman" w:cs="Times New Roman"/>
          <w:kern w:val="0"/>
          <w:sz w:val="24"/>
          <w:szCs w:val="24"/>
          <w:lang w:eastAsia="ro-MD"/>
          <w14:ligatures w14:val="none"/>
        </w:rPr>
        <w:t>asigurare a calității</w:t>
      </w:r>
      <w:r w:rsidRPr="00F56DAD">
        <w:rPr>
          <w:rFonts w:ascii="Times New Roman" w:eastAsia="Times New Roman" w:hAnsi="Times New Roman" w:cs="Times New Roman"/>
          <w:kern w:val="0"/>
          <w:sz w:val="24"/>
          <w:szCs w:val="24"/>
          <w:lang w:eastAsia="ro-MD"/>
          <w14:ligatures w14:val="none"/>
        </w:rPr>
        <w:t xml:space="preserve"> funcționează pe mai multe niveluri:</w:t>
      </w:r>
    </w:p>
    <w:p w14:paraId="129799E0" w14:textId="77777777" w:rsidR="00F350C0" w:rsidRPr="00F56DAD" w:rsidRDefault="00F350C0" w:rsidP="00A41843">
      <w:pPr>
        <w:numPr>
          <w:ilvl w:val="0"/>
          <w:numId w:val="137"/>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La nivel de documente și standarde: toate standardele de calificare sunt elaborate cu implicarea actorilor relevanți și validate prin proceduri transparente (Codul educației, HG 330/2023).</w:t>
      </w:r>
    </w:p>
    <w:p w14:paraId="5CF6D32E" w14:textId="1F75334F" w:rsidR="00F350C0" w:rsidRPr="00F56DAD" w:rsidRDefault="00F350C0" w:rsidP="00A41843">
      <w:pPr>
        <w:numPr>
          <w:ilvl w:val="0"/>
          <w:numId w:val="137"/>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La nivel de instituții: furnizorii de educație aplică autoevaluarea și QA internă, conform ghidurilor aprobate prin OMECC nr. 609/2017 (ÎPT) și procedurilor instituționale (</w:t>
      </w:r>
      <w:r w:rsidR="00356848" w:rsidRPr="00F56DAD">
        <w:rPr>
          <w:rFonts w:ascii="Times New Roman" w:eastAsia="Times New Roman" w:hAnsi="Times New Roman" w:cs="Times New Roman"/>
          <w:kern w:val="0"/>
          <w:sz w:val="24"/>
          <w:szCs w:val="24"/>
          <w:lang w:eastAsia="ro-MD"/>
          <w14:ligatures w14:val="none"/>
        </w:rPr>
        <w:t>ÎS</w:t>
      </w:r>
      <w:r w:rsidRPr="00F56DAD">
        <w:rPr>
          <w:rFonts w:ascii="Times New Roman" w:eastAsia="Times New Roman" w:hAnsi="Times New Roman" w:cs="Times New Roman"/>
          <w:kern w:val="0"/>
          <w:sz w:val="24"/>
          <w:szCs w:val="24"/>
          <w:lang w:eastAsia="ro-MD"/>
          <w14:ligatures w14:val="none"/>
        </w:rPr>
        <w:t>).</w:t>
      </w:r>
    </w:p>
    <w:p w14:paraId="04107D62" w14:textId="77777777" w:rsidR="00F350C0" w:rsidRPr="00F56DAD" w:rsidRDefault="00F350C0" w:rsidP="00A41843">
      <w:pPr>
        <w:numPr>
          <w:ilvl w:val="0"/>
          <w:numId w:val="137"/>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La nivel de evaluare externă: ANACEC aplică metodologiile de autorizare provizorie și acreditare (HG 616/2016), inclusiv pentru programele comune (Procedura ANACEC, decizia nr. 75/2022).</w:t>
      </w:r>
    </w:p>
    <w:p w14:paraId="07A6BAC6" w14:textId="77777777" w:rsidR="00F350C0" w:rsidRPr="00F56DAD" w:rsidRDefault="00F350C0" w:rsidP="00A41843">
      <w:pPr>
        <w:numPr>
          <w:ilvl w:val="0"/>
          <w:numId w:val="137"/>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La nivel de sistem: MEC și ANACEC monitorizează implementarea Foii de parcurs 2023–2027 (HG 330/2023, anexa 2), care prevede actualizări periodice și raportare anuală.</w:t>
      </w:r>
    </w:p>
    <w:p w14:paraId="2257EAD0" w14:textId="77777777" w:rsidR="00F350C0" w:rsidRPr="001F6026" w:rsidRDefault="00F350C0" w:rsidP="00A41843">
      <w:pPr>
        <w:numPr>
          <w:ilvl w:val="0"/>
          <w:numId w:val="137"/>
        </w:num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kern w:val="0"/>
          <w:sz w:val="24"/>
          <w:szCs w:val="24"/>
          <w:lang w:eastAsia="ro-MD"/>
          <w14:ligatures w14:val="none"/>
        </w:rPr>
        <w:t>La nivel internațional: raportul de referențiere/autocertificare este validat de comunitatea europeană prin implicarea</w:t>
      </w:r>
      <w:r w:rsidRPr="001F6026">
        <w:rPr>
          <w:rFonts w:ascii="Times New Roman" w:eastAsia="Times New Roman" w:hAnsi="Times New Roman" w:cs="Times New Roman"/>
          <w:kern w:val="0"/>
          <w:sz w:val="24"/>
          <w:szCs w:val="24"/>
          <w:lang w:eastAsia="ro-MD"/>
          <w14:ligatures w14:val="none"/>
        </w:rPr>
        <w:t xml:space="preserve"> rețelelor EQF Advisory Group, ENIC/NARIC și BFUG.</w:t>
      </w:r>
    </w:p>
    <w:p w14:paraId="21D7FFD6" w14:textId="77777777" w:rsidR="00F350C0" w:rsidRPr="001F6026" w:rsidRDefault="00F350C0" w:rsidP="003378C9">
      <w:pPr>
        <w:spacing w:before="120" w:after="120" w:line="276" w:lineRule="auto"/>
        <w:jc w:val="both"/>
        <w:outlineLvl w:val="2"/>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lastRenderedPageBreak/>
        <w:t>Concluzie</w:t>
      </w:r>
    </w:p>
    <w:p w14:paraId="767E7926" w14:textId="77777777" w:rsidR="00F350C0" w:rsidRPr="00F56DAD" w:rsidRDefault="00F350C0" w:rsidP="003378C9">
      <w:p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1F6026">
        <w:rPr>
          <w:rFonts w:ascii="Times New Roman" w:eastAsia="Times New Roman" w:hAnsi="Times New Roman" w:cs="Times New Roman"/>
          <w:kern w:val="0"/>
          <w:sz w:val="24"/>
          <w:szCs w:val="24"/>
          <w:lang w:eastAsia="ro-MD"/>
          <w14:ligatures w14:val="none"/>
        </w:rPr>
        <w:t>Astfel</w:t>
      </w:r>
      <w:r w:rsidRPr="00F56DAD">
        <w:rPr>
          <w:rFonts w:ascii="Times New Roman" w:eastAsia="Times New Roman" w:hAnsi="Times New Roman" w:cs="Times New Roman"/>
          <w:b/>
          <w:bCs/>
          <w:kern w:val="0"/>
          <w:sz w:val="24"/>
          <w:szCs w:val="24"/>
          <w:lang w:eastAsia="ro-MD"/>
          <w14:ligatures w14:val="none"/>
        </w:rPr>
        <w:t>, asigurarea calității în procesul de corelare nu se limitează la verificări administrative, ci constituie un mecanism sistemic, bazat pe:</w:t>
      </w:r>
    </w:p>
    <w:p w14:paraId="6CFAA0C9" w14:textId="77777777" w:rsidR="00F350C0" w:rsidRPr="00F56DAD" w:rsidRDefault="00F350C0" w:rsidP="00A41843">
      <w:pPr>
        <w:numPr>
          <w:ilvl w:val="0"/>
          <w:numId w:val="138"/>
        </w:num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F56DAD">
        <w:rPr>
          <w:rFonts w:ascii="Times New Roman" w:eastAsia="Times New Roman" w:hAnsi="Times New Roman" w:cs="Times New Roman"/>
          <w:b/>
          <w:bCs/>
          <w:kern w:val="0"/>
          <w:sz w:val="24"/>
          <w:szCs w:val="24"/>
          <w:lang w:eastAsia="ro-MD"/>
          <w14:ligatures w14:val="none"/>
        </w:rPr>
        <w:t>cadrul normativ național (Codul educației, HG 330/2023, HG 616/2016, ordine MEC, proceduri ANACEC);</w:t>
      </w:r>
    </w:p>
    <w:p w14:paraId="65F73421" w14:textId="006E6613" w:rsidR="00F350C0" w:rsidRPr="00F56DAD" w:rsidRDefault="00F350C0" w:rsidP="00A41843">
      <w:pPr>
        <w:numPr>
          <w:ilvl w:val="0"/>
          <w:numId w:val="138"/>
        </w:num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F56DAD">
        <w:rPr>
          <w:rFonts w:ascii="Times New Roman" w:eastAsia="Times New Roman" w:hAnsi="Times New Roman" w:cs="Times New Roman"/>
          <w:b/>
          <w:bCs/>
          <w:kern w:val="0"/>
          <w:sz w:val="24"/>
          <w:szCs w:val="24"/>
          <w:lang w:eastAsia="ro-MD"/>
          <w14:ligatures w14:val="none"/>
        </w:rPr>
        <w:t xml:space="preserve">principiile europene (EQF, ESG, </w:t>
      </w:r>
      <w:r w:rsidR="00BB2A74" w:rsidRPr="00F56DAD">
        <w:rPr>
          <w:rFonts w:ascii="Times New Roman" w:eastAsia="Times New Roman" w:hAnsi="Times New Roman" w:cs="Times New Roman"/>
          <w:b/>
          <w:bCs/>
          <w:kern w:val="0"/>
          <w:sz w:val="24"/>
          <w:szCs w:val="24"/>
          <w:lang w:eastAsia="ro-MD"/>
          <w14:ligatures w14:val="none"/>
        </w:rPr>
        <w:t>EQAVET</w:t>
      </w:r>
      <w:r w:rsidRPr="00F56DAD">
        <w:rPr>
          <w:rFonts w:ascii="Times New Roman" w:eastAsia="Times New Roman" w:hAnsi="Times New Roman" w:cs="Times New Roman"/>
          <w:b/>
          <w:bCs/>
          <w:kern w:val="0"/>
          <w:sz w:val="24"/>
          <w:szCs w:val="24"/>
          <w:lang w:eastAsia="ro-MD"/>
          <w14:ligatures w14:val="none"/>
        </w:rPr>
        <w:t>, criterii QF-</w:t>
      </w:r>
      <w:r w:rsidR="002513BE" w:rsidRPr="00F56DAD">
        <w:rPr>
          <w:rFonts w:ascii="Times New Roman" w:eastAsia="Times New Roman" w:hAnsi="Times New Roman" w:cs="Times New Roman"/>
          <w:b/>
          <w:bCs/>
          <w:kern w:val="0"/>
          <w:sz w:val="24"/>
          <w:szCs w:val="24"/>
          <w:lang w:eastAsia="ro-MD"/>
          <w14:ligatures w14:val="none"/>
        </w:rPr>
        <w:t>EHEA</w:t>
      </w:r>
      <w:r w:rsidRPr="00F56DAD">
        <w:rPr>
          <w:rFonts w:ascii="Times New Roman" w:eastAsia="Times New Roman" w:hAnsi="Times New Roman" w:cs="Times New Roman"/>
          <w:b/>
          <w:bCs/>
          <w:kern w:val="0"/>
          <w:sz w:val="24"/>
          <w:szCs w:val="24"/>
          <w:lang w:eastAsia="ro-MD"/>
          <w14:ligatures w14:val="none"/>
        </w:rPr>
        <w:t>);</w:t>
      </w:r>
    </w:p>
    <w:p w14:paraId="5797D298" w14:textId="77777777" w:rsidR="00F350C0" w:rsidRPr="00F56DAD" w:rsidRDefault="00F350C0" w:rsidP="00A41843">
      <w:pPr>
        <w:numPr>
          <w:ilvl w:val="0"/>
          <w:numId w:val="138"/>
        </w:numPr>
        <w:spacing w:before="120" w:after="120" w:line="276" w:lineRule="auto"/>
        <w:jc w:val="both"/>
        <w:rPr>
          <w:rFonts w:ascii="Times New Roman" w:eastAsia="Times New Roman" w:hAnsi="Times New Roman" w:cs="Times New Roman"/>
          <w:b/>
          <w:bCs/>
          <w:kern w:val="0"/>
          <w:sz w:val="24"/>
          <w:szCs w:val="24"/>
          <w:lang w:eastAsia="ro-MD"/>
          <w14:ligatures w14:val="none"/>
        </w:rPr>
      </w:pPr>
      <w:r w:rsidRPr="00F56DAD">
        <w:rPr>
          <w:rFonts w:ascii="Times New Roman" w:eastAsia="Times New Roman" w:hAnsi="Times New Roman" w:cs="Times New Roman"/>
          <w:b/>
          <w:bCs/>
          <w:kern w:val="0"/>
          <w:sz w:val="24"/>
          <w:szCs w:val="24"/>
          <w:lang w:eastAsia="ro-MD"/>
          <w14:ligatures w14:val="none"/>
        </w:rPr>
        <w:t>implicarea participativă a tuturor părților interesate.</w:t>
      </w:r>
    </w:p>
    <w:p w14:paraId="7676EDAD" w14:textId="77777777" w:rsidR="00F350C0" w:rsidRPr="001F6026" w:rsidRDefault="00F350C0" w:rsidP="003378C9">
      <w:pPr>
        <w:spacing w:before="120" w:after="120" w:line="276" w:lineRule="auto"/>
        <w:jc w:val="both"/>
        <w:rPr>
          <w:rFonts w:ascii="Times New Roman" w:eastAsia="Times New Roman" w:hAnsi="Times New Roman" w:cs="Times New Roman"/>
          <w:kern w:val="0"/>
          <w:sz w:val="24"/>
          <w:szCs w:val="24"/>
          <w:lang w:eastAsia="ro-MD"/>
          <w14:ligatures w14:val="none"/>
        </w:rPr>
      </w:pPr>
      <w:r w:rsidRPr="00F56DAD">
        <w:rPr>
          <w:rFonts w:ascii="Times New Roman" w:eastAsia="Times New Roman" w:hAnsi="Times New Roman" w:cs="Times New Roman"/>
          <w:b/>
          <w:bCs/>
          <w:kern w:val="0"/>
          <w:sz w:val="24"/>
          <w:szCs w:val="24"/>
          <w:lang w:eastAsia="ro-MD"/>
          <w14:ligatures w14:val="none"/>
        </w:rPr>
        <w:t>Această arhitectură garantează că raportul de referențiere/autocertificare al Republicii Moldova va fi credibil, comparabil și recunoscut la</w:t>
      </w:r>
      <w:r w:rsidRPr="001F6026">
        <w:rPr>
          <w:rFonts w:ascii="Times New Roman" w:eastAsia="Times New Roman" w:hAnsi="Times New Roman" w:cs="Times New Roman"/>
          <w:kern w:val="0"/>
          <w:sz w:val="24"/>
          <w:szCs w:val="24"/>
          <w:lang w:eastAsia="ro-MD"/>
          <w14:ligatures w14:val="none"/>
        </w:rPr>
        <w:t xml:space="preserve"> nivel european și internațional.</w:t>
      </w:r>
    </w:p>
    <w:p w14:paraId="4FEAD9CB" w14:textId="77777777" w:rsidR="0007112C" w:rsidRPr="001F6026" w:rsidRDefault="0007112C" w:rsidP="0007112C">
      <w:pPr>
        <w:spacing w:before="120" w:after="120" w:line="240" w:lineRule="auto"/>
        <w:rPr>
          <w:rFonts w:ascii="Times New Roman" w:eastAsia="MS Mincho" w:hAnsi="Times New Roman" w:cs="Times New Roman"/>
          <w:kern w:val="0"/>
          <w:sz w:val="24"/>
          <w:szCs w:val="24"/>
          <w14:ligatures w14:val="none"/>
        </w:rPr>
      </w:pPr>
    </w:p>
    <w:p w14:paraId="23446147" w14:textId="56E177AC" w:rsidR="00F432EB" w:rsidRPr="001F6026" w:rsidRDefault="00F432EB" w:rsidP="0041118E">
      <w:pPr>
        <w:pStyle w:val="a7"/>
        <w:keepNext/>
        <w:keepLines/>
        <w:numPr>
          <w:ilvl w:val="0"/>
          <w:numId w:val="5"/>
        </w:numPr>
        <w:spacing w:before="120" w:after="120" w:line="276" w:lineRule="auto"/>
        <w:outlineLvl w:val="0"/>
        <w:rPr>
          <w:rFonts w:ascii="Times New Roman" w:eastAsia="MS Gothic" w:hAnsi="Times New Roman" w:cs="Times New Roman"/>
          <w:b/>
          <w:bCs/>
          <w:color w:val="3494BA" w:themeColor="accent1"/>
          <w:kern w:val="0"/>
          <w:sz w:val="24"/>
          <w:szCs w:val="24"/>
          <w14:ligatures w14:val="none"/>
        </w:rPr>
      </w:pPr>
      <w:r w:rsidRPr="001F6026">
        <w:rPr>
          <w:rFonts w:ascii="Times New Roman" w:eastAsia="MS Gothic" w:hAnsi="Times New Roman" w:cs="Times New Roman"/>
          <w:b/>
          <w:bCs/>
          <w:color w:val="3494BA" w:themeColor="accent1"/>
          <w:kern w:val="0"/>
          <w:sz w:val="24"/>
          <w:szCs w:val="24"/>
          <w14:ligatures w14:val="none"/>
        </w:rPr>
        <w:t>PERSPECTIVE DE DEZVOLTARE A CNC</w:t>
      </w:r>
    </w:p>
    <w:p w14:paraId="1C28F6B7" w14:textId="2D3F4AA5" w:rsidR="00B7364D" w:rsidRPr="001F6026" w:rsidRDefault="006C16A8" w:rsidP="00AD32A6">
      <w:pPr>
        <w:pStyle w:val="af8"/>
        <w:spacing w:before="120" w:beforeAutospacing="0" w:after="120" w:afterAutospacing="0" w:line="276" w:lineRule="auto"/>
        <w:jc w:val="both"/>
      </w:pPr>
      <w:r w:rsidRPr="001F6026">
        <w:t xml:space="preserve">În 2023, prin HG 330/2023, </w:t>
      </w:r>
      <w:r w:rsidR="00B7364D" w:rsidRPr="001F6026">
        <w:t xml:space="preserve">Ministerul Educației și Cercetării a lansat o nouă etapă de dezvoltare a Cadrului Național al Calificărilor (CNC), axată </w:t>
      </w:r>
      <w:r w:rsidR="00B7364D" w:rsidRPr="00F56DAD">
        <w:t xml:space="preserve">pe </w:t>
      </w:r>
      <w:r w:rsidR="00B7364D" w:rsidRPr="00F56DAD">
        <w:rPr>
          <w:rStyle w:val="af9"/>
          <w:rFonts w:eastAsiaTheme="majorEastAsia"/>
          <w:b w:val="0"/>
          <w:bCs w:val="0"/>
        </w:rPr>
        <w:t>operaționalizare</w:t>
      </w:r>
      <w:r w:rsidR="00B7364D" w:rsidRPr="00F56DAD">
        <w:t xml:space="preserve">. Această fază are drept obiective generale creșterea </w:t>
      </w:r>
      <w:r w:rsidR="00B7364D" w:rsidRPr="00F56DAD">
        <w:rPr>
          <w:rStyle w:val="af9"/>
          <w:rFonts w:eastAsiaTheme="majorEastAsia"/>
          <w:b w:val="0"/>
          <w:bCs w:val="0"/>
        </w:rPr>
        <w:t>transparenței, comparabilității și transferabilității calificărilor</w:t>
      </w:r>
      <w:r w:rsidR="00B7364D" w:rsidRPr="00F56DAD">
        <w:t xml:space="preserve">, îmbunătățirea </w:t>
      </w:r>
      <w:r w:rsidR="00B7364D" w:rsidRPr="00F56DAD">
        <w:rPr>
          <w:rStyle w:val="af9"/>
          <w:rFonts w:eastAsiaTheme="majorEastAsia"/>
          <w:b w:val="0"/>
          <w:bCs w:val="0"/>
        </w:rPr>
        <w:t>calității și relevanței</w:t>
      </w:r>
      <w:r w:rsidR="00B7364D" w:rsidRPr="00F56DAD">
        <w:t xml:space="preserve"> lor pentru piața muncii, promovarea </w:t>
      </w:r>
      <w:r w:rsidR="00B7364D" w:rsidRPr="00F56DAD">
        <w:rPr>
          <w:rStyle w:val="af9"/>
          <w:rFonts w:eastAsiaTheme="majorEastAsia"/>
        </w:rPr>
        <w:t>a</w:t>
      </w:r>
      <w:r w:rsidR="00B7364D" w:rsidRPr="00F56DAD">
        <w:rPr>
          <w:rStyle w:val="af9"/>
          <w:rFonts w:eastAsiaTheme="majorEastAsia"/>
          <w:b w:val="0"/>
          <w:bCs w:val="0"/>
        </w:rPr>
        <w:t>ccesului la învățare pe tot parcursul vieții</w:t>
      </w:r>
      <w:r w:rsidR="00B7364D" w:rsidRPr="00F56DAD">
        <w:rPr>
          <w:b/>
          <w:bCs/>
        </w:rPr>
        <w:t>,</w:t>
      </w:r>
      <w:r w:rsidR="00B7364D" w:rsidRPr="00F56DAD">
        <w:t xml:space="preserve"> precum și sporirea </w:t>
      </w:r>
      <w:r w:rsidR="00B7364D" w:rsidRPr="00F56DAD">
        <w:rPr>
          <w:rStyle w:val="af9"/>
          <w:rFonts w:eastAsiaTheme="majorEastAsia"/>
          <w:b w:val="0"/>
          <w:bCs w:val="0"/>
        </w:rPr>
        <w:t>angajabilității, mobilității și incluziunii sociale</w:t>
      </w:r>
      <w:r w:rsidR="00B7364D" w:rsidRPr="00F56DAD">
        <w:t xml:space="preserve"> a absolvenților</w:t>
      </w:r>
      <w:r w:rsidR="00B7364D" w:rsidRPr="001F6026">
        <w:t>.</w:t>
      </w:r>
    </w:p>
    <w:p w14:paraId="6A8D79E8" w14:textId="77777777" w:rsidR="00B7364D" w:rsidRPr="001F6026" w:rsidRDefault="00B7364D" w:rsidP="00AD32A6">
      <w:pPr>
        <w:pStyle w:val="af8"/>
        <w:spacing w:before="120" w:beforeAutospacing="0" w:after="120" w:afterAutospacing="0" w:line="276" w:lineRule="auto"/>
        <w:jc w:val="both"/>
      </w:pPr>
      <w:r w:rsidRPr="001F6026">
        <w:t>Procesul de dezvoltare și operaționalizare a CNC urmărește obiective specifice precum: corelarea calificărilor formale, non-formale și informale; indicarea nivelului EQF în actele de studii; consolidarea permeabilității între niveluri și trasee educaționale; orientarea spre rezultate ale învățării și validarea acestora în diferite contexte; stimularea mobilității academice și profesionale (orizontale, verticale și virtuale); crearea de oportunități pentru învățare continuă; implicarea părților interesate în asigurarea calității; modernizarea sistemului național de calificări și promovarea dimensiunii europene a CNC.</w:t>
      </w:r>
    </w:p>
    <w:p w14:paraId="508AB8A9" w14:textId="77777777" w:rsidR="00B7364D" w:rsidRPr="001F6026" w:rsidRDefault="00B7364D" w:rsidP="006C16A8">
      <w:pPr>
        <w:pStyle w:val="af8"/>
        <w:spacing w:before="120" w:beforeAutospacing="0" w:after="120" w:afterAutospacing="0"/>
        <w:jc w:val="both"/>
      </w:pPr>
      <w:r w:rsidRPr="001F6026">
        <w:t xml:space="preserve">Pentru atingerea acestor obiective, Ministerul a stabilit </w:t>
      </w:r>
      <w:r w:rsidRPr="001F6026">
        <w:rPr>
          <w:rFonts w:eastAsiaTheme="majorEastAsia"/>
        </w:rPr>
        <w:t>șapte priorități strategice</w:t>
      </w:r>
      <w:r w:rsidRPr="001F6026">
        <w:t>:</w:t>
      </w:r>
    </w:p>
    <w:p w14:paraId="74DAFD23" w14:textId="77777777" w:rsidR="00B7364D" w:rsidRPr="001F6026" w:rsidRDefault="00B7364D" w:rsidP="00A41843">
      <w:pPr>
        <w:pStyle w:val="af8"/>
        <w:numPr>
          <w:ilvl w:val="0"/>
          <w:numId w:val="142"/>
        </w:numPr>
        <w:spacing w:before="120" w:beforeAutospacing="0" w:after="120" w:afterAutospacing="0"/>
        <w:jc w:val="both"/>
      </w:pPr>
      <w:r w:rsidRPr="001F6026">
        <w:t>dezvoltarea și actualizarea cadrului normativ;</w:t>
      </w:r>
    </w:p>
    <w:p w14:paraId="102E2E70" w14:textId="77777777" w:rsidR="00B7364D" w:rsidRPr="001F6026" w:rsidRDefault="00B7364D" w:rsidP="00A41843">
      <w:pPr>
        <w:pStyle w:val="af8"/>
        <w:numPr>
          <w:ilvl w:val="0"/>
          <w:numId w:val="142"/>
        </w:numPr>
        <w:spacing w:before="120" w:beforeAutospacing="0" w:after="120" w:afterAutospacing="0"/>
        <w:jc w:val="both"/>
      </w:pPr>
      <w:r w:rsidRPr="001F6026">
        <w:t>crearea și instituționalizarea platformei de dialog cu părțile interesate;</w:t>
      </w:r>
    </w:p>
    <w:p w14:paraId="56B848F1" w14:textId="77777777" w:rsidR="00B7364D" w:rsidRPr="001F6026" w:rsidRDefault="00B7364D" w:rsidP="00A41843">
      <w:pPr>
        <w:pStyle w:val="af8"/>
        <w:numPr>
          <w:ilvl w:val="0"/>
          <w:numId w:val="142"/>
        </w:numPr>
        <w:spacing w:before="120" w:beforeAutospacing="0" w:after="120" w:afterAutospacing="0"/>
        <w:jc w:val="both"/>
      </w:pPr>
      <w:r w:rsidRPr="001F6026">
        <w:t>coordonarea și administrarea strategică a CNC;</w:t>
      </w:r>
    </w:p>
    <w:p w14:paraId="76D31F9D" w14:textId="77777777" w:rsidR="00B7364D" w:rsidRPr="001F6026" w:rsidRDefault="00B7364D" w:rsidP="00A41843">
      <w:pPr>
        <w:pStyle w:val="af8"/>
        <w:numPr>
          <w:ilvl w:val="0"/>
          <w:numId w:val="142"/>
        </w:numPr>
        <w:spacing w:before="120" w:beforeAutospacing="0" w:after="120" w:afterAutospacing="0"/>
        <w:jc w:val="both"/>
      </w:pPr>
      <w:r w:rsidRPr="001F6026">
        <w:t>dezvoltarea mecanismelor, procedurilor, standardelor necesare implementării operaționale în conformitate cu principiile EQF;</w:t>
      </w:r>
    </w:p>
    <w:p w14:paraId="1C70B09D" w14:textId="77777777" w:rsidR="00B7364D" w:rsidRPr="001F6026" w:rsidRDefault="00B7364D" w:rsidP="00A41843">
      <w:pPr>
        <w:pStyle w:val="af8"/>
        <w:numPr>
          <w:ilvl w:val="0"/>
          <w:numId w:val="142"/>
        </w:numPr>
        <w:spacing w:before="120" w:beforeAutospacing="0" w:after="120" w:afterAutospacing="0"/>
        <w:jc w:val="both"/>
      </w:pPr>
      <w:r w:rsidRPr="001F6026">
        <w:t>consolidarea sistemului de asigurare a calității calificărilor;</w:t>
      </w:r>
    </w:p>
    <w:p w14:paraId="2A344423" w14:textId="77777777" w:rsidR="00B7364D" w:rsidRPr="001F6026" w:rsidRDefault="00B7364D" w:rsidP="00A41843">
      <w:pPr>
        <w:pStyle w:val="af8"/>
        <w:numPr>
          <w:ilvl w:val="0"/>
          <w:numId w:val="142"/>
        </w:numPr>
        <w:spacing w:before="120" w:beforeAutospacing="0" w:after="120" w:afterAutospacing="0"/>
        <w:jc w:val="both"/>
      </w:pPr>
      <w:r w:rsidRPr="001F6026">
        <w:t>sporirea vizibilității CNC și integrarea dimensiunii europene;</w:t>
      </w:r>
    </w:p>
    <w:p w14:paraId="3226C909" w14:textId="77777777" w:rsidR="00B7364D" w:rsidRPr="001F6026" w:rsidRDefault="00B7364D" w:rsidP="00A41843">
      <w:pPr>
        <w:pStyle w:val="af8"/>
        <w:numPr>
          <w:ilvl w:val="0"/>
          <w:numId w:val="142"/>
        </w:numPr>
        <w:spacing w:before="120" w:beforeAutospacing="0" w:after="120" w:afterAutospacing="0"/>
        <w:jc w:val="both"/>
      </w:pPr>
      <w:r w:rsidRPr="001F6026">
        <w:t>referențierea CNC la EQF și autocertificarea la QF-EHEA.</w:t>
      </w:r>
    </w:p>
    <w:p w14:paraId="14FB1B57" w14:textId="77777777" w:rsidR="00B7364D" w:rsidRPr="001F6026" w:rsidRDefault="00B7364D" w:rsidP="00F56DAD">
      <w:pPr>
        <w:pStyle w:val="af8"/>
        <w:spacing w:before="120" w:beforeAutospacing="0" w:after="120" w:afterAutospacing="0" w:line="276" w:lineRule="auto"/>
        <w:jc w:val="both"/>
      </w:pPr>
      <w:r w:rsidRPr="001F6026">
        <w:t xml:space="preserve">Documentul este în deplină concordanță cu </w:t>
      </w:r>
      <w:r w:rsidRPr="001F6026">
        <w:rPr>
          <w:rFonts w:eastAsiaTheme="majorEastAsia"/>
        </w:rPr>
        <w:t>Obiectivul 4 al Agendei ONU 2030</w:t>
      </w:r>
      <w:r w:rsidRPr="001F6026">
        <w:t xml:space="preserve"> privind educația de calitate și învățarea pe tot parcursul vieții, precum și cu </w:t>
      </w:r>
      <w:r w:rsidRPr="001F6026">
        <w:rPr>
          <w:rFonts w:eastAsiaTheme="majorEastAsia"/>
        </w:rPr>
        <w:t>Strategia Națională „Moldova Europeană 2030”</w:t>
      </w:r>
      <w:r w:rsidRPr="001F6026">
        <w:t xml:space="preserve"> și alte politici sectoriale (Educație 2030, Ocuparea Forței de Muncă, Migrație și Reintegrare, Îmbătrânire activă, Tineret 2030, Transformare digitală 2023–2030).</w:t>
      </w:r>
    </w:p>
    <w:p w14:paraId="00548D82" w14:textId="77777777" w:rsidR="00B7364D" w:rsidRPr="001F6026" w:rsidRDefault="00B7364D" w:rsidP="00F56DAD">
      <w:pPr>
        <w:pStyle w:val="af8"/>
        <w:spacing w:before="120" w:beforeAutospacing="0" w:after="120" w:afterAutospacing="0" w:line="276" w:lineRule="auto"/>
        <w:jc w:val="both"/>
      </w:pPr>
      <w:r w:rsidRPr="001F6026">
        <w:t xml:space="preserve">Implementarea Foii de parcurs pentru perioada </w:t>
      </w:r>
      <w:r w:rsidRPr="001F6026">
        <w:rPr>
          <w:rFonts w:eastAsiaTheme="majorEastAsia"/>
        </w:rPr>
        <w:t>2023–2027</w:t>
      </w:r>
      <w:r w:rsidRPr="001F6026">
        <w:t xml:space="preserve"> va permite cetățenilor să obțină </w:t>
      </w:r>
      <w:r w:rsidRPr="001F6026">
        <w:rPr>
          <w:rFonts w:eastAsiaTheme="majorEastAsia"/>
        </w:rPr>
        <w:t>calificări clare, relevante și comparabile cu cele din Spațiul European al Educației</w:t>
      </w:r>
      <w:r w:rsidRPr="001F6026">
        <w:t xml:space="preserve">, va asigura </w:t>
      </w:r>
      <w:r w:rsidRPr="001F6026">
        <w:rPr>
          <w:rFonts w:eastAsiaTheme="majorEastAsia"/>
        </w:rPr>
        <w:t xml:space="preserve">flexibilitate și </w:t>
      </w:r>
      <w:r w:rsidRPr="001F6026">
        <w:lastRenderedPageBreak/>
        <w:t>permeabilitate în sistemul educațional, va stimula competitivitatea și incluziunea socială, mobilitatea și angajabilitatea, contribuind direct la dezvoltarea economică și socială a Republicii Moldova.</w:t>
      </w:r>
    </w:p>
    <w:p w14:paraId="25CC4287" w14:textId="050BA492" w:rsidR="000C45D3" w:rsidRPr="001F6026" w:rsidRDefault="000C45D3" w:rsidP="00F56DAD">
      <w:pPr>
        <w:pStyle w:val="af8"/>
        <w:spacing w:before="120" w:beforeAutospacing="0" w:after="120" w:afterAutospacing="0" w:line="276" w:lineRule="auto"/>
        <w:jc w:val="both"/>
      </w:pPr>
      <w:r w:rsidRPr="001F6026">
        <w:t>Cadrul Național al Calificărilor din Republica Moldova reprezintă o piatră de temelie a strategiei naționale de educație și dezvoltare a competențelor. Acesta a înregistrat progrese substanțiale în promovarea transparenței, comparabilității și mobilității și continuă să servească drept punte între educație și piața muncii.</w:t>
      </w:r>
    </w:p>
    <w:p w14:paraId="2FBFF75F" w14:textId="77777777" w:rsidR="000C45D3" w:rsidRPr="001F6026" w:rsidRDefault="000C45D3" w:rsidP="00F56DAD">
      <w:pPr>
        <w:pStyle w:val="af8"/>
        <w:spacing w:before="120" w:beforeAutospacing="0" w:after="120" w:afterAutospacing="0" w:line="276" w:lineRule="auto"/>
        <w:jc w:val="both"/>
        <w:rPr>
          <w:rStyle w:val="af9"/>
          <w:rFonts w:eastAsiaTheme="majorEastAsia"/>
          <w:b w:val="0"/>
          <w:bCs w:val="0"/>
        </w:rPr>
      </w:pPr>
      <w:r w:rsidRPr="001F6026">
        <w:t>Dezvoltarea în continuare a CNC va constitui un instrument strategic în avansarea obiectivelor Republicii Moldova</w:t>
      </w:r>
      <w:r w:rsidRPr="001F6026">
        <w:rPr>
          <w:rStyle w:val="af9"/>
          <w:rFonts w:eastAsiaTheme="majorEastAsia"/>
          <w:b w:val="0"/>
          <w:bCs w:val="0"/>
        </w:rPr>
        <w:t xml:space="preserve"> privind creșterea incluzivă, cooperarea internațională și asigurarea învățării pe tot parcursul vieții pentru toți</w:t>
      </w:r>
    </w:p>
    <w:p w14:paraId="4FF488D2" w14:textId="73A3E5E4" w:rsidR="002648E3" w:rsidRPr="001F6026" w:rsidRDefault="00A84758" w:rsidP="0041118E">
      <w:pPr>
        <w:pStyle w:val="a7"/>
        <w:numPr>
          <w:ilvl w:val="0"/>
          <w:numId w:val="5"/>
        </w:numPr>
        <w:spacing w:before="120" w:after="120" w:line="276" w:lineRule="auto"/>
        <w:contextualSpacing w:val="0"/>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ANEXE</w:t>
      </w:r>
    </w:p>
    <w:p w14:paraId="61B4C267" w14:textId="46AF5192" w:rsidR="00CC70FB" w:rsidRPr="001F6026" w:rsidRDefault="00CC70FB" w:rsidP="0041118E">
      <w:pPr>
        <w:pStyle w:val="a7"/>
        <w:numPr>
          <w:ilvl w:val="1"/>
          <w:numId w:val="5"/>
        </w:numPr>
        <w:spacing w:before="120" w:after="120" w:line="276" w:lineRule="auto"/>
        <w:contextualSpacing w:val="0"/>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 xml:space="preserve">Tabele de corelare/referențiere </w:t>
      </w:r>
    </w:p>
    <w:p w14:paraId="379C2318" w14:textId="77777777" w:rsidR="00FE597E" w:rsidRPr="001F6026" w:rsidRDefault="00FE597E" w:rsidP="008E48EF">
      <w:pPr>
        <w:spacing w:before="120" w:after="120" w:line="276" w:lineRule="auto"/>
        <w:rPr>
          <w:rFonts w:ascii="Times New Roman" w:hAnsi="Times New Roman" w:cs="Times New Roman"/>
          <w:b/>
          <w:bCs/>
          <w:color w:val="3494BA" w:themeColor="accent1"/>
          <w:sz w:val="24"/>
          <w:szCs w:val="24"/>
        </w:rPr>
        <w:sectPr w:rsidR="00FE597E" w:rsidRPr="001F6026" w:rsidSect="009E52AB">
          <w:footerReference w:type="default" r:id="rId94"/>
          <w:pgSz w:w="11906" w:h="16838"/>
          <w:pgMar w:top="1134" w:right="1134" w:bottom="1134" w:left="1134" w:header="708" w:footer="708"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cols w:space="708"/>
          <w:titlePg/>
          <w:docGrid w:linePitch="360"/>
        </w:sectPr>
      </w:pPr>
    </w:p>
    <w:p w14:paraId="67A7AFF0" w14:textId="565730E2" w:rsidR="0025602B" w:rsidRPr="001F6026" w:rsidRDefault="0025602B" w:rsidP="0025602B">
      <w:pPr>
        <w:spacing w:before="120" w:after="120" w:line="276" w:lineRule="auto"/>
        <w:jc w:val="right"/>
        <w:rPr>
          <w:rFonts w:ascii="Times New Roman" w:hAnsi="Times New Roman" w:cs="Times New Roman"/>
          <w:b/>
          <w:bCs/>
          <w:sz w:val="24"/>
          <w:szCs w:val="24"/>
        </w:rPr>
      </w:pPr>
      <w:r w:rsidRPr="00F56DAD">
        <w:rPr>
          <w:rFonts w:ascii="Times New Roman" w:hAnsi="Times New Roman" w:cs="Times New Roman"/>
          <w:b/>
          <w:bCs/>
          <w:sz w:val="24"/>
          <w:szCs w:val="24"/>
        </w:rPr>
        <w:lastRenderedPageBreak/>
        <w:t>Anexa</w:t>
      </w:r>
      <w:r w:rsidR="004E404C" w:rsidRPr="001F6026">
        <w:rPr>
          <w:rFonts w:ascii="Times New Roman" w:hAnsi="Times New Roman" w:cs="Times New Roman"/>
          <w:b/>
          <w:bCs/>
          <w:sz w:val="24"/>
          <w:szCs w:val="24"/>
        </w:rPr>
        <w:t xml:space="preserve"> </w:t>
      </w:r>
    </w:p>
    <w:p w14:paraId="0DF111C9" w14:textId="597B3B88" w:rsidR="008E48EF" w:rsidRPr="001F6026" w:rsidRDefault="008E48EF" w:rsidP="008E48EF">
      <w:pPr>
        <w:spacing w:before="120" w:after="120" w:line="276" w:lineRule="auto"/>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REGISTRUL</w:t>
      </w:r>
    </w:p>
    <w:p w14:paraId="7443F454" w14:textId="77777777" w:rsidR="008E48EF" w:rsidRPr="001F6026" w:rsidRDefault="008E48EF" w:rsidP="008E48EF">
      <w:pPr>
        <w:spacing w:before="120" w:after="120" w:line="276" w:lineRule="auto"/>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t>Standardelor ocupaționale (SO)</w:t>
      </w:r>
    </w:p>
    <w:tbl>
      <w:tblPr>
        <w:tblStyle w:val="aff"/>
        <w:tblW w:w="15168" w:type="dxa"/>
        <w:tblInd w:w="-431" w:type="dxa"/>
        <w:tblLayout w:type="fixed"/>
        <w:tblLook w:val="04A0" w:firstRow="1" w:lastRow="0" w:firstColumn="1" w:lastColumn="0" w:noHBand="0" w:noVBand="1"/>
      </w:tblPr>
      <w:tblGrid>
        <w:gridCol w:w="568"/>
        <w:gridCol w:w="2126"/>
        <w:gridCol w:w="1431"/>
        <w:gridCol w:w="2161"/>
        <w:gridCol w:w="2071"/>
        <w:gridCol w:w="2161"/>
        <w:gridCol w:w="3375"/>
        <w:gridCol w:w="1275"/>
      </w:tblGrid>
      <w:tr w:rsidR="0025602B" w:rsidRPr="001F6026" w14:paraId="26FE67BC"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E48F5" w14:textId="77777777" w:rsidR="008E48EF" w:rsidRPr="001F6026" w:rsidRDefault="008E48EF" w:rsidP="005E0290">
            <w:pPr>
              <w:rPr>
                <w:rFonts w:ascii="Times New Roman" w:hAnsi="Times New Roman" w:cs="Times New Roman"/>
                <w:b/>
                <w:bCs/>
                <w:sz w:val="18"/>
                <w:szCs w:val="18"/>
              </w:rPr>
            </w:pPr>
            <w:r w:rsidRPr="001F6026">
              <w:rPr>
                <w:rFonts w:ascii="Times New Roman" w:hAnsi="Times New Roman" w:cs="Times New Roman"/>
                <w:b/>
                <w:bCs/>
                <w:sz w:val="18"/>
                <w:szCs w:val="18"/>
              </w:rPr>
              <w:t>Nr. d/o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1A2D0"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sz w:val="18"/>
                <w:szCs w:val="18"/>
              </w:rPr>
              <w:t>Denumirea standardului ocupațional</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FEE2A"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sz w:val="18"/>
                <w:szCs w:val="18"/>
              </w:rPr>
              <w:t>Nr. ordinului prin care a fost aprobat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08A9D"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iCs/>
                <w:sz w:val="18"/>
                <w:szCs w:val="18"/>
              </w:rPr>
              <w:t>Monitorul Oficial în care a fost publicat</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27C35"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sz w:val="18"/>
                <w:szCs w:val="18"/>
              </w:rPr>
              <w:t>Autoritatea publică care a aprobat SO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3C88F"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sz w:val="18"/>
                <w:szCs w:val="18"/>
              </w:rPr>
              <w:t>Autoritatea publică care a coordonat SO</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1DE7B"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sz w:val="18"/>
                <w:szCs w:val="18"/>
              </w:rPr>
              <w:t>Elaborat SO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0E7EE" w14:textId="77777777" w:rsidR="008E48EF" w:rsidRPr="001F6026" w:rsidRDefault="008E48EF" w:rsidP="00470862">
            <w:pPr>
              <w:rPr>
                <w:rFonts w:ascii="Times New Roman" w:hAnsi="Times New Roman" w:cs="Times New Roman"/>
                <w:b/>
                <w:bCs/>
                <w:sz w:val="18"/>
                <w:szCs w:val="18"/>
              </w:rPr>
            </w:pPr>
            <w:r w:rsidRPr="001F6026">
              <w:rPr>
                <w:rFonts w:ascii="Times New Roman" w:hAnsi="Times New Roman" w:cs="Times New Roman"/>
                <w:b/>
                <w:bCs/>
                <w:sz w:val="18"/>
                <w:szCs w:val="18"/>
              </w:rPr>
              <w:t>Domeniul de activitate a SO</w:t>
            </w:r>
          </w:p>
        </w:tc>
      </w:tr>
      <w:tr w:rsidR="0025602B" w:rsidRPr="001F6026" w14:paraId="07A30479"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5BB6" w14:textId="3F9E226C"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1025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712628 Lăcătuş-instalator tehnică sanitară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EB9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156 din 31.10.2023</w:t>
            </w:r>
          </w:p>
          <w:p w14:paraId="7F802F4A"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325E3"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422-425 art. 1078 din 10.11.2023</w:t>
            </w:r>
          </w:p>
          <w:p w14:paraId="54F166FB"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88C3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FC6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0A9C2218"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4984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1F5E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381CC7C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1A0E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5ECB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713204 Zugrav/zugravă (zugrăviță)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466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151 din 31.10.2023</w:t>
            </w:r>
          </w:p>
          <w:p w14:paraId="63E48379"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9AAA"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418-421 art. 1073 din 09.11.2023</w:t>
            </w:r>
          </w:p>
          <w:p w14:paraId="6FFE4033"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1D9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45F0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482E50BB"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BF0D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28EC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7304F3E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9FD4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7808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751204 Cofetar/cofetară (cofetăreasă)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A000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041ED4BF"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679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6311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7270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732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DBF6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2F722BB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D360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DF65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611209 Viticultor/viticultoare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F6A7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5EE4971F"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61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6BD1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0F5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8880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7E96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r w:rsidR="0025602B" w:rsidRPr="001F6026" w14:paraId="2D2FC2F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419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87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711407 Fierar-betonist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1592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165 din 20.11.2023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63B2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452-454 art. 1129 din 28.11.2023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F6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A6B5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0804FBC5"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B5E2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7D0B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6F53BE0B"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6812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47FD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711204 Pietrar zidar/pietrăriță zidăriță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9456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166 din 20.11.2023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95D2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452-454 art. 1130 din 28.11.2023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6C8F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00A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18EBCF3B"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9D0F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1847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3D0ABD5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E8CA6"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6C8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711502 Dulgher/dulgheriță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203C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164 din 20.11.2023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73EE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452-454 art. 1128 din 28.11.2023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4454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2CBA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5B9A8540"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6D71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599D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6C416A7F"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B6D3"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B93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741108 Lăcătuş-electrician în construcţii (nivel 3)</w:t>
            </w:r>
          </w:p>
          <w:p w14:paraId="67D1B619" w14:textId="77777777" w:rsidR="008E48EF" w:rsidRPr="001F6026" w:rsidRDefault="008E48EF" w:rsidP="00470862">
            <w:pPr>
              <w:rPr>
                <w:rFonts w:ascii="Times New Roman" w:hAnsi="Times New Roman" w:cs="Times New Roman"/>
                <w:sz w:val="18"/>
                <w:szCs w:val="18"/>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3D7B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154 din 31.10.2023</w:t>
            </w:r>
          </w:p>
          <w:p w14:paraId="0CB854C4"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89449"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422-425 art. 1076 din 10.11.2023</w:t>
            </w:r>
          </w:p>
          <w:p w14:paraId="767D6705"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614F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0169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F48D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948F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3924C24A"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7583" w14:textId="29838AFC"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BE14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741101 Electrician/electriciană în construcţii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487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155 din 31.10.2023</w:t>
            </w:r>
          </w:p>
          <w:p w14:paraId="247B38D3"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FB059"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422-425 art. 1077 din 10.11.2023</w:t>
            </w:r>
          </w:p>
          <w:p w14:paraId="745D1AEC"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ED2B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657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74E4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262C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00864D0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E61B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81C6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751202 Brutar/brutăreasă (nivel 3)</w:t>
            </w:r>
          </w:p>
          <w:p w14:paraId="09A64A40" w14:textId="77777777" w:rsidR="008E48EF" w:rsidRPr="001F6026" w:rsidRDefault="008E48EF" w:rsidP="00470862">
            <w:pPr>
              <w:rPr>
                <w:rFonts w:ascii="Times New Roman" w:hAnsi="Times New Roman" w:cs="Times New Roman"/>
                <w:sz w:val="18"/>
                <w:szCs w:val="18"/>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B40E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5274EA74" w14:textId="77777777" w:rsidR="008E48EF" w:rsidRPr="001F6026" w:rsidRDefault="008E48EF" w:rsidP="00470862">
            <w:pPr>
              <w:rPr>
                <w:rFonts w:ascii="Times New Roman" w:hAnsi="Times New Roman" w:cs="Times New Roman"/>
                <w:sz w:val="18"/>
                <w:szCs w:val="18"/>
              </w:rPr>
            </w:pPr>
          </w:p>
          <w:p w14:paraId="6A534180"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4B1C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B85D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p w14:paraId="3E6B5E4E" w14:textId="77777777" w:rsidR="008541C4" w:rsidRPr="001F6026" w:rsidRDefault="008541C4" w:rsidP="008541C4">
            <w:pPr>
              <w:rPr>
                <w:rFonts w:ascii="Times New Roman" w:hAnsi="Times New Roman" w:cs="Times New Roman"/>
                <w:sz w:val="18"/>
                <w:szCs w:val="18"/>
              </w:rPr>
            </w:pPr>
          </w:p>
          <w:p w14:paraId="2A24F6D0" w14:textId="77777777" w:rsidR="008541C4" w:rsidRPr="001F6026" w:rsidRDefault="008541C4" w:rsidP="008541C4">
            <w:pPr>
              <w:jc w:val="right"/>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D430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16FF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0F2F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04A57BF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776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1B7C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833102 Șofer de autobuz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4360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Ordin nr. 41 din 06.04.2015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A1B6F"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89-92/642 din 10.04.2015</w:t>
            </w:r>
          </w:p>
          <w:p w14:paraId="668B708D"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9BB8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Transporturilor și Infrastructurii Drumurilor</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CBA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Protecției Sociale și Familiei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9AC6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domeniul transporturilor și infrastructurii drumurilor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6FF8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2734BD1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0923C"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6DEC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712307 Tencuitor/tencuitoare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DC0C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152 din 31.10.2023</w:t>
            </w:r>
          </w:p>
          <w:p w14:paraId="7F3A5501"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C1413"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418-421 art. 1074 din 09.11.2023</w:t>
            </w:r>
          </w:p>
          <w:p w14:paraId="44FB21E6"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05E4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DAEF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606D5C25"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4D64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E202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636AC6CB"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68F98"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F803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721204 Electrogazosudor-montator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6176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Ordin nr. 128 din 20.11.2024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C42A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494-497 art. 930 din 28.11.2024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4D22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F472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9C8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industria ușoară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A848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30F44584"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949E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56CA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741232 Electromontor la întreținerea utilajului electric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50F1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170 din 05.12.2023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FC9F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468-471 art. 1167 din 08.12.2023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37A2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0C0F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89FE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industria ușoară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BFD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4E9BB4F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B9A98" w14:textId="1A8EFA35"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6713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711403 Asfaltobetonist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1329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168 din 20.11.2023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E2012"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452-454 art. 1132 din 28.11.2023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1375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404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E45F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E08F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74D097B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A468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0072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712102 Acoperitor-învelitor/acoperitoare-învelitoare cu materiale în rulou sau în foi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01F4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167 din 20.11.2023</w:t>
            </w:r>
          </w:p>
          <w:p w14:paraId="76CD40D5"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D1B3F"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452-454 art. 1131 din 28.11.2023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211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079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49B3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2C0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226A12DD"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8FB09" w14:textId="279E4E3F"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33A8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732031 Placator cu plăci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9E22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78 din 14.06.2023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E60E"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220-222 art. 626 din 29.06.2023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A674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9C1F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495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EC2F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207C5704"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644D" w14:textId="1E87E0F8"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ECAC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711506 Tâmplar/tâmplăriță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5B78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187 din 15.12.2023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E1587"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484-487 art. 1213 din 20.12.2023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C95F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1E7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FFE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DE2A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338700CF"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F916"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AA98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834308 Maşinist/mașinistă la automacara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15B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190 din 15.12.2023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B71A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484-487 art. 1216 din 20.12.2023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5118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D4DE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2F1D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5555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64DA857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CCC1" w14:textId="01ECC068"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9F3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714017 Montator linii aeriene de telecomunicaţii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D206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05 din 25.01.2016</w:t>
            </w:r>
          </w:p>
          <w:p w14:paraId="2F00F552"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025D3"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25-30/155 din 05.02.2016</w:t>
            </w:r>
          </w:p>
          <w:p w14:paraId="16480418" w14:textId="77777777" w:rsidR="008E48EF" w:rsidRPr="001F6026" w:rsidRDefault="008E48EF" w:rsidP="00470862">
            <w:pPr>
              <w:rPr>
                <w:rFonts w:ascii="Times New Roman" w:hAnsi="Times New Roman" w:cs="Times New Roman"/>
                <w:iCs/>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1CA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Tehnologiei Informaţiei şi Comunicaţiilor</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BDF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Protecției Sociale și Familiei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C730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Institutul de Dezvoltare a Societății Informaționale, Comitetul Sectorial pentru formare profesională în Tehnologia Informației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6489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Tehnologia informaţiei şi comunicaţii</w:t>
            </w:r>
          </w:p>
        </w:tc>
      </w:tr>
      <w:tr w:rsidR="0025602B" w:rsidRPr="001F6026" w14:paraId="323DB67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E24AE" w14:textId="729DFC84"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1FEE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714019 Operator pentru suportul tehnic al calculatoarelor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BC52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05 din 25.01.2016</w:t>
            </w:r>
          </w:p>
          <w:p w14:paraId="2376FA41"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52FA"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25-30/155 din 05.02.2016</w:t>
            </w:r>
          </w:p>
          <w:p w14:paraId="7E5AFF9B" w14:textId="77777777" w:rsidR="008E48EF" w:rsidRPr="001F6026" w:rsidRDefault="008E48EF" w:rsidP="00470862">
            <w:pPr>
              <w:rPr>
                <w:rFonts w:ascii="Times New Roman" w:hAnsi="Times New Roman" w:cs="Times New Roman"/>
                <w:iCs/>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CE5C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Tehnologiei Informaţiei şi Comunicaţiilor</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6EE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Protecției Sociale și Familiei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98F9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Institutul de Dezvoltare a Societății Informaționale, Comitetul Sectorial pentru formare profesională în Tehnologia Informației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5C75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Tehnologia informaţiei şi comunicaţii</w:t>
            </w:r>
          </w:p>
        </w:tc>
      </w:tr>
      <w:tr w:rsidR="0025602B" w:rsidRPr="001F6026" w14:paraId="622135F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CD25D" w14:textId="31ED50A3"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EEDF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714020 Operator la telecomunicaţii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AD3D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05 din 25.01.2016</w:t>
            </w:r>
          </w:p>
          <w:p w14:paraId="778E067E"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C07BC"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25-30/155 din 05.02.2016</w:t>
            </w:r>
          </w:p>
          <w:p w14:paraId="62E189CB" w14:textId="77777777" w:rsidR="008E48EF" w:rsidRPr="001F6026" w:rsidRDefault="008E48EF" w:rsidP="00470862">
            <w:pPr>
              <w:rPr>
                <w:rFonts w:ascii="Times New Roman" w:hAnsi="Times New Roman" w:cs="Times New Roman"/>
                <w:iCs/>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00A1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Tehnologiei Informaţiei şi Comunicaţiilor</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ECF1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Protecției Sociale și Familiei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B56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Institutul de Dezvoltare a Societății Informaționale, Comitetul Sectorial pentru formare profesională în Tehnologia Informației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E7A9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Tehnologia informaţiei şi comunicaţii</w:t>
            </w:r>
          </w:p>
        </w:tc>
      </w:tr>
      <w:tr w:rsidR="0025602B" w:rsidRPr="001F6026" w14:paraId="61EDAD7C"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1E8A" w14:textId="783B515B"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729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612301 Apicultor/apicultoare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F31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5E6B5F99"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5609"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46E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DD4B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69F2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EB1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r w:rsidR="0025602B" w:rsidRPr="001F6026" w14:paraId="4912DEC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564BB" w14:textId="4ECB4FD1"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64F5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834108 Tractorist/tractoristă (nivel 3)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D51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1EF178F9"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A2FA"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B255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503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7725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F18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3305C39D"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FD89" w14:textId="68C1EAFA"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66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751501 Controlor/controloare calitate produse alimentare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E251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20B19137"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CA4C0"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9355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F168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C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975B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Industria alimentară</w:t>
            </w:r>
          </w:p>
        </w:tc>
      </w:tr>
      <w:tr w:rsidR="0025602B" w:rsidRPr="001F6026" w14:paraId="10846BC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E1CE5" w14:textId="726061CB"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78C9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751114 Prelucrător/prelucrătoare mezeluri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9E34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03.10.2023</w:t>
            </w:r>
          </w:p>
          <w:p w14:paraId="581049B8"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90385"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8B97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și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FF44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3C4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7416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Industria alimentară</w:t>
            </w:r>
          </w:p>
        </w:tc>
      </w:tr>
      <w:tr w:rsidR="0025602B" w:rsidRPr="001F6026" w14:paraId="3C2FC74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7719"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3C57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13337 Frizer </w:t>
            </w:r>
          </w:p>
          <w:p w14:paraId="4CAB0F5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9584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35 din 02.03.2016</w:t>
            </w:r>
          </w:p>
          <w:p w14:paraId="1F3C4814"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5E82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59-67/395 din 18.03.2016</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8058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Ministerului Economiei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9C7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Protecției Sociale și Familiei</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5059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Asociația Culinarilor Catering Moldova (ACCM), Comitetul sectorial în formarea profesională în domeniul comerțului interior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4EC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1D4D8D3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DE031" w14:textId="769494F1"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E7E0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512001 Bucătar/Bucătăreasă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4F42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172 din 08.12.2023</w:t>
            </w:r>
          </w:p>
          <w:p w14:paraId="29969B4A"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01EA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480-482 art. 1190</w:t>
            </w:r>
          </w:p>
          <w:p w14:paraId="7835C6E9"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din 15.12.2023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CC05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BD8C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8C20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78D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17EEE67A"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9B7E" w14:textId="3D22C67B"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012E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712305</w:t>
            </w:r>
          </w:p>
          <w:p w14:paraId="79B30C5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Montator/montatoare pereți și plafoane din ghips carton </w:t>
            </w:r>
          </w:p>
          <w:p w14:paraId="64EDB51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BF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153 din 31.10.2023</w:t>
            </w:r>
          </w:p>
          <w:p w14:paraId="17D8CF99"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0D10F"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418-421 art. 1075 din 09.11.2023</w:t>
            </w:r>
          </w:p>
          <w:p w14:paraId="7B811A4A" w14:textId="77777777" w:rsidR="008E48EF" w:rsidRPr="001F6026" w:rsidRDefault="008E48EF" w:rsidP="00470862">
            <w:pPr>
              <w:rPr>
                <w:rFonts w:ascii="Times New Roman" w:hAnsi="Times New Roman" w:cs="Times New Roman"/>
                <w:iCs/>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A942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34F9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184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în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1E0E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276D9B3A"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C9765"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8E14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712103 Constructor/constructoare de acoperișuri </w:t>
            </w:r>
          </w:p>
          <w:p w14:paraId="36886D2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0B97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189 din 15.12.2023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75EC6"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484-487 art. 1215 din 20.12.2023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B9E4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40D8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1DE7673C"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019F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5F1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0BCC781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C2AF"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796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712605 Instalator/instalatoare instalaţii de încălzire şi echipamente solare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B6FB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186 din 15.12.2023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9664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484-487 art. 1212 din 20.12.2023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628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DC8B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p w14:paraId="2C89F01F"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8E5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B22A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4B1F356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0E80"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414A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712607 Instalator/instalatoare instalații, aparate şi echipamente de ventilare şi climatizare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9F1F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188 din 15.12.2023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43E5C"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Monitorul Oficial nr. 484-487 art. 1214 din 20.12.2023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9410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FF80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Muncii și Protecției Sociale </w:t>
            </w:r>
          </w:p>
          <w:p w14:paraId="5D3A88D1" w14:textId="77777777" w:rsidR="008E48EF" w:rsidRPr="001F6026" w:rsidRDefault="008E48EF" w:rsidP="00470862">
            <w:pPr>
              <w:rPr>
                <w:rFonts w:ascii="Times New Roman" w:hAnsi="Times New Roman" w:cs="Times New Roman"/>
                <w:sz w:val="18"/>
                <w:szCs w:val="18"/>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FB23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3A35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184FD74A"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70D5"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83D6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732009 Electrician-montator rețele de iluminat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8375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618 din 28.12.2018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0C54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49-58/318 din 15.02.2019</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DDEA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2C78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CE48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8C7A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5B7C1A5B"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2FD43"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AC2D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732012 Instalator instalații tehnico-sanitare și gaze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813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619 din 28.12.2018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7871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49-58/318 din 15.02.2019</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5F19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1A3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4207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E84D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308F60A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BE98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9C88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723010 Croitor confecţioner </w:t>
            </w:r>
            <w:r w:rsidRPr="001F6026">
              <w:rPr>
                <w:rFonts w:ascii="Times New Roman" w:hAnsi="Times New Roman" w:cs="Times New Roman"/>
                <w:sz w:val="18"/>
                <w:szCs w:val="18"/>
              </w:rPr>
              <w:lastRenderedPageBreak/>
              <w:t>îmbrăcăminte după comandă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F255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lastRenderedPageBreak/>
              <w:t>Ordin nr. 07 din 14.01.2019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8077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13 – 21/107 din 18.01.2018</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44FE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A422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7FDC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industriei ușoare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0671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ușoară</w:t>
            </w:r>
          </w:p>
        </w:tc>
      </w:tr>
      <w:tr w:rsidR="0025602B" w:rsidRPr="001F6026" w14:paraId="6017F2A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BC036"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98D6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611202 Cultivator legume şi fructe (revizuit)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3056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271 din 13.11.2019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24D5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360-366/2025 din 06.12.2019</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D695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650F99B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9747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22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7C2C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r w:rsidR="0025602B" w:rsidRPr="001F6026" w14:paraId="7221598F"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4F0E0"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CA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314202 Agronom (calificare medie)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B4EF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271 din 13.11.2019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127F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360-366/2025 din 06.12.2019</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6ADC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4824B77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EBE0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CC0B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968A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r w:rsidR="0025602B" w:rsidRPr="001F6026" w14:paraId="51969C36"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C34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240A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311205 Tehnician-hidroamelioraţii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7452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271 din 13.11.2019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48DA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360-366/2025 din 06.12.2019</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B517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1CA1AC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EC67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040C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12C8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25278A7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39F4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CFF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
                <w:iCs/>
                <w:sz w:val="18"/>
                <w:szCs w:val="18"/>
              </w:rPr>
              <w:t xml:space="preserve">313908 Tehnician în securitate și sănătate în muncă </w:t>
            </w: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141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99 din 22.05.2020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2EE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126-130/474 din 29.05.2020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062A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5A1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EBB0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industria ușoară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8DF9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46E4EFE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B77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55D71"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
                <w:iCs/>
                <w:sz w:val="18"/>
                <w:szCs w:val="18"/>
              </w:rPr>
              <w:t xml:space="preserve">311928 Tehnician industria alimentară </w:t>
            </w: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E876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134 din 30.06.2020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3B9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177/596 din 10.07.2020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4843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4BF058A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5E2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7DE2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371E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0B6F0D3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3391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31E72"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
                <w:iCs/>
                <w:sz w:val="18"/>
                <w:szCs w:val="18"/>
              </w:rPr>
              <w:t xml:space="preserve">313906 Tehnician asigurarea calității </w:t>
            </w: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3E07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134 din 30.06.2020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81CE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177/596 din 10.07.2020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9058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52D52C4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0C11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D522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542C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Industria alimentară</w:t>
            </w:r>
          </w:p>
        </w:tc>
      </w:tr>
      <w:tr w:rsidR="0025602B" w:rsidRPr="001F6026" w14:paraId="71F0175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A5FF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0DCBA"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816071 Operator la linie în industria alimentară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09C6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134 din 30.06.2020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D8E5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177/596 din 10.07.2020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A4E6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1FEFE65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3A42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CD67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B6CF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314A81A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B8BA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9E1B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324003 Felcer veterinar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5AF2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195 din 10.09.2020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C69E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235-239 din 18.09.2020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8298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647EBD2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13B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1886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A1D7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Medicina veterinară</w:t>
            </w:r>
          </w:p>
        </w:tc>
      </w:tr>
      <w:tr w:rsidR="0025602B" w:rsidRPr="001F6026" w14:paraId="5E8BA9C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DC34F"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A72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311528 Tehnician mecanic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58F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195 din 10.09.2020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239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235-239 din 18.09.2020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7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6C7409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EA57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F624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54F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459FFF8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C394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DAB9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816041 Mașinist – reglor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D6B9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195 din 10.09.2020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4891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235-239 din 18.09.2020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C3B7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3681B3E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F417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53F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3F2A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100E123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AAD65"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ABCE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314107 Tehnician protecția mediului (tehnician ecolog)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CDEA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210 din 24.09.2020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586A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247-257 art. 879 din 02.10.2020</w:t>
            </w:r>
          </w:p>
          <w:p w14:paraId="796A948B"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1925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6AE787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32F7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041C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domeniul d</w:t>
            </w:r>
            <w:r w:rsidRPr="001F6026">
              <w:rPr>
                <w:rFonts w:ascii="Times New Roman" w:hAnsi="Times New Roman" w:cs="Times New Roman"/>
                <w:iCs/>
                <w:sz w:val="18"/>
                <w:szCs w:val="18"/>
              </w:rPr>
              <w:t>istribuției apei, salubritate, gestionarea deșeurilor, activități de decontaminare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DB9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Mediu</w:t>
            </w:r>
          </w:p>
        </w:tc>
      </w:tr>
      <w:tr w:rsidR="0025602B" w:rsidRPr="001F6026" w14:paraId="093546CB"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CBAD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B5A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741121 Instalator pentru sisteme termice solare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167D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224 din 16.11.2020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9939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304-312 art. 1152 din 20.11.2020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F3A8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53BD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6599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6BFB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5DD55C8C"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8A86"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41A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741120 Instalator pentru sisteme fotovoltaice solare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79F9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226 din 16.11.2020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3E6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313-317 art. 1232 din 27.11.2020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43FF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6262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21D4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908D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6BE4112D"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C606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CDF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712405 Confecționer-montator tâmplărie cu vitraj izolant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782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231 din 23.11.2020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7DC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319-328 art. 1260 din 04.12.2020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102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9DC2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F4B0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p w14:paraId="148F7391" w14:textId="77777777" w:rsidR="008E48EF" w:rsidRPr="001F6026" w:rsidRDefault="008E48EF" w:rsidP="00470862">
            <w:pPr>
              <w:rPr>
                <w:rFonts w:ascii="Times New Roman" w:hAnsi="Times New Roman" w:cs="Times New Roman"/>
                <w:sz w:val="18"/>
                <w:szCs w:val="1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1317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50D876B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3CED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3636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711932 Montator sisteme opace de termoizolare pentru clădiri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A2B7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230 din 23.11.2020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1FFB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319-328 art. 1259 din 04.12.2020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217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0796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1DE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p w14:paraId="6B322D4B" w14:textId="77777777" w:rsidR="008E48EF" w:rsidRPr="001F6026" w:rsidRDefault="008E48EF" w:rsidP="00470862">
            <w:pPr>
              <w:rPr>
                <w:rFonts w:ascii="Times New Roman" w:hAnsi="Times New Roman" w:cs="Times New Roman"/>
                <w:sz w:val="18"/>
                <w:szCs w:val="1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07D6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Construcției</w:t>
            </w:r>
          </w:p>
        </w:tc>
      </w:tr>
      <w:tr w:rsidR="0025602B" w:rsidRPr="001F6026" w14:paraId="5A8BE26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F4CA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BA9E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Tehnician în panificație și patiserie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1246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262 din 10.12.2020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8E4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344-351 art. 1362 din 18.12.2020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2902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6CF1689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6075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4DE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9B1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alimentara</w:t>
            </w:r>
          </w:p>
        </w:tc>
      </w:tr>
      <w:tr w:rsidR="0025602B" w:rsidRPr="001F6026" w14:paraId="2422BDF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863F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0454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Electromecanic la instalarea și întreținerea utilajului industrial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DF43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248 din 16.12.2020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593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360-371 art. 1387 din 25.12.2020</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1632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5B6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26B9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Camera de Comerț și Industrie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6D55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7E35B6FA"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DE339"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2FAA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351203 Programator (studii profesional tehnice)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45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259 din 29.12.2020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2F26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9-12 art. 30 din 15.01.2021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AE97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C022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A7BC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„BSD Management”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BB90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Tehnologia informaţiei şi comunicaţii</w:t>
            </w:r>
          </w:p>
        </w:tc>
      </w:tr>
      <w:tr w:rsidR="0025602B" w:rsidRPr="001F6026" w14:paraId="19CE7C6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97D9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3217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351401 Dezvoltator web (studii profesional tehnice)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8449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259 din 29.12.2020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D78E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9-12 art. 30 din 15.01.2021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4282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 și Infrastructurii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66CF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FFE8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„BSD Management”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53C7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Tehnologia informaţiei şi comunicaţii</w:t>
            </w:r>
          </w:p>
        </w:tc>
      </w:tr>
      <w:tr w:rsidR="0025602B" w:rsidRPr="001F6026" w14:paraId="7C8DDAD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6372F"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FC46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532203 Îngrijitor la domiciliu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EF52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31 din 25.01.2021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F4FB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33-41 art. 113 din 05.02.2021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270C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C825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02DF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AO „HOME CARE”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08D6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0DA6781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096C8"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5777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Expert în standarde ocupaționale (nivel 6)</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A69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135 din 18.02.2021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69AB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57-65 art. 228 din 26.02.2021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AEF8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3A2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9520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C1821"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Servicii</w:t>
            </w:r>
          </w:p>
        </w:tc>
      </w:tr>
      <w:tr w:rsidR="0025602B" w:rsidRPr="001F6026" w14:paraId="5314DA3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8E1F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2A17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311122 Tehnician tehnolog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A3EE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176 din 12.08.2021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C25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197-201 art. 1052 din 20.08.2021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4A7F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3D9C4FC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D3CB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00863"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E7CC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44C65A0A"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38CB3"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956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311314 Tehnician energetician-electrician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488B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176 din 12.08.2021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DFCE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197-201 art. 1052 din 20.08.2021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CA9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700ADC8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57E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51F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197B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6354670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9169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35F7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816067 Operator la linia automată de obținere a produselor lactate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31BB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176 din 12.08.2021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A5AF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197-201 art. 1052 din 20.08.2021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0DE1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w:t>
            </w:r>
          </w:p>
          <w:p w14:paraId="7A351E2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Dezvoltării Regionale şi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38DE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86E0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1CD7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05C3EEB4"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9F9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6C12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753207 Cusător (în industria ușoară)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3E4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127 din 10.09.2021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AF15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219-225 art. 1130 din 17.09.2021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9CF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Economiei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A13B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46C5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E0DC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ușoară</w:t>
            </w:r>
          </w:p>
        </w:tc>
      </w:tr>
      <w:tr w:rsidR="0025602B" w:rsidRPr="001F6026" w14:paraId="0B4444EF"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92DA8"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95DB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723108 Mecanic auto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C637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129 din 10.09.2021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F772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219-225 art. 1132 din 17.09.2021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A3D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Economiei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5E70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DE62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3D08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1CEECA9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52F88"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D62C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723103 Electrician-electronist auto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335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128 din 10.09.2021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9D56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219-225 art. 1131 din 17.09.2021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D26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Economiei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30C3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945B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3924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12D73FF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EC9D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10A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816060 Operator la fabricarea zaharului (nivel 3)</w:t>
            </w:r>
          </w:p>
          <w:p w14:paraId="6A3D022F" w14:textId="77777777" w:rsidR="008E48EF" w:rsidRPr="001F6026" w:rsidRDefault="008E48EF" w:rsidP="00470862">
            <w:pPr>
              <w:rPr>
                <w:rFonts w:ascii="Times New Roman" w:hAnsi="Times New Roman" w:cs="Times New Roman"/>
                <w:sz w:val="18"/>
                <w:szCs w:val="18"/>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9A80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 din 21.09.2021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0F8E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230-237 art. 1152 din 01.10.2021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98B4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Agriculturii şi Industriei Alimentare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05EE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5D4C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FCE3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5ACE8D4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CD538"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CA8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523003 Casier în sala de comerț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94EF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238 din 29.09.2021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6019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239-248 art. 1169 din 08.10.2021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6C9E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B8B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D15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957E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76819AB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E3AB3"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ECC6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331302 Contabil (calificare medie)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564E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131 din 28.10.2021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D2D6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266-272 art. 1272 din 05.11.2021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31AA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Finanțelor</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1B9B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EFE9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9E7E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0A9FA5F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977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6E9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712609 Izolator termic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A3C0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163 din 23.11.2021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CC20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302-306 art. 1385 din 10.12.2021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BCA2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704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73D0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D86F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4CD9820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E043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3860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311203 Tehnician constructor (Sisteme de alimentare cu căldură și gaze, ventilație</w:t>
            </w:r>
          </w:p>
          <w:p w14:paraId="1A994CD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520C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167 din 02.12.2021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7623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307 art. 1405 din 10.12.2021</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7FD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6735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2B41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3525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4648212C"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E44DF"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5024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531103 Îngrijitor/îngrijitoare de copii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C4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29 din 24.01.2024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3004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45 art. 94 din 30.01.2024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DE17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00F1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0A6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BC318"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Servicii</w:t>
            </w:r>
          </w:p>
        </w:tc>
      </w:tr>
      <w:tr w:rsidR="0025602B" w:rsidRPr="001F6026" w14:paraId="19B72C0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D6A5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4EE1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314105 Tehnician/tehniciană în gospodărirea și protecția apelor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E86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 din 27.01.2022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B718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40-44 art. 113 din 11.02.2022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033D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0D3F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0419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Comitetului sectorial pentru formare profesională în</w:t>
            </w:r>
          </w:p>
          <w:p w14:paraId="37B0DA5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domeniul distribuției apei, salubritate, gestionarea </w:t>
            </w:r>
          </w:p>
          <w:p w14:paraId="16B4A34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deșeurilor, activități de decontaminare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7CD2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Mediu</w:t>
            </w:r>
          </w:p>
        </w:tc>
      </w:tr>
      <w:tr w:rsidR="0025602B" w:rsidRPr="001F6026" w14:paraId="65262B4F"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041D0"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9906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422103 Agent/agentă de turism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63A2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1396 din 16.12.2022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0D4F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402-408 art. 1396 din 16.12.2022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7AEF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Culturii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F6D3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E38D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66F3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Turism</w:t>
            </w:r>
          </w:p>
        </w:tc>
      </w:tr>
      <w:tr w:rsidR="0025602B" w:rsidRPr="001F6026" w14:paraId="749CD24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5FB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D16D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325801 Asistent medical/asistentă medicală în urgențe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3A9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1398 din 16.12.2022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C451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402-408 art. 1398 din 16.12.2022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37C1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B638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70E3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Centrul de excelență în medicina și farmacie „Raisa Pocala”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9F0E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Sănătate</w:t>
            </w:r>
          </w:p>
        </w:tc>
      </w:tr>
      <w:tr w:rsidR="0025602B" w:rsidRPr="001F6026" w14:paraId="0484FC92"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B8BE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6ABE"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 xml:space="preserve">311921 Tehnician/tehniciană alimentație publică </w:t>
            </w: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2F9F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109 din 19.12.2022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D3F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460-462 art. 1505 din 31.12.2022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E974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Economiei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E204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97D4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7EC6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77032EE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A15A6"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D6C6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314306 Tehnician amenajist/tehniciană amenajistă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38E7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124 din 23.12.2022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C70A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440-444 art. 1485 din 30.12.2022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A63D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569F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F76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Colegiul de ecologie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E54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Mediu</w:t>
            </w:r>
          </w:p>
        </w:tc>
      </w:tr>
      <w:tr w:rsidR="0025602B" w:rsidRPr="001F6026" w14:paraId="52A05144"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B711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F69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314311 Tehnician/tehniciană în silvicultură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D4FA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124 din 23.12.2022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52A7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440-444 art. 1485 din 30.12.2022</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AA93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A6D3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D70D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Colegiul de ecologie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F8EA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Silvicultură</w:t>
            </w:r>
          </w:p>
        </w:tc>
      </w:tr>
      <w:tr w:rsidR="0025602B" w:rsidRPr="001F6026" w14:paraId="1A336A0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8B2C"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FF4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712625 Lăcătuș la rețele de apeduct și 712626 Lăcătuș la rețele de canalizare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3675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21 din 10.02.2023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13E7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45-49 art. 194 din 17.02.2023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53ED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92E2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D4D4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Comitetului sectorial pentru formare profesională în domeniul distribuției apei, salubritate, gestionarea deșeurilor, activități de decontaminare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DAA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7F792BCD"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3FEC"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C0F1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723106 Lăcătuș redresare caroserii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C7E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77 din 14.06.2023</w:t>
            </w:r>
          </w:p>
          <w:p w14:paraId="12DBA806"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9A97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240-245 art. 690 din 14.07.2023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6E4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0866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138F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Institutul de politici publice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35F3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58A10C8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261B7"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B884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432304 Agent/agentă în transporturi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769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98 din 22.06.2023</w:t>
            </w:r>
          </w:p>
          <w:p w14:paraId="33577F0B"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189A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Monitorul Oficial nr. 240-245 art. 692 din 14.07.2023 </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E8D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469A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555A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3AD6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7F30C6B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B9B3F"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F9CC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311514 Tehnician/tehniciană diagnosticare auto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F20F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97 din 22.06.2023</w:t>
            </w:r>
          </w:p>
          <w:p w14:paraId="78BF8780"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446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240-245 art. 691 din 14-07-2023</w:t>
            </w:r>
          </w:p>
          <w:p w14:paraId="2C538DB8"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0A55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29CE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9C4D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09F0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2E97F44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8D7D"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A5A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311927 Tehnician/tehniciană în automatizarea proceselor de producție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3450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105 din 28.07.2023</w:t>
            </w:r>
          </w:p>
          <w:p w14:paraId="1BFB8C63"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574F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287-290 art. 752 din 03.08.2023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476F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Energeticii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43EF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058C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BC5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Energetica</w:t>
            </w:r>
          </w:p>
        </w:tc>
      </w:tr>
      <w:tr w:rsidR="0025602B" w:rsidRPr="001F6026" w14:paraId="3C1315B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22055"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F11A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311414 Tehnician/tehniciană în electronică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422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105 din 28.07.2023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D9B7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287-290 art. 752 din 03.08.2023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1F8D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Energeticii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3934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55EA8"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D53C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Energetica</w:t>
            </w:r>
          </w:p>
        </w:tc>
      </w:tr>
      <w:tr w:rsidR="0025602B" w:rsidRPr="001F6026" w14:paraId="2C9B75F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4D7F6"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DC0F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311207 Tehnician constructor/tehniciană contractoare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0EAA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136 din 10.10.2023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796A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391-394 art. 967 din 19.10.2023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AB00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C01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C5F97"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BFBE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Construcție</w:t>
            </w:r>
          </w:p>
        </w:tc>
      </w:tr>
      <w:tr w:rsidR="0025602B" w:rsidRPr="001F6026" w14:paraId="52E106F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8765D"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1C97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751104 Ciontolitor-tranșator carne (nivel 3)</w:t>
            </w:r>
          </w:p>
          <w:p w14:paraId="7D8BBC5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(redenumit) Operator/operatoare tranșare carne</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540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Ordinul nr. 131 din 03.10.2023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81D7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387-390 art. 960 din 13.10.2023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EAB0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şi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0F9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466C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din Agricultură şi Industrie Alimentară Agroind VET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7C65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alimentara</w:t>
            </w:r>
          </w:p>
        </w:tc>
      </w:tr>
      <w:tr w:rsidR="0025602B" w:rsidRPr="001F6026" w14:paraId="1BC1847D"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437C0"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B7F5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741226 Electromecanic stație pompare apă-canalizare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0139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Ordinul nr. 143 din 30.10.2023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CD86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426-429 art. 1083 din 14.11.2023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5EE7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DE7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47555"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Universitatea Tehnică a Moldovei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6276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5E932EF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777D"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8EC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723304 Electromecanic utilaj frigorific și comercial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888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Ordinul nr. 126 din 25.09.2023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7A9C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370-372 art. 926 din 29.09.2023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9B99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0F44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8F4C9"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Universitatea Tehnică a Moldovei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3691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Industrie</w:t>
            </w:r>
          </w:p>
        </w:tc>
      </w:tr>
      <w:tr w:rsidR="0025602B" w:rsidRPr="001F6026" w14:paraId="4B05950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D5CCC"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D84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441101 Bibliotecar/bibliotecară (studii profesional-tehnice)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DD67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235 din 13.09.2023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8293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391-394 art. 968 din 19.10.2023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28C2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Culturii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7BE8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6099"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Universitatea Tehnică a Moldovei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48F9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30CEEA2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33371"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9403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516501 Instructor/instructoare conducere auto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1EA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146 din 30.09.2023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F27B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347-349 art. 639 din 09.08.2024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470A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36FB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1BBA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Centru de formare și Leadership din cadrul Universității Pedagogice de Stat „Ion Creangă”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8353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6AAAF7C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AC71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3C7A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513102 Chelner/chelneriță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D11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168 din 29.11.2023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767F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468-471 art. 1166 din 08.12.2023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6DE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E808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6734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0F3F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4E16FDB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18DD3"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AB86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753605 Confecționer/confecționeră articole de marochinărie</w:t>
            </w:r>
          </w:p>
          <w:p w14:paraId="2DE0748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3FCB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163 din 24.11.2023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3F5B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455-457 art. 1141 din 30.11.2023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64E8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EDA0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FCBE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industria ușoară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E837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ușoară</w:t>
            </w:r>
          </w:p>
        </w:tc>
      </w:tr>
      <w:tr w:rsidR="0025602B" w:rsidRPr="001F6026" w14:paraId="6262CE15"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0553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2AD0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332304 Merceolog/merceologă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48AE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173 din 08.12.2023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2BEC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480-482 art. 1191</w:t>
            </w:r>
          </w:p>
          <w:p w14:paraId="60BE9F8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din 15.12.2023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9FA5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4E93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2C8A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79B6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alimentară</w:t>
            </w:r>
          </w:p>
        </w:tc>
      </w:tr>
      <w:tr w:rsidR="0025602B" w:rsidRPr="001F6026" w14:paraId="657BA54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8F70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9F45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332201 Agent reprezentant comercial/agentă reprezentantă comercială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F0F1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174 din 08.12.2023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81C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480-482 art. 1192</w:t>
            </w:r>
          </w:p>
          <w:p w14:paraId="5566C2F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din 15.12.2023</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CB2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9A62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855C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06A5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Servicii</w:t>
            </w:r>
          </w:p>
        </w:tc>
      </w:tr>
      <w:tr w:rsidR="0025602B" w:rsidRPr="001F6026" w14:paraId="4CE0E8CB"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F83F5"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623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325301 Asistent medical comunitar/asistentă medicală comunitară</w:t>
            </w:r>
          </w:p>
          <w:p w14:paraId="46BF828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5)</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EB9B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coordonat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6E743"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2CA0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Sănătății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C924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A38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Centrul de excelență în medicină și farmacie „Raisa Pacalo”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F998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Sănătate</w:t>
            </w:r>
          </w:p>
        </w:tc>
      </w:tr>
      <w:tr w:rsidR="0025602B" w:rsidRPr="001F6026" w14:paraId="69C085B4"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F820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CD91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235924 Specialist/specialistă în lucru cu tinerii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0C27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851 din 14.06.2024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F04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355-357 art. 642 din 15.08.2024</w:t>
            </w:r>
          </w:p>
          <w:p w14:paraId="4F3CB155" w14:textId="77777777" w:rsidR="008E48EF" w:rsidRPr="001F6026" w:rsidRDefault="008E48EF" w:rsidP="00470862">
            <w:pPr>
              <w:rPr>
                <w:rFonts w:ascii="Times New Roman" w:hAnsi="Times New Roman" w:cs="Times New Roman"/>
                <w:sz w:val="18"/>
                <w:szCs w:val="1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14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Educației și Cercetării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4241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A0E8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Agenția Națională pentru Dezvoltarea Programelor și Activităților de Tineret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22E5" w14:textId="77777777" w:rsidR="008E48EF" w:rsidRPr="001F6026" w:rsidRDefault="008E48EF" w:rsidP="00470862">
            <w:pPr>
              <w:rPr>
                <w:rFonts w:ascii="Times New Roman" w:hAnsi="Times New Roman" w:cs="Times New Roman"/>
                <w:sz w:val="18"/>
                <w:szCs w:val="18"/>
              </w:rPr>
            </w:pPr>
          </w:p>
        </w:tc>
      </w:tr>
      <w:tr w:rsidR="0025602B" w:rsidRPr="001F6026" w14:paraId="106E944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6346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5A12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712613 Instalator/instalatoare sisteme geotermale de mică adâncime și pompe de căldură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E69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35 din 25.06.2024</w:t>
            </w:r>
          </w:p>
          <w:p w14:paraId="0CAEB48E"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57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311-313 art. 578 din 19.07.2024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9476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Ministerul Energiei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5A35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942A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E39D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Energetica</w:t>
            </w:r>
          </w:p>
        </w:tc>
      </w:tr>
      <w:tr w:rsidR="0025602B" w:rsidRPr="001F6026" w14:paraId="47D5EBD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A213B"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9C74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311315 Tehnician/tehniciană pentru instalații de producere a energiei din surse regenerabile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F99F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35 din 25.06.2024</w:t>
            </w:r>
          </w:p>
          <w:p w14:paraId="2DC31730"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D609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311-313 art. 578 din 19.07.2024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F0D4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Energiei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DD5E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E39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Asociația Obștească Educație pentru Dezvoltare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6F9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Energetica</w:t>
            </w:r>
          </w:p>
        </w:tc>
      </w:tr>
      <w:tr w:rsidR="0025602B" w:rsidRPr="001F6026" w14:paraId="6B22D33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5A970"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24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712306 Restaurator/restauratoare tencuieli decorative și modenatură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EC67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128 din 19.08.2024</w:t>
            </w:r>
          </w:p>
          <w:p w14:paraId="047FB937"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1367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370-372 art. 673 din 27.08.2024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44C7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7A45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86F5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4B00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6AF251C0"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CCAE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1D4E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311211 Tehnician restaurator/tehniciană restauratoarea de clădiri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207A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127 din 19.08.2024</w:t>
            </w:r>
          </w:p>
          <w:p w14:paraId="3D4C41B3" w14:textId="77777777" w:rsidR="008E48EF" w:rsidRPr="001F6026" w:rsidRDefault="008E48EF" w:rsidP="00470862">
            <w:pPr>
              <w:rPr>
                <w:rFonts w:ascii="Times New Roman" w:hAnsi="Times New Roman" w:cs="Times New Roman"/>
                <w:sz w:val="18"/>
                <w:szCs w:val="18"/>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341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364-366 art. 659 din 22.08.2024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720F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813F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3F1E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51E9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1FAF3D8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731FA"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539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311216 Tehnician/tehniciană drumuri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CFE0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Ordinul nr. 156 din 25.10.2024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A5A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451-453 art. 841</w:t>
            </w:r>
          </w:p>
          <w:p w14:paraId="4C6BAD1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din 31.10.2024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C340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4E73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7917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50DC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7A9E2584"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82588"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4A2C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311805 Tehnician proiectant/tehniciană proiectantă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68ED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Ordinul nr. 157 din 25.10.2024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32F1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Monitorul Oficial nr. 451-453 art. 842</w:t>
            </w:r>
          </w:p>
          <w:p w14:paraId="64D3574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31.10.2024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846A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AC1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F76F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ramura construcțiilor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A34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Construcții</w:t>
            </w:r>
          </w:p>
        </w:tc>
      </w:tr>
      <w:tr w:rsidR="0025602B" w:rsidRPr="001F6026" w14:paraId="70D7B676"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339D"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2CED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311957 Tehnician-tehnolog/ tehniciană-tehnologă în industria tricotajelor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6393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129 din 20.11.2024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ED44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494-497 art. 931 din 28.11.2024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21F4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BF5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9D4A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industria ușoară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EF9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ușoară</w:t>
            </w:r>
          </w:p>
        </w:tc>
      </w:tr>
      <w:tr w:rsidR="0025602B" w:rsidRPr="001F6026" w14:paraId="0E15FFF9"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C7D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C65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311941 Tehnician/tehniciană în industria confecțiilor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2C58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127 din 20.11.2024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0C8A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494-497 art. 929 din 28.11.2024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E64C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C929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0671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industria ușoară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10E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Industria ușoară</w:t>
            </w:r>
          </w:p>
        </w:tc>
      </w:tr>
      <w:tr w:rsidR="0025602B" w:rsidRPr="001F6026" w14:paraId="71064AB9"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9AEFC"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AF297"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sz w:val="18"/>
                <w:szCs w:val="18"/>
              </w:rPr>
              <w:t>311117 Tehnician meteorolog/tehniciană meteorologă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988D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198 din 16.12.2024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254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5-7 art. 5 din 10.01.2025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045C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Mediului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2AEB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4F21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Colegiul de ecologie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7B63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Mediu</w:t>
            </w:r>
          </w:p>
        </w:tc>
      </w:tr>
      <w:tr w:rsidR="0025602B" w:rsidRPr="001F6026" w14:paraId="5D3CD1C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86E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405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311212 Tehnician topograf/tehniciană topografă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CA12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134 din 23.12.2024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EDEF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560-563 art. 1032 din 30.12.2024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D3B8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Agenția Geodeziei, Cartografiei și Cadastru a Republicii Moldova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12C3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A1E1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Colegiul de ecologie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0FF3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Mediu</w:t>
            </w:r>
          </w:p>
        </w:tc>
      </w:tr>
      <w:tr w:rsidR="0025602B" w:rsidRPr="001F6026" w14:paraId="0BBA8AF9"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89AA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0FC7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311510 Tehnician mecanic/tehniciană mecanică în exploatarea tehnică a transportului auto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1286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177 din 13.12.2024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718C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533-535 art. 992 din 19.12.2024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EA12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Infrastructurii și Dezvoltării Regionale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814C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0F89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 profesională în ramura transportului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C55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Transport</w:t>
            </w:r>
          </w:p>
        </w:tc>
      </w:tr>
      <w:tr w:rsidR="0025602B" w:rsidRPr="001F6026" w14:paraId="76D306F6"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21E1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841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522309 Vânzător-consultant/vânzătoare-consultantă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55A0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137 din 11.12.2024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ACBF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519-521 art. 982 din 13.12.2024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01A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5261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31C5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Comitetul sectorial pentru formarea profesională în comerț, hoteluri și restaurante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41E1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Comerț</w:t>
            </w:r>
          </w:p>
        </w:tc>
      </w:tr>
      <w:tr w:rsidR="0025602B" w:rsidRPr="001F6026" w14:paraId="581D3B71"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EEFEC"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7019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821216 Operator-asamblor/operatoare asambloare la mașini-unelte în industria construcției de automobile </w:t>
            </w:r>
          </w:p>
          <w:p w14:paraId="57D48A9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5BE9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141 din 12.12.2024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C6FE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533-535 art. 990 din 19.12.2024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CF53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7F6B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11CC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Instituție Publică Școala Profesională nr. 5 din Bălți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ADF81" w14:textId="77777777" w:rsidR="008E48EF" w:rsidRPr="001F6026" w:rsidRDefault="008E48EF" w:rsidP="00470862">
            <w:pPr>
              <w:rPr>
                <w:rFonts w:ascii="Times New Roman" w:hAnsi="Times New Roman" w:cs="Times New Roman"/>
                <w:sz w:val="18"/>
                <w:szCs w:val="18"/>
              </w:rPr>
            </w:pPr>
          </w:p>
        </w:tc>
      </w:tr>
      <w:tr w:rsidR="0025602B" w:rsidRPr="001F6026" w14:paraId="5599352B"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4752"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31CDC"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834407 Operator/operatoare în depozitele mecanizate si automate (nivel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F85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140 din 12.12.2024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FCD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533-535 art. 989 din 19.12.2024</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9F9D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F9D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5D5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Instituție Publică Școala Profesională nr. 5 din Bălți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545" w14:textId="77777777" w:rsidR="008E48EF" w:rsidRPr="001F6026" w:rsidRDefault="008E48EF" w:rsidP="00470862">
            <w:pPr>
              <w:rPr>
                <w:rFonts w:ascii="Times New Roman" w:hAnsi="Times New Roman" w:cs="Times New Roman"/>
                <w:sz w:val="18"/>
                <w:szCs w:val="18"/>
              </w:rPr>
            </w:pPr>
          </w:p>
        </w:tc>
      </w:tr>
      <w:tr w:rsidR="0025602B" w:rsidRPr="001F6026" w14:paraId="0F2F1A3E"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88F0"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7429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351302 Tehnician/tehniciană suport tehnic al rețelelor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382B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146 din 19.12.2024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B503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14-17 art. 32 din 24.01.2025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2549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3ADD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12FE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IP Centrul de Excelență în Informatică și Tehnologii Informaționale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A0A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IT</w:t>
            </w:r>
          </w:p>
        </w:tc>
      </w:tr>
      <w:tr w:rsidR="0025602B" w:rsidRPr="001F6026" w14:paraId="5B896996"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E66A3"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431D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351207 Tehnician/tehnician suport tehnic al calculatoarelor (nivel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C88B"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147 din 19.12.2024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2424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14-17 art. 33 din 24.01.2025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495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AF9B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A250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IP Centrul de Excelență în Informatică și Tehnologii Informaționale din Chișinău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ACDE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IT</w:t>
            </w:r>
          </w:p>
        </w:tc>
      </w:tr>
      <w:tr w:rsidR="0025602B" w:rsidRPr="001F6026" w14:paraId="3B1AD933"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7D74"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D9C7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Tehnician/tehniciană în agricultură ecologică</w:t>
            </w:r>
          </w:p>
          <w:p w14:paraId="2E17519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23D6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106 din 25.06.2025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AD56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340-342 art. 521 din 28.06.2025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148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şi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63A0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D832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D29D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r w:rsidR="0025602B" w:rsidRPr="001F6026" w14:paraId="0CCA1A0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B46EE"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CE44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Operator/operatoare la mașini agricole</w:t>
            </w:r>
          </w:p>
          <w:p w14:paraId="52BEBDD4"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3)</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54AC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106 din 25.06.2025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2892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340-342 art. 521 din 28.06.2025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5C8A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şi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ED2A8"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44EC6"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ED04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r w:rsidR="0025602B" w:rsidRPr="001F6026" w14:paraId="59B4EC27"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54247"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C7F6D"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Tehnician/tehniciană electromecanic </w:t>
            </w:r>
          </w:p>
          <w:p w14:paraId="23114613"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19B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88 din 30.06.2025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B6DA"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iCs/>
                <w:sz w:val="18"/>
                <w:szCs w:val="18"/>
              </w:rPr>
              <w:t>Monitorul Oficial nr. 343-345 art. 525 din 03.07.2025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BA65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Dezvoltării Economice și Digitalizării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DC3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6721"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SRL „Global Business Acces”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F3BC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Electronică</w:t>
            </w:r>
          </w:p>
        </w:tc>
      </w:tr>
      <w:tr w:rsidR="0025602B" w:rsidRPr="001F6026" w14:paraId="43DB3B38" w14:textId="77777777" w:rsidTr="002C446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6A1D" w14:textId="77777777" w:rsidR="008E48EF" w:rsidRPr="001F6026" w:rsidRDefault="008E48EF" w:rsidP="00A41843">
            <w:pPr>
              <w:pStyle w:val="a7"/>
              <w:numPr>
                <w:ilvl w:val="0"/>
                <w:numId w:val="150"/>
              </w:numPr>
              <w:ind w:left="322" w:right="36" w:hanging="322"/>
              <w:rPr>
                <w:rFonts w:ascii="Times New Roman" w:hAnsi="Times New Roman" w:cs="Times New Roman"/>
                <w:sz w:val="18"/>
                <w:szCs w:val="1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79B1F"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Tehnician/tehniciană creșterea animalelor </w:t>
            </w:r>
          </w:p>
          <w:p w14:paraId="7506E420"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și prelucrarea primară</w:t>
            </w:r>
          </w:p>
          <w:p w14:paraId="246AA71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(nivel 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92D25"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Ordin nr. 152 din 28.07.2025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5ADB8" w14:textId="77777777" w:rsidR="008E48EF" w:rsidRPr="001F6026" w:rsidRDefault="008E48EF" w:rsidP="00470862">
            <w:pPr>
              <w:rPr>
                <w:rFonts w:ascii="Times New Roman" w:hAnsi="Times New Roman" w:cs="Times New Roman"/>
                <w:iCs/>
                <w:sz w:val="18"/>
                <w:szCs w:val="18"/>
              </w:rPr>
            </w:pPr>
            <w:r w:rsidRPr="001F6026">
              <w:rPr>
                <w:rFonts w:ascii="Times New Roman" w:hAnsi="Times New Roman" w:cs="Times New Roman"/>
                <w:iCs/>
                <w:sz w:val="18"/>
                <w:szCs w:val="18"/>
              </w:rPr>
              <w:t>Monitorul Oficial nr. 343-345 art. 525 din 03.07.2025</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65E69"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Agriculturii şi Industriei Alimentare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0B19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Ministerul Muncii și Protecției Sociale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8F632"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 xml:space="preserve">Colegiului de Medicină Veterinară și </w:t>
            </w:r>
          </w:p>
          <w:p w14:paraId="7819B2EE"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Economie Agrară din Brătușeni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23B57" w14:textId="77777777" w:rsidR="008E48EF" w:rsidRPr="001F6026" w:rsidRDefault="008E48EF" w:rsidP="00470862">
            <w:pPr>
              <w:rPr>
                <w:rFonts w:ascii="Times New Roman" w:hAnsi="Times New Roman" w:cs="Times New Roman"/>
                <w:sz w:val="18"/>
                <w:szCs w:val="18"/>
              </w:rPr>
            </w:pPr>
            <w:r w:rsidRPr="001F6026">
              <w:rPr>
                <w:rFonts w:ascii="Times New Roman" w:hAnsi="Times New Roman" w:cs="Times New Roman"/>
                <w:sz w:val="18"/>
                <w:szCs w:val="18"/>
              </w:rPr>
              <w:t>Agricultură</w:t>
            </w:r>
          </w:p>
        </w:tc>
      </w:tr>
    </w:tbl>
    <w:p w14:paraId="4C7B992D" w14:textId="77777777" w:rsidR="008E48EF" w:rsidRPr="001F6026" w:rsidRDefault="008E48EF" w:rsidP="008E48EF">
      <w:pPr>
        <w:spacing w:before="120" w:after="120" w:line="276" w:lineRule="auto"/>
        <w:rPr>
          <w:rFonts w:ascii="Times New Roman" w:hAnsi="Times New Roman" w:cs="Times New Roman"/>
          <w:b/>
          <w:bCs/>
          <w:i/>
          <w:color w:val="3494BA" w:themeColor="accent1"/>
          <w:sz w:val="24"/>
          <w:szCs w:val="24"/>
        </w:rPr>
      </w:pPr>
    </w:p>
    <w:p w14:paraId="21417074" w14:textId="77777777" w:rsidR="008E48EF" w:rsidRPr="001F6026" w:rsidRDefault="008E48EF" w:rsidP="008E48EF">
      <w:pPr>
        <w:spacing w:before="120" w:after="120" w:line="276" w:lineRule="auto"/>
        <w:rPr>
          <w:rFonts w:ascii="Times New Roman" w:hAnsi="Times New Roman" w:cs="Times New Roman"/>
          <w:b/>
          <w:bCs/>
          <w:color w:val="3494BA" w:themeColor="accent1"/>
          <w:sz w:val="24"/>
          <w:szCs w:val="24"/>
        </w:rPr>
      </w:pPr>
    </w:p>
    <w:p w14:paraId="7BFB3146" w14:textId="77777777" w:rsidR="00FE597E" w:rsidRPr="001F6026" w:rsidRDefault="00FE597E" w:rsidP="005C4FE9">
      <w:pPr>
        <w:spacing w:before="120" w:after="120" w:line="276" w:lineRule="auto"/>
        <w:outlineLvl w:val="0"/>
        <w:rPr>
          <w:rFonts w:ascii="Times New Roman" w:eastAsia="Times New Roman" w:hAnsi="Times New Roman" w:cs="Times New Roman"/>
          <w:b/>
          <w:bCs/>
          <w:kern w:val="36"/>
          <w:sz w:val="24"/>
          <w:szCs w:val="24"/>
          <w:lang w:eastAsia="ro-MD"/>
          <w14:ligatures w14:val="none"/>
        </w:rPr>
        <w:sectPr w:rsidR="00FE597E" w:rsidRPr="001F6026" w:rsidSect="009E52AB">
          <w:pgSz w:w="16838" w:h="11906" w:orient="landscape"/>
          <w:pgMar w:top="1134" w:right="1134" w:bottom="1134" w:left="1134" w:header="709" w:footer="709"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cols w:space="708"/>
          <w:titlePg/>
          <w:docGrid w:linePitch="360"/>
        </w:sectPr>
      </w:pPr>
    </w:p>
    <w:p w14:paraId="3267CB70" w14:textId="789BE72D" w:rsidR="009111BB" w:rsidRPr="001F6026" w:rsidRDefault="009111BB" w:rsidP="005C4FE9">
      <w:pPr>
        <w:spacing w:before="120" w:after="120" w:line="276" w:lineRule="auto"/>
        <w:rPr>
          <w:rFonts w:ascii="Times New Roman" w:hAnsi="Times New Roman" w:cs="Times New Roman"/>
          <w:b/>
          <w:bCs/>
          <w:color w:val="3494BA" w:themeColor="accent1"/>
          <w:sz w:val="24"/>
          <w:szCs w:val="24"/>
        </w:rPr>
      </w:pPr>
      <w:r w:rsidRPr="001F6026">
        <w:rPr>
          <w:rFonts w:ascii="Times New Roman" w:hAnsi="Times New Roman" w:cs="Times New Roman"/>
          <w:b/>
          <w:bCs/>
          <w:color w:val="3494BA" w:themeColor="accent1"/>
          <w:sz w:val="24"/>
          <w:szCs w:val="24"/>
        </w:rPr>
        <w:lastRenderedPageBreak/>
        <w:t>Anexa</w:t>
      </w:r>
    </w:p>
    <w:p w14:paraId="0225E842" w14:textId="11FA7590" w:rsidR="009111BB" w:rsidRPr="001F6026" w:rsidRDefault="009111BB" w:rsidP="005C4FE9">
      <w:pPr>
        <w:spacing w:before="120" w:after="120" w:line="276" w:lineRule="auto"/>
        <w:jc w:val="right"/>
        <w:rPr>
          <w:rFonts w:ascii="Times New Roman" w:hAnsi="Times New Roman" w:cs="Times New Roman"/>
          <w:sz w:val="24"/>
          <w:szCs w:val="24"/>
        </w:rPr>
      </w:pPr>
      <w:r w:rsidRPr="001F6026">
        <w:rPr>
          <w:rFonts w:ascii="Times New Roman" w:eastAsia="Times New Roman" w:hAnsi="Times New Roman" w:cs="Times New Roman"/>
          <w:kern w:val="0"/>
          <w:sz w:val="24"/>
          <w:szCs w:val="24"/>
          <w14:ligatures w14:val="none"/>
        </w:rPr>
        <w:t xml:space="preserve">HG 330/2023, </w:t>
      </w:r>
      <w:r w:rsidRPr="001F6026">
        <w:rPr>
          <w:rFonts w:ascii="Times New Roman" w:hAnsi="Times New Roman" w:cs="Times New Roman"/>
          <w:sz w:val="24"/>
          <w:szCs w:val="24"/>
        </w:rPr>
        <w:t>Anexa nr. 1</w:t>
      </w:r>
    </w:p>
    <w:p w14:paraId="034BD052" w14:textId="77777777" w:rsidR="009111BB" w:rsidRPr="001F6026" w:rsidRDefault="009111BB" w:rsidP="005C4FE9">
      <w:pPr>
        <w:spacing w:before="120" w:after="120" w:line="276" w:lineRule="auto"/>
        <w:jc w:val="right"/>
        <w:rPr>
          <w:rFonts w:ascii="Times New Roman" w:hAnsi="Times New Roman" w:cs="Times New Roman"/>
          <w:sz w:val="24"/>
          <w:szCs w:val="24"/>
          <w:lang w:eastAsia="ru-RU"/>
        </w:rPr>
      </w:pPr>
      <w:r w:rsidRPr="001F6026">
        <w:rPr>
          <w:rFonts w:ascii="Times New Roman" w:hAnsi="Times New Roman" w:cs="Times New Roman"/>
          <w:sz w:val="24"/>
          <w:szCs w:val="24"/>
          <w:lang w:eastAsia="zh-CN"/>
        </w:rPr>
        <w:t xml:space="preserve">la </w:t>
      </w:r>
      <w:r w:rsidRPr="001F6026">
        <w:rPr>
          <w:rFonts w:ascii="Times New Roman" w:hAnsi="Times New Roman" w:cs="Times New Roman"/>
          <w:sz w:val="24"/>
          <w:szCs w:val="24"/>
          <w:lang w:eastAsia="ru-RU"/>
        </w:rPr>
        <w:t xml:space="preserve">Cadrul Național al Calificărilor </w:t>
      </w:r>
    </w:p>
    <w:p w14:paraId="19ED72E8" w14:textId="7AE8EFE4" w:rsidR="009111BB" w:rsidRPr="001F6026" w:rsidRDefault="009111BB" w:rsidP="009E3C8F">
      <w:pPr>
        <w:spacing w:before="120" w:after="120" w:line="276" w:lineRule="auto"/>
        <w:jc w:val="center"/>
        <w:rPr>
          <w:rFonts w:ascii="Times New Roman" w:eastAsia="SimSun" w:hAnsi="Times New Roman" w:cs="Times New Roman"/>
          <w:b/>
          <w:kern w:val="0"/>
          <w:sz w:val="24"/>
          <w:szCs w:val="24"/>
          <w:lang w:eastAsia="zh-CN"/>
          <w14:ligatures w14:val="none"/>
        </w:rPr>
      </w:pPr>
      <w:r w:rsidRPr="001F6026">
        <w:rPr>
          <w:rFonts w:ascii="Times New Roman" w:eastAsia="SimSun" w:hAnsi="Times New Roman" w:cs="Times New Roman"/>
          <w:b/>
          <w:kern w:val="0"/>
          <w:sz w:val="24"/>
          <w:szCs w:val="24"/>
          <w:lang w:eastAsia="zh-CN"/>
          <w14:ligatures w14:val="none"/>
        </w:rPr>
        <w:t xml:space="preserve">Descriptori de definire a nivelurilor </w:t>
      </w:r>
      <w:r w:rsidRPr="001F6026">
        <w:rPr>
          <w:rFonts w:ascii="Times New Roman" w:eastAsia="Times New Roman" w:hAnsi="Times New Roman" w:cs="Times New Roman"/>
          <w:b/>
          <w:kern w:val="0"/>
          <w:sz w:val="24"/>
          <w:szCs w:val="24"/>
          <w:lang w:eastAsia="ru-RU"/>
          <w14:ligatures w14:val="none"/>
        </w:rPr>
        <w:t>Cadrului Național al Calificărilor</w:t>
      </w:r>
      <w:r w:rsidRPr="001F6026">
        <w:rPr>
          <w:rFonts w:ascii="Times New Roman" w:eastAsia="Times New Roman" w:hAnsi="Times New Roman" w:cs="Times New Roman"/>
          <w:kern w:val="0"/>
          <w:sz w:val="24"/>
          <w:szCs w:val="24"/>
          <w:lang w:eastAsia="ru-RU"/>
          <w14:ligatures w14:val="none"/>
        </w:rPr>
        <w:t xml:space="preserve">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905"/>
        <w:gridCol w:w="2377"/>
        <w:gridCol w:w="3288"/>
      </w:tblGrid>
      <w:tr w:rsidR="009E3C8F" w:rsidRPr="001F6026" w14:paraId="061C61DF" w14:textId="77777777" w:rsidTr="009E3C8F">
        <w:trPr>
          <w:tblHeader/>
        </w:trPr>
        <w:tc>
          <w:tcPr>
            <w:tcW w:w="1019" w:type="pct"/>
            <w:vMerge w:val="restart"/>
          </w:tcPr>
          <w:p w14:paraId="706B94BD" w14:textId="77777777" w:rsidR="009E3C8F" w:rsidRPr="001F6026" w:rsidRDefault="009E3C8F" w:rsidP="009E3C8F">
            <w:pPr>
              <w:spacing w:before="120" w:after="120" w:line="276"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 xml:space="preserve">Nivelul conform </w:t>
            </w:r>
            <w:r w:rsidRPr="001F6026">
              <w:rPr>
                <w:rFonts w:ascii="Times New Roman" w:eastAsia="Times New Roman" w:hAnsi="Times New Roman" w:cs="Times New Roman"/>
                <w:b/>
                <w:kern w:val="0"/>
                <w:sz w:val="24"/>
                <w:szCs w:val="24"/>
                <w:lang w:eastAsia="ru-RU"/>
                <w14:ligatures w14:val="none"/>
              </w:rPr>
              <w:t>Cadrului Național al Calificărilor</w:t>
            </w:r>
            <w:r w:rsidRPr="001F6026">
              <w:rPr>
                <w:rFonts w:ascii="Times New Roman" w:eastAsia="Times New Roman" w:hAnsi="Times New Roman" w:cs="Times New Roman"/>
                <w:kern w:val="0"/>
                <w:sz w:val="24"/>
                <w:szCs w:val="24"/>
                <w:lang w:eastAsia="ru-RU"/>
                <w14:ligatures w14:val="none"/>
              </w:rPr>
              <w:t xml:space="preserve"> </w:t>
            </w:r>
          </w:p>
          <w:p w14:paraId="33D3250F" w14:textId="6A361330" w:rsidR="009E3C8F" w:rsidRPr="001F6026" w:rsidRDefault="009E3C8F" w:rsidP="009E3C8F">
            <w:pPr>
              <w:spacing w:after="0" w:line="240"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 xml:space="preserve"> </w:t>
            </w:r>
            <w:r w:rsidRPr="001F6026">
              <w:rPr>
                <w:rFonts w:ascii="Times New Roman" w:eastAsia="Times New Roman" w:hAnsi="Times New Roman" w:cs="Times New Roman"/>
                <w:kern w:val="0"/>
                <w:sz w:val="24"/>
                <w:szCs w:val="24"/>
                <w14:ligatures w14:val="none"/>
              </w:rPr>
              <w:t>(în continuare – CNC)</w:t>
            </w:r>
          </w:p>
        </w:tc>
        <w:tc>
          <w:tcPr>
            <w:tcW w:w="3981" w:type="pct"/>
            <w:gridSpan w:val="3"/>
          </w:tcPr>
          <w:p w14:paraId="01B7E016" w14:textId="4A847A34" w:rsidR="009E3C8F" w:rsidRPr="001F6026" w:rsidRDefault="009E3C8F" w:rsidP="00723F95">
            <w:pPr>
              <w:tabs>
                <w:tab w:val="left" w:pos="175"/>
              </w:tabs>
              <w:spacing w:after="0" w:line="240"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 xml:space="preserve">Descriptorii de definire a nivelurilor </w:t>
            </w:r>
            <w:r w:rsidRPr="001F6026">
              <w:rPr>
                <w:rFonts w:ascii="Times New Roman" w:eastAsia="SimSun" w:hAnsi="Times New Roman" w:cs="Times New Roman"/>
                <w:b/>
                <w:kern w:val="0"/>
                <w:sz w:val="24"/>
                <w:szCs w:val="24"/>
                <w:lang w:eastAsia="zh-CN"/>
                <w14:ligatures w14:val="none"/>
              </w:rPr>
              <w:t>CNC</w:t>
            </w:r>
          </w:p>
        </w:tc>
      </w:tr>
      <w:tr w:rsidR="009E3C8F" w:rsidRPr="001F6026" w14:paraId="6FBB2419" w14:textId="77777777" w:rsidTr="00B81475">
        <w:trPr>
          <w:tblHeader/>
        </w:trPr>
        <w:tc>
          <w:tcPr>
            <w:tcW w:w="1019" w:type="pct"/>
            <w:vMerge/>
          </w:tcPr>
          <w:p w14:paraId="228F3A87" w14:textId="77777777" w:rsidR="009E3C8F" w:rsidRPr="001F6026" w:rsidRDefault="009E3C8F" w:rsidP="00631FCE">
            <w:pPr>
              <w:spacing w:after="0" w:line="240" w:lineRule="auto"/>
              <w:jc w:val="center"/>
              <w:rPr>
                <w:rFonts w:ascii="Times New Roman" w:eastAsia="Times New Roman" w:hAnsi="Times New Roman" w:cs="Times New Roman"/>
                <w:b/>
                <w:kern w:val="0"/>
                <w:sz w:val="24"/>
                <w:szCs w:val="24"/>
                <w14:ligatures w14:val="none"/>
              </w:rPr>
            </w:pPr>
          </w:p>
        </w:tc>
        <w:tc>
          <w:tcPr>
            <w:tcW w:w="1002" w:type="pct"/>
          </w:tcPr>
          <w:p w14:paraId="158E4D11" w14:textId="77777777" w:rsidR="009E3C8F" w:rsidRPr="001F6026" w:rsidRDefault="009E3C8F" w:rsidP="00631FCE">
            <w:pPr>
              <w:spacing w:before="120" w:after="120" w:line="276"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Cunoștințe</w:t>
            </w:r>
          </w:p>
          <w:p w14:paraId="0F2F501B" w14:textId="77777777" w:rsidR="009E3C8F" w:rsidRPr="001F6026" w:rsidRDefault="009E3C8F" w:rsidP="00631FCE">
            <w:pPr>
              <w:spacing w:before="120" w:after="120" w:line="276" w:lineRule="auto"/>
              <w:jc w:val="center"/>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descrise ca fiind teoretice şi/sau faptice </w:t>
            </w:r>
          </w:p>
          <w:p w14:paraId="6BC51186" w14:textId="77777777" w:rsidR="009E3C8F" w:rsidRPr="001F6026" w:rsidRDefault="009E3C8F" w:rsidP="00631FCE">
            <w:pPr>
              <w:tabs>
                <w:tab w:val="left" w:pos="193"/>
              </w:tabs>
              <w:spacing w:after="0" w:line="240" w:lineRule="auto"/>
              <w:jc w:val="center"/>
              <w:rPr>
                <w:rFonts w:ascii="Times New Roman" w:eastAsia="Times New Roman" w:hAnsi="Times New Roman" w:cs="Times New Roman"/>
                <w:b/>
                <w:kern w:val="0"/>
                <w:sz w:val="24"/>
                <w:szCs w:val="24"/>
                <w14:ligatures w14:val="none"/>
              </w:rPr>
            </w:pPr>
          </w:p>
        </w:tc>
        <w:tc>
          <w:tcPr>
            <w:tcW w:w="1250" w:type="pct"/>
          </w:tcPr>
          <w:p w14:paraId="2520E7DD" w14:textId="77777777" w:rsidR="009E3C8F" w:rsidRPr="001F6026" w:rsidRDefault="009E3C8F" w:rsidP="00631FCE">
            <w:pPr>
              <w:spacing w:before="120" w:after="120" w:line="276"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Aptitudini</w:t>
            </w:r>
          </w:p>
          <w:p w14:paraId="023E42A3" w14:textId="7A6BCAC5" w:rsidR="009E3C8F" w:rsidRPr="001F6026" w:rsidRDefault="009E3C8F" w:rsidP="00631FCE">
            <w:pPr>
              <w:tabs>
                <w:tab w:val="left" w:pos="176"/>
              </w:tabs>
              <w:spacing w:after="0" w:line="240"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kern w:val="0"/>
                <w:sz w:val="24"/>
                <w:szCs w:val="24"/>
                <w14:ligatures w14:val="none"/>
              </w:rPr>
              <w:t>descrise ca fiind cognitive (implicând utilizarea gândirii logice, intuitive şi creative) și practice (implicând dexteritate manuală şi utilizarea de metode, materiale, unelte şi instrumente)</w:t>
            </w:r>
          </w:p>
        </w:tc>
        <w:tc>
          <w:tcPr>
            <w:tcW w:w="1729" w:type="pct"/>
          </w:tcPr>
          <w:p w14:paraId="144EDE55" w14:textId="77777777" w:rsidR="009E3C8F" w:rsidRPr="001F6026" w:rsidRDefault="009E3C8F" w:rsidP="00631FCE">
            <w:pPr>
              <w:spacing w:before="120" w:after="120" w:line="276"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Responsabilitate și autonomie</w:t>
            </w:r>
          </w:p>
          <w:p w14:paraId="30B4129C" w14:textId="77777777" w:rsidR="009E3C8F" w:rsidRPr="001F6026" w:rsidRDefault="009E3C8F" w:rsidP="00631FCE">
            <w:pPr>
              <w:spacing w:before="120" w:after="120" w:line="276" w:lineRule="auto"/>
              <w:jc w:val="center"/>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descrise ca fiind capacitatea </w:t>
            </w:r>
            <w:r w:rsidRPr="001F6026">
              <w:rPr>
                <w:rFonts w:ascii="Times New Roman" w:eastAsia="Times New Roman" w:hAnsi="Times New Roman" w:cs="Times New Roman"/>
                <w:kern w:val="0"/>
                <w:sz w:val="24"/>
                <w:szCs w:val="24"/>
                <w:lang w:eastAsia="ru-RU"/>
                <w14:ligatures w14:val="none"/>
              </w:rPr>
              <w:t>elevului/studentului/</w:t>
            </w:r>
            <w:r w:rsidRPr="001F6026">
              <w:rPr>
                <w:rFonts w:ascii="Times New Roman" w:eastAsia="Times New Roman" w:hAnsi="Times New Roman" w:cs="Times New Roman"/>
                <w:kern w:val="0"/>
                <w:sz w:val="24"/>
                <w:szCs w:val="24"/>
                <w14:ligatures w14:val="none"/>
              </w:rPr>
              <w:t xml:space="preserve">cursantului de a aplica cunoștințele și aptitudinile sale în mod autonom </w:t>
            </w:r>
          </w:p>
          <w:p w14:paraId="298F0B8F" w14:textId="073AB933" w:rsidR="009E3C8F" w:rsidRPr="001F6026" w:rsidRDefault="009E3C8F" w:rsidP="00631FCE">
            <w:pPr>
              <w:tabs>
                <w:tab w:val="left" w:pos="175"/>
              </w:tabs>
              <w:spacing w:after="0" w:line="240" w:lineRule="auto"/>
              <w:jc w:val="center"/>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kern w:val="0"/>
                <w:sz w:val="24"/>
                <w:szCs w:val="24"/>
                <w14:ligatures w14:val="none"/>
              </w:rPr>
              <w:t xml:space="preserve">și responsabil </w:t>
            </w:r>
          </w:p>
        </w:tc>
      </w:tr>
      <w:tr w:rsidR="009111BB" w:rsidRPr="001F6026" w14:paraId="1BB07419" w14:textId="77777777" w:rsidTr="00B81475">
        <w:tc>
          <w:tcPr>
            <w:tcW w:w="1019" w:type="pct"/>
          </w:tcPr>
          <w:p w14:paraId="23BBB95E"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Nivelul 1</w:t>
            </w:r>
          </w:p>
          <w:p w14:paraId="73C31147"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Rezultatele învăţării corespunzătoare nivelului 1 </w:t>
            </w:r>
          </w:p>
        </w:tc>
        <w:tc>
          <w:tcPr>
            <w:tcW w:w="1002" w:type="pct"/>
          </w:tcPr>
          <w:p w14:paraId="1D7AD199"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Cunoştinţe generale </w:t>
            </w:r>
            <w:r w:rsidRPr="001F6026">
              <w:rPr>
                <w:rFonts w:ascii="Times New Roman" w:eastAsia="Times New Roman" w:hAnsi="Times New Roman" w:cs="Times New Roman"/>
                <w:i/>
                <w:kern w:val="0"/>
                <w:sz w:val="24"/>
                <w:szCs w:val="24"/>
                <w14:ligatures w14:val="none"/>
              </w:rPr>
              <w:t>de bază</w:t>
            </w:r>
          </w:p>
        </w:tc>
        <w:tc>
          <w:tcPr>
            <w:tcW w:w="1250" w:type="pct"/>
          </w:tcPr>
          <w:p w14:paraId="0BC7975A"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Aptitudini </w:t>
            </w:r>
            <w:r w:rsidRPr="001F6026">
              <w:rPr>
                <w:rFonts w:ascii="Times New Roman" w:eastAsia="Times New Roman" w:hAnsi="Times New Roman" w:cs="Times New Roman"/>
                <w:i/>
                <w:kern w:val="0"/>
                <w:sz w:val="24"/>
                <w:szCs w:val="24"/>
                <w14:ligatures w14:val="none"/>
              </w:rPr>
              <w:t>de bază</w:t>
            </w:r>
            <w:r w:rsidRPr="001F6026">
              <w:rPr>
                <w:rFonts w:ascii="Times New Roman" w:eastAsia="Times New Roman" w:hAnsi="Times New Roman" w:cs="Times New Roman"/>
                <w:kern w:val="0"/>
                <w:sz w:val="24"/>
                <w:szCs w:val="24"/>
                <w14:ligatures w14:val="none"/>
              </w:rPr>
              <w:t xml:space="preserve"> necesare pentru a executa </w:t>
            </w:r>
            <w:r w:rsidRPr="001F6026">
              <w:rPr>
                <w:rFonts w:ascii="Times New Roman" w:eastAsia="Times New Roman" w:hAnsi="Times New Roman" w:cs="Times New Roman"/>
                <w:i/>
                <w:kern w:val="0"/>
                <w:sz w:val="24"/>
                <w:szCs w:val="24"/>
                <w14:ligatures w14:val="none"/>
              </w:rPr>
              <w:t>sarcini simple</w:t>
            </w:r>
          </w:p>
        </w:tc>
        <w:tc>
          <w:tcPr>
            <w:tcW w:w="1729" w:type="pct"/>
          </w:tcPr>
          <w:p w14:paraId="03061717" w14:textId="757910D9" w:rsidR="009111BB" w:rsidRPr="001F6026" w:rsidRDefault="009111BB" w:rsidP="00723F95">
            <w:pPr>
              <w:tabs>
                <w:tab w:val="left" w:pos="175"/>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Muncă sau studiu sub </w:t>
            </w:r>
            <w:r w:rsidRPr="001F6026">
              <w:rPr>
                <w:rFonts w:ascii="Times New Roman" w:eastAsia="Times New Roman" w:hAnsi="Times New Roman" w:cs="Times New Roman"/>
                <w:i/>
                <w:kern w:val="0"/>
                <w:sz w:val="24"/>
                <w:szCs w:val="24"/>
                <w14:ligatures w14:val="none"/>
              </w:rPr>
              <w:t>supraveg</w:t>
            </w:r>
            <w:r w:rsidR="00356848" w:rsidRPr="001F6026">
              <w:rPr>
                <w:rFonts w:ascii="Times New Roman" w:eastAsia="Times New Roman" w:hAnsi="Times New Roman" w:cs="Times New Roman"/>
                <w:i/>
                <w:kern w:val="0"/>
                <w:sz w:val="24"/>
                <w:szCs w:val="24"/>
                <w14:ligatures w14:val="none"/>
              </w:rPr>
              <w:t>ÎS</w:t>
            </w:r>
            <w:r w:rsidRPr="001F6026">
              <w:rPr>
                <w:rFonts w:ascii="Times New Roman" w:eastAsia="Times New Roman" w:hAnsi="Times New Roman" w:cs="Times New Roman"/>
                <w:i/>
                <w:kern w:val="0"/>
                <w:sz w:val="24"/>
                <w:szCs w:val="24"/>
                <w14:ligatures w14:val="none"/>
              </w:rPr>
              <w:t>re directă</w:t>
            </w:r>
            <w:r w:rsidRPr="001F6026">
              <w:rPr>
                <w:rFonts w:ascii="Times New Roman" w:eastAsia="Times New Roman" w:hAnsi="Times New Roman" w:cs="Times New Roman"/>
                <w:kern w:val="0"/>
                <w:sz w:val="24"/>
                <w:szCs w:val="24"/>
                <w14:ligatures w14:val="none"/>
              </w:rPr>
              <w:t xml:space="preserve"> într-un </w:t>
            </w:r>
            <w:r w:rsidRPr="001F6026">
              <w:rPr>
                <w:rFonts w:ascii="Times New Roman" w:eastAsia="Times New Roman" w:hAnsi="Times New Roman" w:cs="Times New Roman"/>
                <w:i/>
                <w:kern w:val="0"/>
                <w:sz w:val="24"/>
                <w:szCs w:val="24"/>
                <w14:ligatures w14:val="none"/>
              </w:rPr>
              <w:t>context structurat</w:t>
            </w:r>
          </w:p>
        </w:tc>
      </w:tr>
      <w:tr w:rsidR="009111BB" w:rsidRPr="001F6026" w14:paraId="1C32316F" w14:textId="77777777" w:rsidTr="00B81475">
        <w:tc>
          <w:tcPr>
            <w:tcW w:w="1019" w:type="pct"/>
          </w:tcPr>
          <w:p w14:paraId="5B62930A"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Nivelul 2</w:t>
            </w:r>
          </w:p>
          <w:p w14:paraId="6FAFBAB3"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2</w:t>
            </w:r>
          </w:p>
          <w:p w14:paraId="439A5D96"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p>
        </w:tc>
        <w:tc>
          <w:tcPr>
            <w:tcW w:w="1002" w:type="pct"/>
          </w:tcPr>
          <w:p w14:paraId="14052760"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Cunoştinţe </w:t>
            </w:r>
            <w:r w:rsidRPr="001F6026">
              <w:rPr>
                <w:rFonts w:ascii="Times New Roman" w:eastAsia="Times New Roman" w:hAnsi="Times New Roman" w:cs="Times New Roman"/>
                <w:i/>
                <w:kern w:val="0"/>
                <w:sz w:val="24"/>
                <w:szCs w:val="24"/>
                <w14:ligatures w14:val="none"/>
              </w:rPr>
              <w:t>faptice de bază</w:t>
            </w:r>
            <w:r w:rsidRPr="001F6026">
              <w:rPr>
                <w:rFonts w:ascii="Times New Roman" w:eastAsia="Times New Roman" w:hAnsi="Times New Roman" w:cs="Times New Roman"/>
                <w:kern w:val="0"/>
                <w:sz w:val="24"/>
                <w:szCs w:val="24"/>
                <w14:ligatures w14:val="none"/>
              </w:rPr>
              <w:t xml:space="preserve"> într-un domeniu de muncă sau de studiu</w:t>
            </w:r>
          </w:p>
        </w:tc>
        <w:tc>
          <w:tcPr>
            <w:tcW w:w="1250" w:type="pct"/>
          </w:tcPr>
          <w:p w14:paraId="24C44639"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Aptitudini cognitive și practice de bază, necesare pentru utilizarea informațiilor relevante, în scopul executării </w:t>
            </w:r>
            <w:r w:rsidRPr="001F6026">
              <w:rPr>
                <w:rFonts w:ascii="Times New Roman" w:eastAsia="Times New Roman" w:hAnsi="Times New Roman" w:cs="Times New Roman"/>
                <w:i/>
                <w:kern w:val="0"/>
                <w:sz w:val="24"/>
                <w:szCs w:val="24"/>
                <w14:ligatures w14:val="none"/>
              </w:rPr>
              <w:t>sarcinilor și al rezolvării problemelor de rutină</w:t>
            </w:r>
            <w:r w:rsidRPr="001F6026">
              <w:rPr>
                <w:rFonts w:ascii="Times New Roman" w:eastAsia="Times New Roman" w:hAnsi="Times New Roman" w:cs="Times New Roman"/>
                <w:kern w:val="0"/>
                <w:sz w:val="24"/>
                <w:szCs w:val="24"/>
                <w14:ligatures w14:val="none"/>
              </w:rPr>
              <w:t xml:space="preserve"> prin utilizarea unor reguli și instrumente simple</w:t>
            </w:r>
          </w:p>
        </w:tc>
        <w:tc>
          <w:tcPr>
            <w:tcW w:w="1729" w:type="pct"/>
          </w:tcPr>
          <w:p w14:paraId="18C6C2F7" w14:textId="498C3F03" w:rsidR="009111BB" w:rsidRPr="001F6026" w:rsidRDefault="009111BB" w:rsidP="00723F95">
            <w:pPr>
              <w:tabs>
                <w:tab w:val="left" w:pos="175"/>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Munca sau studiul </w:t>
            </w:r>
            <w:r w:rsidRPr="001F6026">
              <w:rPr>
                <w:rFonts w:ascii="Times New Roman" w:eastAsia="Times New Roman" w:hAnsi="Times New Roman" w:cs="Times New Roman"/>
                <w:i/>
                <w:kern w:val="0"/>
                <w:sz w:val="24"/>
                <w:szCs w:val="24"/>
                <w14:ligatures w14:val="none"/>
              </w:rPr>
              <w:t>sub supraveg</w:t>
            </w:r>
            <w:r w:rsidR="00356848" w:rsidRPr="001F6026">
              <w:rPr>
                <w:rFonts w:ascii="Times New Roman" w:eastAsia="Times New Roman" w:hAnsi="Times New Roman" w:cs="Times New Roman"/>
                <w:i/>
                <w:kern w:val="0"/>
                <w:sz w:val="24"/>
                <w:szCs w:val="24"/>
                <w14:ligatures w14:val="none"/>
              </w:rPr>
              <w:t>ÎS</w:t>
            </w:r>
            <w:r w:rsidRPr="001F6026">
              <w:rPr>
                <w:rFonts w:ascii="Times New Roman" w:eastAsia="Times New Roman" w:hAnsi="Times New Roman" w:cs="Times New Roman"/>
                <w:i/>
                <w:kern w:val="0"/>
                <w:sz w:val="24"/>
                <w:szCs w:val="24"/>
                <w14:ligatures w14:val="none"/>
              </w:rPr>
              <w:t>re</w:t>
            </w:r>
            <w:r w:rsidRPr="001F6026">
              <w:rPr>
                <w:rFonts w:ascii="Times New Roman" w:eastAsia="Times New Roman" w:hAnsi="Times New Roman" w:cs="Times New Roman"/>
                <w:kern w:val="0"/>
                <w:sz w:val="24"/>
                <w:szCs w:val="24"/>
                <w14:ligatures w14:val="none"/>
              </w:rPr>
              <w:t xml:space="preserve">, cu </w:t>
            </w:r>
            <w:r w:rsidRPr="001F6026">
              <w:rPr>
                <w:rFonts w:ascii="Times New Roman" w:eastAsia="Times New Roman" w:hAnsi="Times New Roman" w:cs="Times New Roman"/>
                <w:i/>
                <w:kern w:val="0"/>
                <w:sz w:val="24"/>
                <w:szCs w:val="24"/>
                <w14:ligatures w14:val="none"/>
              </w:rPr>
              <w:t>un anumit grad de autonomie</w:t>
            </w:r>
          </w:p>
        </w:tc>
      </w:tr>
      <w:tr w:rsidR="009111BB" w:rsidRPr="001F6026" w14:paraId="7D7518D9" w14:textId="77777777" w:rsidTr="00B81475">
        <w:tc>
          <w:tcPr>
            <w:tcW w:w="1019" w:type="pct"/>
          </w:tcPr>
          <w:p w14:paraId="4C9F2F8A"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Nivelul 3</w:t>
            </w:r>
          </w:p>
          <w:p w14:paraId="11EF8E2A"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3</w:t>
            </w:r>
          </w:p>
          <w:p w14:paraId="2E2D8A3F"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p>
        </w:tc>
        <w:tc>
          <w:tcPr>
            <w:tcW w:w="1002" w:type="pct"/>
          </w:tcPr>
          <w:p w14:paraId="241D5414" w14:textId="77777777" w:rsidR="009111BB" w:rsidRPr="001F6026" w:rsidRDefault="009111BB" w:rsidP="00723F95">
            <w:pPr>
              <w:spacing w:after="0" w:line="240" w:lineRule="auto"/>
              <w:rPr>
                <w:rFonts w:ascii="Times New Roman" w:eastAsia="Times New Roman" w:hAnsi="Times New Roman" w:cs="Times New Roman"/>
                <w:kern w:val="0"/>
                <w:sz w:val="24"/>
                <w:szCs w:val="24"/>
                <w:lang w:eastAsia="ru-RU"/>
                <w14:ligatures w14:val="none"/>
              </w:rPr>
            </w:pPr>
            <w:r w:rsidRPr="001F6026">
              <w:rPr>
                <w:rFonts w:ascii="Times New Roman" w:eastAsia="Times New Roman" w:hAnsi="Times New Roman" w:cs="Times New Roman"/>
                <w:kern w:val="0"/>
                <w:sz w:val="24"/>
                <w:szCs w:val="24"/>
                <w:lang w:eastAsia="ru-RU"/>
                <w14:ligatures w14:val="none"/>
              </w:rPr>
              <w:t xml:space="preserve">Cunoștințe </w:t>
            </w:r>
            <w:r w:rsidRPr="001F6026">
              <w:rPr>
                <w:rFonts w:ascii="Times New Roman" w:eastAsia="Times New Roman" w:hAnsi="Times New Roman" w:cs="Times New Roman"/>
                <w:i/>
                <w:kern w:val="0"/>
                <w:sz w:val="24"/>
                <w:szCs w:val="24"/>
                <w:lang w:eastAsia="ru-RU"/>
                <w14:ligatures w14:val="none"/>
              </w:rPr>
              <w:t>faptice</w:t>
            </w:r>
            <w:r w:rsidRPr="001F6026">
              <w:rPr>
                <w:rFonts w:ascii="Times New Roman" w:eastAsia="Times New Roman" w:hAnsi="Times New Roman" w:cs="Times New Roman"/>
                <w:kern w:val="0"/>
                <w:sz w:val="24"/>
                <w:szCs w:val="24"/>
                <w:lang w:eastAsia="ru-RU"/>
                <w14:ligatures w14:val="none"/>
              </w:rPr>
              <w:t xml:space="preserve">, cunoașterea unor </w:t>
            </w:r>
            <w:r w:rsidRPr="001F6026">
              <w:rPr>
                <w:rFonts w:ascii="Times New Roman" w:eastAsia="Times New Roman" w:hAnsi="Times New Roman" w:cs="Times New Roman"/>
                <w:i/>
                <w:kern w:val="0"/>
                <w:sz w:val="24"/>
                <w:szCs w:val="24"/>
                <w:lang w:eastAsia="ru-RU"/>
                <w14:ligatures w14:val="none"/>
              </w:rPr>
              <w:t xml:space="preserve">principii, procese și concepte generale </w:t>
            </w:r>
            <w:r w:rsidRPr="001F6026">
              <w:rPr>
                <w:rFonts w:ascii="Times New Roman" w:eastAsia="Times New Roman" w:hAnsi="Times New Roman" w:cs="Times New Roman"/>
                <w:kern w:val="0"/>
                <w:sz w:val="24"/>
                <w:szCs w:val="24"/>
                <w:lang w:eastAsia="ru-RU"/>
                <w14:ligatures w14:val="none"/>
              </w:rPr>
              <w:t xml:space="preserve">dintr-un domeniu de muncă sau de studiu </w:t>
            </w:r>
          </w:p>
          <w:p w14:paraId="142F37CB"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p>
        </w:tc>
        <w:tc>
          <w:tcPr>
            <w:tcW w:w="1250" w:type="pct"/>
          </w:tcPr>
          <w:p w14:paraId="727C26E2"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O gamă de aptitudini cognitive și practice necesare pentru executarea sarcinilor și soluționarea problemelor prin </w:t>
            </w:r>
            <w:r w:rsidRPr="001F6026">
              <w:rPr>
                <w:rFonts w:ascii="Times New Roman" w:eastAsia="Times New Roman" w:hAnsi="Times New Roman" w:cs="Times New Roman"/>
                <w:i/>
                <w:kern w:val="0"/>
                <w:sz w:val="24"/>
                <w:szCs w:val="24"/>
                <w14:ligatures w14:val="none"/>
              </w:rPr>
              <w:t>selectarea și aplicarea de metode, instrumente, materiale și informații de bază</w:t>
            </w:r>
          </w:p>
        </w:tc>
        <w:tc>
          <w:tcPr>
            <w:tcW w:w="1729" w:type="pct"/>
          </w:tcPr>
          <w:p w14:paraId="1FEC9886" w14:textId="77777777" w:rsidR="009111BB" w:rsidRPr="001F6026" w:rsidRDefault="009111BB" w:rsidP="00723F95">
            <w:pPr>
              <w:tabs>
                <w:tab w:val="left" w:pos="175"/>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Asumarea </w:t>
            </w:r>
            <w:r w:rsidRPr="001F6026">
              <w:rPr>
                <w:rFonts w:ascii="Times New Roman" w:eastAsia="Times New Roman" w:hAnsi="Times New Roman" w:cs="Times New Roman"/>
                <w:i/>
                <w:kern w:val="0"/>
                <w:sz w:val="24"/>
                <w:szCs w:val="24"/>
                <w14:ligatures w14:val="none"/>
              </w:rPr>
              <w:t>responsabilității</w:t>
            </w:r>
            <w:r w:rsidRPr="001F6026">
              <w:rPr>
                <w:rFonts w:ascii="Times New Roman" w:eastAsia="Times New Roman" w:hAnsi="Times New Roman" w:cs="Times New Roman"/>
                <w:kern w:val="0"/>
                <w:sz w:val="24"/>
                <w:szCs w:val="24"/>
                <w14:ligatures w14:val="none"/>
              </w:rPr>
              <w:t xml:space="preserve"> pentru executarea sarcinilor într-un domeniu de muncă sau de studiu;</w:t>
            </w:r>
          </w:p>
          <w:p w14:paraId="52A42039" w14:textId="77777777" w:rsidR="009111BB" w:rsidRPr="001F6026" w:rsidRDefault="009111BB" w:rsidP="00723F95">
            <w:pPr>
              <w:tabs>
                <w:tab w:val="left" w:pos="175"/>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Adaptarea propriului comportament</w:t>
            </w:r>
            <w:r w:rsidRPr="001F6026">
              <w:rPr>
                <w:rFonts w:ascii="Times New Roman" w:eastAsia="Times New Roman" w:hAnsi="Times New Roman" w:cs="Times New Roman"/>
                <w:kern w:val="0"/>
                <w:sz w:val="24"/>
                <w:szCs w:val="24"/>
                <w14:ligatures w14:val="none"/>
              </w:rPr>
              <w:t xml:space="preserve"> la circumstanțe, pentru soluționarea problemelor</w:t>
            </w:r>
          </w:p>
        </w:tc>
      </w:tr>
      <w:tr w:rsidR="009111BB" w:rsidRPr="001F6026" w14:paraId="0F37DF16" w14:textId="77777777" w:rsidTr="00B81475">
        <w:tc>
          <w:tcPr>
            <w:tcW w:w="1019" w:type="pct"/>
          </w:tcPr>
          <w:p w14:paraId="10473D7D"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Nivelul 4</w:t>
            </w:r>
          </w:p>
          <w:p w14:paraId="180E933E"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4</w:t>
            </w:r>
          </w:p>
        </w:tc>
        <w:tc>
          <w:tcPr>
            <w:tcW w:w="1002" w:type="pct"/>
          </w:tcPr>
          <w:p w14:paraId="02337929" w14:textId="77777777" w:rsidR="009111BB" w:rsidRPr="001F6026" w:rsidRDefault="009111BB" w:rsidP="00723F95">
            <w:pPr>
              <w:spacing w:after="0" w:line="240" w:lineRule="auto"/>
              <w:rPr>
                <w:rFonts w:ascii="Times New Roman" w:eastAsia="Times New Roman" w:hAnsi="Times New Roman" w:cs="Times New Roman"/>
                <w:kern w:val="0"/>
                <w:sz w:val="24"/>
                <w:szCs w:val="24"/>
                <w:lang w:eastAsia="ru-RU"/>
                <w14:ligatures w14:val="none"/>
              </w:rPr>
            </w:pPr>
            <w:r w:rsidRPr="001F6026">
              <w:rPr>
                <w:rFonts w:ascii="Times New Roman" w:eastAsia="Times New Roman" w:hAnsi="Times New Roman" w:cs="Times New Roman"/>
                <w:kern w:val="0"/>
                <w:sz w:val="24"/>
                <w:szCs w:val="24"/>
                <w:lang w:eastAsia="ru-RU"/>
                <w14:ligatures w14:val="none"/>
              </w:rPr>
              <w:t xml:space="preserve">Cunoștințe </w:t>
            </w:r>
            <w:r w:rsidRPr="001F6026">
              <w:rPr>
                <w:rFonts w:ascii="Times New Roman" w:eastAsia="Times New Roman" w:hAnsi="Times New Roman" w:cs="Times New Roman"/>
                <w:i/>
                <w:kern w:val="0"/>
                <w:sz w:val="24"/>
                <w:szCs w:val="24"/>
                <w:lang w:eastAsia="ru-RU"/>
                <w14:ligatures w14:val="none"/>
              </w:rPr>
              <w:t>faptice și teoretice în contexte largi</w:t>
            </w:r>
            <w:r w:rsidRPr="001F6026">
              <w:rPr>
                <w:rFonts w:ascii="Times New Roman" w:eastAsia="Times New Roman" w:hAnsi="Times New Roman" w:cs="Times New Roman"/>
                <w:kern w:val="0"/>
                <w:sz w:val="24"/>
                <w:szCs w:val="24"/>
                <w:lang w:eastAsia="ru-RU"/>
                <w14:ligatures w14:val="none"/>
              </w:rPr>
              <w:t xml:space="preserve">, în cadrul unui </w:t>
            </w:r>
            <w:r w:rsidRPr="001F6026">
              <w:rPr>
                <w:rFonts w:ascii="Times New Roman" w:eastAsia="Times New Roman" w:hAnsi="Times New Roman" w:cs="Times New Roman"/>
                <w:kern w:val="0"/>
                <w:sz w:val="24"/>
                <w:szCs w:val="24"/>
                <w:lang w:eastAsia="ru-RU"/>
                <w14:ligatures w14:val="none"/>
              </w:rPr>
              <w:lastRenderedPageBreak/>
              <w:t xml:space="preserve">domeniu de muncă sau de studiu </w:t>
            </w:r>
          </w:p>
          <w:p w14:paraId="0BBBBFE3"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p>
        </w:tc>
        <w:tc>
          <w:tcPr>
            <w:tcW w:w="1250" w:type="pct"/>
          </w:tcPr>
          <w:p w14:paraId="3CBD1E77"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lastRenderedPageBreak/>
              <w:t xml:space="preserve">O gamă de aptitudini cognitive și practice necesare pentru </w:t>
            </w:r>
            <w:r w:rsidRPr="001F6026">
              <w:rPr>
                <w:rFonts w:ascii="Times New Roman" w:eastAsia="Times New Roman" w:hAnsi="Times New Roman" w:cs="Times New Roman"/>
                <w:i/>
                <w:kern w:val="0"/>
                <w:sz w:val="24"/>
                <w:szCs w:val="24"/>
                <w14:ligatures w14:val="none"/>
              </w:rPr>
              <w:t>găsirea de soluții la probleme specifice</w:t>
            </w:r>
            <w:r w:rsidRPr="001F6026">
              <w:rPr>
                <w:rFonts w:ascii="Times New Roman" w:eastAsia="Times New Roman" w:hAnsi="Times New Roman" w:cs="Times New Roman"/>
                <w:kern w:val="0"/>
                <w:sz w:val="24"/>
                <w:szCs w:val="24"/>
                <w14:ligatures w14:val="none"/>
              </w:rPr>
              <w:t xml:space="preserve"> </w:t>
            </w:r>
            <w:r w:rsidRPr="001F6026">
              <w:rPr>
                <w:rFonts w:ascii="Times New Roman" w:eastAsia="Times New Roman" w:hAnsi="Times New Roman" w:cs="Times New Roman"/>
                <w:kern w:val="0"/>
                <w:sz w:val="24"/>
                <w:szCs w:val="24"/>
                <w14:ligatures w14:val="none"/>
              </w:rPr>
              <w:lastRenderedPageBreak/>
              <w:t>într-un domeniu de muncă sau de studiu</w:t>
            </w:r>
          </w:p>
        </w:tc>
        <w:tc>
          <w:tcPr>
            <w:tcW w:w="1729" w:type="pct"/>
          </w:tcPr>
          <w:p w14:paraId="3E469223"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lastRenderedPageBreak/>
              <w:t>Autogestionare în cadrul liniilor directoare</w:t>
            </w:r>
            <w:r w:rsidRPr="001F6026">
              <w:rPr>
                <w:rFonts w:ascii="Times New Roman" w:eastAsia="Times New Roman" w:hAnsi="Times New Roman" w:cs="Times New Roman"/>
                <w:kern w:val="0"/>
                <w:sz w:val="24"/>
                <w:szCs w:val="24"/>
                <w14:ligatures w14:val="none"/>
              </w:rPr>
              <w:t xml:space="preserve"> aferente unor </w:t>
            </w:r>
            <w:r w:rsidRPr="001F6026">
              <w:rPr>
                <w:rFonts w:ascii="Times New Roman" w:eastAsia="Times New Roman" w:hAnsi="Times New Roman" w:cs="Times New Roman"/>
                <w:i/>
                <w:kern w:val="0"/>
                <w:sz w:val="24"/>
                <w:szCs w:val="24"/>
                <w14:ligatures w14:val="none"/>
              </w:rPr>
              <w:t>contexte</w:t>
            </w:r>
            <w:r w:rsidRPr="001F6026">
              <w:rPr>
                <w:rFonts w:ascii="Times New Roman" w:eastAsia="Times New Roman" w:hAnsi="Times New Roman" w:cs="Times New Roman"/>
                <w:kern w:val="0"/>
                <w:sz w:val="24"/>
                <w:szCs w:val="24"/>
                <w14:ligatures w14:val="none"/>
              </w:rPr>
              <w:t xml:space="preserve"> de muncă sau de studiu </w:t>
            </w:r>
            <w:r w:rsidRPr="001F6026">
              <w:rPr>
                <w:rFonts w:ascii="Times New Roman" w:eastAsia="Times New Roman" w:hAnsi="Times New Roman" w:cs="Times New Roman"/>
                <w:i/>
                <w:kern w:val="0"/>
                <w:sz w:val="24"/>
                <w:szCs w:val="24"/>
                <w14:ligatures w14:val="none"/>
              </w:rPr>
              <w:t>în general previzibile</w:t>
            </w:r>
            <w:r w:rsidRPr="001F6026">
              <w:rPr>
                <w:rFonts w:ascii="Times New Roman" w:eastAsia="Times New Roman" w:hAnsi="Times New Roman" w:cs="Times New Roman"/>
                <w:kern w:val="0"/>
                <w:sz w:val="24"/>
                <w:szCs w:val="24"/>
                <w14:ligatures w14:val="none"/>
              </w:rPr>
              <w:t xml:space="preserve">, </w:t>
            </w:r>
            <w:r w:rsidRPr="001F6026">
              <w:rPr>
                <w:rFonts w:ascii="Times New Roman" w:eastAsia="Times New Roman" w:hAnsi="Times New Roman" w:cs="Times New Roman"/>
                <w:i/>
                <w:kern w:val="0"/>
                <w:sz w:val="24"/>
                <w:szCs w:val="24"/>
                <w14:ligatures w14:val="none"/>
              </w:rPr>
              <w:t>dar care se pot schimba;</w:t>
            </w:r>
          </w:p>
          <w:p w14:paraId="34612E3E" w14:textId="30A60963"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lastRenderedPageBreak/>
              <w:t>Supraveg</w:t>
            </w:r>
            <w:r w:rsidR="00356848" w:rsidRPr="001F6026">
              <w:rPr>
                <w:rFonts w:ascii="Times New Roman" w:eastAsia="Times New Roman" w:hAnsi="Times New Roman" w:cs="Times New Roman"/>
                <w:kern w:val="0"/>
                <w:sz w:val="24"/>
                <w:szCs w:val="24"/>
                <w14:ligatures w14:val="none"/>
              </w:rPr>
              <w:t>ÎS</w:t>
            </w:r>
            <w:r w:rsidRPr="001F6026">
              <w:rPr>
                <w:rFonts w:ascii="Times New Roman" w:eastAsia="Times New Roman" w:hAnsi="Times New Roman" w:cs="Times New Roman"/>
                <w:kern w:val="0"/>
                <w:sz w:val="24"/>
                <w:szCs w:val="24"/>
                <w14:ligatures w14:val="none"/>
              </w:rPr>
              <w:t xml:space="preserve">rea activității de rutină a altor persoane, preluând </w:t>
            </w:r>
            <w:r w:rsidRPr="001F6026">
              <w:rPr>
                <w:rFonts w:ascii="Times New Roman" w:eastAsia="Times New Roman" w:hAnsi="Times New Roman" w:cs="Times New Roman"/>
                <w:i/>
                <w:kern w:val="0"/>
                <w:sz w:val="24"/>
                <w:szCs w:val="24"/>
                <w14:ligatures w14:val="none"/>
              </w:rPr>
              <w:t>o anumită responsabilitate pentru evaluarea și îmbunătățirea activităților de muncă sau de studiu</w:t>
            </w:r>
          </w:p>
        </w:tc>
      </w:tr>
      <w:tr w:rsidR="009111BB" w:rsidRPr="001F6026" w14:paraId="03232CC7" w14:textId="77777777" w:rsidTr="00B81475">
        <w:tc>
          <w:tcPr>
            <w:tcW w:w="1019" w:type="pct"/>
          </w:tcPr>
          <w:p w14:paraId="6D760B4F"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lastRenderedPageBreak/>
              <w:t>Nivelul 5</w:t>
            </w:r>
          </w:p>
          <w:p w14:paraId="649CB801"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5</w:t>
            </w:r>
          </w:p>
          <w:p w14:paraId="6B4BE430"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p>
        </w:tc>
        <w:tc>
          <w:tcPr>
            <w:tcW w:w="1002" w:type="pct"/>
          </w:tcPr>
          <w:p w14:paraId="597DFFDE"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Cunoştinţe </w:t>
            </w:r>
            <w:r w:rsidRPr="001F6026">
              <w:rPr>
                <w:rFonts w:ascii="Times New Roman" w:eastAsia="Times New Roman" w:hAnsi="Times New Roman" w:cs="Times New Roman"/>
                <w:i/>
                <w:kern w:val="0"/>
                <w:sz w:val="24"/>
                <w:szCs w:val="24"/>
                <w14:ligatures w14:val="none"/>
              </w:rPr>
              <w:t>faptice şi teoretice cuprinzătoare</w:t>
            </w:r>
            <w:r w:rsidRPr="001F6026">
              <w:rPr>
                <w:rFonts w:ascii="Times New Roman" w:eastAsia="Times New Roman" w:hAnsi="Times New Roman" w:cs="Times New Roman"/>
                <w:kern w:val="0"/>
                <w:sz w:val="24"/>
                <w:szCs w:val="24"/>
                <w14:ligatures w14:val="none"/>
              </w:rPr>
              <w:t xml:space="preserve">, specializate într-un domeniu de muncă sau de studiu; </w:t>
            </w:r>
          </w:p>
          <w:p w14:paraId="51CDE05B"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Conștientizarea limitelor cunoștințelor</w:t>
            </w:r>
            <w:r w:rsidRPr="001F6026">
              <w:rPr>
                <w:rFonts w:ascii="Times New Roman" w:eastAsia="Times New Roman" w:hAnsi="Times New Roman" w:cs="Times New Roman"/>
                <w:kern w:val="0"/>
                <w:sz w:val="24"/>
                <w:szCs w:val="24"/>
                <w14:ligatures w14:val="none"/>
              </w:rPr>
              <w:t xml:space="preserve"> respective</w:t>
            </w:r>
          </w:p>
        </w:tc>
        <w:tc>
          <w:tcPr>
            <w:tcW w:w="1250" w:type="pct"/>
          </w:tcPr>
          <w:p w14:paraId="6224F4CC"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O gamă amplă de aptitudini cognitive și practice necesare pentru </w:t>
            </w:r>
            <w:r w:rsidRPr="001F6026">
              <w:rPr>
                <w:rFonts w:ascii="Times New Roman" w:eastAsia="Times New Roman" w:hAnsi="Times New Roman" w:cs="Times New Roman"/>
                <w:i/>
                <w:kern w:val="0"/>
                <w:sz w:val="24"/>
                <w:szCs w:val="24"/>
                <w14:ligatures w14:val="none"/>
              </w:rPr>
              <w:t>conceperea de soluții creative la probleme abstracte</w:t>
            </w:r>
          </w:p>
        </w:tc>
        <w:tc>
          <w:tcPr>
            <w:tcW w:w="1729" w:type="pct"/>
          </w:tcPr>
          <w:p w14:paraId="3ED02BF9" w14:textId="0D08821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Gestionare și supraveg</w:t>
            </w:r>
            <w:r w:rsidR="00356848" w:rsidRPr="001F6026">
              <w:rPr>
                <w:rFonts w:ascii="Times New Roman" w:eastAsia="Times New Roman" w:hAnsi="Times New Roman" w:cs="Times New Roman"/>
                <w:i/>
                <w:kern w:val="0"/>
                <w:sz w:val="24"/>
                <w:szCs w:val="24"/>
                <w14:ligatures w14:val="none"/>
              </w:rPr>
              <w:t>ÎS</w:t>
            </w:r>
            <w:r w:rsidRPr="001F6026">
              <w:rPr>
                <w:rFonts w:ascii="Times New Roman" w:eastAsia="Times New Roman" w:hAnsi="Times New Roman" w:cs="Times New Roman"/>
                <w:i/>
                <w:kern w:val="0"/>
                <w:sz w:val="24"/>
                <w:szCs w:val="24"/>
                <w14:ligatures w14:val="none"/>
              </w:rPr>
              <w:t>re în situații</w:t>
            </w:r>
            <w:r w:rsidRPr="001F6026">
              <w:rPr>
                <w:rFonts w:ascii="Times New Roman" w:eastAsia="Times New Roman" w:hAnsi="Times New Roman" w:cs="Times New Roman"/>
                <w:kern w:val="0"/>
                <w:sz w:val="24"/>
                <w:szCs w:val="24"/>
                <w14:ligatures w14:val="none"/>
              </w:rPr>
              <w:t xml:space="preserve"> de muncă sau de studiu în care </w:t>
            </w:r>
            <w:r w:rsidRPr="001F6026">
              <w:rPr>
                <w:rFonts w:ascii="Times New Roman" w:eastAsia="Times New Roman" w:hAnsi="Times New Roman" w:cs="Times New Roman"/>
                <w:i/>
                <w:kern w:val="0"/>
                <w:sz w:val="24"/>
                <w:szCs w:val="24"/>
                <w14:ligatures w14:val="none"/>
              </w:rPr>
              <w:t>schimbările sunt imprevizibile</w:t>
            </w:r>
            <w:r w:rsidRPr="001F6026">
              <w:rPr>
                <w:rFonts w:ascii="Times New Roman" w:eastAsia="Times New Roman" w:hAnsi="Times New Roman" w:cs="Times New Roman"/>
                <w:kern w:val="0"/>
                <w:sz w:val="24"/>
                <w:szCs w:val="24"/>
                <w14:ligatures w14:val="none"/>
              </w:rPr>
              <w:t>;</w:t>
            </w:r>
          </w:p>
          <w:p w14:paraId="5333BE95"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Revizuirea și dezvoltarea performanțelor proprii</w:t>
            </w:r>
            <w:r w:rsidRPr="001F6026">
              <w:rPr>
                <w:rFonts w:ascii="Times New Roman" w:eastAsia="Times New Roman" w:hAnsi="Times New Roman" w:cs="Times New Roman"/>
                <w:kern w:val="0"/>
                <w:sz w:val="24"/>
                <w:szCs w:val="24"/>
                <w14:ligatures w14:val="none"/>
              </w:rPr>
              <w:t xml:space="preserve"> și pe cele ale altora</w:t>
            </w:r>
          </w:p>
        </w:tc>
      </w:tr>
      <w:tr w:rsidR="009111BB" w:rsidRPr="001F6026" w14:paraId="79DE666A" w14:textId="77777777" w:rsidTr="00B81475">
        <w:tc>
          <w:tcPr>
            <w:tcW w:w="1019" w:type="pct"/>
          </w:tcPr>
          <w:p w14:paraId="77798F2E"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Nivelul 6</w:t>
            </w:r>
          </w:p>
          <w:p w14:paraId="0D76BD18"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6</w:t>
            </w:r>
          </w:p>
        </w:tc>
        <w:tc>
          <w:tcPr>
            <w:tcW w:w="1002" w:type="pct"/>
          </w:tcPr>
          <w:p w14:paraId="1F4102FC"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Cunoștințe </w:t>
            </w:r>
            <w:r w:rsidRPr="001F6026">
              <w:rPr>
                <w:rFonts w:ascii="Times New Roman" w:eastAsia="Times New Roman" w:hAnsi="Times New Roman" w:cs="Times New Roman"/>
                <w:i/>
                <w:kern w:val="0"/>
                <w:sz w:val="24"/>
                <w:szCs w:val="24"/>
                <w14:ligatures w14:val="none"/>
              </w:rPr>
              <w:t>avansate</w:t>
            </w:r>
            <w:r w:rsidRPr="001F6026">
              <w:rPr>
                <w:rFonts w:ascii="Times New Roman" w:eastAsia="Times New Roman" w:hAnsi="Times New Roman" w:cs="Times New Roman"/>
                <w:kern w:val="0"/>
                <w:sz w:val="24"/>
                <w:szCs w:val="24"/>
                <w14:ligatures w14:val="none"/>
              </w:rPr>
              <w:t xml:space="preserve"> într-un domeniu de muncă sau de studiu, care implică </w:t>
            </w:r>
            <w:r w:rsidRPr="001F6026">
              <w:rPr>
                <w:rFonts w:ascii="Times New Roman" w:eastAsia="Times New Roman" w:hAnsi="Times New Roman" w:cs="Times New Roman"/>
                <w:i/>
                <w:kern w:val="0"/>
                <w:sz w:val="24"/>
                <w:szCs w:val="24"/>
                <w14:ligatures w14:val="none"/>
              </w:rPr>
              <w:t>înțelegerea critică a teoriilor și principiilor</w:t>
            </w:r>
          </w:p>
        </w:tc>
        <w:tc>
          <w:tcPr>
            <w:tcW w:w="1250" w:type="pct"/>
          </w:tcPr>
          <w:p w14:paraId="1C1C390B" w14:textId="77777777" w:rsidR="009111BB" w:rsidRPr="001F6026" w:rsidRDefault="009111BB" w:rsidP="00723F95">
            <w:pPr>
              <w:tabs>
                <w:tab w:val="left" w:pos="193"/>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Aptitudini </w:t>
            </w:r>
            <w:r w:rsidRPr="001F6026">
              <w:rPr>
                <w:rFonts w:ascii="Times New Roman" w:eastAsia="Times New Roman" w:hAnsi="Times New Roman" w:cs="Times New Roman"/>
                <w:i/>
                <w:kern w:val="0"/>
                <w:sz w:val="24"/>
                <w:szCs w:val="24"/>
                <w14:ligatures w14:val="none"/>
              </w:rPr>
              <w:t>avansate, care denotă</w:t>
            </w:r>
            <w:r w:rsidRPr="001F6026">
              <w:rPr>
                <w:rFonts w:ascii="Times New Roman" w:eastAsia="Times New Roman" w:hAnsi="Times New Roman" w:cs="Times New Roman"/>
                <w:kern w:val="0"/>
                <w:sz w:val="24"/>
                <w:szCs w:val="24"/>
                <w14:ligatures w14:val="none"/>
              </w:rPr>
              <w:t xml:space="preserve"> </w:t>
            </w:r>
            <w:r w:rsidRPr="001F6026">
              <w:rPr>
                <w:rFonts w:ascii="Times New Roman" w:eastAsia="Times New Roman" w:hAnsi="Times New Roman" w:cs="Times New Roman"/>
                <w:i/>
                <w:kern w:val="0"/>
                <w:sz w:val="24"/>
                <w:szCs w:val="24"/>
                <w14:ligatures w14:val="none"/>
              </w:rPr>
              <w:t>control și inovare</w:t>
            </w:r>
            <w:r w:rsidRPr="001F6026">
              <w:rPr>
                <w:rFonts w:ascii="Times New Roman" w:eastAsia="Times New Roman" w:hAnsi="Times New Roman" w:cs="Times New Roman"/>
                <w:kern w:val="0"/>
                <w:sz w:val="24"/>
                <w:szCs w:val="24"/>
                <w14:ligatures w14:val="none"/>
              </w:rPr>
              <w:t xml:space="preserve">, necesare pentru </w:t>
            </w:r>
            <w:r w:rsidRPr="001F6026">
              <w:rPr>
                <w:rFonts w:ascii="Times New Roman" w:eastAsia="Times New Roman" w:hAnsi="Times New Roman" w:cs="Times New Roman"/>
                <w:i/>
                <w:kern w:val="0"/>
                <w:sz w:val="24"/>
                <w:szCs w:val="24"/>
                <w14:ligatures w14:val="none"/>
              </w:rPr>
              <w:t>a rezolva probleme complexe și imprevizibile</w:t>
            </w:r>
            <w:r w:rsidRPr="001F6026">
              <w:rPr>
                <w:rFonts w:ascii="Times New Roman" w:eastAsia="Times New Roman" w:hAnsi="Times New Roman" w:cs="Times New Roman"/>
                <w:kern w:val="0"/>
                <w:sz w:val="24"/>
                <w:szCs w:val="24"/>
                <w14:ligatures w14:val="none"/>
              </w:rPr>
              <w:t xml:space="preserve"> într-un domeniu de muncă sau de studiu specializat</w:t>
            </w:r>
          </w:p>
        </w:tc>
        <w:tc>
          <w:tcPr>
            <w:tcW w:w="1729" w:type="pct"/>
          </w:tcPr>
          <w:p w14:paraId="01C51705"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Gestionarea de activități sau proiecte</w:t>
            </w:r>
            <w:r w:rsidRPr="001F6026">
              <w:rPr>
                <w:rFonts w:ascii="Times New Roman" w:eastAsia="Times New Roman" w:hAnsi="Times New Roman" w:cs="Times New Roman"/>
                <w:kern w:val="0"/>
                <w:sz w:val="24"/>
                <w:szCs w:val="24"/>
                <w14:ligatures w14:val="none"/>
              </w:rPr>
              <w:t xml:space="preserve"> </w:t>
            </w:r>
            <w:r w:rsidRPr="001F6026">
              <w:rPr>
                <w:rFonts w:ascii="Times New Roman" w:eastAsia="Times New Roman" w:hAnsi="Times New Roman" w:cs="Times New Roman"/>
                <w:i/>
                <w:kern w:val="0"/>
                <w:sz w:val="24"/>
                <w:szCs w:val="24"/>
                <w14:ligatures w14:val="none"/>
              </w:rPr>
              <w:t>tehnice sau profesionale complexe</w:t>
            </w:r>
            <w:r w:rsidRPr="001F6026">
              <w:rPr>
                <w:rFonts w:ascii="Times New Roman" w:eastAsia="Times New Roman" w:hAnsi="Times New Roman" w:cs="Times New Roman"/>
                <w:kern w:val="0"/>
                <w:sz w:val="24"/>
                <w:szCs w:val="24"/>
                <w14:ligatures w14:val="none"/>
              </w:rPr>
              <w:t xml:space="preserve">, prin </w:t>
            </w:r>
            <w:r w:rsidRPr="001F6026">
              <w:rPr>
                <w:rFonts w:ascii="Times New Roman" w:eastAsia="Times New Roman" w:hAnsi="Times New Roman" w:cs="Times New Roman"/>
                <w:i/>
                <w:kern w:val="0"/>
                <w:sz w:val="24"/>
                <w:szCs w:val="24"/>
                <w14:ligatures w14:val="none"/>
              </w:rPr>
              <w:t>asumarea responsabilității pentru luarea deciziilor</w:t>
            </w:r>
            <w:r w:rsidRPr="001F6026">
              <w:rPr>
                <w:rFonts w:ascii="Times New Roman" w:eastAsia="Times New Roman" w:hAnsi="Times New Roman" w:cs="Times New Roman"/>
                <w:kern w:val="0"/>
                <w:sz w:val="24"/>
                <w:szCs w:val="24"/>
                <w14:ligatures w14:val="none"/>
              </w:rPr>
              <w:t xml:space="preserve"> în </w:t>
            </w:r>
            <w:r w:rsidRPr="001F6026">
              <w:rPr>
                <w:rFonts w:ascii="Times New Roman" w:eastAsia="Times New Roman" w:hAnsi="Times New Roman" w:cs="Times New Roman"/>
                <w:i/>
                <w:kern w:val="0"/>
                <w:sz w:val="24"/>
                <w:szCs w:val="24"/>
                <w14:ligatures w14:val="none"/>
              </w:rPr>
              <w:t>situații</w:t>
            </w:r>
            <w:r w:rsidRPr="001F6026">
              <w:rPr>
                <w:rFonts w:ascii="Times New Roman" w:eastAsia="Times New Roman" w:hAnsi="Times New Roman" w:cs="Times New Roman"/>
                <w:kern w:val="0"/>
                <w:sz w:val="24"/>
                <w:szCs w:val="24"/>
                <w14:ligatures w14:val="none"/>
              </w:rPr>
              <w:t xml:space="preserve"> de muncă sau de studiu </w:t>
            </w:r>
            <w:r w:rsidRPr="001F6026">
              <w:rPr>
                <w:rFonts w:ascii="Times New Roman" w:eastAsia="Times New Roman" w:hAnsi="Times New Roman" w:cs="Times New Roman"/>
                <w:i/>
                <w:kern w:val="0"/>
                <w:sz w:val="24"/>
                <w:szCs w:val="24"/>
                <w14:ligatures w14:val="none"/>
              </w:rPr>
              <w:t>imprevizibile</w:t>
            </w:r>
            <w:r w:rsidRPr="001F6026">
              <w:rPr>
                <w:rFonts w:ascii="Times New Roman" w:eastAsia="Times New Roman" w:hAnsi="Times New Roman" w:cs="Times New Roman"/>
                <w:kern w:val="0"/>
                <w:sz w:val="24"/>
                <w:szCs w:val="24"/>
                <w14:ligatures w14:val="none"/>
              </w:rPr>
              <w:t>;</w:t>
            </w:r>
          </w:p>
          <w:p w14:paraId="0110BAE4"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Asumarea responsabilității pentru gestionarea dezvoltării profesionale</w:t>
            </w:r>
            <w:r w:rsidRPr="001F6026">
              <w:rPr>
                <w:rFonts w:ascii="Times New Roman" w:eastAsia="Times New Roman" w:hAnsi="Times New Roman" w:cs="Times New Roman"/>
                <w:kern w:val="0"/>
                <w:sz w:val="24"/>
                <w:szCs w:val="24"/>
                <w14:ligatures w14:val="none"/>
              </w:rPr>
              <w:t xml:space="preserve"> a persoanelor și a grupurilor</w:t>
            </w:r>
          </w:p>
        </w:tc>
      </w:tr>
      <w:tr w:rsidR="009111BB" w:rsidRPr="001F6026" w14:paraId="3991372F" w14:textId="77777777" w:rsidTr="00B81475">
        <w:tc>
          <w:tcPr>
            <w:tcW w:w="1019" w:type="pct"/>
          </w:tcPr>
          <w:p w14:paraId="640BDA13"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t>Nivelul 7</w:t>
            </w:r>
          </w:p>
          <w:p w14:paraId="35B9F560"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7</w:t>
            </w:r>
          </w:p>
          <w:p w14:paraId="3A0741FC" w14:textId="77777777" w:rsidR="009111BB" w:rsidRPr="001F6026" w:rsidRDefault="009111BB" w:rsidP="00723F95">
            <w:pPr>
              <w:spacing w:after="0" w:line="240" w:lineRule="auto"/>
              <w:jc w:val="both"/>
              <w:rPr>
                <w:rFonts w:ascii="Times New Roman" w:eastAsia="Times New Roman" w:hAnsi="Times New Roman" w:cs="Times New Roman"/>
                <w:kern w:val="0"/>
                <w:sz w:val="24"/>
                <w:szCs w:val="24"/>
                <w14:ligatures w14:val="none"/>
              </w:rPr>
            </w:pPr>
          </w:p>
        </w:tc>
        <w:tc>
          <w:tcPr>
            <w:tcW w:w="1002" w:type="pct"/>
          </w:tcPr>
          <w:p w14:paraId="437B3FC8"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Cunoștințe </w:t>
            </w:r>
            <w:r w:rsidRPr="001F6026">
              <w:rPr>
                <w:rFonts w:ascii="Times New Roman" w:eastAsia="Times New Roman" w:hAnsi="Times New Roman" w:cs="Times New Roman"/>
                <w:i/>
                <w:kern w:val="0"/>
                <w:sz w:val="24"/>
                <w:szCs w:val="24"/>
                <w14:ligatures w14:val="none"/>
              </w:rPr>
              <w:t>înalt specializate,</w:t>
            </w:r>
            <w:r w:rsidRPr="001F6026">
              <w:rPr>
                <w:rFonts w:ascii="Times New Roman" w:eastAsia="Times New Roman" w:hAnsi="Times New Roman" w:cs="Times New Roman"/>
                <w:kern w:val="0"/>
                <w:sz w:val="24"/>
                <w:szCs w:val="24"/>
                <w14:ligatures w14:val="none"/>
              </w:rPr>
              <w:t xml:space="preserve"> unele dintre ele situându-se </w:t>
            </w:r>
            <w:r w:rsidRPr="001F6026">
              <w:rPr>
                <w:rFonts w:ascii="Times New Roman" w:eastAsia="Times New Roman" w:hAnsi="Times New Roman" w:cs="Times New Roman"/>
                <w:i/>
                <w:kern w:val="0"/>
                <w:sz w:val="24"/>
                <w:szCs w:val="24"/>
                <w14:ligatures w14:val="none"/>
              </w:rPr>
              <w:t>în avangarda nivelului de cunoștințe</w:t>
            </w:r>
            <w:r w:rsidRPr="001F6026">
              <w:rPr>
                <w:rFonts w:ascii="Times New Roman" w:eastAsia="Times New Roman" w:hAnsi="Times New Roman" w:cs="Times New Roman"/>
                <w:kern w:val="0"/>
                <w:sz w:val="24"/>
                <w:szCs w:val="24"/>
                <w14:ligatures w14:val="none"/>
              </w:rPr>
              <w:t xml:space="preserve"> dintr-un domeniu de muncă sau de studiu, ca </w:t>
            </w:r>
            <w:r w:rsidRPr="001F6026">
              <w:rPr>
                <w:rFonts w:ascii="Times New Roman" w:eastAsia="Times New Roman" w:hAnsi="Times New Roman" w:cs="Times New Roman"/>
                <w:i/>
                <w:kern w:val="0"/>
                <w:sz w:val="24"/>
                <w:szCs w:val="24"/>
                <w14:ligatures w14:val="none"/>
              </w:rPr>
              <w:t xml:space="preserve">bază a </w:t>
            </w:r>
            <w:r w:rsidRPr="001F6026">
              <w:rPr>
                <w:rFonts w:ascii="Times New Roman" w:eastAsia="Times New Roman" w:hAnsi="Times New Roman" w:cs="Times New Roman"/>
                <w:i/>
                <w:kern w:val="0"/>
                <w:sz w:val="24"/>
                <w:szCs w:val="24"/>
                <w14:ligatures w14:val="none"/>
              </w:rPr>
              <w:lastRenderedPageBreak/>
              <w:t>unei gândiri și/sau cercetări originale</w:t>
            </w:r>
            <w:r w:rsidRPr="001F6026">
              <w:rPr>
                <w:rFonts w:ascii="Times New Roman" w:eastAsia="Times New Roman" w:hAnsi="Times New Roman" w:cs="Times New Roman"/>
                <w:kern w:val="0"/>
                <w:sz w:val="24"/>
                <w:szCs w:val="24"/>
                <w14:ligatures w14:val="none"/>
              </w:rPr>
              <w:t>;</w:t>
            </w:r>
          </w:p>
          <w:p w14:paraId="6A4AB053"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Conștientizare critică a cunoștințelor</w:t>
            </w:r>
            <w:r w:rsidRPr="001F6026">
              <w:rPr>
                <w:rFonts w:ascii="Times New Roman" w:eastAsia="Times New Roman" w:hAnsi="Times New Roman" w:cs="Times New Roman"/>
                <w:kern w:val="0"/>
                <w:sz w:val="24"/>
                <w:szCs w:val="24"/>
                <w14:ligatures w14:val="none"/>
              </w:rPr>
              <w:t xml:space="preserve"> dintr-un domeniu și a </w:t>
            </w:r>
            <w:r w:rsidRPr="001F6026">
              <w:rPr>
                <w:rFonts w:ascii="Times New Roman" w:eastAsia="Times New Roman" w:hAnsi="Times New Roman" w:cs="Times New Roman"/>
                <w:i/>
                <w:kern w:val="0"/>
                <w:sz w:val="24"/>
                <w:szCs w:val="24"/>
                <w14:ligatures w14:val="none"/>
              </w:rPr>
              <w:t>cunoștințelor</w:t>
            </w:r>
            <w:r w:rsidRPr="001F6026">
              <w:rPr>
                <w:rFonts w:ascii="Times New Roman" w:eastAsia="Times New Roman" w:hAnsi="Times New Roman" w:cs="Times New Roman"/>
                <w:kern w:val="0"/>
                <w:sz w:val="24"/>
                <w:szCs w:val="24"/>
                <w14:ligatures w14:val="none"/>
              </w:rPr>
              <w:t xml:space="preserve"> aflate la granița dintre diferite domenii</w:t>
            </w:r>
          </w:p>
        </w:tc>
        <w:tc>
          <w:tcPr>
            <w:tcW w:w="1250" w:type="pct"/>
          </w:tcPr>
          <w:p w14:paraId="4E5B43BB"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lastRenderedPageBreak/>
              <w:t xml:space="preserve">Aptitudini de </w:t>
            </w:r>
            <w:r w:rsidRPr="001F6026">
              <w:rPr>
                <w:rFonts w:ascii="Times New Roman" w:eastAsia="Times New Roman" w:hAnsi="Times New Roman" w:cs="Times New Roman"/>
                <w:i/>
                <w:kern w:val="0"/>
                <w:sz w:val="24"/>
                <w:szCs w:val="24"/>
                <w14:ligatures w14:val="none"/>
              </w:rPr>
              <w:t>specialitate</w:t>
            </w:r>
            <w:r w:rsidRPr="001F6026">
              <w:rPr>
                <w:rFonts w:ascii="Times New Roman" w:eastAsia="Times New Roman" w:hAnsi="Times New Roman" w:cs="Times New Roman"/>
                <w:kern w:val="0"/>
                <w:sz w:val="24"/>
                <w:szCs w:val="24"/>
                <w14:ligatures w14:val="none"/>
              </w:rPr>
              <w:t xml:space="preserve"> pentru </w:t>
            </w:r>
            <w:r w:rsidRPr="001F6026">
              <w:rPr>
                <w:rFonts w:ascii="Times New Roman" w:eastAsia="Times New Roman" w:hAnsi="Times New Roman" w:cs="Times New Roman"/>
                <w:i/>
                <w:kern w:val="0"/>
                <w:sz w:val="24"/>
                <w:szCs w:val="24"/>
                <w14:ligatures w14:val="none"/>
              </w:rPr>
              <w:t>rezolvarea problemelor în materie de cercetare și/sau inovare</w:t>
            </w:r>
            <w:r w:rsidRPr="001F6026">
              <w:rPr>
                <w:rFonts w:ascii="Times New Roman" w:eastAsia="Times New Roman" w:hAnsi="Times New Roman" w:cs="Times New Roman"/>
                <w:kern w:val="0"/>
                <w:sz w:val="24"/>
                <w:szCs w:val="24"/>
                <w14:ligatures w14:val="none"/>
              </w:rPr>
              <w:t>,</w:t>
            </w:r>
          </w:p>
          <w:p w14:paraId="1E424623"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pentru </w:t>
            </w:r>
            <w:r w:rsidRPr="001F6026">
              <w:rPr>
                <w:rFonts w:ascii="Times New Roman" w:eastAsia="Times New Roman" w:hAnsi="Times New Roman" w:cs="Times New Roman"/>
                <w:i/>
                <w:kern w:val="0"/>
                <w:sz w:val="24"/>
                <w:szCs w:val="24"/>
                <w14:ligatures w14:val="none"/>
              </w:rPr>
              <w:t>dezvoltarea de noi cunoștințe și proceduri</w:t>
            </w:r>
            <w:r w:rsidRPr="001F6026">
              <w:rPr>
                <w:rFonts w:ascii="Times New Roman" w:eastAsia="Times New Roman" w:hAnsi="Times New Roman" w:cs="Times New Roman"/>
                <w:kern w:val="0"/>
                <w:sz w:val="24"/>
                <w:szCs w:val="24"/>
                <w14:ligatures w14:val="none"/>
              </w:rPr>
              <w:t xml:space="preserve"> și pentru integrarea </w:t>
            </w:r>
            <w:r w:rsidRPr="001F6026">
              <w:rPr>
                <w:rFonts w:ascii="Times New Roman" w:eastAsia="Times New Roman" w:hAnsi="Times New Roman" w:cs="Times New Roman"/>
                <w:kern w:val="0"/>
                <w:sz w:val="24"/>
                <w:szCs w:val="24"/>
                <w14:ligatures w14:val="none"/>
              </w:rPr>
              <w:lastRenderedPageBreak/>
              <w:t>cunoștințelor din diferite domenii</w:t>
            </w:r>
          </w:p>
        </w:tc>
        <w:tc>
          <w:tcPr>
            <w:tcW w:w="1729" w:type="pct"/>
          </w:tcPr>
          <w:p w14:paraId="6F896116"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lastRenderedPageBreak/>
              <w:t>Gestionarea și transformarea situațiilor</w:t>
            </w:r>
            <w:r w:rsidRPr="001F6026">
              <w:rPr>
                <w:rFonts w:ascii="Times New Roman" w:eastAsia="Times New Roman" w:hAnsi="Times New Roman" w:cs="Times New Roman"/>
                <w:kern w:val="0"/>
                <w:sz w:val="24"/>
                <w:szCs w:val="24"/>
                <w14:ligatures w14:val="none"/>
              </w:rPr>
              <w:t xml:space="preserve"> de muncă sau de studiu, care sunt </w:t>
            </w:r>
            <w:r w:rsidRPr="001F6026">
              <w:rPr>
                <w:rFonts w:ascii="Times New Roman" w:eastAsia="Times New Roman" w:hAnsi="Times New Roman" w:cs="Times New Roman"/>
                <w:i/>
                <w:kern w:val="0"/>
                <w:sz w:val="24"/>
                <w:szCs w:val="24"/>
                <w14:ligatures w14:val="none"/>
              </w:rPr>
              <w:t>complexe, imprevizibile</w:t>
            </w:r>
            <w:r w:rsidRPr="001F6026">
              <w:rPr>
                <w:rFonts w:ascii="Times New Roman" w:eastAsia="Times New Roman" w:hAnsi="Times New Roman" w:cs="Times New Roman"/>
                <w:kern w:val="0"/>
                <w:sz w:val="24"/>
                <w:szCs w:val="24"/>
                <w14:ligatures w14:val="none"/>
              </w:rPr>
              <w:t xml:space="preserve"> și necesită noi abordări strategice;</w:t>
            </w:r>
          </w:p>
          <w:p w14:paraId="045E87ED" w14:textId="77777777" w:rsidR="009111BB" w:rsidRPr="001F6026" w:rsidRDefault="009111BB" w:rsidP="00723F95">
            <w:pPr>
              <w:tabs>
                <w:tab w:val="left" w:pos="176"/>
              </w:tabs>
              <w:spacing w:after="0" w:line="240" w:lineRule="auto"/>
              <w:rPr>
                <w:rFonts w:ascii="Times New Roman" w:eastAsia="Times New Roman" w:hAnsi="Times New Roman" w:cs="Times New Roman"/>
                <w:i/>
                <w:kern w:val="0"/>
                <w:sz w:val="24"/>
                <w:szCs w:val="24"/>
                <w14:ligatures w14:val="none"/>
              </w:rPr>
            </w:pPr>
            <w:r w:rsidRPr="001F6026">
              <w:rPr>
                <w:rFonts w:ascii="Times New Roman" w:eastAsia="Times New Roman" w:hAnsi="Times New Roman" w:cs="Times New Roman"/>
                <w:i/>
                <w:kern w:val="0"/>
                <w:sz w:val="24"/>
                <w:szCs w:val="24"/>
                <w14:ligatures w14:val="none"/>
              </w:rPr>
              <w:t xml:space="preserve">Asumarea responsabilității pentru a contribui la cunoștințele și practicile profesionale și/sau pentru </w:t>
            </w:r>
            <w:r w:rsidRPr="001F6026">
              <w:rPr>
                <w:rFonts w:ascii="Times New Roman" w:eastAsia="Times New Roman" w:hAnsi="Times New Roman" w:cs="Times New Roman"/>
                <w:i/>
                <w:kern w:val="0"/>
                <w:sz w:val="24"/>
                <w:szCs w:val="24"/>
                <w14:ligatures w14:val="none"/>
              </w:rPr>
              <w:lastRenderedPageBreak/>
              <w:t>revizuirea performanței strategice a echipelor</w:t>
            </w:r>
          </w:p>
        </w:tc>
      </w:tr>
      <w:tr w:rsidR="009111BB" w:rsidRPr="001F6026" w14:paraId="32EBFFF4" w14:textId="77777777" w:rsidTr="00B81475">
        <w:tc>
          <w:tcPr>
            <w:tcW w:w="1019" w:type="pct"/>
          </w:tcPr>
          <w:p w14:paraId="12FEE6BC" w14:textId="77777777" w:rsidR="009111BB" w:rsidRPr="001F6026" w:rsidRDefault="009111BB" w:rsidP="00723F95">
            <w:pPr>
              <w:spacing w:after="0" w:line="240" w:lineRule="auto"/>
              <w:rPr>
                <w:rFonts w:ascii="Times New Roman" w:eastAsia="Times New Roman" w:hAnsi="Times New Roman" w:cs="Times New Roman"/>
                <w:b/>
                <w:kern w:val="0"/>
                <w:sz w:val="24"/>
                <w:szCs w:val="24"/>
                <w14:ligatures w14:val="none"/>
              </w:rPr>
            </w:pPr>
            <w:r w:rsidRPr="001F6026">
              <w:rPr>
                <w:rFonts w:ascii="Times New Roman" w:eastAsia="Times New Roman" w:hAnsi="Times New Roman" w:cs="Times New Roman"/>
                <w:b/>
                <w:kern w:val="0"/>
                <w:sz w:val="24"/>
                <w:szCs w:val="24"/>
                <w14:ligatures w14:val="none"/>
              </w:rPr>
              <w:lastRenderedPageBreak/>
              <w:t>Nivelul 8</w:t>
            </w:r>
          </w:p>
          <w:p w14:paraId="57E679E9"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Rezultatele învăţării corespunzătoare nivelului 8</w:t>
            </w:r>
          </w:p>
          <w:p w14:paraId="3FDFC1A7" w14:textId="77777777" w:rsidR="009111BB" w:rsidRPr="001F6026" w:rsidRDefault="009111BB" w:rsidP="00723F95">
            <w:pPr>
              <w:spacing w:after="0" w:line="240" w:lineRule="auto"/>
              <w:rPr>
                <w:rFonts w:ascii="Times New Roman" w:eastAsia="Times New Roman" w:hAnsi="Times New Roman" w:cs="Times New Roman"/>
                <w:kern w:val="0"/>
                <w:sz w:val="24"/>
                <w:szCs w:val="24"/>
                <w14:ligatures w14:val="none"/>
              </w:rPr>
            </w:pPr>
          </w:p>
          <w:p w14:paraId="0614EDA0" w14:textId="77777777" w:rsidR="009111BB" w:rsidRPr="001F6026" w:rsidRDefault="009111BB" w:rsidP="00723F95">
            <w:pPr>
              <w:spacing w:after="0" w:line="240" w:lineRule="auto"/>
              <w:jc w:val="both"/>
              <w:rPr>
                <w:rFonts w:ascii="Times New Roman" w:eastAsia="Times New Roman" w:hAnsi="Times New Roman" w:cs="Times New Roman"/>
                <w:kern w:val="0"/>
                <w:sz w:val="24"/>
                <w:szCs w:val="24"/>
                <w14:ligatures w14:val="none"/>
              </w:rPr>
            </w:pPr>
          </w:p>
          <w:p w14:paraId="6BECD150" w14:textId="77777777" w:rsidR="009111BB" w:rsidRPr="001F6026" w:rsidRDefault="009111BB" w:rsidP="00723F95">
            <w:pPr>
              <w:spacing w:after="0" w:line="240" w:lineRule="auto"/>
              <w:jc w:val="both"/>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 </w:t>
            </w:r>
          </w:p>
        </w:tc>
        <w:tc>
          <w:tcPr>
            <w:tcW w:w="1002" w:type="pct"/>
          </w:tcPr>
          <w:p w14:paraId="7726E11F"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Cunoștințe </w:t>
            </w:r>
            <w:r w:rsidRPr="001F6026">
              <w:rPr>
                <w:rFonts w:ascii="Times New Roman" w:eastAsia="Times New Roman" w:hAnsi="Times New Roman" w:cs="Times New Roman"/>
                <w:i/>
                <w:kern w:val="0"/>
                <w:sz w:val="24"/>
                <w:szCs w:val="24"/>
                <w14:ligatures w14:val="none"/>
              </w:rPr>
              <w:t>la cel mai avansat nivel</w:t>
            </w:r>
            <w:r w:rsidRPr="001F6026">
              <w:rPr>
                <w:rFonts w:ascii="Times New Roman" w:eastAsia="Times New Roman" w:hAnsi="Times New Roman" w:cs="Times New Roman"/>
                <w:kern w:val="0"/>
                <w:sz w:val="24"/>
                <w:szCs w:val="24"/>
                <w14:ligatures w14:val="none"/>
              </w:rPr>
              <w:t xml:space="preserve"> dintr-un domeniu de muncă sau de studiu, sau aflate la granița dintre diferite domenii</w:t>
            </w:r>
          </w:p>
        </w:tc>
        <w:tc>
          <w:tcPr>
            <w:tcW w:w="1250" w:type="pct"/>
          </w:tcPr>
          <w:p w14:paraId="2997543B"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kern w:val="0"/>
                <w:sz w:val="24"/>
                <w:szCs w:val="24"/>
                <w14:ligatures w14:val="none"/>
              </w:rPr>
              <w:t xml:space="preserve">Aptitudini și tehnici din </w:t>
            </w:r>
            <w:r w:rsidRPr="001F6026">
              <w:rPr>
                <w:rFonts w:ascii="Times New Roman" w:eastAsia="Times New Roman" w:hAnsi="Times New Roman" w:cs="Times New Roman"/>
                <w:i/>
                <w:kern w:val="0"/>
                <w:sz w:val="24"/>
                <w:szCs w:val="24"/>
                <w14:ligatures w14:val="none"/>
              </w:rPr>
              <w:t>cele mai avansate și specializate</w:t>
            </w:r>
            <w:r w:rsidRPr="001F6026">
              <w:rPr>
                <w:rFonts w:ascii="Times New Roman" w:eastAsia="Times New Roman" w:hAnsi="Times New Roman" w:cs="Times New Roman"/>
                <w:kern w:val="0"/>
                <w:sz w:val="24"/>
                <w:szCs w:val="24"/>
                <w14:ligatures w14:val="none"/>
              </w:rPr>
              <w:t xml:space="preserve">, inclusiv abilitatea de </w:t>
            </w:r>
            <w:r w:rsidRPr="001F6026">
              <w:rPr>
                <w:rFonts w:ascii="Times New Roman" w:eastAsia="Times New Roman" w:hAnsi="Times New Roman" w:cs="Times New Roman"/>
                <w:i/>
                <w:kern w:val="0"/>
                <w:sz w:val="24"/>
                <w:szCs w:val="24"/>
                <w14:ligatures w14:val="none"/>
              </w:rPr>
              <w:t>sinteză și evaluare</w:t>
            </w:r>
            <w:r w:rsidRPr="001F6026">
              <w:rPr>
                <w:rFonts w:ascii="Times New Roman" w:eastAsia="Times New Roman" w:hAnsi="Times New Roman" w:cs="Times New Roman"/>
                <w:kern w:val="0"/>
                <w:sz w:val="24"/>
                <w:szCs w:val="24"/>
                <w14:ligatures w14:val="none"/>
              </w:rPr>
              <w:t xml:space="preserve"> necesară pentru </w:t>
            </w:r>
            <w:r w:rsidRPr="001F6026">
              <w:rPr>
                <w:rFonts w:ascii="Times New Roman" w:eastAsia="Times New Roman" w:hAnsi="Times New Roman" w:cs="Times New Roman"/>
                <w:i/>
                <w:kern w:val="0"/>
                <w:sz w:val="24"/>
                <w:szCs w:val="24"/>
                <w14:ligatures w14:val="none"/>
              </w:rPr>
              <w:t xml:space="preserve">rezolvarea problemelor critice de cercetare și/sau inovare </w:t>
            </w:r>
            <w:r w:rsidRPr="001F6026">
              <w:rPr>
                <w:rFonts w:ascii="Times New Roman" w:eastAsia="Times New Roman" w:hAnsi="Times New Roman" w:cs="Times New Roman"/>
                <w:kern w:val="0"/>
                <w:sz w:val="24"/>
                <w:szCs w:val="24"/>
                <w14:ligatures w14:val="none"/>
              </w:rPr>
              <w:t xml:space="preserve">și pentru extinderea </w:t>
            </w:r>
            <w:r w:rsidRPr="001F6026">
              <w:rPr>
                <w:rFonts w:ascii="Times New Roman" w:eastAsia="Times New Roman" w:hAnsi="Times New Roman" w:cs="Times New Roman"/>
                <w:i/>
                <w:kern w:val="0"/>
                <w:sz w:val="24"/>
                <w:szCs w:val="24"/>
                <w14:ligatures w14:val="none"/>
              </w:rPr>
              <w:t>și redefinirea cunoștințelor sau a practicilor profesionale existente</w:t>
            </w:r>
          </w:p>
        </w:tc>
        <w:tc>
          <w:tcPr>
            <w:tcW w:w="1729" w:type="pct"/>
          </w:tcPr>
          <w:p w14:paraId="2D87198D" w14:textId="77777777" w:rsidR="009111BB" w:rsidRPr="001F6026" w:rsidRDefault="009111BB" w:rsidP="00723F95">
            <w:pPr>
              <w:tabs>
                <w:tab w:val="left" w:pos="176"/>
              </w:tabs>
              <w:spacing w:after="0" w:line="240" w:lineRule="auto"/>
              <w:rPr>
                <w:rFonts w:ascii="Times New Roman" w:eastAsia="Times New Roman" w:hAnsi="Times New Roman" w:cs="Times New Roman"/>
                <w:kern w:val="0"/>
                <w:sz w:val="24"/>
                <w:szCs w:val="24"/>
                <w14:ligatures w14:val="none"/>
              </w:rPr>
            </w:pPr>
            <w:r w:rsidRPr="001F6026">
              <w:rPr>
                <w:rFonts w:ascii="Times New Roman" w:eastAsia="Times New Roman" w:hAnsi="Times New Roman" w:cs="Times New Roman"/>
                <w:i/>
                <w:kern w:val="0"/>
                <w:sz w:val="24"/>
                <w:szCs w:val="24"/>
                <w14:ligatures w14:val="none"/>
              </w:rPr>
              <w:t>Demonstrarea unui nivel ridicat de autoritate, de inovare, de autonomie, de integritate</w:t>
            </w:r>
            <w:r w:rsidRPr="001F6026">
              <w:rPr>
                <w:rFonts w:ascii="Times New Roman" w:eastAsia="Times New Roman" w:hAnsi="Times New Roman" w:cs="Times New Roman"/>
                <w:kern w:val="0"/>
                <w:sz w:val="24"/>
                <w:szCs w:val="24"/>
                <w14:ligatures w14:val="none"/>
              </w:rPr>
              <w:t xml:space="preserve"> științifică și profesională, precum și a unui </w:t>
            </w:r>
            <w:r w:rsidRPr="001F6026">
              <w:rPr>
                <w:rFonts w:ascii="Times New Roman" w:eastAsia="Times New Roman" w:hAnsi="Times New Roman" w:cs="Times New Roman"/>
                <w:i/>
                <w:kern w:val="0"/>
                <w:sz w:val="24"/>
                <w:szCs w:val="24"/>
                <w14:ligatures w14:val="none"/>
              </w:rPr>
              <w:t>angajament susținut pentru dezvoltarea de noi idei sau procese aflate în avangarda</w:t>
            </w:r>
            <w:r w:rsidRPr="001F6026">
              <w:rPr>
                <w:rFonts w:ascii="Times New Roman" w:eastAsia="Times New Roman" w:hAnsi="Times New Roman" w:cs="Times New Roman"/>
                <w:kern w:val="0"/>
                <w:sz w:val="24"/>
                <w:szCs w:val="24"/>
                <w14:ligatures w14:val="none"/>
              </w:rPr>
              <w:t xml:space="preserve"> unor situații de muncă sau de studiu, inclusiv în materie de cercetare</w:t>
            </w:r>
          </w:p>
        </w:tc>
      </w:tr>
    </w:tbl>
    <w:p w14:paraId="05E82737" w14:textId="77777777" w:rsidR="009111BB" w:rsidRPr="001F6026" w:rsidRDefault="009111BB" w:rsidP="005C4FE9">
      <w:pPr>
        <w:spacing w:before="120" w:after="120" w:line="276" w:lineRule="auto"/>
        <w:rPr>
          <w:rFonts w:ascii="Times New Roman" w:hAnsi="Times New Roman" w:cs="Times New Roman"/>
          <w:b/>
          <w:bCs/>
          <w:color w:val="3494BA" w:themeColor="accent1"/>
          <w:sz w:val="24"/>
          <w:szCs w:val="24"/>
        </w:rPr>
      </w:pPr>
    </w:p>
    <w:p w14:paraId="62B39DA9" w14:textId="77777777" w:rsidR="00A84758" w:rsidRPr="0020102C" w:rsidRDefault="00A84758" w:rsidP="005C4FE9">
      <w:pPr>
        <w:spacing w:before="120" w:after="120" w:line="276" w:lineRule="auto"/>
        <w:rPr>
          <w:rFonts w:ascii="Times New Roman" w:hAnsi="Times New Roman" w:cs="Times New Roman"/>
          <w:sz w:val="24"/>
          <w:szCs w:val="24"/>
        </w:rPr>
      </w:pPr>
    </w:p>
    <w:sectPr w:rsidR="00A84758" w:rsidRPr="0020102C" w:rsidSect="009E52AB">
      <w:pgSz w:w="11906" w:h="16838"/>
      <w:pgMar w:top="1134" w:right="1134" w:bottom="1134" w:left="1134" w:header="708" w:footer="708" w:gutter="0"/>
      <w:pgBorders w:offsetFrom="page">
        <w:top w:val="single" w:sz="12" w:space="24" w:color="3494BA" w:themeColor="accent1"/>
        <w:left w:val="single" w:sz="12" w:space="24" w:color="3494BA" w:themeColor="accent1"/>
        <w:bottom w:val="single" w:sz="12" w:space="24" w:color="3494BA" w:themeColor="accent1"/>
        <w:right w:val="single" w:sz="12" w:space="24" w:color="3494BA" w:themeColor="accent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FA91" w14:textId="77777777" w:rsidR="00A27F65" w:rsidRPr="001F6026" w:rsidRDefault="00A27F65" w:rsidP="00FE15FB">
      <w:pPr>
        <w:spacing w:after="0" w:line="240" w:lineRule="auto"/>
      </w:pPr>
      <w:r w:rsidRPr="001F6026">
        <w:separator/>
      </w:r>
    </w:p>
  </w:endnote>
  <w:endnote w:type="continuationSeparator" w:id="0">
    <w:p w14:paraId="3791A58E" w14:textId="77777777" w:rsidR="00A27F65" w:rsidRPr="001F6026" w:rsidRDefault="00A27F65" w:rsidP="00FE15FB">
      <w:pPr>
        <w:spacing w:after="0" w:line="240" w:lineRule="auto"/>
      </w:pPr>
      <w:r w:rsidRPr="001F60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T Serif">
    <w:altName w:val="Times New Roman"/>
    <w:charset w:val="CC"/>
    <w:family w:val="roman"/>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392748"/>
      <w:docPartObj>
        <w:docPartGallery w:val="Page Numbers (Bottom of Page)"/>
        <w:docPartUnique/>
      </w:docPartObj>
    </w:sdtPr>
    <w:sdtContent>
      <w:p w14:paraId="4FE48418" w14:textId="415413C4" w:rsidR="00B81475" w:rsidRPr="001F6026" w:rsidRDefault="00B81475">
        <w:pPr>
          <w:pStyle w:val="af1"/>
          <w:jc w:val="center"/>
        </w:pPr>
        <w:r w:rsidRPr="001F6026">
          <w:fldChar w:fldCharType="begin"/>
        </w:r>
        <w:r w:rsidRPr="001F6026">
          <w:instrText xml:space="preserve"> PAGE   \* MERGEFORMAT </w:instrText>
        </w:r>
        <w:r w:rsidRPr="001F6026">
          <w:fldChar w:fldCharType="separate"/>
        </w:r>
        <w:r w:rsidR="00BD6DB4">
          <w:rPr>
            <w:noProof/>
          </w:rPr>
          <w:t>8</w:t>
        </w:r>
        <w:r w:rsidRPr="001F6026">
          <w:fldChar w:fldCharType="end"/>
        </w:r>
      </w:p>
    </w:sdtContent>
  </w:sdt>
  <w:p w14:paraId="0CD9559E" w14:textId="77777777" w:rsidR="00B81475" w:rsidRPr="001F6026" w:rsidRDefault="00B8147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430596"/>
      <w:docPartObj>
        <w:docPartGallery w:val="Page Numbers (Bottom of Page)"/>
        <w:docPartUnique/>
      </w:docPartObj>
    </w:sdtPr>
    <w:sdtContent>
      <w:p w14:paraId="1C48CD5C" w14:textId="4C915F56" w:rsidR="00B81475" w:rsidRPr="001F6026" w:rsidRDefault="00B81475">
        <w:pPr>
          <w:pStyle w:val="af1"/>
          <w:jc w:val="center"/>
        </w:pPr>
        <w:r w:rsidRPr="001F6026">
          <w:t>106</w:t>
        </w:r>
      </w:p>
    </w:sdtContent>
  </w:sdt>
  <w:p w14:paraId="51B4B321" w14:textId="77777777" w:rsidR="00B81475" w:rsidRPr="001F6026" w:rsidRDefault="00B81475">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889290"/>
      <w:docPartObj>
        <w:docPartGallery w:val="Page Numbers (Bottom of Page)"/>
        <w:docPartUnique/>
      </w:docPartObj>
    </w:sdtPr>
    <w:sdtContent>
      <w:p w14:paraId="622D668A" w14:textId="44ED8F37" w:rsidR="00B81475" w:rsidRPr="001F6026" w:rsidRDefault="00B81475">
        <w:pPr>
          <w:pStyle w:val="af1"/>
          <w:jc w:val="center"/>
        </w:pPr>
        <w:r w:rsidRPr="001F6026">
          <w:fldChar w:fldCharType="begin"/>
        </w:r>
        <w:r w:rsidRPr="001F6026">
          <w:instrText xml:space="preserve"> PAGE   \* MERGEFORMAT </w:instrText>
        </w:r>
        <w:r w:rsidRPr="001F6026">
          <w:fldChar w:fldCharType="separate"/>
        </w:r>
        <w:r w:rsidR="00BD5BBF">
          <w:rPr>
            <w:noProof/>
          </w:rPr>
          <w:t>154</w:t>
        </w:r>
        <w:r w:rsidRPr="001F6026">
          <w:fldChar w:fldCharType="end"/>
        </w:r>
      </w:p>
    </w:sdtContent>
  </w:sdt>
  <w:p w14:paraId="2CBF677E" w14:textId="77777777" w:rsidR="00B81475" w:rsidRPr="001F6026" w:rsidRDefault="00B8147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AF0DE" w14:textId="77777777" w:rsidR="00A27F65" w:rsidRPr="001F6026" w:rsidRDefault="00A27F65" w:rsidP="00FE15FB">
      <w:pPr>
        <w:spacing w:after="0" w:line="240" w:lineRule="auto"/>
      </w:pPr>
      <w:r w:rsidRPr="001F6026">
        <w:separator/>
      </w:r>
    </w:p>
  </w:footnote>
  <w:footnote w:type="continuationSeparator" w:id="0">
    <w:p w14:paraId="20ED82A4" w14:textId="77777777" w:rsidR="00A27F65" w:rsidRPr="001F6026" w:rsidRDefault="00A27F65" w:rsidP="00FE15FB">
      <w:pPr>
        <w:spacing w:after="0" w:line="240" w:lineRule="auto"/>
      </w:pPr>
      <w:r w:rsidRPr="001F6026">
        <w:continuationSeparator/>
      </w:r>
    </w:p>
  </w:footnote>
  <w:footnote w:id="1">
    <w:p w14:paraId="1EFCC3AE" w14:textId="247E53DA" w:rsidR="00B81475" w:rsidRDefault="00B81475">
      <w:pPr>
        <w:pStyle w:val="afa"/>
      </w:pPr>
      <w:r>
        <w:rPr>
          <w:rStyle w:val="afc"/>
        </w:rPr>
        <w:footnoteRef/>
      </w:r>
      <w:r>
        <w:t xml:space="preserve"> </w:t>
      </w:r>
      <w:r w:rsidRPr="00B54B3B">
        <w:rPr>
          <w:rFonts w:ascii="Times New Roman" w:hAnsi="Times New Roman" w:cs="Times New Roman"/>
        </w:rPr>
        <w:t>Recomandarea Consiliului Uniunii Europene privind EQF (2017/C 189/03) (</w:t>
      </w:r>
      <w:hyperlink r:id="rId1" w:history="1">
        <w:r w:rsidRPr="00B54B3B">
          <w:rPr>
            <w:rStyle w:val="aff0"/>
            <w:rFonts w:ascii="Times New Roman" w:hAnsi="Times New Roman" w:cs="Times New Roman"/>
          </w:rPr>
          <w:t>link</w:t>
        </w:r>
      </w:hyperlink>
      <w:r w:rsidRPr="00B54B3B">
        <w:rPr>
          <w:rFonts w:ascii="Times New Roman" w:hAnsi="Times New Roman" w:cs="Times New Roman"/>
        </w:rPr>
        <w:t>)</w:t>
      </w:r>
    </w:p>
  </w:footnote>
  <w:footnote w:id="2">
    <w:p w14:paraId="0B1098B1" w14:textId="76F22627" w:rsidR="00B81475" w:rsidRDefault="00B81475">
      <w:pPr>
        <w:pStyle w:val="afa"/>
      </w:pPr>
      <w:r>
        <w:rPr>
          <w:rStyle w:val="afc"/>
        </w:rPr>
        <w:footnoteRef/>
      </w:r>
      <w:r>
        <w:t xml:space="preserve"> </w:t>
      </w:r>
      <w:r w:rsidRPr="00A242DF">
        <w:rPr>
          <w:rFonts w:ascii="Times New Roman" w:eastAsia="Times New Roman" w:hAnsi="Times New Roman" w:cs="Times New Roman"/>
          <w:kern w:val="0"/>
          <w:lang w:val="ro-MD" w:eastAsia="ro-MD"/>
          <w14:ligatures w14:val="none"/>
        </w:rPr>
        <w:t>Codului educației al Republicii Moldova nr. 152/2014</w:t>
      </w:r>
      <w:r w:rsidRPr="00A242DF">
        <w:rPr>
          <w:rFonts w:ascii="Times New Roman" w:hAnsi="Times New Roman" w:cs="Times New Roman"/>
        </w:rPr>
        <w:t xml:space="preserve"> (</w:t>
      </w:r>
      <w:hyperlink r:id="rId2" w:history="1">
        <w:r w:rsidRPr="00A242DF">
          <w:rPr>
            <w:rStyle w:val="aff0"/>
            <w:rFonts w:ascii="Times New Roman" w:hAnsi="Times New Roman" w:cs="Times New Roman"/>
          </w:rPr>
          <w:t>link</w:t>
        </w:r>
      </w:hyperlink>
      <w:r w:rsidRPr="00A242DF">
        <w:rPr>
          <w:rFonts w:ascii="Times New Roman" w:hAnsi="Times New Roman" w:cs="Times New Roman"/>
        </w:rPr>
        <w:t>)</w:t>
      </w:r>
    </w:p>
  </w:footnote>
  <w:footnote w:id="3">
    <w:p w14:paraId="53B19719" w14:textId="77777777" w:rsidR="00B81475" w:rsidRDefault="00B81475" w:rsidP="005B0A32">
      <w:pPr>
        <w:pStyle w:val="afa"/>
      </w:pPr>
      <w:r>
        <w:rPr>
          <w:rStyle w:val="afc"/>
        </w:rPr>
        <w:footnoteRef/>
      </w:r>
      <w:r>
        <w:t xml:space="preserve"> </w:t>
      </w:r>
      <w:r w:rsidRPr="004D6D83">
        <w:rPr>
          <w:rFonts w:ascii="Times New Roman" w:hAnsi="Times New Roman" w:cs="Times New Roman"/>
        </w:rPr>
        <w:t>Cadrul Național al Calificărilor și Foaia de parcurs pentru operaționalizarea CNC 2023–2027</w:t>
      </w:r>
      <w:r>
        <w:rPr>
          <w:rFonts w:ascii="Times New Roman" w:hAnsi="Times New Roman" w:cs="Times New Roman"/>
        </w:rPr>
        <w:t>,</w:t>
      </w:r>
      <w:r w:rsidRPr="004D6D83">
        <w:rPr>
          <w:rFonts w:ascii="Times New Roman" w:hAnsi="Times New Roman" w:cs="Times New Roman"/>
        </w:rPr>
        <w:t xml:space="preserve"> HG nr. 330/2023</w:t>
      </w:r>
      <w:r>
        <w:rPr>
          <w:rFonts w:ascii="Times New Roman" w:hAnsi="Times New Roman" w:cs="Times New Roman"/>
        </w:rPr>
        <w:t xml:space="preserve"> (</w:t>
      </w:r>
      <w:hyperlink r:id="rId3" w:history="1">
        <w:r w:rsidRPr="004D6D83">
          <w:rPr>
            <w:rStyle w:val="aff0"/>
            <w:rFonts w:ascii="Times New Roman" w:hAnsi="Times New Roman" w:cs="Times New Roman"/>
          </w:rPr>
          <w:t>link</w:t>
        </w:r>
      </w:hyperlink>
      <w:r>
        <w:rPr>
          <w:rFonts w:ascii="Times New Roman" w:hAnsi="Times New Roman" w:cs="Times New Roman"/>
        </w:rPr>
        <w:t>)</w:t>
      </w:r>
    </w:p>
  </w:footnote>
  <w:footnote w:id="4">
    <w:p w14:paraId="46F3D4FA" w14:textId="2EEDBA35" w:rsidR="00B81475" w:rsidRDefault="00B81475" w:rsidP="00CB3F5A">
      <w:pPr>
        <w:pStyle w:val="afa"/>
      </w:pPr>
      <w:r>
        <w:rPr>
          <w:rStyle w:val="afc"/>
        </w:rPr>
        <w:footnoteRef/>
      </w:r>
      <w:r>
        <w:t xml:space="preserve"> </w:t>
      </w:r>
      <w:r w:rsidRPr="00D45A1A">
        <w:rPr>
          <w:rFonts w:ascii="Times New Roman" w:hAnsi="Times New Roman" w:cs="Times New Roman"/>
        </w:rPr>
        <w:t>Acordului de Asociere între Republica Moldova, Uniunea Europeană şi Comunitatea Europeană a Energiei Atomice şi statele membre ale acestora, Legea 112/2014 (</w:t>
      </w:r>
      <w:hyperlink r:id="rId4" w:history="1">
        <w:r w:rsidRPr="007A39CF">
          <w:rPr>
            <w:rStyle w:val="aff0"/>
            <w:rFonts w:ascii="Times New Roman" w:hAnsi="Times New Roman" w:cs="Times New Roman"/>
          </w:rPr>
          <w:t>link</w:t>
        </w:r>
      </w:hyperlink>
      <w:r w:rsidRPr="00D45A1A">
        <w:rPr>
          <w:rFonts w:ascii="Times New Roman" w:hAnsi="Times New Roman" w:cs="Times New Roman"/>
        </w:rPr>
        <w:t>)</w:t>
      </w:r>
    </w:p>
  </w:footnote>
  <w:footnote w:id="5">
    <w:p w14:paraId="3749060D" w14:textId="32A91444" w:rsidR="00B81475" w:rsidRDefault="00B81475">
      <w:pPr>
        <w:pStyle w:val="afa"/>
      </w:pPr>
      <w:r>
        <w:rPr>
          <w:rStyle w:val="afc"/>
        </w:rPr>
        <w:footnoteRef/>
      </w:r>
      <w:r>
        <w:t xml:space="preserve"> </w:t>
      </w:r>
      <w:r w:rsidRPr="00D84570">
        <w:rPr>
          <w:rFonts w:ascii="Times New Roman" w:hAnsi="Times New Roman" w:cs="Times New Roman"/>
        </w:rPr>
        <w:t>Agenda de asociere RM- UE (</w:t>
      </w:r>
      <w:hyperlink r:id="rId5" w:history="1">
        <w:r w:rsidRPr="00470AD2">
          <w:rPr>
            <w:rStyle w:val="aff0"/>
            <w:rFonts w:ascii="Times New Roman" w:hAnsi="Times New Roman" w:cs="Times New Roman"/>
          </w:rPr>
          <w:t>link</w:t>
        </w:r>
      </w:hyperlink>
      <w:r w:rsidRPr="00D84570">
        <w:rPr>
          <w:rFonts w:ascii="Times New Roman" w:hAnsi="Times New Roman" w:cs="Times New Roman"/>
        </w:rPr>
        <w:t>)</w:t>
      </w:r>
    </w:p>
  </w:footnote>
  <w:footnote w:id="6">
    <w:p w14:paraId="131E75DA" w14:textId="2301D6C8" w:rsidR="00B81475" w:rsidRDefault="00B81475" w:rsidP="006F54AA">
      <w:pPr>
        <w:pStyle w:val="afa"/>
      </w:pPr>
      <w:r>
        <w:rPr>
          <w:rStyle w:val="afc"/>
        </w:rPr>
        <w:footnoteRef/>
      </w:r>
      <w:r>
        <w:t xml:space="preserve"> </w:t>
      </w:r>
      <w:proofErr w:type="spellStart"/>
      <w:r w:rsidRPr="006F54AA">
        <w:rPr>
          <w:rFonts w:ascii="Times New Roman" w:hAnsi="Times New Roman" w:cs="Times New Roman"/>
        </w:rPr>
        <w:t>Preparation</w:t>
      </w:r>
      <w:proofErr w:type="spellEnd"/>
      <w:r w:rsidRPr="006F54AA">
        <w:rPr>
          <w:rFonts w:ascii="Times New Roman" w:hAnsi="Times New Roman" w:cs="Times New Roman"/>
        </w:rPr>
        <w:t xml:space="preserve"> of self-</w:t>
      </w:r>
      <w:proofErr w:type="spellStart"/>
      <w:r w:rsidRPr="006F54AA">
        <w:rPr>
          <w:rFonts w:ascii="Times New Roman" w:hAnsi="Times New Roman" w:cs="Times New Roman"/>
        </w:rPr>
        <w:t>certification</w:t>
      </w:r>
      <w:proofErr w:type="spellEnd"/>
      <w:r w:rsidRPr="006F54AA">
        <w:rPr>
          <w:rFonts w:ascii="Times New Roman" w:hAnsi="Times New Roman" w:cs="Times New Roman"/>
        </w:rPr>
        <w:t xml:space="preserve"> </w:t>
      </w:r>
      <w:proofErr w:type="spellStart"/>
      <w:r w:rsidRPr="006F54AA">
        <w:rPr>
          <w:rFonts w:ascii="Times New Roman" w:hAnsi="Times New Roman" w:cs="Times New Roman"/>
        </w:rPr>
        <w:t>reports</w:t>
      </w:r>
      <w:proofErr w:type="spellEnd"/>
      <w:r w:rsidRPr="006F54AA">
        <w:rPr>
          <w:rFonts w:ascii="Times New Roman" w:hAnsi="Times New Roman" w:cs="Times New Roman"/>
        </w:rPr>
        <w:t xml:space="preserve"> </w:t>
      </w:r>
      <w:proofErr w:type="spellStart"/>
      <w:r w:rsidRPr="006F54AA">
        <w:rPr>
          <w:rFonts w:ascii="Times New Roman" w:hAnsi="Times New Roman" w:cs="Times New Roman"/>
        </w:rPr>
        <w:t>within</w:t>
      </w:r>
      <w:proofErr w:type="spellEnd"/>
      <w:r w:rsidRPr="006F54AA">
        <w:rPr>
          <w:rFonts w:ascii="Times New Roman" w:hAnsi="Times New Roman" w:cs="Times New Roman"/>
        </w:rPr>
        <w:t xml:space="preserve"> </w:t>
      </w:r>
      <w:proofErr w:type="spellStart"/>
      <w:r w:rsidRPr="006F54AA">
        <w:rPr>
          <w:rFonts w:ascii="Times New Roman" w:hAnsi="Times New Roman" w:cs="Times New Roman"/>
        </w:rPr>
        <w:t>the</w:t>
      </w:r>
      <w:proofErr w:type="spellEnd"/>
      <w:r w:rsidRPr="006F54AA">
        <w:rPr>
          <w:rFonts w:ascii="Times New Roman" w:hAnsi="Times New Roman" w:cs="Times New Roman"/>
        </w:rPr>
        <w:t xml:space="preserve"> Bologna </w:t>
      </w:r>
      <w:proofErr w:type="spellStart"/>
      <w:r w:rsidRPr="006F54AA">
        <w:rPr>
          <w:rFonts w:ascii="Times New Roman" w:hAnsi="Times New Roman" w:cs="Times New Roman"/>
        </w:rPr>
        <w:t>Process</w:t>
      </w:r>
      <w:proofErr w:type="spellEnd"/>
      <w:r w:rsidRPr="006F54AA">
        <w:rPr>
          <w:rFonts w:ascii="Times New Roman" w:hAnsi="Times New Roman" w:cs="Times New Roman"/>
        </w:rPr>
        <w:t xml:space="preserve"> (2023)</w:t>
      </w:r>
      <w:r>
        <w:rPr>
          <w:rFonts w:ascii="Times New Roman" w:hAnsi="Times New Roman" w:cs="Times New Roman"/>
        </w:rPr>
        <w:t xml:space="preserve"> (</w:t>
      </w:r>
      <w:hyperlink r:id="rId6" w:history="1">
        <w:r w:rsidRPr="003070FE">
          <w:rPr>
            <w:rStyle w:val="aff0"/>
            <w:rFonts w:ascii="Times New Roman" w:hAnsi="Times New Roman" w:cs="Times New Roman"/>
          </w:rPr>
          <w:t>link</w:t>
        </w:r>
      </w:hyperlink>
      <w:r>
        <w:rPr>
          <w:rFonts w:ascii="Times New Roman" w:hAnsi="Times New Roman" w:cs="Times New Roman"/>
        </w:rPr>
        <w:t>)</w:t>
      </w:r>
    </w:p>
  </w:footnote>
  <w:footnote w:id="7">
    <w:p w14:paraId="59FBD9C6" w14:textId="77777777" w:rsidR="00B81475" w:rsidRDefault="00B81475" w:rsidP="004064D5">
      <w:pPr>
        <w:pStyle w:val="afa"/>
      </w:pPr>
      <w:r>
        <w:rPr>
          <w:rStyle w:val="afc"/>
        </w:rPr>
        <w:footnoteRef/>
      </w:r>
      <w:r>
        <w:t xml:space="preserve"> </w:t>
      </w:r>
      <w:r w:rsidRPr="00F95CA8">
        <w:rPr>
          <w:rFonts w:ascii="Times New Roman" w:eastAsia="Times New Roman" w:hAnsi="Times New Roman" w:cs="Times New Roman"/>
          <w:kern w:val="0"/>
          <w:lang w:eastAsia="ro-MD"/>
          <w14:ligatures w14:val="none"/>
        </w:rPr>
        <w:t>Regulamentul de organizare și funcționare al MD NCP-EQF</w:t>
      </w:r>
      <w:r w:rsidRPr="00AC6FCF">
        <w:t xml:space="preserve"> </w:t>
      </w:r>
      <w:r w:rsidRPr="00AC6FCF">
        <w:rPr>
          <w:rFonts w:ascii="Times New Roman" w:eastAsia="Times New Roman" w:hAnsi="Times New Roman" w:cs="Times New Roman"/>
          <w:kern w:val="0"/>
          <w:lang w:eastAsia="ro-MD"/>
          <w14:ligatures w14:val="none"/>
        </w:rPr>
        <w:t xml:space="preserve">pentru </w:t>
      </w:r>
      <w:r>
        <w:rPr>
          <w:rFonts w:ascii="Times New Roman" w:eastAsia="Times New Roman" w:hAnsi="Times New Roman" w:cs="Times New Roman"/>
          <w:kern w:val="0"/>
          <w:lang w:eastAsia="ro-MD"/>
          <w14:ligatures w14:val="none"/>
        </w:rPr>
        <w:t>învăț</w:t>
      </w:r>
      <w:r w:rsidRPr="00AC6FCF">
        <w:rPr>
          <w:rFonts w:ascii="Times New Roman" w:eastAsia="Times New Roman" w:hAnsi="Times New Roman" w:cs="Times New Roman"/>
          <w:kern w:val="0"/>
          <w:lang w:eastAsia="ro-MD"/>
          <w14:ligatures w14:val="none"/>
        </w:rPr>
        <w:t>area pe tot parcursul vie</w:t>
      </w:r>
      <w:r>
        <w:rPr>
          <w:rFonts w:ascii="Times New Roman" w:eastAsia="Times New Roman" w:hAnsi="Times New Roman" w:cs="Times New Roman"/>
          <w:kern w:val="0"/>
          <w:lang w:eastAsia="ro-MD"/>
          <w14:ligatures w14:val="none"/>
        </w:rPr>
        <w:t>ț</w:t>
      </w:r>
      <w:r w:rsidRPr="00AC6FCF">
        <w:rPr>
          <w:rFonts w:ascii="Times New Roman" w:eastAsia="Times New Roman" w:hAnsi="Times New Roman" w:cs="Times New Roman"/>
          <w:kern w:val="0"/>
          <w:lang w:eastAsia="ro-MD"/>
          <w14:ligatures w14:val="none"/>
        </w:rPr>
        <w:t>ii</w:t>
      </w:r>
      <w:r w:rsidRPr="00F95CA8">
        <w:rPr>
          <w:rFonts w:ascii="Times New Roman" w:eastAsia="Times New Roman" w:hAnsi="Times New Roman" w:cs="Times New Roman"/>
          <w:kern w:val="0"/>
          <w:lang w:eastAsia="ro-MD"/>
          <w14:ligatures w14:val="none"/>
        </w:rPr>
        <w:t>, aprobat prin Ordinul MEC nr. 1717/2024 (</w:t>
      </w:r>
      <w:hyperlink r:id="rId7" w:history="1">
        <w:r w:rsidRPr="00502049">
          <w:rPr>
            <w:rStyle w:val="aff0"/>
            <w:rFonts w:ascii="Times New Roman" w:eastAsia="Times New Roman" w:hAnsi="Times New Roman" w:cs="Times New Roman"/>
            <w:kern w:val="0"/>
            <w:lang w:eastAsia="ro-MD"/>
            <w14:ligatures w14:val="none"/>
          </w:rPr>
          <w:t>link</w:t>
        </w:r>
      </w:hyperlink>
      <w:r w:rsidRPr="00F95CA8">
        <w:rPr>
          <w:rFonts w:ascii="Times New Roman" w:eastAsia="Times New Roman" w:hAnsi="Times New Roman" w:cs="Times New Roman"/>
          <w:kern w:val="0"/>
          <w:lang w:eastAsia="ro-MD"/>
          <w14:ligatures w14:val="none"/>
        </w:rPr>
        <w:t>)</w:t>
      </w:r>
    </w:p>
  </w:footnote>
  <w:footnote w:id="8">
    <w:p w14:paraId="2DDE651C" w14:textId="77777777" w:rsidR="00B81475" w:rsidRPr="009E71C1" w:rsidRDefault="00B81475" w:rsidP="004064D5">
      <w:pPr>
        <w:pStyle w:val="afa"/>
        <w:rPr>
          <w:rFonts w:ascii="Times New Roman" w:hAnsi="Times New Roman" w:cs="Times New Roman"/>
        </w:rPr>
      </w:pPr>
      <w:r>
        <w:rPr>
          <w:rStyle w:val="afc"/>
        </w:rPr>
        <w:footnoteRef/>
      </w:r>
      <w:r>
        <w:t xml:space="preserve"> </w:t>
      </w:r>
      <w:r w:rsidRPr="009E71C1">
        <w:rPr>
          <w:rFonts w:ascii="Times New Roman" w:hAnsi="Times New Roman" w:cs="Times New Roman"/>
        </w:rPr>
        <w:t>Ordinul nr. 944/2024 cu privire la constituirea Grupului de lucru pentru elaborarea Raportului de referențiere a CNC Ia EQF/QF-EHEA (</w:t>
      </w:r>
      <w:hyperlink r:id="rId8" w:history="1">
        <w:r w:rsidRPr="009E71C1">
          <w:rPr>
            <w:rStyle w:val="aff0"/>
            <w:rFonts w:ascii="Times New Roman" w:hAnsi="Times New Roman" w:cs="Times New Roman"/>
          </w:rPr>
          <w:t>link</w:t>
        </w:r>
      </w:hyperlink>
      <w:r w:rsidRPr="009E71C1">
        <w:rPr>
          <w:rFonts w:ascii="Times New Roman" w:hAnsi="Times New Roman" w:cs="Times New Roman"/>
        </w:rPr>
        <w:t>)</w:t>
      </w:r>
    </w:p>
  </w:footnote>
  <w:footnote w:id="9">
    <w:p w14:paraId="47D9B764" w14:textId="77777777" w:rsidR="00B81475" w:rsidRDefault="00B81475" w:rsidP="004064D5">
      <w:pPr>
        <w:pStyle w:val="afa"/>
      </w:pPr>
      <w:r>
        <w:rPr>
          <w:rStyle w:val="afc"/>
        </w:rPr>
        <w:footnoteRef/>
      </w:r>
      <w:r>
        <w:t xml:space="preserve"> </w:t>
      </w:r>
      <w:r w:rsidRPr="003F1D74">
        <w:rPr>
          <w:rFonts w:ascii="Times New Roman" w:hAnsi="Times New Roman" w:cs="Times New Roman"/>
        </w:rPr>
        <w:t>Ordinul nr. 1623/2024 cu privire la Raportul de referențiere a Cadrului Național al Calificărilor (</w:t>
      </w:r>
      <w:hyperlink r:id="rId9" w:history="1">
        <w:r w:rsidRPr="0007449A">
          <w:rPr>
            <w:rStyle w:val="aff0"/>
            <w:rFonts w:ascii="Times New Roman" w:hAnsi="Times New Roman" w:cs="Times New Roman"/>
          </w:rPr>
          <w:t>link</w:t>
        </w:r>
      </w:hyperlink>
      <w:r w:rsidRPr="003F1D74">
        <w:rPr>
          <w:rFonts w:ascii="Times New Roman" w:hAnsi="Times New Roman" w:cs="Times New Roman"/>
        </w:rPr>
        <w:t>)</w:t>
      </w:r>
    </w:p>
  </w:footnote>
  <w:footnote w:id="10">
    <w:p w14:paraId="065D5777" w14:textId="77777777" w:rsidR="00B81475" w:rsidRDefault="00B81475" w:rsidP="004064D5">
      <w:pPr>
        <w:pStyle w:val="afa"/>
        <w:jc w:val="both"/>
      </w:pPr>
      <w:r>
        <w:rPr>
          <w:rStyle w:val="afc"/>
        </w:rPr>
        <w:footnoteRef/>
      </w:r>
      <w:r>
        <w:t xml:space="preserve"> </w:t>
      </w:r>
      <w:r w:rsidRPr="007A3AFE">
        <w:rPr>
          <w:rFonts w:ascii="Times New Roman" w:hAnsi="Times New Roman" w:cs="Times New Roman"/>
        </w:rPr>
        <w:t xml:space="preserve">EQF </w:t>
      </w:r>
      <w:proofErr w:type="spellStart"/>
      <w:r w:rsidRPr="007A3AFE">
        <w:rPr>
          <w:rFonts w:ascii="Times New Roman" w:hAnsi="Times New Roman" w:cs="Times New Roman"/>
        </w:rPr>
        <w:t>Advisory</w:t>
      </w:r>
      <w:proofErr w:type="spellEnd"/>
      <w:r w:rsidRPr="007A3AFE">
        <w:rPr>
          <w:rFonts w:ascii="Times New Roman" w:hAnsi="Times New Roman" w:cs="Times New Roman"/>
        </w:rPr>
        <w:t xml:space="preserve"> Group este structura europeană de coordonare instituită de Comisia Europeană pentru implementarea și monitorizarea Cadrului European al Calificărilor (EQF). Grupul reunește reprezentanți ai statelor membre, ai țărilor partenere și ai organizațiilor europene relevante (CEDEFOP, ETF, CE, Consiliul Europei, UNESCO), având rolul de a asigura coerența proceselor de referențiere și schimbul de bune practici.</w:t>
      </w:r>
      <w:r>
        <w:rPr>
          <w:rFonts w:ascii="Times New Roman" w:hAnsi="Times New Roman" w:cs="Times New Roman"/>
        </w:rPr>
        <w:t xml:space="preserve"> </w:t>
      </w:r>
      <w:r w:rsidRPr="005D28D6">
        <w:rPr>
          <w:rFonts w:ascii="Times New Roman" w:hAnsi="Times New Roman" w:cs="Times New Roman"/>
          <w:i/>
          <w:iCs/>
        </w:rPr>
        <w:t xml:space="preserve">Sursa: The European </w:t>
      </w:r>
      <w:proofErr w:type="spellStart"/>
      <w:r w:rsidRPr="005D28D6">
        <w:rPr>
          <w:rFonts w:ascii="Times New Roman" w:hAnsi="Times New Roman" w:cs="Times New Roman"/>
          <w:i/>
          <w:iCs/>
        </w:rPr>
        <w:t>Qualifications</w:t>
      </w:r>
      <w:proofErr w:type="spellEnd"/>
      <w:r w:rsidRPr="005D28D6">
        <w:rPr>
          <w:rFonts w:ascii="Times New Roman" w:hAnsi="Times New Roman" w:cs="Times New Roman"/>
          <w:i/>
          <w:iCs/>
        </w:rPr>
        <w:t xml:space="preserve"> Framework: </w:t>
      </w:r>
      <w:proofErr w:type="spellStart"/>
      <w:r w:rsidRPr="005D28D6">
        <w:rPr>
          <w:rFonts w:ascii="Times New Roman" w:hAnsi="Times New Roman" w:cs="Times New Roman"/>
          <w:i/>
          <w:iCs/>
        </w:rPr>
        <w:t>supporting</w:t>
      </w:r>
      <w:proofErr w:type="spellEnd"/>
      <w:r w:rsidRPr="005D28D6">
        <w:rPr>
          <w:rFonts w:ascii="Times New Roman" w:hAnsi="Times New Roman" w:cs="Times New Roman"/>
          <w:i/>
          <w:iCs/>
        </w:rPr>
        <w:t xml:space="preserve"> </w:t>
      </w:r>
      <w:proofErr w:type="spellStart"/>
      <w:r w:rsidRPr="005D28D6">
        <w:rPr>
          <w:rFonts w:ascii="Times New Roman" w:hAnsi="Times New Roman" w:cs="Times New Roman"/>
          <w:i/>
          <w:iCs/>
        </w:rPr>
        <w:t>learning</w:t>
      </w:r>
      <w:proofErr w:type="spellEnd"/>
      <w:r w:rsidRPr="005D28D6">
        <w:rPr>
          <w:rFonts w:ascii="Times New Roman" w:hAnsi="Times New Roman" w:cs="Times New Roman"/>
          <w:i/>
          <w:iCs/>
        </w:rPr>
        <w:t xml:space="preserve">, </w:t>
      </w:r>
      <w:proofErr w:type="spellStart"/>
      <w:r w:rsidRPr="005D28D6">
        <w:rPr>
          <w:rFonts w:ascii="Times New Roman" w:hAnsi="Times New Roman" w:cs="Times New Roman"/>
          <w:i/>
          <w:iCs/>
        </w:rPr>
        <w:t>work</w:t>
      </w:r>
      <w:proofErr w:type="spellEnd"/>
      <w:r w:rsidRPr="005D28D6">
        <w:rPr>
          <w:rFonts w:ascii="Times New Roman" w:hAnsi="Times New Roman" w:cs="Times New Roman"/>
          <w:i/>
          <w:iCs/>
        </w:rPr>
        <w:t xml:space="preserve"> </w:t>
      </w:r>
      <w:proofErr w:type="spellStart"/>
      <w:r w:rsidRPr="005D28D6">
        <w:rPr>
          <w:rFonts w:ascii="Times New Roman" w:hAnsi="Times New Roman" w:cs="Times New Roman"/>
          <w:i/>
          <w:iCs/>
        </w:rPr>
        <w:t>and</w:t>
      </w:r>
      <w:proofErr w:type="spellEnd"/>
      <w:r w:rsidRPr="005D28D6">
        <w:rPr>
          <w:rFonts w:ascii="Times New Roman" w:hAnsi="Times New Roman" w:cs="Times New Roman"/>
          <w:i/>
          <w:iCs/>
        </w:rPr>
        <w:t xml:space="preserve"> </w:t>
      </w:r>
      <w:proofErr w:type="spellStart"/>
      <w:r w:rsidRPr="005D28D6">
        <w:rPr>
          <w:rFonts w:ascii="Times New Roman" w:hAnsi="Times New Roman" w:cs="Times New Roman"/>
          <w:i/>
          <w:iCs/>
        </w:rPr>
        <w:t>cross-border</w:t>
      </w:r>
      <w:proofErr w:type="spellEnd"/>
      <w:r w:rsidRPr="005D28D6">
        <w:rPr>
          <w:rFonts w:ascii="Times New Roman" w:hAnsi="Times New Roman" w:cs="Times New Roman"/>
          <w:i/>
          <w:iCs/>
        </w:rPr>
        <w:t xml:space="preserve"> </w:t>
      </w:r>
      <w:proofErr w:type="spellStart"/>
      <w:r w:rsidRPr="005D28D6">
        <w:rPr>
          <w:rFonts w:ascii="Times New Roman" w:hAnsi="Times New Roman" w:cs="Times New Roman"/>
          <w:i/>
          <w:iCs/>
        </w:rPr>
        <w:t>mobility</w:t>
      </w:r>
      <w:proofErr w:type="spellEnd"/>
      <w:r w:rsidRPr="005D28D6">
        <w:rPr>
          <w:rFonts w:ascii="Times New Roman" w:hAnsi="Times New Roman" w:cs="Times New Roman"/>
          <w:i/>
          <w:iCs/>
        </w:rPr>
        <w:t xml:space="preserve"> </w:t>
      </w:r>
      <w:r>
        <w:rPr>
          <w:rFonts w:ascii="Times New Roman" w:hAnsi="Times New Roman" w:cs="Times New Roman"/>
        </w:rPr>
        <w:t>(</w:t>
      </w:r>
      <w:hyperlink r:id="rId10" w:history="1">
        <w:r w:rsidRPr="00002903">
          <w:rPr>
            <w:rStyle w:val="aff0"/>
            <w:rFonts w:ascii="Times New Roman" w:hAnsi="Times New Roman" w:cs="Times New Roman"/>
          </w:rPr>
          <w:t>link</w:t>
        </w:r>
      </w:hyperlink>
      <w:r>
        <w:rPr>
          <w:rFonts w:ascii="Times New Roman" w:hAnsi="Times New Roman" w:cs="Times New Roman"/>
        </w:rPr>
        <w:t>)</w:t>
      </w:r>
    </w:p>
  </w:footnote>
  <w:footnote w:id="11">
    <w:p w14:paraId="5A7754B7" w14:textId="2CB46BF9" w:rsidR="00B81475" w:rsidRPr="001F6026" w:rsidRDefault="00B81475">
      <w:pPr>
        <w:pStyle w:val="afa"/>
      </w:pPr>
      <w:r w:rsidRPr="001F6026">
        <w:rPr>
          <w:rStyle w:val="afc"/>
        </w:rPr>
        <w:footnoteRef/>
      </w:r>
      <w:r w:rsidRPr="001F6026">
        <w:t xml:space="preserve"> </w:t>
      </w:r>
      <w:r w:rsidRPr="001F6026">
        <w:rPr>
          <w:rFonts w:ascii="Times New Roman" w:eastAsia="Times New Roman" w:hAnsi="Times New Roman" w:cs="Times New Roman"/>
          <w:i/>
          <w:iCs/>
          <w:kern w:val="0"/>
          <w:lang w:eastAsia="ro-MD"/>
          <w14:ligatures w14:val="none"/>
        </w:rPr>
        <w:t>Acquis-</w:t>
      </w:r>
      <w:proofErr w:type="spellStart"/>
      <w:r w:rsidRPr="001F6026">
        <w:rPr>
          <w:rFonts w:ascii="Times New Roman" w:eastAsia="Times New Roman" w:hAnsi="Times New Roman" w:cs="Times New Roman"/>
          <w:i/>
          <w:iCs/>
          <w:kern w:val="0"/>
          <w:lang w:eastAsia="ro-MD"/>
          <w14:ligatures w14:val="none"/>
        </w:rPr>
        <w:t>ul</w:t>
      </w:r>
      <w:proofErr w:type="spellEnd"/>
      <w:r w:rsidRPr="001F6026">
        <w:rPr>
          <w:rFonts w:ascii="Times New Roman" w:eastAsia="Times New Roman" w:hAnsi="Times New Roman" w:cs="Times New Roman"/>
          <w:i/>
          <w:iCs/>
          <w:kern w:val="0"/>
          <w:lang w:eastAsia="ro-MD"/>
          <w14:ligatures w14:val="none"/>
        </w:rPr>
        <w:t xml:space="preserve"> comunitar</w:t>
      </w:r>
      <w:r w:rsidRPr="001F6026">
        <w:rPr>
          <w:rFonts w:ascii="Times New Roman" w:eastAsia="Times New Roman" w:hAnsi="Times New Roman" w:cs="Times New Roman"/>
          <w:kern w:val="0"/>
          <w:lang w:eastAsia="ro-MD"/>
          <w14:ligatures w14:val="none"/>
        </w:rPr>
        <w:t xml:space="preserve"> reprezintă ansamblul drepturilor și obligațiilor comune pe care statele membre ale Uniunii Europene le aplică și le respectă, incluzând legislația, standardele, politicile, practicile și acordurile internaționale ale UE. În procesul de aderare, țările candidate trebuie să preia și să implementeze integral acquis-ul comunitar, structurat pe domenii tematice (capitole de negociere).</w:t>
      </w:r>
    </w:p>
  </w:footnote>
  <w:footnote w:id="12">
    <w:p w14:paraId="37C4BAE7" w14:textId="43F38290" w:rsidR="00B81475" w:rsidRPr="00683155" w:rsidRDefault="00B81475" w:rsidP="006C4403">
      <w:pPr>
        <w:pStyle w:val="afa"/>
        <w:rPr>
          <w:rFonts w:ascii="Times New Roman" w:hAnsi="Times New Roman" w:cs="Times New Roman"/>
        </w:rPr>
      </w:pPr>
      <w:r>
        <w:rPr>
          <w:rStyle w:val="afc"/>
        </w:rPr>
        <w:footnoteRef/>
      </w:r>
      <w:r>
        <w:t xml:space="preserve"> </w:t>
      </w:r>
      <w:r w:rsidRPr="00683155">
        <w:rPr>
          <w:rFonts w:ascii="Times New Roman" w:hAnsi="Times New Roman" w:cs="Times New Roman"/>
        </w:rPr>
        <w:t xml:space="preserve">Strategia de dezvoltare </w:t>
      </w:r>
      <w:r>
        <w:rPr>
          <w:rFonts w:ascii="Times New Roman" w:hAnsi="Times New Roman" w:cs="Times New Roman"/>
        </w:rPr>
        <w:t>”</w:t>
      </w:r>
      <w:r w:rsidRPr="00683155">
        <w:rPr>
          <w:rFonts w:ascii="Times New Roman" w:hAnsi="Times New Roman" w:cs="Times New Roman"/>
        </w:rPr>
        <w:t>Educația 2030</w:t>
      </w:r>
      <w:r>
        <w:rPr>
          <w:rFonts w:ascii="Times New Roman" w:hAnsi="Times New Roman" w:cs="Times New Roman"/>
        </w:rPr>
        <w:t xml:space="preserve">” </w:t>
      </w:r>
      <w:r w:rsidRPr="006C4403">
        <w:rPr>
          <w:rFonts w:ascii="Times New Roman" w:hAnsi="Times New Roman" w:cs="Times New Roman"/>
        </w:rPr>
        <w:t>și a Programului de implementare</w:t>
      </w:r>
      <w:r>
        <w:rPr>
          <w:rFonts w:ascii="Times New Roman" w:hAnsi="Times New Roman" w:cs="Times New Roman"/>
        </w:rPr>
        <w:t xml:space="preserve"> </w:t>
      </w:r>
      <w:r w:rsidRPr="006C4403">
        <w:rPr>
          <w:rFonts w:ascii="Times New Roman" w:hAnsi="Times New Roman" w:cs="Times New Roman"/>
        </w:rPr>
        <w:t>a acesteia pentru anii 2023-2025</w:t>
      </w:r>
      <w:r>
        <w:rPr>
          <w:rFonts w:ascii="Times New Roman" w:hAnsi="Times New Roman" w:cs="Times New Roman"/>
        </w:rPr>
        <w:t>, aprobată prin</w:t>
      </w:r>
      <w:r w:rsidRPr="00683155">
        <w:rPr>
          <w:rFonts w:ascii="Times New Roman" w:hAnsi="Times New Roman" w:cs="Times New Roman"/>
        </w:rPr>
        <w:t xml:space="preserve"> </w:t>
      </w:r>
      <w:r>
        <w:rPr>
          <w:rStyle w:val="af9"/>
          <w:rFonts w:ascii="Times New Roman" w:eastAsiaTheme="majorEastAsia" w:hAnsi="Times New Roman" w:cs="Times New Roman"/>
          <w:b w:val="0"/>
          <w:bCs w:val="0"/>
        </w:rPr>
        <w:t>HG</w:t>
      </w:r>
      <w:r w:rsidRPr="00061C39">
        <w:rPr>
          <w:rStyle w:val="af9"/>
          <w:rFonts w:ascii="Times New Roman" w:eastAsiaTheme="majorEastAsia" w:hAnsi="Times New Roman" w:cs="Times New Roman"/>
          <w:b w:val="0"/>
          <w:bCs w:val="0"/>
        </w:rPr>
        <w:t xml:space="preserve"> nr. 114/2023</w:t>
      </w:r>
      <w:r>
        <w:rPr>
          <w:rStyle w:val="af9"/>
          <w:rFonts w:ascii="Times New Roman" w:eastAsiaTheme="majorEastAsia" w:hAnsi="Times New Roman" w:cs="Times New Roman"/>
          <w:b w:val="0"/>
          <w:bCs w:val="0"/>
        </w:rPr>
        <w:t xml:space="preserve"> </w:t>
      </w:r>
      <w:r w:rsidRPr="00683155">
        <w:rPr>
          <w:rStyle w:val="af9"/>
          <w:rFonts w:ascii="Times New Roman" w:eastAsiaTheme="majorEastAsia" w:hAnsi="Times New Roman" w:cs="Times New Roman"/>
          <w:b w:val="0"/>
          <w:bCs w:val="0"/>
        </w:rPr>
        <w:t>(</w:t>
      </w:r>
      <w:hyperlink r:id="rId11" w:history="1">
        <w:r w:rsidRPr="00683155">
          <w:rPr>
            <w:rStyle w:val="aff0"/>
            <w:rFonts w:ascii="Times New Roman" w:eastAsiaTheme="majorEastAsia" w:hAnsi="Times New Roman" w:cs="Times New Roman"/>
          </w:rPr>
          <w:t>link</w:t>
        </w:r>
      </w:hyperlink>
      <w:r w:rsidRPr="00683155">
        <w:rPr>
          <w:rStyle w:val="af9"/>
          <w:rFonts w:ascii="Times New Roman" w:eastAsiaTheme="majorEastAsia" w:hAnsi="Times New Roman" w:cs="Times New Roman"/>
          <w:b w:val="0"/>
          <w:bCs w:val="0"/>
        </w:rPr>
        <w:t>)</w:t>
      </w:r>
      <w:r w:rsidRPr="00683155">
        <w:rPr>
          <w:rStyle w:val="af9"/>
          <w:rFonts w:ascii="Times New Roman" w:eastAsiaTheme="majorEastAsia" w:hAnsi="Times New Roman" w:cs="Times New Roman"/>
        </w:rPr>
        <w:t xml:space="preserve"> </w:t>
      </w:r>
    </w:p>
  </w:footnote>
  <w:footnote w:id="13">
    <w:p w14:paraId="5B3AABE5" w14:textId="1FB588E9" w:rsidR="00B81475" w:rsidRDefault="00B81475">
      <w:pPr>
        <w:pStyle w:val="afa"/>
      </w:pPr>
      <w:r>
        <w:rPr>
          <w:rStyle w:val="afc"/>
        </w:rPr>
        <w:footnoteRef/>
      </w:r>
      <w:r>
        <w:t xml:space="preserve"> </w:t>
      </w:r>
      <w:r w:rsidRPr="00556A40">
        <w:rPr>
          <w:rFonts w:ascii="Times New Roman" w:hAnsi="Times New Roman" w:cs="Times New Roman"/>
        </w:rPr>
        <w:t>Programul național pentru ocuparea forței de muncă 2022–2026 și Planul de acțiuni privind implementarea acestuia, aprobat prin HG nr. 785/2022 (</w:t>
      </w:r>
      <w:hyperlink r:id="rId12" w:history="1">
        <w:r w:rsidRPr="00556A40">
          <w:rPr>
            <w:rStyle w:val="aff0"/>
            <w:rFonts w:ascii="Times New Roman" w:hAnsi="Times New Roman" w:cs="Times New Roman"/>
          </w:rPr>
          <w:t>link</w:t>
        </w:r>
      </w:hyperlink>
      <w:r w:rsidRPr="00556A40">
        <w:rPr>
          <w:rFonts w:ascii="Times New Roman" w:hAnsi="Times New Roman" w:cs="Times New Roman"/>
        </w:rPr>
        <w:t>)</w:t>
      </w:r>
    </w:p>
  </w:footnote>
  <w:footnote w:id="14">
    <w:p w14:paraId="16D8AF31" w14:textId="22789C16" w:rsidR="00B81475" w:rsidRPr="009D6D49" w:rsidRDefault="00B81475">
      <w:pPr>
        <w:pStyle w:val="afa"/>
        <w:rPr>
          <w:rFonts w:ascii="Times New Roman" w:hAnsi="Times New Roman" w:cs="Times New Roman"/>
        </w:rPr>
      </w:pPr>
      <w:r>
        <w:rPr>
          <w:rStyle w:val="afc"/>
        </w:rPr>
        <w:footnoteRef/>
      </w:r>
      <w:r>
        <w:t xml:space="preserve"> </w:t>
      </w:r>
      <w:r w:rsidRPr="009D6D49">
        <w:rPr>
          <w:rFonts w:ascii="Times New Roman" w:hAnsi="Times New Roman" w:cs="Times New Roman"/>
        </w:rPr>
        <w:t>Programul privind gestionarea fluxului migrațional, azilului și integrării străinilor 2022–2025, aprobat prin HG 808/2022 (</w:t>
      </w:r>
      <w:hyperlink r:id="rId13" w:history="1">
        <w:r w:rsidRPr="009D6D49">
          <w:rPr>
            <w:rStyle w:val="aff0"/>
            <w:rFonts w:ascii="Times New Roman" w:hAnsi="Times New Roman" w:cs="Times New Roman"/>
          </w:rPr>
          <w:t>link</w:t>
        </w:r>
      </w:hyperlink>
      <w:r w:rsidRPr="009D6D49">
        <w:rPr>
          <w:rFonts w:ascii="Times New Roman" w:hAnsi="Times New Roman" w:cs="Times New Roman"/>
        </w:rPr>
        <w:t>)</w:t>
      </w:r>
    </w:p>
  </w:footnote>
  <w:footnote w:id="15">
    <w:p w14:paraId="0674DCB0" w14:textId="67160354" w:rsidR="00B81475" w:rsidRDefault="00B81475">
      <w:pPr>
        <w:pStyle w:val="afa"/>
      </w:pPr>
      <w:r>
        <w:rPr>
          <w:rStyle w:val="afc"/>
        </w:rPr>
        <w:footnoteRef/>
      </w:r>
      <w:r>
        <w:t xml:space="preserve"> </w:t>
      </w:r>
      <w:r w:rsidRPr="00E62CBE">
        <w:rPr>
          <w:rFonts w:ascii="Times New Roman" w:hAnsi="Times New Roman" w:cs="Times New Roman"/>
        </w:rPr>
        <w:t>Programul național de stimulare a revenirilor și (re)integrării cetățenilor RM implicați în migrație 2022–2026, aprobat prin HG 674/2023</w:t>
      </w:r>
      <w:r>
        <w:rPr>
          <w:rFonts w:ascii="Times New Roman" w:hAnsi="Times New Roman" w:cs="Times New Roman"/>
        </w:rPr>
        <w:t xml:space="preserve"> (</w:t>
      </w:r>
      <w:hyperlink r:id="rId14" w:history="1">
        <w:r w:rsidRPr="00EA23C9">
          <w:rPr>
            <w:rStyle w:val="aff0"/>
            <w:rFonts w:ascii="Times New Roman" w:hAnsi="Times New Roman" w:cs="Times New Roman"/>
          </w:rPr>
          <w:t>link</w:t>
        </w:r>
      </w:hyperlink>
      <w:r>
        <w:rPr>
          <w:rFonts w:ascii="Times New Roman" w:hAnsi="Times New Roman" w:cs="Times New Roman"/>
        </w:rPr>
        <w:t>)</w:t>
      </w:r>
    </w:p>
  </w:footnote>
  <w:footnote w:id="16">
    <w:p w14:paraId="0FC528B1" w14:textId="6630431A" w:rsidR="00B81475" w:rsidRPr="003C6C7A" w:rsidRDefault="00B81475" w:rsidP="00886F4B">
      <w:pPr>
        <w:pStyle w:val="afa"/>
        <w:rPr>
          <w:rFonts w:ascii="Times New Roman" w:hAnsi="Times New Roman" w:cs="Times New Roman"/>
        </w:rPr>
      </w:pPr>
      <w:r w:rsidRPr="00683155">
        <w:rPr>
          <w:rStyle w:val="afc"/>
          <w:rFonts w:ascii="Times New Roman" w:hAnsi="Times New Roman" w:cs="Times New Roman"/>
        </w:rPr>
        <w:footnoteRef/>
      </w:r>
      <w:r w:rsidRPr="00683155">
        <w:rPr>
          <w:rFonts w:ascii="Times New Roman" w:hAnsi="Times New Roman" w:cs="Times New Roman"/>
        </w:rPr>
        <w:t xml:space="preserve"> </w:t>
      </w:r>
      <w:r w:rsidRPr="003C6C7A">
        <w:rPr>
          <w:rFonts w:ascii="Times New Roman" w:hAnsi="Times New Roman" w:cs="Times New Roman"/>
        </w:rPr>
        <w:t>Programul de dezvoltare a educației incluzive în Republica Moldova pentru anii (2024–2027)</w:t>
      </w:r>
      <w:r>
        <w:rPr>
          <w:rFonts w:ascii="Times New Roman" w:hAnsi="Times New Roman" w:cs="Times New Roman"/>
        </w:rPr>
        <w:t>,</w:t>
      </w:r>
      <w:r w:rsidRPr="003C6C7A">
        <w:rPr>
          <w:rFonts w:ascii="Times New Roman" w:hAnsi="Times New Roman" w:cs="Times New Roman"/>
        </w:rPr>
        <w:t xml:space="preserve"> </w:t>
      </w:r>
      <w:r>
        <w:rPr>
          <w:rFonts w:ascii="Times New Roman" w:hAnsi="Times New Roman" w:cs="Times New Roman"/>
        </w:rPr>
        <w:t>HG</w:t>
      </w:r>
      <w:r w:rsidRPr="00683155">
        <w:rPr>
          <w:rFonts w:ascii="Times New Roman" w:hAnsi="Times New Roman" w:cs="Times New Roman"/>
        </w:rPr>
        <w:t xml:space="preserve"> nr. 950/2023</w:t>
      </w:r>
      <w:r w:rsidRPr="003C6C7A">
        <w:rPr>
          <w:rFonts w:ascii="Times New Roman" w:hAnsi="Times New Roman" w:cs="Times New Roman"/>
        </w:rPr>
        <w:t xml:space="preserve"> (</w:t>
      </w:r>
      <w:hyperlink r:id="rId15" w:history="1">
        <w:r w:rsidRPr="003C6C7A">
          <w:rPr>
            <w:rStyle w:val="aff0"/>
            <w:rFonts w:ascii="Times New Roman" w:hAnsi="Times New Roman" w:cs="Times New Roman"/>
          </w:rPr>
          <w:t>link</w:t>
        </w:r>
      </w:hyperlink>
      <w:r w:rsidRPr="003C6C7A">
        <w:rPr>
          <w:rFonts w:ascii="Times New Roman" w:hAnsi="Times New Roman" w:cs="Times New Roman"/>
        </w:rPr>
        <w:t>)</w:t>
      </w:r>
    </w:p>
  </w:footnote>
  <w:footnote w:id="17">
    <w:p w14:paraId="22E5BE0A" w14:textId="40180903" w:rsidR="00B81475" w:rsidRPr="003C6C7A" w:rsidRDefault="00B81475" w:rsidP="00091633">
      <w:pPr>
        <w:pStyle w:val="afa"/>
        <w:rPr>
          <w:rFonts w:ascii="Times New Roman" w:hAnsi="Times New Roman" w:cs="Times New Roman"/>
        </w:rPr>
      </w:pPr>
      <w:r w:rsidRPr="003C6C7A">
        <w:rPr>
          <w:rStyle w:val="afc"/>
          <w:rFonts w:ascii="Times New Roman" w:hAnsi="Times New Roman" w:cs="Times New Roman"/>
        </w:rPr>
        <w:footnoteRef/>
      </w:r>
      <w:r w:rsidRPr="003C6C7A">
        <w:rPr>
          <w:rFonts w:ascii="Times New Roman" w:hAnsi="Times New Roman" w:cs="Times New Roman"/>
        </w:rPr>
        <w:t xml:space="preserve"> Strategia de dezvoltare a sectorului de tineret „Tineret 2030” și Programul privind implementarea acesteia pentru anii 2023–2026</w:t>
      </w:r>
      <w:r>
        <w:rPr>
          <w:rFonts w:ascii="Times New Roman" w:hAnsi="Times New Roman" w:cs="Times New Roman"/>
        </w:rPr>
        <w:t>,</w:t>
      </w:r>
      <w:r w:rsidRPr="003C6C7A">
        <w:rPr>
          <w:rFonts w:ascii="Times New Roman" w:hAnsi="Times New Roman" w:cs="Times New Roman"/>
        </w:rPr>
        <w:t xml:space="preserve"> HG nr. 168/2023 (</w:t>
      </w:r>
      <w:hyperlink r:id="rId16" w:history="1">
        <w:r w:rsidRPr="003C6C7A">
          <w:rPr>
            <w:rStyle w:val="aff0"/>
            <w:rFonts w:ascii="Times New Roman" w:hAnsi="Times New Roman" w:cs="Times New Roman"/>
          </w:rPr>
          <w:t>link</w:t>
        </w:r>
      </w:hyperlink>
      <w:r w:rsidRPr="003C6C7A">
        <w:rPr>
          <w:rFonts w:ascii="Times New Roman" w:hAnsi="Times New Roman" w:cs="Times New Roman"/>
        </w:rPr>
        <w:t>)</w:t>
      </w:r>
    </w:p>
  </w:footnote>
  <w:footnote w:id="18">
    <w:p w14:paraId="4545C8D2" w14:textId="37FB8AE7" w:rsidR="00B81475" w:rsidRPr="00711C0B" w:rsidRDefault="00B81475" w:rsidP="008543EB">
      <w:pPr>
        <w:pStyle w:val="afa"/>
        <w:rPr>
          <w:rFonts w:ascii="Times New Roman" w:hAnsi="Times New Roman" w:cs="Times New Roman"/>
        </w:rPr>
      </w:pPr>
      <w:r w:rsidRPr="00711C0B">
        <w:rPr>
          <w:rStyle w:val="afc"/>
          <w:rFonts w:ascii="Times New Roman" w:hAnsi="Times New Roman" w:cs="Times New Roman"/>
        </w:rPr>
        <w:footnoteRef/>
      </w:r>
      <w:r w:rsidRPr="00711C0B">
        <w:rPr>
          <w:rFonts w:ascii="Times New Roman" w:hAnsi="Times New Roman" w:cs="Times New Roman"/>
        </w:rPr>
        <w:t xml:space="preserve"> Strategi</w:t>
      </w:r>
      <w:r>
        <w:rPr>
          <w:rFonts w:ascii="Times New Roman" w:hAnsi="Times New Roman" w:cs="Times New Roman"/>
        </w:rPr>
        <w:t>a</w:t>
      </w:r>
      <w:r w:rsidRPr="00711C0B">
        <w:rPr>
          <w:rFonts w:ascii="Times New Roman" w:hAnsi="Times New Roman" w:cs="Times New Roman"/>
        </w:rPr>
        <w:t xml:space="preserve"> de dezvoltare a domeniului afacerilor interne pentru anii 2022-2030</w:t>
      </w:r>
      <w:r>
        <w:rPr>
          <w:rFonts w:ascii="Times New Roman" w:hAnsi="Times New Roman" w:cs="Times New Roman"/>
        </w:rPr>
        <w:t>,</w:t>
      </w:r>
      <w:r w:rsidRPr="00711C0B">
        <w:rPr>
          <w:rFonts w:ascii="Times New Roman" w:hAnsi="Times New Roman" w:cs="Times New Roman"/>
        </w:rPr>
        <w:t xml:space="preserve"> HG nr. 658/2022 (</w:t>
      </w:r>
      <w:hyperlink r:id="rId17" w:history="1">
        <w:r w:rsidRPr="00711C0B">
          <w:rPr>
            <w:rStyle w:val="aff0"/>
            <w:rFonts w:ascii="Times New Roman" w:hAnsi="Times New Roman" w:cs="Times New Roman"/>
          </w:rPr>
          <w:t>link</w:t>
        </w:r>
      </w:hyperlink>
      <w:r w:rsidRPr="00711C0B">
        <w:rPr>
          <w:rFonts w:ascii="Times New Roman" w:hAnsi="Times New Roman" w:cs="Times New Roman"/>
        </w:rPr>
        <w:t>)</w:t>
      </w:r>
    </w:p>
  </w:footnote>
  <w:footnote w:id="19">
    <w:p w14:paraId="05EDCA1C" w14:textId="5EF69B6D" w:rsidR="00B81475" w:rsidRDefault="00B81475" w:rsidP="007D3A78">
      <w:pPr>
        <w:pStyle w:val="afa"/>
      </w:pPr>
      <w:r w:rsidRPr="00711C0B">
        <w:rPr>
          <w:rStyle w:val="afc"/>
          <w:rFonts w:ascii="Times New Roman" w:hAnsi="Times New Roman" w:cs="Times New Roman"/>
        </w:rPr>
        <w:footnoteRef/>
      </w:r>
      <w:r w:rsidRPr="00711C0B">
        <w:rPr>
          <w:rFonts w:ascii="Times New Roman" w:hAnsi="Times New Roman" w:cs="Times New Roman"/>
        </w:rPr>
        <w:t xml:space="preserve"> Programul de consolidare a încrederii și siguranței societății prin formare profesională, integritate și digitalizarea sistemului afacerilor interne pentru anii 2022–2025</w:t>
      </w:r>
      <w:r>
        <w:rPr>
          <w:rFonts w:ascii="Times New Roman" w:hAnsi="Times New Roman" w:cs="Times New Roman"/>
        </w:rPr>
        <w:t>,</w:t>
      </w:r>
      <w:r w:rsidRPr="00711C0B">
        <w:rPr>
          <w:rFonts w:ascii="Times New Roman" w:hAnsi="Times New Roman" w:cs="Times New Roman"/>
        </w:rPr>
        <w:t xml:space="preserve"> </w:t>
      </w:r>
      <w:r>
        <w:rPr>
          <w:rFonts w:ascii="Times New Roman" w:hAnsi="Times New Roman" w:cs="Times New Roman"/>
        </w:rPr>
        <w:t>HG</w:t>
      </w:r>
      <w:r w:rsidRPr="00711C0B">
        <w:rPr>
          <w:rFonts w:ascii="Times New Roman" w:hAnsi="Times New Roman" w:cs="Times New Roman"/>
        </w:rPr>
        <w:t xml:space="preserve"> nr. 947/2022 (</w:t>
      </w:r>
      <w:hyperlink r:id="rId18" w:history="1">
        <w:r w:rsidRPr="001C0FEF">
          <w:rPr>
            <w:rStyle w:val="aff0"/>
            <w:rFonts w:ascii="Times New Roman" w:hAnsi="Times New Roman" w:cs="Times New Roman"/>
          </w:rPr>
          <w:t>link</w:t>
        </w:r>
      </w:hyperlink>
      <w:r w:rsidRPr="00711C0B">
        <w:rPr>
          <w:rFonts w:ascii="Times New Roman" w:hAnsi="Times New Roman" w:cs="Times New Roman"/>
        </w:rPr>
        <w:t>)</w:t>
      </w:r>
    </w:p>
  </w:footnote>
  <w:footnote w:id="20">
    <w:p w14:paraId="3DBFBBAD" w14:textId="08F61F7E" w:rsidR="00B81475" w:rsidRDefault="00B81475">
      <w:pPr>
        <w:pStyle w:val="afa"/>
      </w:pPr>
      <w:r>
        <w:rPr>
          <w:rStyle w:val="afc"/>
        </w:rPr>
        <w:footnoteRef/>
      </w:r>
      <w:r>
        <w:t xml:space="preserve"> </w:t>
      </w:r>
      <w:r w:rsidRPr="008B6450">
        <w:rPr>
          <w:rFonts w:ascii="Times New Roman" w:eastAsia="Times New Roman" w:hAnsi="Times New Roman" w:cs="Times New Roman"/>
          <w:kern w:val="0"/>
          <w:lang w:eastAsia="ro-MD"/>
          <w14:ligatures w14:val="none"/>
        </w:rPr>
        <w:t>Codului Educației al Republicii Moldova nr. 152/2014 (</w:t>
      </w:r>
      <w:hyperlink r:id="rId19" w:history="1">
        <w:r w:rsidRPr="008B6450">
          <w:rPr>
            <w:rStyle w:val="aff0"/>
            <w:rFonts w:ascii="Times New Roman" w:eastAsia="Times New Roman" w:hAnsi="Times New Roman" w:cs="Times New Roman"/>
            <w:kern w:val="0"/>
            <w:lang w:eastAsia="ro-MD"/>
            <w14:ligatures w14:val="none"/>
          </w:rPr>
          <w:t>link</w:t>
        </w:r>
      </w:hyperlink>
      <w:r w:rsidRPr="008B6450">
        <w:rPr>
          <w:rFonts w:ascii="Times New Roman" w:eastAsia="Times New Roman" w:hAnsi="Times New Roman" w:cs="Times New Roman"/>
          <w:kern w:val="0"/>
          <w:lang w:eastAsia="ro-MD"/>
          <w14:ligatures w14:val="none"/>
        </w:rPr>
        <w:t>)</w:t>
      </w:r>
    </w:p>
  </w:footnote>
  <w:footnote w:id="21">
    <w:p w14:paraId="5367A47B" w14:textId="53A986D7" w:rsidR="00B81475" w:rsidRDefault="00B81475">
      <w:pPr>
        <w:pStyle w:val="afa"/>
      </w:pPr>
      <w:r>
        <w:rPr>
          <w:rStyle w:val="afc"/>
        </w:rPr>
        <w:footnoteRef/>
      </w:r>
      <w:r>
        <w:t xml:space="preserve"> </w:t>
      </w:r>
      <w:r w:rsidRPr="00D037A2">
        <w:rPr>
          <w:rFonts w:ascii="Times New Roman" w:hAnsi="Times New Roman" w:cs="Times New Roman"/>
        </w:rPr>
        <w:t>Legea nr. 110/2022</w:t>
      </w:r>
      <w:r>
        <w:rPr>
          <w:rFonts w:ascii="Times New Roman" w:hAnsi="Times New Roman" w:cs="Times New Roman"/>
        </w:rPr>
        <w:t>, Î</w:t>
      </w:r>
      <w:r w:rsidRPr="00D037A2">
        <w:rPr>
          <w:rFonts w:ascii="Times New Roman" w:hAnsi="Times New Roman" w:cs="Times New Roman"/>
        </w:rPr>
        <w:t>nvățământul dual (</w:t>
      </w:r>
      <w:hyperlink r:id="rId20" w:history="1">
        <w:r w:rsidRPr="00D037A2">
          <w:rPr>
            <w:rStyle w:val="aff0"/>
            <w:rFonts w:ascii="Times New Roman" w:hAnsi="Times New Roman" w:cs="Times New Roman"/>
          </w:rPr>
          <w:t>link</w:t>
        </w:r>
      </w:hyperlink>
      <w:r w:rsidRPr="00D037A2">
        <w:rPr>
          <w:rFonts w:ascii="Times New Roman" w:hAnsi="Times New Roman" w:cs="Times New Roman"/>
        </w:rPr>
        <w:t>)</w:t>
      </w:r>
    </w:p>
  </w:footnote>
  <w:footnote w:id="22">
    <w:p w14:paraId="067691D7" w14:textId="3004F316" w:rsidR="00B81475" w:rsidRPr="00683155" w:rsidRDefault="00B81475" w:rsidP="004C3EFD">
      <w:pPr>
        <w:pStyle w:val="afa"/>
        <w:rPr>
          <w:rFonts w:ascii="Times New Roman" w:hAnsi="Times New Roman" w:cs="Times New Roman"/>
        </w:rPr>
      </w:pPr>
      <w:r w:rsidRPr="00683155">
        <w:rPr>
          <w:rStyle w:val="afc"/>
          <w:rFonts w:ascii="Times New Roman" w:hAnsi="Times New Roman" w:cs="Times New Roman"/>
        </w:rPr>
        <w:footnoteRef/>
      </w:r>
      <w:r w:rsidRPr="00683155">
        <w:rPr>
          <w:rFonts w:ascii="Times New Roman" w:hAnsi="Times New Roman" w:cs="Times New Roman"/>
        </w:rPr>
        <w:t xml:space="preserve"> </w:t>
      </w:r>
      <w:r w:rsidRPr="00683155">
        <w:rPr>
          <w:rStyle w:val="af9"/>
          <w:rFonts w:ascii="Times New Roman" w:eastAsiaTheme="majorEastAsia" w:hAnsi="Times New Roman" w:cs="Times New Roman"/>
          <w:b w:val="0"/>
          <w:bCs w:val="0"/>
        </w:rPr>
        <w:t>HG nr. 330/2023</w:t>
      </w:r>
      <w:r>
        <w:rPr>
          <w:rFonts w:ascii="Times New Roman" w:hAnsi="Times New Roman" w:cs="Times New Roman"/>
        </w:rPr>
        <w:t xml:space="preserve">, </w:t>
      </w:r>
      <w:r w:rsidRPr="00683155">
        <w:rPr>
          <w:rStyle w:val="af9"/>
          <w:rFonts w:ascii="Times New Roman" w:eastAsiaTheme="majorEastAsia" w:hAnsi="Times New Roman" w:cs="Times New Roman"/>
          <w:b w:val="0"/>
          <w:bCs w:val="0"/>
        </w:rPr>
        <w:t>Cadrul Național al Calificărilor</w:t>
      </w:r>
      <w:r w:rsidRPr="00683155">
        <w:rPr>
          <w:rFonts w:ascii="Times New Roman" w:hAnsi="Times New Roman" w:cs="Times New Roman"/>
          <w:b/>
          <w:bCs/>
        </w:rPr>
        <w:t xml:space="preserve"> </w:t>
      </w:r>
      <w:r w:rsidRPr="00683155">
        <w:rPr>
          <w:rStyle w:val="af9"/>
          <w:rFonts w:ascii="Times New Roman" w:eastAsiaTheme="majorEastAsia" w:hAnsi="Times New Roman" w:cs="Times New Roman"/>
          <w:b w:val="0"/>
          <w:bCs w:val="0"/>
        </w:rPr>
        <w:t>(</w:t>
      </w:r>
      <w:hyperlink r:id="rId21" w:history="1">
        <w:r w:rsidRPr="00683155">
          <w:rPr>
            <w:rStyle w:val="aff0"/>
            <w:rFonts w:ascii="Times New Roman" w:eastAsiaTheme="majorEastAsia" w:hAnsi="Times New Roman" w:cs="Times New Roman"/>
          </w:rPr>
          <w:t>link</w:t>
        </w:r>
      </w:hyperlink>
      <w:r w:rsidRPr="00683155">
        <w:rPr>
          <w:rStyle w:val="af9"/>
          <w:rFonts w:ascii="Times New Roman" w:eastAsiaTheme="majorEastAsia" w:hAnsi="Times New Roman" w:cs="Times New Roman"/>
          <w:b w:val="0"/>
          <w:bCs w:val="0"/>
        </w:rPr>
        <w:t>)</w:t>
      </w:r>
    </w:p>
  </w:footnote>
  <w:footnote w:id="23">
    <w:p w14:paraId="3CCBF46D" w14:textId="605A5C2F" w:rsidR="00B81475" w:rsidRPr="00683155" w:rsidRDefault="00B81475" w:rsidP="00E02926">
      <w:pPr>
        <w:pStyle w:val="afa"/>
        <w:rPr>
          <w:rFonts w:ascii="Times New Roman" w:hAnsi="Times New Roman" w:cs="Times New Roman"/>
        </w:rPr>
      </w:pPr>
      <w:r w:rsidRPr="00683155">
        <w:rPr>
          <w:rStyle w:val="afc"/>
          <w:rFonts w:ascii="Times New Roman" w:hAnsi="Times New Roman" w:cs="Times New Roman"/>
        </w:rPr>
        <w:footnoteRef/>
      </w:r>
      <w:r w:rsidRPr="00683155">
        <w:rPr>
          <w:rFonts w:ascii="Times New Roman" w:hAnsi="Times New Roman" w:cs="Times New Roman"/>
        </w:rPr>
        <w:t xml:space="preserve"> </w:t>
      </w:r>
      <w:r w:rsidRPr="00683155">
        <w:rPr>
          <w:rFonts w:ascii="Times New Roman" w:eastAsia="Times New Roman" w:hAnsi="Times New Roman" w:cs="Times New Roman"/>
          <w:kern w:val="0"/>
          <w:lang w:eastAsia="ro-MD"/>
          <w14:ligatures w14:val="none"/>
        </w:rPr>
        <w:t>HG nr. 1199/2018</w:t>
      </w:r>
      <w:r>
        <w:rPr>
          <w:rFonts w:ascii="Times New Roman" w:eastAsia="Times New Roman" w:hAnsi="Times New Roman" w:cs="Times New Roman"/>
          <w:kern w:val="0"/>
          <w:lang w:eastAsia="ro-MD"/>
          <w14:ligatures w14:val="none"/>
        </w:rPr>
        <w:t xml:space="preserve">, </w:t>
      </w:r>
      <w:r w:rsidRPr="00683155">
        <w:rPr>
          <w:rFonts w:ascii="Times New Roman" w:eastAsia="Times New Roman" w:hAnsi="Times New Roman" w:cs="Times New Roman"/>
          <w:kern w:val="0"/>
          <w:lang w:eastAsia="ro-MD"/>
          <w14:ligatures w14:val="none"/>
        </w:rPr>
        <w:t>Registrul național al calificărilor (</w:t>
      </w:r>
      <w:hyperlink r:id="rId22" w:history="1">
        <w:r w:rsidRPr="00683155">
          <w:rPr>
            <w:rStyle w:val="aff0"/>
            <w:rFonts w:ascii="Times New Roman" w:eastAsia="Times New Roman" w:hAnsi="Times New Roman" w:cs="Times New Roman"/>
            <w:kern w:val="0"/>
            <w:lang w:eastAsia="ro-MD"/>
            <w14:ligatures w14:val="none"/>
          </w:rPr>
          <w:t>link</w:t>
        </w:r>
      </w:hyperlink>
      <w:r w:rsidRPr="00683155">
        <w:rPr>
          <w:rFonts w:ascii="Times New Roman" w:eastAsia="Times New Roman" w:hAnsi="Times New Roman" w:cs="Times New Roman"/>
          <w:kern w:val="0"/>
          <w:lang w:eastAsia="ro-MD"/>
          <w14:ligatures w14:val="none"/>
        </w:rPr>
        <w:t>)</w:t>
      </w:r>
    </w:p>
  </w:footnote>
  <w:footnote w:id="24">
    <w:p w14:paraId="414D71F7" w14:textId="5F0CB153" w:rsidR="00B81475" w:rsidRPr="00683155" w:rsidRDefault="00B81475" w:rsidP="00DA5181">
      <w:pPr>
        <w:pStyle w:val="afa"/>
        <w:rPr>
          <w:rFonts w:ascii="Times New Roman" w:hAnsi="Times New Roman" w:cs="Times New Roman"/>
        </w:rPr>
      </w:pPr>
      <w:r w:rsidRPr="00683155">
        <w:rPr>
          <w:rStyle w:val="afc"/>
          <w:rFonts w:ascii="Times New Roman" w:hAnsi="Times New Roman" w:cs="Times New Roman"/>
        </w:rPr>
        <w:footnoteRef/>
      </w:r>
      <w:r w:rsidRPr="00683155">
        <w:rPr>
          <w:rFonts w:ascii="Times New Roman" w:hAnsi="Times New Roman" w:cs="Times New Roman"/>
        </w:rPr>
        <w:t xml:space="preserve"> HG nr. 222/2024</w:t>
      </w:r>
      <w:r>
        <w:rPr>
          <w:rFonts w:ascii="Times New Roman" w:hAnsi="Times New Roman" w:cs="Times New Roman"/>
        </w:rPr>
        <w:t xml:space="preserve">, </w:t>
      </w:r>
      <w:r w:rsidRPr="00683155">
        <w:rPr>
          <w:rFonts w:ascii="Times New Roman" w:hAnsi="Times New Roman" w:cs="Times New Roman"/>
        </w:rPr>
        <w:t>Regulamentului privind educația adulților (</w:t>
      </w:r>
      <w:hyperlink r:id="rId23" w:history="1">
        <w:r w:rsidRPr="00683155">
          <w:rPr>
            <w:rStyle w:val="aff0"/>
            <w:rFonts w:ascii="Times New Roman" w:hAnsi="Times New Roman" w:cs="Times New Roman"/>
          </w:rPr>
          <w:t>link</w:t>
        </w:r>
      </w:hyperlink>
      <w:r w:rsidRPr="00683155">
        <w:rPr>
          <w:rFonts w:ascii="Times New Roman" w:hAnsi="Times New Roman" w:cs="Times New Roman"/>
        </w:rPr>
        <w:t>)</w:t>
      </w:r>
    </w:p>
  </w:footnote>
  <w:footnote w:id="25">
    <w:p w14:paraId="6421BE2E" w14:textId="7A300488" w:rsidR="00B81475" w:rsidRDefault="00B81475">
      <w:pPr>
        <w:pStyle w:val="afa"/>
      </w:pPr>
      <w:r w:rsidRPr="003C6C7A">
        <w:rPr>
          <w:rStyle w:val="afc"/>
          <w:rFonts w:ascii="Times New Roman" w:hAnsi="Times New Roman" w:cs="Times New Roman"/>
        </w:rPr>
        <w:footnoteRef/>
      </w:r>
      <w:r w:rsidRPr="003C6C7A">
        <w:rPr>
          <w:rFonts w:ascii="Times New Roman" w:hAnsi="Times New Roman" w:cs="Times New Roman"/>
        </w:rPr>
        <w:t xml:space="preserve"> Legea nr. 244/2017, </w:t>
      </w:r>
      <w:r>
        <w:rPr>
          <w:rFonts w:ascii="Times New Roman" w:eastAsia="Times New Roman" w:hAnsi="Times New Roman" w:cs="Times New Roman"/>
          <w:kern w:val="0"/>
          <w:lang w:eastAsia="ro-MD"/>
          <w14:ligatures w14:val="none"/>
        </w:rPr>
        <w:t>C</w:t>
      </w:r>
      <w:r w:rsidRPr="003C6C7A">
        <w:rPr>
          <w:rFonts w:ascii="Times New Roman" w:eastAsia="Times New Roman" w:hAnsi="Times New Roman" w:cs="Times New Roman"/>
          <w:kern w:val="0"/>
          <w:lang w:eastAsia="ro-MD"/>
          <w14:ligatures w14:val="none"/>
        </w:rPr>
        <w:t>omitetele sectoriale pentru formare profesională (</w:t>
      </w:r>
      <w:hyperlink r:id="rId24" w:history="1">
        <w:r w:rsidRPr="003C6C7A">
          <w:rPr>
            <w:rStyle w:val="aff0"/>
            <w:rFonts w:ascii="Times New Roman" w:eastAsia="Times New Roman" w:hAnsi="Times New Roman" w:cs="Times New Roman"/>
            <w:kern w:val="0"/>
            <w:lang w:eastAsia="ro-MD"/>
            <w14:ligatures w14:val="none"/>
          </w:rPr>
          <w:t>link)</w:t>
        </w:r>
      </w:hyperlink>
    </w:p>
  </w:footnote>
  <w:footnote w:id="26">
    <w:p w14:paraId="6A1C53D4" w14:textId="77777777" w:rsidR="00B81475" w:rsidRDefault="00B81475" w:rsidP="00C91679">
      <w:pPr>
        <w:pStyle w:val="afa"/>
      </w:pPr>
      <w:r>
        <w:rPr>
          <w:rStyle w:val="afc"/>
        </w:rPr>
        <w:footnoteRef/>
      </w:r>
      <w:r>
        <w:t xml:space="preserve"> </w:t>
      </w:r>
      <w:r w:rsidRPr="00040DE9">
        <w:rPr>
          <w:rFonts w:ascii="Times New Roman" w:hAnsi="Times New Roman" w:cs="Times New Roman"/>
        </w:rPr>
        <w:t>Legea nr. 105/2018, Promovarea ocupării forței de muncă și asigurarea de șomaj (</w:t>
      </w:r>
      <w:hyperlink r:id="rId25" w:history="1">
        <w:r w:rsidRPr="00040DE9">
          <w:rPr>
            <w:rStyle w:val="aff0"/>
            <w:rFonts w:ascii="Times New Roman" w:hAnsi="Times New Roman" w:cs="Times New Roman"/>
          </w:rPr>
          <w:t>link</w:t>
        </w:r>
      </w:hyperlink>
      <w:r w:rsidRPr="00040DE9">
        <w:rPr>
          <w:rFonts w:ascii="Times New Roman" w:hAnsi="Times New Roman" w:cs="Times New Roman"/>
        </w:rPr>
        <w:t>)</w:t>
      </w:r>
    </w:p>
  </w:footnote>
  <w:footnote w:id="27">
    <w:p w14:paraId="055FC9F6" w14:textId="17AD6F5D" w:rsidR="00B81475" w:rsidRPr="00BC4929" w:rsidRDefault="00B81475">
      <w:pPr>
        <w:pStyle w:val="afa"/>
        <w:rPr>
          <w:rFonts w:ascii="Times New Roman" w:hAnsi="Times New Roman" w:cs="Times New Roman"/>
        </w:rPr>
      </w:pPr>
      <w:r>
        <w:rPr>
          <w:rStyle w:val="afc"/>
        </w:rPr>
        <w:footnoteRef/>
      </w:r>
      <w:r>
        <w:t xml:space="preserve"> </w:t>
      </w:r>
      <w:r w:rsidRPr="00BC4929">
        <w:rPr>
          <w:rFonts w:ascii="Times New Roman" w:hAnsi="Times New Roman" w:cs="Times New Roman"/>
        </w:rPr>
        <w:t>Legea nr. 239/2008, Transparența în procesul decizional (</w:t>
      </w:r>
      <w:hyperlink r:id="rId26" w:history="1">
        <w:r w:rsidRPr="00BC4929">
          <w:rPr>
            <w:rStyle w:val="aff0"/>
            <w:rFonts w:ascii="Times New Roman" w:hAnsi="Times New Roman" w:cs="Times New Roman"/>
          </w:rPr>
          <w:t>link</w:t>
        </w:r>
      </w:hyperlink>
      <w:r w:rsidRPr="00BC4929">
        <w:rPr>
          <w:rFonts w:ascii="Times New Roman" w:hAnsi="Times New Roman" w:cs="Times New Roman"/>
        </w:rPr>
        <w:t>)</w:t>
      </w:r>
    </w:p>
  </w:footnote>
  <w:footnote w:id="28">
    <w:p w14:paraId="2C3A0F09" w14:textId="28C7738D" w:rsidR="00B81475" w:rsidRPr="001F6026" w:rsidRDefault="00B81475">
      <w:pPr>
        <w:pStyle w:val="afa"/>
      </w:pPr>
      <w:r w:rsidRPr="001F6026">
        <w:rPr>
          <w:rStyle w:val="afc"/>
        </w:rPr>
        <w:footnoteRef/>
      </w:r>
      <w:r w:rsidRPr="001F6026">
        <w:t xml:space="preserve"> </w:t>
      </w:r>
      <w:r w:rsidRPr="001F6026">
        <w:rPr>
          <w:rFonts w:ascii="Times New Roman" w:hAnsi="Times New Roman" w:cs="Times New Roman"/>
        </w:rPr>
        <w:t xml:space="preserve">În documentele CE și </w:t>
      </w:r>
      <w:proofErr w:type="spellStart"/>
      <w:r w:rsidRPr="001F6026">
        <w:rPr>
          <w:rFonts w:ascii="Times New Roman" w:hAnsi="Times New Roman" w:cs="Times New Roman"/>
        </w:rPr>
        <w:t>Cedefop</w:t>
      </w:r>
      <w:proofErr w:type="spellEnd"/>
      <w:r w:rsidRPr="001F6026">
        <w:rPr>
          <w:rFonts w:ascii="Times New Roman" w:hAnsi="Times New Roman" w:cs="Times New Roman"/>
        </w:rPr>
        <w:t xml:space="preserve"> privind </w:t>
      </w:r>
      <w:r w:rsidRPr="001F6026">
        <w:rPr>
          <w:rStyle w:val="afd"/>
          <w:rFonts w:ascii="Times New Roman" w:hAnsi="Times New Roman" w:cs="Times New Roman"/>
        </w:rPr>
        <w:t xml:space="preserve">European </w:t>
      </w:r>
      <w:proofErr w:type="spellStart"/>
      <w:r w:rsidRPr="001F6026">
        <w:rPr>
          <w:rStyle w:val="afd"/>
          <w:rFonts w:ascii="Times New Roman" w:hAnsi="Times New Roman" w:cs="Times New Roman"/>
        </w:rPr>
        <w:t>Qualifications</w:t>
      </w:r>
      <w:proofErr w:type="spellEnd"/>
      <w:r w:rsidRPr="001F6026">
        <w:rPr>
          <w:rStyle w:val="afd"/>
          <w:rFonts w:ascii="Times New Roman" w:hAnsi="Times New Roman" w:cs="Times New Roman"/>
        </w:rPr>
        <w:t xml:space="preserve"> Framework</w:t>
      </w:r>
      <w:r w:rsidRPr="001F6026">
        <w:rPr>
          <w:rFonts w:ascii="Times New Roman" w:hAnsi="Times New Roman" w:cs="Times New Roman"/>
        </w:rPr>
        <w:t xml:space="preserve"> (EQF), echivalentul este </w:t>
      </w:r>
      <w:r w:rsidRPr="001F6026">
        <w:rPr>
          <w:rStyle w:val="afd"/>
          <w:rFonts w:ascii="Times New Roman" w:hAnsi="Times New Roman" w:cs="Times New Roman"/>
        </w:rPr>
        <w:t>"</w:t>
      </w:r>
      <w:proofErr w:type="spellStart"/>
      <w:r w:rsidRPr="001F6026">
        <w:rPr>
          <w:rStyle w:val="afd"/>
          <w:rFonts w:ascii="Times New Roman" w:hAnsi="Times New Roman" w:cs="Times New Roman"/>
        </w:rPr>
        <w:t>certified</w:t>
      </w:r>
      <w:proofErr w:type="spellEnd"/>
      <w:r w:rsidRPr="001F6026">
        <w:rPr>
          <w:rStyle w:val="afd"/>
          <w:rFonts w:ascii="Times New Roman" w:hAnsi="Times New Roman" w:cs="Times New Roman"/>
        </w:rPr>
        <w:t xml:space="preserve"> </w:t>
      </w:r>
      <w:proofErr w:type="spellStart"/>
      <w:r w:rsidRPr="001F6026">
        <w:rPr>
          <w:rStyle w:val="afd"/>
          <w:rFonts w:ascii="Times New Roman" w:hAnsi="Times New Roman" w:cs="Times New Roman"/>
        </w:rPr>
        <w:t>qualification</w:t>
      </w:r>
      <w:proofErr w:type="spellEnd"/>
      <w:r w:rsidRPr="001F6026">
        <w:rPr>
          <w:rStyle w:val="afd"/>
          <w:rFonts w:ascii="Times New Roman" w:hAnsi="Times New Roman" w:cs="Times New Roman"/>
        </w:rPr>
        <w:t>"</w:t>
      </w:r>
      <w:r w:rsidRPr="001F6026">
        <w:rPr>
          <w:rFonts w:ascii="Times New Roman" w:hAnsi="Times New Roman" w:cs="Times New Roman"/>
        </w:rPr>
        <w:t xml:space="preserve"> sau </w:t>
      </w:r>
      <w:r w:rsidRPr="001F6026">
        <w:rPr>
          <w:rStyle w:val="afd"/>
          <w:rFonts w:ascii="Times New Roman" w:hAnsi="Times New Roman" w:cs="Times New Roman"/>
        </w:rPr>
        <w:t>"</w:t>
      </w:r>
      <w:proofErr w:type="spellStart"/>
      <w:r w:rsidRPr="001F6026">
        <w:rPr>
          <w:rStyle w:val="afd"/>
          <w:rFonts w:ascii="Times New Roman" w:hAnsi="Times New Roman" w:cs="Times New Roman"/>
        </w:rPr>
        <w:t>qualification</w:t>
      </w:r>
      <w:proofErr w:type="spellEnd"/>
      <w:r w:rsidRPr="001F6026">
        <w:rPr>
          <w:rStyle w:val="afd"/>
          <w:rFonts w:ascii="Times New Roman" w:hAnsi="Times New Roman" w:cs="Times New Roman"/>
        </w:rPr>
        <w:t xml:space="preserve"> </w:t>
      </w:r>
      <w:proofErr w:type="spellStart"/>
      <w:r w:rsidRPr="001F6026">
        <w:rPr>
          <w:rStyle w:val="afd"/>
          <w:rFonts w:ascii="Times New Roman" w:hAnsi="Times New Roman" w:cs="Times New Roman"/>
        </w:rPr>
        <w:t>awarded</w:t>
      </w:r>
      <w:proofErr w:type="spellEnd"/>
      <w:r w:rsidRPr="001F6026">
        <w:rPr>
          <w:rStyle w:val="afd"/>
          <w:rFonts w:ascii="Times New Roman" w:hAnsi="Times New Roman" w:cs="Times New Roman"/>
        </w:rPr>
        <w:t>"</w:t>
      </w:r>
      <w:r w:rsidRPr="001F6026">
        <w:rPr>
          <w:rFonts w:ascii="Times New Roman" w:hAnsi="Times New Roman" w:cs="Times New Roman"/>
        </w:rPr>
        <w:t>, adică o calificare obținută și confirmată oficial de o autoritate competentă.</w:t>
      </w:r>
    </w:p>
  </w:footnote>
  <w:footnote w:id="29">
    <w:p w14:paraId="3D136940" w14:textId="79B2076B" w:rsidR="00B81475" w:rsidRPr="001F6026" w:rsidRDefault="00B81475">
      <w:pPr>
        <w:pStyle w:val="afa"/>
      </w:pPr>
      <w:r w:rsidRPr="001F6026">
        <w:rPr>
          <w:rStyle w:val="afc"/>
        </w:rPr>
        <w:footnoteRef/>
      </w:r>
      <w:r w:rsidRPr="001F6026">
        <w:t xml:space="preserve"> Idem, art. 95–96; Hotărârea Guvernului nr. 330/2023 privind aprobarea CNC.</w:t>
      </w:r>
    </w:p>
  </w:footnote>
  <w:footnote w:id="30">
    <w:p w14:paraId="61DD3F83" w14:textId="77777777" w:rsidR="00B81475" w:rsidRPr="001F6026" w:rsidRDefault="00B81475" w:rsidP="00812E51">
      <w:pPr>
        <w:pStyle w:val="afa"/>
      </w:pPr>
      <w:r w:rsidRPr="001F6026">
        <w:rPr>
          <w:rStyle w:val="afc"/>
        </w:rPr>
        <w:footnoteRef/>
      </w:r>
      <w:r w:rsidRPr="001F6026">
        <w:t xml:space="preserve"> Ordinul MEC nr. 1020/2023 privind aplicarea ECTS în învățământul superior și educația continuă.</w:t>
      </w:r>
    </w:p>
  </w:footnote>
  <w:footnote w:id="31">
    <w:p w14:paraId="6F5D6A82" w14:textId="383BEF7F" w:rsidR="00B81475" w:rsidRPr="001F6026" w:rsidRDefault="00B81475">
      <w:pPr>
        <w:pStyle w:val="afa"/>
      </w:pPr>
      <w:r w:rsidRPr="001F6026">
        <w:rPr>
          <w:rStyle w:val="afc"/>
        </w:rPr>
        <w:footnoteRef/>
      </w:r>
      <w:r w:rsidRPr="001F6026">
        <w:t xml:space="preserve"> Standards and Guidelines for Quality Assurance in the European Higher Education Area (ESG 2015).</w:t>
      </w:r>
    </w:p>
  </w:footnote>
  <w:footnote w:id="32">
    <w:p w14:paraId="48095A34" w14:textId="30F5A958" w:rsidR="00B81475" w:rsidRPr="001F6026" w:rsidRDefault="00B81475">
      <w:pPr>
        <w:pStyle w:val="afa"/>
      </w:pPr>
      <w:r w:rsidRPr="001F6026">
        <w:rPr>
          <w:rStyle w:val="afc"/>
        </w:rPr>
        <w:footnoteRef/>
      </w:r>
      <w:r w:rsidRPr="001F6026">
        <w:t xml:space="preserve"> MEC, Raport privind internaționalizarea învățământului superior (2023); Torino Process, Moldova (2023).</w:t>
      </w:r>
    </w:p>
  </w:footnote>
  <w:footnote w:id="33">
    <w:p w14:paraId="5DEF1279" w14:textId="72ACB76F" w:rsidR="00B81475" w:rsidRPr="001F6026" w:rsidRDefault="00B81475" w:rsidP="00EA7268">
      <w:pPr>
        <w:spacing w:before="100" w:beforeAutospacing="1" w:after="100" w:afterAutospacing="1" w:line="240" w:lineRule="auto"/>
        <w:rPr>
          <w:rFonts w:ascii="Times New Roman" w:eastAsia="Times New Roman" w:hAnsi="Times New Roman" w:cs="Times New Roman"/>
          <w:kern w:val="0"/>
          <w:sz w:val="24"/>
          <w:szCs w:val="24"/>
          <w:lang w:eastAsia="ro-MD"/>
          <w14:ligatures w14:val="none"/>
        </w:rPr>
      </w:pPr>
      <w:r w:rsidRPr="001F6026">
        <w:rPr>
          <w:rStyle w:val="afc"/>
        </w:rPr>
        <w:footnoteRef/>
      </w:r>
      <w:r w:rsidRPr="001F6026">
        <w:t xml:space="preserve"> </w:t>
      </w:r>
      <w:r w:rsidRPr="001F6026">
        <w:rPr>
          <w:rFonts w:ascii="Times New Roman" w:eastAsia="Times New Roman" w:hAnsi="Times New Roman" w:cs="Times New Roman"/>
          <w:kern w:val="0"/>
          <w:sz w:val="20"/>
          <w:szCs w:val="20"/>
          <w:lang w:eastAsia="ro-MD"/>
          <w14:ligatures w14:val="none"/>
        </w:rPr>
        <w:t xml:space="preserve">Recomandarea Consiliului Uniunii Europene din 16 iunie 2022 privind un cadru european pentru micro-credentials pentru învățare pe tot parcursul vieții și angajabilitate (2022/C 243/02). Proiectul </w:t>
      </w:r>
      <w:r w:rsidRPr="001F6026">
        <w:rPr>
          <w:rFonts w:ascii="Times New Roman" w:eastAsia="Times New Roman" w:hAnsi="Times New Roman" w:cs="Times New Roman"/>
          <w:b/>
          <w:bCs/>
          <w:kern w:val="0"/>
          <w:sz w:val="20"/>
          <w:szCs w:val="20"/>
          <w:lang w:eastAsia="ro-MD"/>
          <w14:ligatures w14:val="none"/>
        </w:rPr>
        <w:t>MICROBOL</w:t>
      </w:r>
      <w:r w:rsidRPr="001F6026">
        <w:rPr>
          <w:rFonts w:ascii="Times New Roman" w:eastAsia="Times New Roman" w:hAnsi="Times New Roman" w:cs="Times New Roman"/>
          <w:kern w:val="0"/>
          <w:sz w:val="20"/>
          <w:szCs w:val="20"/>
          <w:lang w:eastAsia="ro-MD"/>
          <w14:ligatures w14:val="none"/>
        </w:rPr>
        <w:t xml:space="preserve"> („Micro-credentials linked to tÎS Bologna Key Commitments”), derulat în parteneriat cu țările Spațiului European al Învățământului Superior, sprijină integrarea microcalificărilor în cadrele naționale ale calificărilor și în procesele Bologna, cu accent pe asigurarea calității și recunoaștere internațională. Republica Moldova participă la activitățile de dialog și peer learning din cadrul acestui proiect.</w:t>
      </w:r>
    </w:p>
  </w:footnote>
  <w:footnote w:id="34">
    <w:p w14:paraId="4FAEFE48" w14:textId="594F29F6" w:rsidR="00B81475" w:rsidRPr="001F6026" w:rsidRDefault="00B81475">
      <w:pPr>
        <w:pStyle w:val="afa"/>
      </w:pPr>
      <w:r w:rsidRPr="001F6026">
        <w:rPr>
          <w:rStyle w:val="afc"/>
        </w:rPr>
        <w:footnoteRef/>
      </w:r>
      <w:r w:rsidRPr="001F6026">
        <w:t xml:space="preserve"> </w:t>
      </w:r>
      <w:r w:rsidRPr="001F6026">
        <w:rPr>
          <w:rFonts w:ascii="Times New Roman" w:eastAsia="Times New Roman" w:hAnsi="Times New Roman" w:cs="Times New Roman"/>
          <w:kern w:val="0"/>
          <w:lang w:eastAsia="ro-MD"/>
          <w14:ligatures w14:val="none"/>
        </w:rPr>
        <w:t>Deși Metodologia a fost adoptată înainte de HG nr. 330/2023, ea completează și sprijină aplicarea acestuia. Hotărârea stabilește cadrul juridic și principiile generale ale CNC, iar Metodologia detaliază pașii concreți prin care aceste principii sunt puse în practică. Cele două documente se completează reciproc: HG oferă direcția strategică, iar Metodologia asigură implementarea tehnică și procedurală.</w:t>
      </w:r>
    </w:p>
  </w:footnote>
  <w:footnote w:id="35">
    <w:p w14:paraId="3B8B1EFC" w14:textId="77777777" w:rsidR="00B81475" w:rsidRPr="00773400" w:rsidRDefault="00B81475" w:rsidP="00FC4462">
      <w:pPr>
        <w:pStyle w:val="afa"/>
      </w:pPr>
      <w:r w:rsidRPr="001F6026">
        <w:rPr>
          <w:rStyle w:val="afc"/>
        </w:rPr>
        <w:footnoteRef/>
      </w:r>
      <w:r w:rsidRPr="001F6026">
        <w:t xml:space="preserve"> Raport de activitate pentru anul 2024 (</w:t>
      </w:r>
      <w:hyperlink r:id="rId27" w:history="1">
        <w:r w:rsidRPr="001F6026">
          <w:rPr>
            <w:rStyle w:val="aff0"/>
          </w:rPr>
          <w:t>link</w:t>
        </w:r>
      </w:hyperlink>
      <w:r w:rsidRPr="001F6026">
        <w:t>)</w:t>
      </w:r>
    </w:p>
  </w:footnote>
  <w:footnote w:id="36">
    <w:p w14:paraId="493A7EA9" w14:textId="41B160BE" w:rsidR="00B81475" w:rsidRDefault="00B81475" w:rsidP="00191FAD">
      <w:pPr>
        <w:pStyle w:val="afa"/>
        <w:jc w:val="both"/>
      </w:pPr>
      <w:r>
        <w:rPr>
          <w:rStyle w:val="afc"/>
        </w:rPr>
        <w:footnoteRef/>
      </w:r>
      <w:r>
        <w:t xml:space="preserve"> </w:t>
      </w:r>
      <w:r w:rsidRPr="00CD7B51">
        <w:rPr>
          <w:rFonts w:ascii="Times New Roman" w:eastAsia="Times New Roman" w:hAnsi="Times New Roman" w:cs="Times New Roman"/>
          <w:kern w:val="0"/>
          <w:lang w:val="ro-MD" w:eastAsia="ro-MD"/>
          <w14:ligatures w14:val="none"/>
        </w:rPr>
        <w:t>Ghid metodologic pentru transpunerea competențelor profesionale în rezultate ale învățării</w:t>
      </w:r>
      <w:r>
        <w:rPr>
          <w:rFonts w:ascii="Times New Roman" w:eastAsia="Times New Roman" w:hAnsi="Times New Roman" w:cs="Times New Roman"/>
          <w:kern w:val="0"/>
          <w:lang w:val="ro-MD" w:eastAsia="ro-MD"/>
          <w14:ligatures w14:val="none"/>
        </w:rPr>
        <w:t>,</w:t>
      </w:r>
      <w:r w:rsidRPr="00980E7B">
        <w:rPr>
          <w:rFonts w:ascii="Times New Roman" w:eastAsia="Times New Roman" w:hAnsi="Times New Roman" w:cs="Times New Roman"/>
          <w:kern w:val="0"/>
          <w:sz w:val="24"/>
          <w:szCs w:val="24"/>
          <w:lang w:val="ro-MD" w:eastAsia="ro-MD"/>
          <w14:ligatures w14:val="none"/>
        </w:rPr>
        <w:t xml:space="preserve"> </w:t>
      </w:r>
      <w:r w:rsidRPr="00980E7B">
        <w:rPr>
          <w:rFonts w:ascii="Times New Roman" w:eastAsia="Times New Roman" w:hAnsi="Times New Roman" w:cs="Times New Roman"/>
          <w:kern w:val="0"/>
          <w:lang w:val="ro-MD" w:eastAsia="ro-MD"/>
          <w14:ligatures w14:val="none"/>
        </w:rPr>
        <w:t>aprobat prin Ordinul MEC nr. 236/2022</w:t>
      </w:r>
      <w:r>
        <w:rPr>
          <w:rFonts w:ascii="Times New Roman" w:eastAsia="Times New Roman" w:hAnsi="Times New Roman" w:cs="Times New Roman"/>
          <w:kern w:val="0"/>
          <w:lang w:val="ro-MD" w:eastAsia="ro-MD"/>
          <w14:ligatures w14:val="none"/>
        </w:rPr>
        <w:t xml:space="preserve"> (</w:t>
      </w:r>
      <w:hyperlink r:id="rId28" w:history="1">
        <w:r w:rsidRPr="00377613">
          <w:rPr>
            <w:rStyle w:val="aff0"/>
            <w:rFonts w:ascii="Times New Roman" w:eastAsia="Times New Roman" w:hAnsi="Times New Roman" w:cs="Times New Roman"/>
            <w:kern w:val="0"/>
            <w:lang w:val="ro-MD" w:eastAsia="ro-MD"/>
            <w14:ligatures w14:val="none"/>
          </w:rPr>
          <w:t>link</w:t>
        </w:r>
      </w:hyperlink>
      <w:r>
        <w:rPr>
          <w:rFonts w:ascii="Times New Roman" w:eastAsia="Times New Roman" w:hAnsi="Times New Roman" w:cs="Times New Roman"/>
          <w:kern w:val="0"/>
          <w:lang w:val="ro-MD" w:eastAsia="ro-MD"/>
          <w14:ligatures w14:val="none"/>
        </w:rPr>
        <w:t>)</w:t>
      </w:r>
    </w:p>
  </w:footnote>
  <w:footnote w:id="37">
    <w:p w14:paraId="1C142CF7" w14:textId="40102B36" w:rsidR="00B81475" w:rsidRDefault="00B81475">
      <w:pPr>
        <w:pStyle w:val="afa"/>
      </w:pPr>
      <w:r>
        <w:rPr>
          <w:rStyle w:val="afc"/>
        </w:rPr>
        <w:footnoteRef/>
      </w:r>
      <w:r>
        <w:t xml:space="preserve"> </w:t>
      </w:r>
      <w:r w:rsidRPr="00E6245A">
        <w:rPr>
          <w:rFonts w:ascii="Times New Roman" w:eastAsia="Times New Roman" w:hAnsi="Times New Roman" w:cs="Times New Roman"/>
          <w:kern w:val="0"/>
          <w:lang w:val="ro-MD" w:eastAsia="ro-MD"/>
          <w14:ligatures w14:val="none"/>
        </w:rPr>
        <w:t>Metodologia de elaborare, validare și aprobare a standardelor de calificare</w:t>
      </w:r>
      <w:r>
        <w:rPr>
          <w:rFonts w:ascii="Times New Roman" w:eastAsia="Times New Roman" w:hAnsi="Times New Roman" w:cs="Times New Roman"/>
          <w:kern w:val="0"/>
          <w:lang w:val="ro-MD" w:eastAsia="ro-MD"/>
          <w14:ligatures w14:val="none"/>
        </w:rPr>
        <w:t>, aprobată prin Ordinul MEC, nr. 573/2022 (</w:t>
      </w:r>
      <w:hyperlink r:id="rId29" w:history="1">
        <w:r w:rsidRPr="004F21BC">
          <w:rPr>
            <w:rStyle w:val="aff0"/>
            <w:rFonts w:ascii="Times New Roman" w:eastAsia="Times New Roman" w:hAnsi="Times New Roman" w:cs="Times New Roman"/>
            <w:kern w:val="0"/>
            <w:lang w:val="ro-MD" w:eastAsia="ro-MD"/>
            <w14:ligatures w14:val="none"/>
          </w:rPr>
          <w:t>link</w:t>
        </w:r>
      </w:hyperlink>
      <w:r>
        <w:rPr>
          <w:rFonts w:ascii="Times New Roman" w:eastAsia="Times New Roman" w:hAnsi="Times New Roman" w:cs="Times New Roman"/>
          <w:kern w:val="0"/>
          <w:lang w:val="ro-MD" w:eastAsia="ro-MD"/>
          <w14:ligatures w14:val="none"/>
        </w:rPr>
        <w:t>)</w:t>
      </w:r>
    </w:p>
  </w:footnote>
  <w:footnote w:id="38">
    <w:p w14:paraId="0E582955" w14:textId="5C8D0F48" w:rsidR="00B81475" w:rsidRPr="009112F0" w:rsidRDefault="00B81475" w:rsidP="00191FAD">
      <w:pPr>
        <w:pStyle w:val="afa"/>
        <w:jc w:val="both"/>
        <w:rPr>
          <w:lang w:val="ro-MD"/>
        </w:rPr>
      </w:pPr>
      <w:r>
        <w:rPr>
          <w:rStyle w:val="afc"/>
        </w:rPr>
        <w:footnoteRef/>
      </w:r>
      <w:r>
        <w:t xml:space="preserve"> </w:t>
      </w:r>
      <w:r w:rsidRPr="00F8673A">
        <w:rPr>
          <w:rFonts w:ascii="Times New Roman" w:eastAsia="Times New Roman" w:hAnsi="Times New Roman" w:cs="Times New Roman"/>
          <w:kern w:val="0"/>
          <w:lang w:val="ro-MD" w:eastAsia="ro-MD"/>
          <w14:ligatures w14:val="none"/>
        </w:rPr>
        <w:t>Standard ocupațional „Electrician – Electronist Auto”</w:t>
      </w:r>
      <w:r>
        <w:rPr>
          <w:rFonts w:ascii="Times New Roman" w:eastAsia="Times New Roman" w:hAnsi="Times New Roman" w:cs="Times New Roman"/>
          <w:kern w:val="0"/>
          <w:lang w:val="ro-MD" w:eastAsia="ro-MD"/>
          <w14:ligatures w14:val="none"/>
        </w:rPr>
        <w:t>, aprobat prin Ordinul ME, n</w:t>
      </w:r>
      <w:r w:rsidRPr="00042E0F">
        <w:rPr>
          <w:rFonts w:ascii="Times New Roman" w:eastAsia="Times New Roman" w:hAnsi="Times New Roman" w:cs="Times New Roman"/>
          <w:kern w:val="0"/>
          <w:lang w:val="ro-MD" w:eastAsia="ro-MD"/>
          <w14:ligatures w14:val="none"/>
        </w:rPr>
        <w:t>r. 128</w:t>
      </w:r>
      <w:r>
        <w:rPr>
          <w:rFonts w:ascii="Times New Roman" w:eastAsia="Times New Roman" w:hAnsi="Times New Roman" w:cs="Times New Roman"/>
          <w:kern w:val="0"/>
          <w:lang w:val="ro-MD" w:eastAsia="ro-MD"/>
          <w14:ligatures w14:val="none"/>
        </w:rPr>
        <w:t>/</w:t>
      </w:r>
      <w:r w:rsidRPr="00042E0F">
        <w:rPr>
          <w:rFonts w:ascii="Times New Roman" w:eastAsia="Times New Roman" w:hAnsi="Times New Roman" w:cs="Times New Roman"/>
          <w:kern w:val="0"/>
          <w:lang w:val="ro-MD" w:eastAsia="ro-MD"/>
          <w14:ligatures w14:val="none"/>
        </w:rPr>
        <w:t>2021</w:t>
      </w:r>
      <w:r>
        <w:rPr>
          <w:rFonts w:ascii="Times New Roman" w:eastAsia="Times New Roman" w:hAnsi="Times New Roman" w:cs="Times New Roman"/>
          <w:kern w:val="0"/>
          <w:lang w:val="ro-MD" w:eastAsia="ro-MD"/>
          <w14:ligatures w14:val="none"/>
        </w:rPr>
        <w:t xml:space="preserve"> (</w:t>
      </w:r>
      <w:hyperlink r:id="rId30" w:history="1">
        <w:r w:rsidRPr="001359CA">
          <w:rPr>
            <w:rStyle w:val="aff0"/>
            <w:rFonts w:ascii="Times New Roman" w:eastAsia="Times New Roman" w:hAnsi="Times New Roman" w:cs="Times New Roman"/>
            <w:kern w:val="0"/>
            <w:lang w:val="ro-MD" w:eastAsia="ro-MD"/>
            <w14:ligatures w14:val="none"/>
          </w:rPr>
          <w:t>link</w:t>
        </w:r>
      </w:hyperlink>
      <w:r>
        <w:rPr>
          <w:rFonts w:ascii="Times New Roman" w:eastAsia="Times New Roman" w:hAnsi="Times New Roman" w:cs="Times New Roman"/>
          <w:kern w:val="0"/>
          <w:lang w:val="ro-MD" w:eastAsia="ro-MD"/>
          <w14:ligatures w14:val="none"/>
        </w:rPr>
        <w:t>)</w:t>
      </w:r>
    </w:p>
  </w:footnote>
  <w:footnote w:id="39">
    <w:p w14:paraId="47D23CBB" w14:textId="6ACDDA5D" w:rsidR="00B81475" w:rsidRDefault="00B81475" w:rsidP="00191FAD">
      <w:pPr>
        <w:pStyle w:val="afa"/>
        <w:jc w:val="both"/>
      </w:pPr>
      <w:r>
        <w:rPr>
          <w:rStyle w:val="afc"/>
        </w:rPr>
        <w:footnoteRef/>
      </w:r>
      <w:r>
        <w:t xml:space="preserve"> </w:t>
      </w:r>
      <w:r w:rsidRPr="00F8673A">
        <w:rPr>
          <w:rFonts w:ascii="Times New Roman" w:eastAsia="Times New Roman" w:hAnsi="Times New Roman" w:cs="Times New Roman"/>
          <w:kern w:val="0"/>
          <w:lang w:val="ro-MD" w:eastAsia="ro-MD"/>
          <w14:ligatures w14:val="none"/>
        </w:rPr>
        <w:t xml:space="preserve">Standard </w:t>
      </w:r>
      <w:r>
        <w:rPr>
          <w:rFonts w:ascii="Times New Roman" w:eastAsia="Times New Roman" w:hAnsi="Times New Roman" w:cs="Times New Roman"/>
          <w:kern w:val="0"/>
          <w:lang w:val="ro-MD" w:eastAsia="ro-MD"/>
          <w14:ligatures w14:val="none"/>
        </w:rPr>
        <w:t>de calificare</w:t>
      </w:r>
      <w:r w:rsidRPr="00F8673A">
        <w:rPr>
          <w:rFonts w:ascii="Times New Roman" w:eastAsia="Times New Roman" w:hAnsi="Times New Roman" w:cs="Times New Roman"/>
          <w:kern w:val="0"/>
          <w:lang w:val="ro-MD" w:eastAsia="ro-MD"/>
          <w14:ligatures w14:val="none"/>
        </w:rPr>
        <w:t xml:space="preserve"> „Electrician – Electronist Auto”</w:t>
      </w:r>
      <w:r>
        <w:rPr>
          <w:rFonts w:ascii="Times New Roman" w:eastAsia="Times New Roman" w:hAnsi="Times New Roman" w:cs="Times New Roman"/>
          <w:kern w:val="0"/>
          <w:lang w:val="ro-MD" w:eastAsia="ro-MD"/>
          <w14:ligatures w14:val="none"/>
        </w:rPr>
        <w:t>,</w:t>
      </w:r>
      <w:r w:rsidRPr="006C5057">
        <w:rPr>
          <w:rFonts w:ascii="Times New Roman" w:eastAsia="Times New Roman" w:hAnsi="Times New Roman" w:cs="Times New Roman"/>
          <w:kern w:val="0"/>
          <w:lang w:val="ro-MD" w:eastAsia="ro-MD"/>
          <w14:ligatures w14:val="none"/>
        </w:rPr>
        <w:t xml:space="preserve"> </w:t>
      </w:r>
      <w:r>
        <w:rPr>
          <w:rFonts w:ascii="Times New Roman" w:eastAsia="Times New Roman" w:hAnsi="Times New Roman" w:cs="Times New Roman"/>
          <w:kern w:val="0"/>
          <w:lang w:val="ro-MD" w:eastAsia="ro-MD"/>
          <w14:ligatures w14:val="none"/>
        </w:rPr>
        <w:t>aprobat prin Ordinul MEC, nr. 1309/2023 (</w:t>
      </w:r>
      <w:hyperlink r:id="rId31" w:history="1">
        <w:r w:rsidRPr="009C647D">
          <w:rPr>
            <w:rStyle w:val="aff0"/>
            <w:rFonts w:ascii="Times New Roman" w:eastAsia="Times New Roman" w:hAnsi="Times New Roman" w:cs="Times New Roman"/>
            <w:kern w:val="0"/>
            <w:lang w:val="ro-MD" w:eastAsia="ro-MD"/>
            <w14:ligatures w14:val="none"/>
          </w:rPr>
          <w:t>link</w:t>
        </w:r>
      </w:hyperlink>
      <w:r>
        <w:rPr>
          <w:rFonts w:ascii="Times New Roman" w:eastAsia="Times New Roman" w:hAnsi="Times New Roman" w:cs="Times New Roman"/>
          <w:kern w:val="0"/>
          <w:lang w:val="ro-MD" w:eastAsia="ro-MD"/>
          <w14:ligatures w14:val="none"/>
        </w:rPr>
        <w:t>)</w:t>
      </w:r>
    </w:p>
  </w:footnote>
  <w:footnote w:id="40">
    <w:p w14:paraId="1FE3197C" w14:textId="6C5C1370" w:rsidR="00B81475" w:rsidRDefault="00B81475">
      <w:pPr>
        <w:pStyle w:val="afa"/>
      </w:pPr>
      <w:r>
        <w:rPr>
          <w:rStyle w:val="afc"/>
        </w:rPr>
        <w:footnoteRef/>
      </w:r>
      <w:r>
        <w:t xml:space="preserve"> </w:t>
      </w:r>
      <w:r w:rsidRPr="004A082A">
        <w:rPr>
          <w:rFonts w:ascii="Times New Roman" w:eastAsia="Times New Roman" w:hAnsi="Times New Roman" w:cs="Times New Roman"/>
          <w:kern w:val="0"/>
          <w:lang w:val="ro-MD" w:eastAsia="ro-MD"/>
          <w14:ligatures w14:val="none"/>
        </w:rPr>
        <w:t>Curriculum modular</w:t>
      </w:r>
      <w:r>
        <w:rPr>
          <w:rFonts w:ascii="Times New Roman" w:eastAsia="Times New Roman" w:hAnsi="Times New Roman" w:cs="Times New Roman"/>
          <w:kern w:val="0"/>
          <w:lang w:val="ro-MD" w:eastAsia="ro-MD"/>
          <w14:ligatures w14:val="none"/>
        </w:rPr>
        <w:t xml:space="preserve"> pentru pregătirea profesională la calificarea </w:t>
      </w:r>
      <w:r w:rsidRPr="00F8673A">
        <w:rPr>
          <w:rFonts w:ascii="Times New Roman" w:eastAsia="Times New Roman" w:hAnsi="Times New Roman" w:cs="Times New Roman"/>
          <w:kern w:val="0"/>
          <w:lang w:val="ro-MD" w:eastAsia="ro-MD"/>
          <w14:ligatures w14:val="none"/>
        </w:rPr>
        <w:t>Electrician – Electronist Auto</w:t>
      </w:r>
      <w:r>
        <w:rPr>
          <w:rFonts w:ascii="Times New Roman" w:eastAsia="Times New Roman" w:hAnsi="Times New Roman" w:cs="Times New Roman"/>
          <w:kern w:val="0"/>
          <w:lang w:val="ro-MD" w:eastAsia="ro-MD"/>
          <w14:ligatures w14:val="none"/>
        </w:rPr>
        <w:t>, aprobat prin Ordinul MEC, nr. 1360/2023 (</w:t>
      </w:r>
      <w:hyperlink r:id="rId32" w:history="1">
        <w:r w:rsidRPr="00552753">
          <w:rPr>
            <w:rStyle w:val="aff0"/>
            <w:rFonts w:ascii="Times New Roman" w:eastAsia="Times New Roman" w:hAnsi="Times New Roman" w:cs="Times New Roman"/>
            <w:kern w:val="0"/>
            <w:lang w:val="ro-MD" w:eastAsia="ro-MD"/>
            <w14:ligatures w14:val="none"/>
          </w:rPr>
          <w:t>link</w:t>
        </w:r>
      </w:hyperlink>
      <w:r>
        <w:rPr>
          <w:rFonts w:ascii="Times New Roman" w:eastAsia="Times New Roman" w:hAnsi="Times New Roman" w:cs="Times New Roman"/>
          <w:kern w:val="0"/>
          <w:lang w:val="ro-MD" w:eastAsia="ro-MD"/>
          <w14:ligatures w14:val="none"/>
        </w:rPr>
        <w:t>)</w:t>
      </w:r>
    </w:p>
  </w:footnote>
  <w:footnote w:id="41">
    <w:p w14:paraId="7ACAFDF0" w14:textId="51F2E357" w:rsidR="00B81475" w:rsidRPr="009032C4" w:rsidRDefault="00B81475" w:rsidP="007607D8">
      <w:pPr>
        <w:pStyle w:val="afa"/>
        <w:jc w:val="both"/>
        <w:rPr>
          <w:rFonts w:ascii="Times New Roman" w:hAnsi="Times New Roman" w:cs="Times New Roman"/>
        </w:rPr>
      </w:pPr>
      <w:r>
        <w:rPr>
          <w:rStyle w:val="afc"/>
        </w:rPr>
        <w:footnoteRef/>
      </w:r>
      <w:r>
        <w:t xml:space="preserve"> </w:t>
      </w:r>
      <w:r w:rsidRPr="009032C4">
        <w:rPr>
          <w:rFonts w:ascii="Times New Roman" w:hAnsi="Times New Roman" w:cs="Times New Roman"/>
        </w:rPr>
        <w:t>Cadrul de referință al Curriculumului pentru învățământul profesional tehnic, aprobat prin Ordinul MEC nr. 1652/2024 (</w:t>
      </w:r>
      <w:hyperlink r:id="rId33" w:history="1">
        <w:r w:rsidRPr="009032C4">
          <w:rPr>
            <w:rStyle w:val="aff0"/>
            <w:rFonts w:ascii="Times New Roman" w:hAnsi="Times New Roman" w:cs="Times New Roman"/>
          </w:rPr>
          <w:t>link</w:t>
        </w:r>
      </w:hyperlink>
      <w:r w:rsidRPr="009032C4">
        <w:rPr>
          <w:rFonts w:ascii="Times New Roman" w:hAnsi="Times New Roman" w:cs="Times New Roman"/>
        </w:rPr>
        <w:t>)</w:t>
      </w:r>
    </w:p>
  </w:footnote>
  <w:footnote w:id="42">
    <w:p w14:paraId="39E40828" w14:textId="3A277DBE" w:rsidR="00B81475" w:rsidRPr="009032C4" w:rsidRDefault="00B81475" w:rsidP="007607D8">
      <w:pPr>
        <w:pStyle w:val="afa"/>
        <w:jc w:val="both"/>
        <w:rPr>
          <w:rFonts w:ascii="Times New Roman" w:hAnsi="Times New Roman" w:cs="Times New Roman"/>
        </w:rPr>
      </w:pPr>
      <w:r w:rsidRPr="009032C4">
        <w:rPr>
          <w:rStyle w:val="afc"/>
          <w:rFonts w:ascii="Times New Roman" w:hAnsi="Times New Roman" w:cs="Times New Roman"/>
        </w:rPr>
        <w:footnoteRef/>
      </w:r>
      <w:r w:rsidRPr="009032C4">
        <w:rPr>
          <w:rFonts w:ascii="Times New Roman" w:hAnsi="Times New Roman" w:cs="Times New Roman"/>
        </w:rPr>
        <w:t xml:space="preserve"> </w:t>
      </w:r>
      <w:r w:rsidRPr="007607D8">
        <w:rPr>
          <w:rFonts w:ascii="Times New Roman" w:eastAsia="Times New Roman" w:hAnsi="Times New Roman" w:cs="Times New Roman"/>
          <w:kern w:val="0"/>
          <w:lang w:val="ro-MD" w:eastAsia="ro-MD"/>
          <w14:ligatures w14:val="none"/>
        </w:rPr>
        <w:t xml:space="preserve">Ghidul metodologic de elaborare a curriculumului pentru </w:t>
      </w:r>
      <w:r w:rsidRPr="009032C4">
        <w:rPr>
          <w:rFonts w:ascii="Times New Roman" w:hAnsi="Times New Roman" w:cs="Times New Roman"/>
        </w:rPr>
        <w:t>învățământul profesional tehnic</w:t>
      </w:r>
      <w:r>
        <w:rPr>
          <w:rFonts w:ascii="Times New Roman" w:eastAsia="Times New Roman" w:hAnsi="Times New Roman" w:cs="Times New Roman"/>
          <w:kern w:val="0"/>
          <w:lang w:val="ro-MD" w:eastAsia="ro-MD"/>
          <w14:ligatures w14:val="none"/>
        </w:rPr>
        <w:t xml:space="preserve">, </w:t>
      </w:r>
      <w:r w:rsidRPr="009032C4">
        <w:rPr>
          <w:rFonts w:ascii="Times New Roman" w:hAnsi="Times New Roman" w:cs="Times New Roman"/>
        </w:rPr>
        <w:t>aprobat prin Ordinul MEC nr. 1652/2024</w:t>
      </w:r>
      <w:r>
        <w:rPr>
          <w:rFonts w:ascii="Times New Roman" w:hAnsi="Times New Roman" w:cs="Times New Roman"/>
        </w:rPr>
        <w:t xml:space="preserve"> (</w:t>
      </w:r>
      <w:hyperlink r:id="rId34" w:history="1">
        <w:r w:rsidRPr="00A21063">
          <w:rPr>
            <w:rStyle w:val="aff0"/>
            <w:rFonts w:ascii="Times New Roman" w:hAnsi="Times New Roman" w:cs="Times New Roman"/>
          </w:rPr>
          <w:t>link</w:t>
        </w:r>
      </w:hyperlink>
      <w:r>
        <w:rPr>
          <w:rFonts w:ascii="Times New Roman" w:hAnsi="Times New Roman" w:cs="Times New Roman"/>
        </w:rPr>
        <w:t>)</w:t>
      </w:r>
    </w:p>
  </w:footnote>
  <w:footnote w:id="43">
    <w:p w14:paraId="096B4489" w14:textId="12FB1050" w:rsidR="00B81475" w:rsidRDefault="00B81475">
      <w:pPr>
        <w:pStyle w:val="afa"/>
      </w:pPr>
      <w:r>
        <w:rPr>
          <w:rStyle w:val="afc"/>
        </w:rPr>
        <w:footnoteRef/>
      </w:r>
      <w:r>
        <w:t xml:space="preserve"> </w:t>
      </w:r>
      <w:r w:rsidRPr="00017039">
        <w:rPr>
          <w:rFonts w:ascii="Times New Roman" w:eastAsia="Times New Roman" w:hAnsi="Times New Roman" w:cs="Times New Roman"/>
          <w:kern w:val="0"/>
          <w:lang w:val="ro-MD" w:eastAsia="ro-MD"/>
          <w14:ligatures w14:val="none"/>
        </w:rPr>
        <w:t>Metodologiei de elaborare a programelor de formare profesională a adulților și a curriculumului în cadrul învățării pe tot parcursul vieții</w:t>
      </w:r>
      <w:r>
        <w:rPr>
          <w:rFonts w:ascii="Times New Roman" w:eastAsia="Times New Roman" w:hAnsi="Times New Roman" w:cs="Times New Roman"/>
          <w:kern w:val="0"/>
          <w:lang w:val="ro-MD" w:eastAsia="ro-MD"/>
          <w14:ligatures w14:val="none"/>
        </w:rPr>
        <w:t xml:space="preserve">, </w:t>
      </w:r>
      <w:r w:rsidRPr="009032C4">
        <w:rPr>
          <w:rFonts w:ascii="Times New Roman" w:hAnsi="Times New Roman" w:cs="Times New Roman"/>
        </w:rPr>
        <w:t>aprobat prin Ordinul MEC nr</w:t>
      </w:r>
      <w:r w:rsidRPr="00432969">
        <w:rPr>
          <w:rFonts w:ascii="Times New Roman" w:hAnsi="Times New Roman" w:cs="Times New Roman"/>
        </w:rPr>
        <w:t>.</w:t>
      </w:r>
      <w:r w:rsidRPr="00432969">
        <w:rPr>
          <w:rStyle w:val="af9"/>
          <w:rFonts w:ascii="Times New Roman" w:hAnsi="Times New Roman" w:cs="Times New Roman"/>
          <w:b w:val="0"/>
          <w:bCs w:val="0"/>
        </w:rPr>
        <w:t xml:space="preserve"> 785/2024</w:t>
      </w:r>
      <w:r>
        <w:rPr>
          <w:rStyle w:val="af9"/>
          <w:rFonts w:ascii="Times New Roman" w:hAnsi="Times New Roman" w:cs="Times New Roman"/>
          <w:b w:val="0"/>
          <w:bCs w:val="0"/>
        </w:rPr>
        <w:t xml:space="preserve"> (</w:t>
      </w:r>
      <w:hyperlink r:id="rId35" w:history="1">
        <w:r w:rsidRPr="00432969">
          <w:rPr>
            <w:rStyle w:val="aff0"/>
            <w:rFonts w:ascii="Times New Roman" w:hAnsi="Times New Roman" w:cs="Times New Roman"/>
          </w:rPr>
          <w:t>link</w:t>
        </w:r>
      </w:hyperlink>
      <w:r>
        <w:rPr>
          <w:rStyle w:val="af9"/>
          <w:rFonts w:ascii="Times New Roman" w:hAnsi="Times New Roman" w:cs="Times New Roman"/>
          <w:b w:val="0"/>
          <w:bCs w:val="0"/>
        </w:rPr>
        <w:t>)</w:t>
      </w:r>
    </w:p>
  </w:footnote>
  <w:footnote w:id="44">
    <w:p w14:paraId="1AFCC943" w14:textId="021A3194" w:rsidR="00B81475" w:rsidRPr="009032C4" w:rsidRDefault="00B81475" w:rsidP="007607D8">
      <w:pPr>
        <w:pStyle w:val="afa"/>
        <w:jc w:val="both"/>
        <w:rPr>
          <w:rFonts w:ascii="Times New Roman" w:hAnsi="Times New Roman" w:cs="Times New Roman"/>
        </w:rPr>
      </w:pPr>
      <w:r w:rsidRPr="009032C4">
        <w:rPr>
          <w:rStyle w:val="afc"/>
          <w:rFonts w:ascii="Times New Roman" w:hAnsi="Times New Roman" w:cs="Times New Roman"/>
        </w:rPr>
        <w:footnoteRef/>
      </w:r>
      <w:r w:rsidRPr="009032C4">
        <w:rPr>
          <w:rFonts w:ascii="Times New Roman" w:hAnsi="Times New Roman" w:cs="Times New Roman"/>
        </w:rPr>
        <w:t xml:space="preserve"> (1)Ghid de evaluare externă a programelor de studii superioare de licență (ciclul I) și studii superioare integrate, aprobat prin Decizia nr. 8/2025 a Consiliul de conducere al ANACEC (</w:t>
      </w:r>
      <w:hyperlink r:id="rId36" w:history="1">
        <w:r w:rsidRPr="009032C4">
          <w:rPr>
            <w:rStyle w:val="aff0"/>
            <w:rFonts w:ascii="Times New Roman" w:hAnsi="Times New Roman" w:cs="Times New Roman"/>
          </w:rPr>
          <w:t>link</w:t>
        </w:r>
      </w:hyperlink>
      <w:r w:rsidRPr="009032C4">
        <w:rPr>
          <w:rFonts w:ascii="Times New Roman" w:hAnsi="Times New Roman" w:cs="Times New Roman"/>
        </w:rPr>
        <w:t>);</w:t>
      </w:r>
    </w:p>
    <w:p w14:paraId="1B84DFC4" w14:textId="30343D52" w:rsidR="00B81475" w:rsidRDefault="00B81475">
      <w:pPr>
        <w:pStyle w:val="afa"/>
        <w:rPr>
          <w:rFonts w:ascii="Times New Roman" w:hAnsi="Times New Roman" w:cs="Times New Roman"/>
        </w:rPr>
      </w:pPr>
      <w:r>
        <w:rPr>
          <w:rFonts w:ascii="Times New Roman" w:hAnsi="Times New Roman" w:cs="Times New Roman"/>
        </w:rPr>
        <w:t>(2) G</w:t>
      </w:r>
      <w:r w:rsidRPr="002313E8">
        <w:rPr>
          <w:rFonts w:ascii="Times New Roman" w:hAnsi="Times New Roman" w:cs="Times New Roman"/>
        </w:rPr>
        <w:t>hid de evaluare externă a programelor de studii superioare de master (ciclul II)</w:t>
      </w:r>
      <w:r>
        <w:rPr>
          <w:rFonts w:ascii="Times New Roman" w:hAnsi="Times New Roman" w:cs="Times New Roman"/>
        </w:rPr>
        <w:t xml:space="preserve">, aprobat prin Decizia </w:t>
      </w:r>
      <w:r w:rsidRPr="003A476B">
        <w:rPr>
          <w:rFonts w:ascii="Times New Roman" w:hAnsi="Times New Roman" w:cs="Times New Roman"/>
        </w:rPr>
        <w:t>nr. 8/2025 a Consiliul de conducere al ANACEC</w:t>
      </w:r>
      <w:r>
        <w:rPr>
          <w:rFonts w:ascii="Times New Roman" w:hAnsi="Times New Roman" w:cs="Times New Roman"/>
        </w:rPr>
        <w:t xml:space="preserve"> (</w:t>
      </w:r>
      <w:hyperlink r:id="rId37" w:history="1">
        <w:r w:rsidRPr="00985E0C">
          <w:rPr>
            <w:rStyle w:val="aff0"/>
            <w:rFonts w:ascii="Times New Roman" w:hAnsi="Times New Roman" w:cs="Times New Roman"/>
          </w:rPr>
          <w:t>link</w:t>
        </w:r>
      </w:hyperlink>
      <w:r>
        <w:rPr>
          <w:rFonts w:ascii="Times New Roman" w:hAnsi="Times New Roman" w:cs="Times New Roman"/>
        </w:rPr>
        <w:t>)</w:t>
      </w:r>
    </w:p>
    <w:p w14:paraId="12DC619F" w14:textId="3B97E800" w:rsidR="00B81475" w:rsidRDefault="00B81475" w:rsidP="0084069D">
      <w:pPr>
        <w:pStyle w:val="afa"/>
        <w:rPr>
          <w:rFonts w:ascii="Times New Roman" w:hAnsi="Times New Roman" w:cs="Times New Roman"/>
        </w:rPr>
      </w:pPr>
      <w:r>
        <w:rPr>
          <w:rFonts w:ascii="Times New Roman" w:hAnsi="Times New Roman" w:cs="Times New Roman"/>
        </w:rPr>
        <w:t xml:space="preserve">(3) </w:t>
      </w:r>
      <w:r w:rsidRPr="006B7645">
        <w:rPr>
          <w:rFonts w:ascii="Times New Roman" w:hAnsi="Times New Roman" w:cs="Times New Roman"/>
        </w:rPr>
        <w:t>Ghid de evaluare externă a programelor de formare profesională în învățământul profesional tehnic (ediția a 3-a)</w:t>
      </w:r>
      <w:r>
        <w:rPr>
          <w:rFonts w:ascii="Times New Roman" w:hAnsi="Times New Roman" w:cs="Times New Roman"/>
        </w:rPr>
        <w:t>,</w:t>
      </w:r>
      <w:r w:rsidRPr="006B7645">
        <w:rPr>
          <w:rFonts w:ascii="Times New Roman" w:hAnsi="Times New Roman" w:cs="Times New Roman"/>
        </w:rPr>
        <w:t xml:space="preserve"> </w:t>
      </w:r>
      <w:r>
        <w:rPr>
          <w:rFonts w:ascii="Times New Roman" w:hAnsi="Times New Roman" w:cs="Times New Roman"/>
        </w:rPr>
        <w:t xml:space="preserve">aprobat prin Decizia </w:t>
      </w:r>
      <w:r w:rsidRPr="003A476B">
        <w:rPr>
          <w:rFonts w:ascii="Times New Roman" w:hAnsi="Times New Roman" w:cs="Times New Roman"/>
        </w:rPr>
        <w:t xml:space="preserve">nr. </w:t>
      </w:r>
      <w:r>
        <w:rPr>
          <w:rFonts w:ascii="Times New Roman" w:hAnsi="Times New Roman" w:cs="Times New Roman"/>
        </w:rPr>
        <w:t>29</w:t>
      </w:r>
      <w:r w:rsidRPr="003A476B">
        <w:rPr>
          <w:rFonts w:ascii="Times New Roman" w:hAnsi="Times New Roman" w:cs="Times New Roman"/>
        </w:rPr>
        <w:t>/2025 a Consiliul de conducere al ANACEC</w:t>
      </w:r>
      <w:r>
        <w:rPr>
          <w:rFonts w:ascii="Times New Roman" w:hAnsi="Times New Roman" w:cs="Times New Roman"/>
        </w:rPr>
        <w:t xml:space="preserve"> (</w:t>
      </w:r>
      <w:hyperlink r:id="rId38" w:history="1">
        <w:r w:rsidRPr="00057CA6">
          <w:rPr>
            <w:rStyle w:val="aff0"/>
            <w:rFonts w:ascii="Times New Roman" w:hAnsi="Times New Roman" w:cs="Times New Roman"/>
          </w:rPr>
          <w:t>link</w:t>
        </w:r>
      </w:hyperlink>
      <w:r>
        <w:rPr>
          <w:rFonts w:ascii="Times New Roman" w:hAnsi="Times New Roman" w:cs="Times New Roman"/>
        </w:rPr>
        <w:t>)</w:t>
      </w:r>
    </w:p>
    <w:p w14:paraId="78DC2100" w14:textId="7D9258AF" w:rsidR="00B81475" w:rsidRDefault="00B81475" w:rsidP="00FB5B19">
      <w:pPr>
        <w:pStyle w:val="afa"/>
      </w:pPr>
      <w:r>
        <w:rPr>
          <w:rFonts w:ascii="Times New Roman" w:hAnsi="Times New Roman" w:cs="Times New Roman"/>
        </w:rPr>
        <w:t xml:space="preserve">(4) </w:t>
      </w:r>
      <w:r w:rsidRPr="00FB5B19">
        <w:rPr>
          <w:rFonts w:ascii="Times New Roman" w:hAnsi="Times New Roman" w:cs="Times New Roman"/>
        </w:rPr>
        <w:t>Ghid de evaluare externă a programelor de formare profesională a adulților</w:t>
      </w:r>
      <w:r>
        <w:rPr>
          <w:rFonts w:ascii="Times New Roman" w:hAnsi="Times New Roman" w:cs="Times New Roman"/>
        </w:rPr>
        <w:t xml:space="preserve">, aprobat prin Decizia </w:t>
      </w:r>
      <w:r w:rsidRPr="003A476B">
        <w:rPr>
          <w:rFonts w:ascii="Times New Roman" w:hAnsi="Times New Roman" w:cs="Times New Roman"/>
        </w:rPr>
        <w:t xml:space="preserve">nr. </w:t>
      </w:r>
      <w:r>
        <w:rPr>
          <w:rFonts w:ascii="Times New Roman" w:hAnsi="Times New Roman" w:cs="Times New Roman"/>
        </w:rPr>
        <w:t>29</w:t>
      </w:r>
      <w:r w:rsidRPr="003A476B">
        <w:rPr>
          <w:rFonts w:ascii="Times New Roman" w:hAnsi="Times New Roman" w:cs="Times New Roman"/>
        </w:rPr>
        <w:t>/2025 a Consiliul de conducere al ANACEC</w:t>
      </w:r>
      <w:r>
        <w:rPr>
          <w:rFonts w:ascii="Times New Roman" w:hAnsi="Times New Roman" w:cs="Times New Roman"/>
        </w:rPr>
        <w:t xml:space="preserve"> (</w:t>
      </w:r>
      <w:hyperlink r:id="rId39" w:history="1">
        <w:r w:rsidRPr="003C3783">
          <w:rPr>
            <w:rStyle w:val="aff0"/>
            <w:rFonts w:ascii="Times New Roman" w:hAnsi="Times New Roman" w:cs="Times New Roman"/>
          </w:rPr>
          <w:t>link</w:t>
        </w:r>
      </w:hyperlink>
      <w:r>
        <w:rPr>
          <w:rFonts w:ascii="Times New Roman" w:hAnsi="Times New Roman" w:cs="Times New Roman"/>
        </w:rPr>
        <w:t>)</w:t>
      </w:r>
    </w:p>
  </w:footnote>
  <w:footnote w:id="45">
    <w:p w14:paraId="340EA96F" w14:textId="77777777" w:rsidR="00B81475" w:rsidRPr="00404FC6" w:rsidRDefault="00B81475" w:rsidP="00A446E3">
      <w:pPr>
        <w:pStyle w:val="afa"/>
        <w:rPr>
          <w:rFonts w:ascii="Times New Roman" w:hAnsi="Times New Roman" w:cs="Times New Roman"/>
        </w:rPr>
      </w:pPr>
      <w:r>
        <w:rPr>
          <w:rStyle w:val="afc"/>
        </w:rPr>
        <w:footnoteRef/>
      </w:r>
      <w:r>
        <w:t xml:space="preserve"> </w:t>
      </w:r>
      <w:r w:rsidRPr="00DF1539">
        <w:rPr>
          <w:rFonts w:ascii="Times New Roman" w:hAnsi="Times New Roman" w:cs="Times New Roman"/>
        </w:rPr>
        <w:t xml:space="preserve">Ghidul de implementare a Sistemului de Credite de Studii în învățământul mediu de specialitate, </w:t>
      </w:r>
      <w:r w:rsidRPr="00DF1539">
        <w:rPr>
          <w:rStyle w:val="af9"/>
          <w:rFonts w:ascii="Times New Roman" w:hAnsi="Times New Roman" w:cs="Times New Roman"/>
          <w:b w:val="0"/>
          <w:bCs w:val="0"/>
        </w:rPr>
        <w:t>Ordinul ME nr. 811/2014</w:t>
      </w:r>
      <w:r>
        <w:rPr>
          <w:rStyle w:val="af9"/>
          <w:rFonts w:ascii="Times New Roman" w:hAnsi="Times New Roman" w:cs="Times New Roman"/>
          <w:b w:val="0"/>
          <w:bCs w:val="0"/>
        </w:rPr>
        <w:t xml:space="preserve"> (</w:t>
      </w:r>
      <w:hyperlink r:id="rId40" w:history="1">
        <w:r w:rsidRPr="0063113D">
          <w:rPr>
            <w:rStyle w:val="aff0"/>
            <w:rFonts w:ascii="Times New Roman" w:hAnsi="Times New Roman" w:cs="Times New Roman"/>
          </w:rPr>
          <w:t>link</w:t>
        </w:r>
      </w:hyperlink>
      <w:r>
        <w:rPr>
          <w:rStyle w:val="af9"/>
          <w:rFonts w:ascii="Times New Roman" w:hAnsi="Times New Roman" w:cs="Times New Roman"/>
          <w:b w:val="0"/>
          <w:bCs w:val="0"/>
        </w:rPr>
        <w:t>)</w:t>
      </w:r>
    </w:p>
  </w:footnote>
  <w:footnote w:id="46">
    <w:p w14:paraId="37AAC607" w14:textId="31D39D04" w:rsidR="00B81475" w:rsidRDefault="00B81475">
      <w:pPr>
        <w:pStyle w:val="afa"/>
      </w:pPr>
      <w:r w:rsidRPr="00404FC6">
        <w:rPr>
          <w:rStyle w:val="afc"/>
          <w:rFonts w:ascii="Times New Roman" w:hAnsi="Times New Roman" w:cs="Times New Roman"/>
        </w:rPr>
        <w:footnoteRef/>
      </w:r>
      <w:r w:rsidRPr="00404FC6">
        <w:rPr>
          <w:rFonts w:ascii="Times New Roman" w:hAnsi="Times New Roman" w:cs="Times New Roman"/>
        </w:rPr>
        <w:t xml:space="preserve"> Regulamentul de organizare a studiilor în învățământul profesional tehnic postsecundar și postsecundar nonterțiar în baza Sistemului de Credite de Studii Transferabile, aprobat prin Ordinul MEC nr. 234/2016 (</w:t>
      </w:r>
      <w:hyperlink r:id="rId41" w:history="1">
        <w:r w:rsidRPr="00404FC6">
          <w:rPr>
            <w:rStyle w:val="aff0"/>
            <w:rFonts w:ascii="Times New Roman" w:hAnsi="Times New Roman" w:cs="Times New Roman"/>
          </w:rPr>
          <w:t>link</w:t>
        </w:r>
      </w:hyperlink>
      <w:r w:rsidRPr="00404FC6">
        <w:rPr>
          <w:rFonts w:ascii="Times New Roman" w:hAnsi="Times New Roman" w:cs="Times New Roman"/>
        </w:rPr>
        <w:t>)</w:t>
      </w:r>
    </w:p>
  </w:footnote>
  <w:footnote w:id="47">
    <w:p w14:paraId="35487ED1" w14:textId="104601C7" w:rsidR="00B81475" w:rsidRDefault="00B81475">
      <w:pPr>
        <w:pStyle w:val="afa"/>
      </w:pPr>
      <w:r>
        <w:rPr>
          <w:rStyle w:val="afc"/>
        </w:rPr>
        <w:footnoteRef/>
      </w:r>
      <w:r>
        <w:t xml:space="preserve"> </w:t>
      </w:r>
      <w:r w:rsidRPr="009D79C6">
        <w:rPr>
          <w:rFonts w:ascii="Times New Roman" w:hAnsi="Times New Roman" w:cs="Times New Roman"/>
        </w:rPr>
        <w:t>Regulamentului privind aplicarea Sistemului European de Credite Transferabile (ECTS</w:t>
      </w:r>
      <w:r w:rsidRPr="000914C3">
        <w:rPr>
          <w:rFonts w:ascii="Times New Roman" w:hAnsi="Times New Roman" w:cs="Times New Roman"/>
        </w:rPr>
        <w:t>)</w:t>
      </w:r>
      <w:r w:rsidRPr="000914C3">
        <w:rPr>
          <w:rStyle w:val="af9"/>
          <w:rFonts w:ascii="Times New Roman" w:hAnsi="Times New Roman" w:cs="Times New Roman"/>
          <w:b w:val="0"/>
          <w:bCs w:val="0"/>
        </w:rPr>
        <w:t xml:space="preserve"> în cadrul programelor de formare profesională continuă</w:t>
      </w:r>
      <w:r w:rsidRPr="000914C3">
        <w:rPr>
          <w:rFonts w:ascii="Times New Roman" w:hAnsi="Times New Roman" w:cs="Times New Roman"/>
        </w:rPr>
        <w:t xml:space="preserve">, aprobat </w:t>
      </w:r>
      <w:r w:rsidRPr="009D79C6">
        <w:rPr>
          <w:rFonts w:ascii="Times New Roman" w:hAnsi="Times New Roman" w:cs="Times New Roman"/>
        </w:rPr>
        <w:t>prin Ordinul MEC nr. 1020/2023 (</w:t>
      </w:r>
      <w:hyperlink r:id="rId42" w:history="1">
        <w:r w:rsidRPr="009D79C6">
          <w:rPr>
            <w:rStyle w:val="aff0"/>
            <w:rFonts w:ascii="Times New Roman" w:hAnsi="Times New Roman" w:cs="Times New Roman"/>
          </w:rPr>
          <w:t>link</w:t>
        </w:r>
      </w:hyperlink>
      <w:r w:rsidRPr="009D79C6">
        <w:rPr>
          <w:rFonts w:ascii="Times New Roman" w:hAnsi="Times New Roman" w:cs="Times New Roman"/>
        </w:rPr>
        <w:t>)</w:t>
      </w:r>
    </w:p>
  </w:footnote>
  <w:footnote w:id="48">
    <w:p w14:paraId="14A3DB1D" w14:textId="449D2100" w:rsidR="00B81475" w:rsidRDefault="00B81475">
      <w:pPr>
        <w:pStyle w:val="afa"/>
      </w:pPr>
      <w:r>
        <w:rPr>
          <w:rStyle w:val="afc"/>
        </w:rPr>
        <w:footnoteRef/>
      </w:r>
      <w:r>
        <w:t xml:space="preserve"> </w:t>
      </w:r>
      <w:r w:rsidRPr="0028332D">
        <w:rPr>
          <w:rFonts w:ascii="Times New Roman" w:eastAsia="Times New Roman" w:hAnsi="Times New Roman" w:cs="Times New Roman"/>
          <w:kern w:val="0"/>
          <w:lang w:val="ro-MD" w:eastAsia="ro-MD"/>
          <w14:ligatures w14:val="none"/>
        </w:rPr>
        <w:t xml:space="preserve">Regulamentul </w:t>
      </w:r>
      <w:r w:rsidRPr="002E1702">
        <w:rPr>
          <w:rFonts w:ascii="Times New Roman" w:eastAsia="Times New Roman" w:hAnsi="Times New Roman" w:cs="Times New Roman"/>
          <w:kern w:val="0"/>
          <w:lang w:val="ro-MD" w:eastAsia="ro-MD"/>
          <w14:ligatures w14:val="none"/>
        </w:rPr>
        <w:t xml:space="preserve">privind </w:t>
      </w:r>
      <w:r w:rsidRPr="0028332D">
        <w:rPr>
          <w:rFonts w:ascii="Times New Roman" w:eastAsia="Times New Roman" w:hAnsi="Times New Roman" w:cs="Times New Roman"/>
          <w:kern w:val="0"/>
          <w:lang w:val="ro-MD" w:eastAsia="ro-MD"/>
          <w14:ligatures w14:val="none"/>
        </w:rPr>
        <w:t>educați</w:t>
      </w:r>
      <w:r w:rsidRPr="002E1702">
        <w:rPr>
          <w:rFonts w:ascii="Times New Roman" w:eastAsia="Times New Roman" w:hAnsi="Times New Roman" w:cs="Times New Roman"/>
          <w:kern w:val="0"/>
          <w:lang w:val="ro-MD" w:eastAsia="ro-MD"/>
          <w14:ligatures w14:val="none"/>
        </w:rPr>
        <w:t>a</w:t>
      </w:r>
      <w:r w:rsidRPr="0028332D">
        <w:rPr>
          <w:rFonts w:ascii="Times New Roman" w:eastAsia="Times New Roman" w:hAnsi="Times New Roman" w:cs="Times New Roman"/>
          <w:kern w:val="0"/>
          <w:lang w:val="ro-MD" w:eastAsia="ro-MD"/>
          <w14:ligatures w14:val="none"/>
        </w:rPr>
        <w:t xml:space="preserve"> adulților</w:t>
      </w:r>
      <w:r>
        <w:rPr>
          <w:rFonts w:ascii="Times New Roman" w:eastAsia="Times New Roman" w:hAnsi="Times New Roman" w:cs="Times New Roman"/>
          <w:kern w:val="0"/>
          <w:lang w:val="ro-MD" w:eastAsia="ro-MD"/>
          <w14:ligatures w14:val="none"/>
        </w:rPr>
        <w:t>,</w:t>
      </w:r>
      <w:r w:rsidRPr="002E1702">
        <w:rPr>
          <w:rFonts w:ascii="Times New Roman" w:eastAsia="Times New Roman" w:hAnsi="Times New Roman" w:cs="Times New Roman"/>
          <w:kern w:val="0"/>
          <w:lang w:val="ro-MD" w:eastAsia="ro-MD"/>
          <w14:ligatures w14:val="none"/>
        </w:rPr>
        <w:t xml:space="preserve"> aprobat prin HG</w:t>
      </w:r>
      <w:r w:rsidRPr="0028332D">
        <w:rPr>
          <w:rFonts w:ascii="Times New Roman" w:eastAsia="Times New Roman" w:hAnsi="Times New Roman" w:cs="Times New Roman"/>
          <w:kern w:val="0"/>
          <w:lang w:val="ro-MD" w:eastAsia="ro-MD"/>
          <w14:ligatures w14:val="none"/>
        </w:rPr>
        <w:t xml:space="preserve"> nr. 222/2024</w:t>
      </w:r>
      <w:r w:rsidRPr="002E1702">
        <w:rPr>
          <w:rFonts w:ascii="Times New Roman" w:eastAsia="Times New Roman" w:hAnsi="Times New Roman" w:cs="Times New Roman"/>
          <w:color w:val="333333"/>
          <w:kern w:val="0"/>
          <w:lang w:val="ro-MD" w:eastAsia="ro-MD"/>
          <w14:ligatures w14:val="none"/>
        </w:rPr>
        <w:t xml:space="preserve"> (</w:t>
      </w:r>
      <w:hyperlink r:id="rId43" w:history="1">
        <w:r w:rsidRPr="002E1702">
          <w:rPr>
            <w:rStyle w:val="aff0"/>
            <w:rFonts w:ascii="Times New Roman" w:eastAsia="Times New Roman" w:hAnsi="Times New Roman" w:cs="Times New Roman"/>
            <w:kern w:val="0"/>
            <w:lang w:val="ro-MD" w:eastAsia="ro-MD"/>
            <w14:ligatures w14:val="none"/>
          </w:rPr>
          <w:t>link</w:t>
        </w:r>
      </w:hyperlink>
      <w:r w:rsidRPr="002E1702">
        <w:rPr>
          <w:rFonts w:ascii="Times New Roman" w:eastAsia="Times New Roman" w:hAnsi="Times New Roman" w:cs="Times New Roman"/>
          <w:color w:val="333333"/>
          <w:kern w:val="0"/>
          <w:lang w:val="ro-MD" w:eastAsia="ro-MD"/>
          <w14:ligatures w14:val="none"/>
        </w:rPr>
        <w:t>)</w:t>
      </w:r>
    </w:p>
  </w:footnote>
  <w:footnote w:id="49">
    <w:p w14:paraId="666F07F1" w14:textId="1DCBB872" w:rsidR="00B81475" w:rsidRDefault="00B81475">
      <w:pPr>
        <w:pStyle w:val="afa"/>
      </w:pPr>
      <w:r>
        <w:rPr>
          <w:rStyle w:val="afc"/>
        </w:rPr>
        <w:footnoteRef/>
      </w:r>
      <w:r>
        <w:t xml:space="preserve"> </w:t>
      </w:r>
      <w:r w:rsidRPr="0028332D">
        <w:rPr>
          <w:rFonts w:ascii="Times New Roman" w:eastAsia="Times New Roman" w:hAnsi="Times New Roman" w:cs="Times New Roman"/>
          <w:kern w:val="0"/>
          <w:lang w:val="ro-MD" w:eastAsia="ro-MD"/>
          <w14:ligatures w14:val="none"/>
        </w:rPr>
        <w:t xml:space="preserve">Regulamentul </w:t>
      </w:r>
      <w:r w:rsidRPr="002E1702">
        <w:rPr>
          <w:rFonts w:ascii="Times New Roman" w:eastAsia="Times New Roman" w:hAnsi="Times New Roman" w:cs="Times New Roman"/>
          <w:kern w:val="0"/>
          <w:lang w:val="ro-MD" w:eastAsia="ro-MD"/>
          <w14:ligatures w14:val="none"/>
        </w:rPr>
        <w:t xml:space="preserve">privind </w:t>
      </w:r>
      <w:r w:rsidRPr="0028332D">
        <w:rPr>
          <w:rFonts w:ascii="Times New Roman" w:eastAsia="Times New Roman" w:hAnsi="Times New Roman" w:cs="Times New Roman"/>
          <w:kern w:val="0"/>
          <w:lang w:val="ro-MD" w:eastAsia="ro-MD"/>
          <w14:ligatures w14:val="none"/>
        </w:rPr>
        <w:t>educați</w:t>
      </w:r>
      <w:r w:rsidRPr="002E1702">
        <w:rPr>
          <w:rFonts w:ascii="Times New Roman" w:eastAsia="Times New Roman" w:hAnsi="Times New Roman" w:cs="Times New Roman"/>
          <w:kern w:val="0"/>
          <w:lang w:val="ro-MD" w:eastAsia="ro-MD"/>
          <w14:ligatures w14:val="none"/>
        </w:rPr>
        <w:t>a</w:t>
      </w:r>
      <w:r w:rsidRPr="0028332D">
        <w:rPr>
          <w:rFonts w:ascii="Times New Roman" w:eastAsia="Times New Roman" w:hAnsi="Times New Roman" w:cs="Times New Roman"/>
          <w:kern w:val="0"/>
          <w:lang w:val="ro-MD" w:eastAsia="ro-MD"/>
          <w14:ligatures w14:val="none"/>
        </w:rPr>
        <w:t xml:space="preserve"> adulților</w:t>
      </w:r>
      <w:r>
        <w:rPr>
          <w:rFonts w:ascii="Times New Roman" w:eastAsia="Times New Roman" w:hAnsi="Times New Roman" w:cs="Times New Roman"/>
          <w:kern w:val="0"/>
          <w:lang w:val="ro-MD" w:eastAsia="ro-MD"/>
          <w14:ligatures w14:val="none"/>
        </w:rPr>
        <w:t>,</w:t>
      </w:r>
      <w:r w:rsidRPr="002E1702">
        <w:rPr>
          <w:rFonts w:ascii="Times New Roman" w:eastAsia="Times New Roman" w:hAnsi="Times New Roman" w:cs="Times New Roman"/>
          <w:kern w:val="0"/>
          <w:lang w:val="ro-MD" w:eastAsia="ro-MD"/>
          <w14:ligatures w14:val="none"/>
        </w:rPr>
        <w:t xml:space="preserve"> aprobat prin HG</w:t>
      </w:r>
      <w:r w:rsidRPr="0028332D">
        <w:rPr>
          <w:rFonts w:ascii="Times New Roman" w:eastAsia="Times New Roman" w:hAnsi="Times New Roman" w:cs="Times New Roman"/>
          <w:kern w:val="0"/>
          <w:lang w:val="ro-MD" w:eastAsia="ro-MD"/>
          <w14:ligatures w14:val="none"/>
        </w:rPr>
        <w:t xml:space="preserve"> nr. 222/2024</w:t>
      </w:r>
      <w:r w:rsidRPr="002E1702">
        <w:rPr>
          <w:rFonts w:ascii="Times New Roman" w:eastAsia="Times New Roman" w:hAnsi="Times New Roman" w:cs="Times New Roman"/>
          <w:color w:val="333333"/>
          <w:kern w:val="0"/>
          <w:lang w:val="ro-MD" w:eastAsia="ro-MD"/>
          <w14:ligatures w14:val="none"/>
        </w:rPr>
        <w:t xml:space="preserve"> (</w:t>
      </w:r>
      <w:hyperlink r:id="rId44" w:history="1">
        <w:r w:rsidRPr="002E1702">
          <w:rPr>
            <w:rStyle w:val="aff0"/>
            <w:rFonts w:ascii="Times New Roman" w:eastAsia="Times New Roman" w:hAnsi="Times New Roman" w:cs="Times New Roman"/>
            <w:kern w:val="0"/>
            <w:lang w:val="ro-MD" w:eastAsia="ro-MD"/>
            <w14:ligatures w14:val="none"/>
          </w:rPr>
          <w:t>link</w:t>
        </w:r>
      </w:hyperlink>
      <w:r w:rsidRPr="002E1702">
        <w:rPr>
          <w:rFonts w:ascii="Times New Roman" w:eastAsia="Times New Roman" w:hAnsi="Times New Roman" w:cs="Times New Roman"/>
          <w:color w:val="333333"/>
          <w:kern w:val="0"/>
          <w:lang w:val="ro-MD" w:eastAsia="ro-MD"/>
          <w14:ligatures w14:val="none"/>
        </w:rPr>
        <w:t>)</w:t>
      </w:r>
    </w:p>
  </w:footnote>
  <w:footnote w:id="50">
    <w:p w14:paraId="41F5CC60" w14:textId="77777777" w:rsidR="00B81475" w:rsidRPr="006356EC" w:rsidRDefault="00B81475" w:rsidP="00340740">
      <w:pPr>
        <w:pStyle w:val="afa"/>
        <w:rPr>
          <w:rFonts w:ascii="Times New Roman" w:hAnsi="Times New Roman" w:cs="Times New Roman"/>
        </w:rPr>
      </w:pPr>
      <w:r>
        <w:rPr>
          <w:rStyle w:val="afc"/>
        </w:rPr>
        <w:footnoteRef/>
      </w:r>
      <w:r w:rsidRPr="0052601F">
        <w:rPr>
          <w:rFonts w:ascii="Times New Roman" w:eastAsia="Times New Roman" w:hAnsi="Times New Roman" w:cs="Times New Roman"/>
          <w:kern w:val="0"/>
          <w:lang w:val="ro-MD" w:eastAsia="ro-MD"/>
          <w14:ligatures w14:val="none"/>
        </w:rPr>
        <w:t xml:space="preserve">Regulamentul privind certificarea </w:t>
      </w:r>
      <w:r w:rsidRPr="007C3637">
        <w:rPr>
          <w:rFonts w:ascii="Times New Roman" w:eastAsia="Times New Roman" w:hAnsi="Times New Roman" w:cs="Times New Roman"/>
          <w:kern w:val="0"/>
          <w:lang w:val="ro-MD" w:eastAsia="ro-MD"/>
          <w14:ligatures w14:val="none"/>
        </w:rPr>
        <w:t>competențelor profesionale corespunzătoare calificărilor de nivel 3–5 din CNC, dobândite în contexte de educație nonformală și informală</w:t>
      </w:r>
      <w:r w:rsidRPr="006356EC">
        <w:rPr>
          <w:rFonts w:ascii="Times New Roman" w:eastAsia="Times New Roman" w:hAnsi="Times New Roman" w:cs="Times New Roman"/>
          <w:kern w:val="0"/>
          <w:lang w:val="ro-MD" w:eastAsia="ro-MD"/>
          <w14:ligatures w14:val="none"/>
        </w:rPr>
        <w:t>, aprobat prin Ordinul MEC nr. 885/2022 (</w:t>
      </w:r>
      <w:hyperlink r:id="rId45" w:history="1">
        <w:r w:rsidRPr="0033153F">
          <w:rPr>
            <w:rStyle w:val="aff0"/>
            <w:rFonts w:ascii="Times New Roman" w:eastAsia="Times New Roman" w:hAnsi="Times New Roman" w:cs="Times New Roman"/>
            <w:kern w:val="0"/>
            <w:lang w:val="ro-MD" w:eastAsia="ro-MD"/>
            <w14:ligatures w14:val="none"/>
          </w:rPr>
          <w:t>link</w:t>
        </w:r>
      </w:hyperlink>
      <w:r w:rsidRPr="006356EC">
        <w:rPr>
          <w:rFonts w:ascii="Times New Roman" w:eastAsia="Times New Roman" w:hAnsi="Times New Roman" w:cs="Times New Roman"/>
          <w:kern w:val="0"/>
          <w:lang w:val="ro-MD" w:eastAsia="ro-MD"/>
          <w14:ligatures w14:val="none"/>
        </w:rPr>
        <w:t>)</w:t>
      </w:r>
    </w:p>
  </w:footnote>
  <w:footnote w:id="51">
    <w:p w14:paraId="7ED8AD6C" w14:textId="77777777" w:rsidR="00B81475" w:rsidRDefault="00B81475" w:rsidP="0047394E">
      <w:pPr>
        <w:pStyle w:val="afa"/>
      </w:pPr>
      <w:r>
        <w:rPr>
          <w:rStyle w:val="afc"/>
        </w:rPr>
        <w:footnoteRef/>
      </w:r>
      <w:r>
        <w:t xml:space="preserve"> </w:t>
      </w:r>
      <w:r w:rsidRPr="00B62E7C">
        <w:rPr>
          <w:rFonts w:ascii="Times New Roman" w:eastAsia="Times New Roman" w:hAnsi="Times New Roman" w:cs="Times New Roman"/>
          <w:kern w:val="0"/>
          <w:lang w:val="ro-MD" w:eastAsia="ro-MD"/>
          <w14:ligatures w14:val="none"/>
        </w:rPr>
        <w:t>Ghidul practic privind certificarea competențelor profesionale</w:t>
      </w:r>
      <w:r w:rsidRPr="00A223F4">
        <w:rPr>
          <w:rFonts w:ascii="Times New Roman" w:eastAsia="Times New Roman" w:hAnsi="Times New Roman" w:cs="Times New Roman"/>
          <w:kern w:val="0"/>
          <w:lang w:val="ro-MD" w:eastAsia="ro-MD"/>
          <w14:ligatures w14:val="none"/>
        </w:rPr>
        <w:t>, aprobat prin Ordinul MEC nr. 1066/2023</w:t>
      </w:r>
      <w:r>
        <w:rPr>
          <w:rFonts w:ascii="Times New Roman" w:eastAsia="Times New Roman" w:hAnsi="Times New Roman" w:cs="Times New Roman"/>
          <w:kern w:val="0"/>
          <w:lang w:val="ro-MD" w:eastAsia="ro-MD"/>
          <w14:ligatures w14:val="none"/>
        </w:rPr>
        <w:t xml:space="preserve"> (</w:t>
      </w:r>
      <w:hyperlink r:id="rId46" w:history="1">
        <w:r w:rsidRPr="00B62E7C">
          <w:rPr>
            <w:rStyle w:val="aff0"/>
            <w:rFonts w:ascii="Times New Roman" w:eastAsia="Times New Roman" w:hAnsi="Times New Roman" w:cs="Times New Roman"/>
            <w:kern w:val="0"/>
            <w:lang w:val="ro-MD" w:eastAsia="ro-MD"/>
            <w14:ligatures w14:val="none"/>
          </w:rPr>
          <w:t>link</w:t>
        </w:r>
      </w:hyperlink>
      <w:r>
        <w:rPr>
          <w:rFonts w:ascii="Times New Roman" w:eastAsia="Times New Roman" w:hAnsi="Times New Roman" w:cs="Times New Roman"/>
          <w:kern w:val="0"/>
          <w:lang w:val="ro-MD" w:eastAsia="ro-MD"/>
          <w14:ligatures w14:val="none"/>
        </w:rPr>
        <w:t>)</w:t>
      </w:r>
    </w:p>
  </w:footnote>
  <w:footnote w:id="52">
    <w:p w14:paraId="2CDDE06D" w14:textId="53CA50A2" w:rsidR="00B81475" w:rsidRDefault="00B81475">
      <w:pPr>
        <w:pStyle w:val="afa"/>
      </w:pPr>
      <w:r>
        <w:rPr>
          <w:rStyle w:val="afc"/>
        </w:rPr>
        <w:footnoteRef/>
      </w:r>
      <w:r>
        <w:t xml:space="preserve"> </w:t>
      </w:r>
      <w:r w:rsidRPr="005F358A">
        <w:rPr>
          <w:rFonts w:ascii="Times New Roman" w:hAnsi="Times New Roman" w:cs="Times New Roman"/>
        </w:rPr>
        <w:t xml:space="preserve">Regulamentul privind certificarea competențelor profesionale corespunzătoare calificărilor de nivel 6 din </w:t>
      </w:r>
      <w:r>
        <w:rPr>
          <w:rFonts w:ascii="Times New Roman" w:hAnsi="Times New Roman" w:cs="Times New Roman"/>
        </w:rPr>
        <w:t>CNC</w:t>
      </w:r>
      <w:r w:rsidRPr="005F358A">
        <w:rPr>
          <w:rFonts w:ascii="Times New Roman" w:hAnsi="Times New Roman" w:cs="Times New Roman"/>
        </w:rPr>
        <w:t>, dobândite în contexte de educație nonformală și informală, aprobat prin Ordinul MEC nr. 1021/2023 (</w:t>
      </w:r>
      <w:hyperlink r:id="rId47" w:history="1">
        <w:r w:rsidRPr="005F358A">
          <w:rPr>
            <w:rStyle w:val="aff0"/>
            <w:rFonts w:ascii="Times New Roman" w:hAnsi="Times New Roman" w:cs="Times New Roman"/>
          </w:rPr>
          <w:t>link</w:t>
        </w:r>
      </w:hyperlink>
      <w:r w:rsidRPr="005F358A">
        <w:rPr>
          <w:rFonts w:ascii="Times New Roman" w:hAnsi="Times New Roman" w:cs="Times New Roman"/>
        </w:rPr>
        <w:t>)</w:t>
      </w:r>
    </w:p>
  </w:footnote>
  <w:footnote w:id="53">
    <w:p w14:paraId="68287CFF" w14:textId="67565E1A" w:rsidR="00B81475" w:rsidRDefault="00B81475">
      <w:pPr>
        <w:pStyle w:val="afa"/>
      </w:pPr>
      <w:r>
        <w:rPr>
          <w:rStyle w:val="afc"/>
        </w:rPr>
        <w:footnoteRef/>
      </w:r>
      <w:r>
        <w:t xml:space="preserve"> </w:t>
      </w:r>
      <w:r w:rsidRPr="00C87D81">
        <w:rPr>
          <w:rStyle w:val="afd"/>
          <w:rFonts w:ascii="Times New Roman" w:hAnsi="Times New Roman" w:cs="Times New Roman"/>
          <w:i w:val="0"/>
          <w:iCs w:val="0"/>
        </w:rPr>
        <w:t>Metodologia de elaborare, validare și aprobare a standardelor de calificare,</w:t>
      </w:r>
      <w:r w:rsidRPr="00C87D81">
        <w:rPr>
          <w:rStyle w:val="afd"/>
          <w:rFonts w:ascii="Times New Roman" w:hAnsi="Times New Roman" w:cs="Times New Roman"/>
        </w:rPr>
        <w:t xml:space="preserve"> </w:t>
      </w:r>
      <w:r w:rsidRPr="00C87D81">
        <w:rPr>
          <w:rFonts w:ascii="Times New Roman" w:hAnsi="Times New Roman" w:cs="Times New Roman"/>
        </w:rPr>
        <w:t>(Ordinul MEC nr. 573/2022, (</w:t>
      </w:r>
      <w:hyperlink r:id="rId48" w:history="1">
        <w:r w:rsidRPr="00C87D81">
          <w:rPr>
            <w:rStyle w:val="aff0"/>
            <w:rFonts w:ascii="Times New Roman" w:hAnsi="Times New Roman" w:cs="Times New Roman"/>
          </w:rPr>
          <w:t>link</w:t>
        </w:r>
      </w:hyperlink>
      <w:r w:rsidRPr="00C87D81">
        <w:rPr>
          <w:rFonts w:ascii="Times New Roman" w:hAnsi="Times New Roman" w:cs="Times New Roman"/>
        </w:rPr>
        <w:t>)</w:t>
      </w:r>
    </w:p>
  </w:footnote>
  <w:footnote w:id="54">
    <w:p w14:paraId="393F7822" w14:textId="7AC2FA18" w:rsidR="00B81475" w:rsidRDefault="00B81475">
      <w:pPr>
        <w:pStyle w:val="afa"/>
      </w:pPr>
      <w:r>
        <w:rPr>
          <w:rStyle w:val="afc"/>
        </w:rPr>
        <w:footnoteRef/>
      </w:r>
      <w:r>
        <w:t xml:space="preserve"> </w:t>
      </w:r>
      <w:r w:rsidRPr="009227E5">
        <w:rPr>
          <w:rFonts w:ascii="Times New Roman" w:eastAsia="Times New Roman" w:hAnsi="Times New Roman" w:cs="Times New Roman"/>
          <w:kern w:val="0"/>
          <w:sz w:val="24"/>
          <w:szCs w:val="24"/>
          <w:lang w:eastAsia="ro-MD"/>
          <w14:ligatures w14:val="none"/>
        </w:rPr>
        <w:t>Metodologi</w:t>
      </w:r>
      <w:r>
        <w:rPr>
          <w:rFonts w:ascii="Times New Roman" w:eastAsia="Times New Roman" w:hAnsi="Times New Roman" w:cs="Times New Roman"/>
          <w:kern w:val="0"/>
          <w:sz w:val="24"/>
          <w:szCs w:val="24"/>
          <w:lang w:eastAsia="ro-MD"/>
          <w14:ligatures w14:val="none"/>
        </w:rPr>
        <w:t>a</w:t>
      </w:r>
      <w:r w:rsidRPr="009227E5">
        <w:rPr>
          <w:rFonts w:ascii="Times New Roman" w:eastAsia="Times New Roman" w:hAnsi="Times New Roman" w:cs="Times New Roman"/>
          <w:kern w:val="0"/>
          <w:sz w:val="24"/>
          <w:szCs w:val="24"/>
          <w:lang w:eastAsia="ro-MD"/>
          <w14:ligatures w14:val="none"/>
        </w:rPr>
        <w:t xml:space="preserve"> de elaborare, validare și aprobare a standardelor de calificare</w:t>
      </w:r>
      <w:r>
        <w:rPr>
          <w:rFonts w:ascii="Times New Roman" w:eastAsia="Times New Roman" w:hAnsi="Times New Roman" w:cs="Times New Roman"/>
          <w:kern w:val="0"/>
          <w:sz w:val="24"/>
          <w:szCs w:val="24"/>
          <w:lang w:eastAsia="ro-MD"/>
          <w14:ligatures w14:val="none"/>
        </w:rPr>
        <w:t>, aprobată prin</w:t>
      </w:r>
      <w:r w:rsidRPr="009227E5">
        <w:rPr>
          <w:rFonts w:ascii="Times New Roman" w:eastAsia="Times New Roman" w:hAnsi="Times New Roman" w:cs="Times New Roman"/>
          <w:kern w:val="0"/>
          <w:sz w:val="24"/>
          <w:szCs w:val="24"/>
          <w:lang w:eastAsia="ro-MD"/>
          <w14:ligatures w14:val="none"/>
        </w:rPr>
        <w:t xml:space="preserve"> </w:t>
      </w:r>
      <w:r w:rsidRPr="000F6386">
        <w:rPr>
          <w:rFonts w:ascii="Times New Roman" w:eastAsia="Times New Roman" w:hAnsi="Times New Roman" w:cs="Times New Roman"/>
          <w:kern w:val="0"/>
          <w:sz w:val="24"/>
          <w:szCs w:val="24"/>
          <w:lang w:eastAsia="ro-MD"/>
          <w14:ligatures w14:val="none"/>
        </w:rPr>
        <w:t>Ordinul MEC nr. 573/2022</w:t>
      </w:r>
      <w:r>
        <w:rPr>
          <w:rFonts w:ascii="Times New Roman" w:eastAsia="Times New Roman" w:hAnsi="Times New Roman" w:cs="Times New Roman"/>
          <w:kern w:val="0"/>
          <w:sz w:val="24"/>
          <w:szCs w:val="24"/>
          <w:lang w:eastAsia="ro-MD"/>
          <w14:ligatures w14:val="none"/>
        </w:rPr>
        <w:t xml:space="preserve"> (</w:t>
      </w:r>
      <w:hyperlink r:id="rId49" w:history="1">
        <w:r w:rsidRPr="00EE40A6">
          <w:rPr>
            <w:rStyle w:val="aff0"/>
            <w:rFonts w:ascii="Times New Roman" w:eastAsia="Times New Roman" w:hAnsi="Times New Roman" w:cs="Times New Roman"/>
            <w:kern w:val="0"/>
            <w:sz w:val="24"/>
            <w:szCs w:val="24"/>
            <w:lang w:eastAsia="ro-MD"/>
            <w14:ligatures w14:val="none"/>
          </w:rPr>
          <w:t>link</w:t>
        </w:r>
      </w:hyperlink>
      <w:r>
        <w:rPr>
          <w:rFonts w:ascii="Times New Roman" w:eastAsia="Times New Roman" w:hAnsi="Times New Roman" w:cs="Times New Roman"/>
          <w:kern w:val="0"/>
          <w:sz w:val="24"/>
          <w:szCs w:val="24"/>
          <w:lang w:eastAsia="ro-MD"/>
          <w14:ligatures w14:val="none"/>
        </w:rPr>
        <w:t>)</w:t>
      </w:r>
      <w:r w:rsidRPr="000F6386">
        <w:rPr>
          <w:rFonts w:ascii="Times New Roman" w:eastAsia="Times New Roman" w:hAnsi="Times New Roman" w:cs="Times New Roman"/>
          <w:kern w:val="0"/>
          <w:sz w:val="24"/>
          <w:szCs w:val="24"/>
          <w:lang w:eastAsia="ro-MD"/>
          <w14:ligatures w14:val="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3F82"/>
    <w:multiLevelType w:val="multilevel"/>
    <w:tmpl w:val="5F7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309CE"/>
    <w:multiLevelType w:val="hybridMultilevel"/>
    <w:tmpl w:val="AF7225F6"/>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nsid w:val="01584151"/>
    <w:multiLevelType w:val="multilevel"/>
    <w:tmpl w:val="1E7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AB2663"/>
    <w:multiLevelType w:val="multilevel"/>
    <w:tmpl w:val="9B92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867831"/>
    <w:multiLevelType w:val="multilevel"/>
    <w:tmpl w:val="927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C027F1"/>
    <w:multiLevelType w:val="multilevel"/>
    <w:tmpl w:val="2410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D4247C"/>
    <w:multiLevelType w:val="multilevel"/>
    <w:tmpl w:val="E780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F9480A"/>
    <w:multiLevelType w:val="multilevel"/>
    <w:tmpl w:val="DC5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1145B1"/>
    <w:multiLevelType w:val="multilevel"/>
    <w:tmpl w:val="C538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6E3CBB"/>
    <w:multiLevelType w:val="multilevel"/>
    <w:tmpl w:val="0CE2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8B07B9"/>
    <w:multiLevelType w:val="multilevel"/>
    <w:tmpl w:val="D3C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B92A7E"/>
    <w:multiLevelType w:val="multilevel"/>
    <w:tmpl w:val="91781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B338F4"/>
    <w:multiLevelType w:val="multilevel"/>
    <w:tmpl w:val="33C6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10233E"/>
    <w:multiLevelType w:val="multilevel"/>
    <w:tmpl w:val="8A7E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8E0ABD"/>
    <w:multiLevelType w:val="multilevel"/>
    <w:tmpl w:val="38F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5F2838"/>
    <w:multiLevelType w:val="multilevel"/>
    <w:tmpl w:val="3A5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E2636B"/>
    <w:multiLevelType w:val="multilevel"/>
    <w:tmpl w:val="67081E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HAns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173513"/>
    <w:multiLevelType w:val="multilevel"/>
    <w:tmpl w:val="BD6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311ECF"/>
    <w:multiLevelType w:val="multilevel"/>
    <w:tmpl w:val="62F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4F294D"/>
    <w:multiLevelType w:val="multilevel"/>
    <w:tmpl w:val="639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AC73574"/>
    <w:multiLevelType w:val="multilevel"/>
    <w:tmpl w:val="A96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332EEA"/>
    <w:multiLevelType w:val="multilevel"/>
    <w:tmpl w:val="0B4C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4739F5"/>
    <w:multiLevelType w:val="multilevel"/>
    <w:tmpl w:val="66D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9961BF"/>
    <w:multiLevelType w:val="multilevel"/>
    <w:tmpl w:val="49D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9E1795"/>
    <w:multiLevelType w:val="multilevel"/>
    <w:tmpl w:val="A80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E503904"/>
    <w:multiLevelType w:val="multilevel"/>
    <w:tmpl w:val="032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823B07"/>
    <w:multiLevelType w:val="multilevel"/>
    <w:tmpl w:val="9B92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F34250"/>
    <w:multiLevelType w:val="multilevel"/>
    <w:tmpl w:val="7D0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2934AC"/>
    <w:multiLevelType w:val="multilevel"/>
    <w:tmpl w:val="C3F2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0DA2FA9"/>
    <w:multiLevelType w:val="multilevel"/>
    <w:tmpl w:val="1FB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1187736"/>
    <w:multiLevelType w:val="multilevel"/>
    <w:tmpl w:val="509E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2453A3"/>
    <w:multiLevelType w:val="multilevel"/>
    <w:tmpl w:val="A65A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1406AA0"/>
    <w:multiLevelType w:val="multilevel"/>
    <w:tmpl w:val="977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1576BE2"/>
    <w:multiLevelType w:val="multilevel"/>
    <w:tmpl w:val="01F4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1F766A7"/>
    <w:multiLevelType w:val="multilevel"/>
    <w:tmpl w:val="C4AE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2322B4B"/>
    <w:multiLevelType w:val="multilevel"/>
    <w:tmpl w:val="14DC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23D5B12"/>
    <w:multiLevelType w:val="multilevel"/>
    <w:tmpl w:val="2B2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254495A"/>
    <w:multiLevelType w:val="multilevel"/>
    <w:tmpl w:val="900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6C6B12"/>
    <w:multiLevelType w:val="hybridMultilevel"/>
    <w:tmpl w:val="A66CEE5E"/>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9">
    <w:nsid w:val="127D010A"/>
    <w:multiLevelType w:val="multilevel"/>
    <w:tmpl w:val="0AD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2FD1B45"/>
    <w:multiLevelType w:val="multilevel"/>
    <w:tmpl w:val="AAF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BC399B"/>
    <w:multiLevelType w:val="multilevel"/>
    <w:tmpl w:val="4ED2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F9637A"/>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14187F4F"/>
    <w:multiLevelType w:val="multilevel"/>
    <w:tmpl w:val="7AE6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BB70AE"/>
    <w:multiLevelType w:val="multilevel"/>
    <w:tmpl w:val="09C6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52C6CD5"/>
    <w:multiLevelType w:val="multilevel"/>
    <w:tmpl w:val="FBC67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6770EED"/>
    <w:multiLevelType w:val="multilevel"/>
    <w:tmpl w:val="8F3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6945F09"/>
    <w:multiLevelType w:val="multilevel"/>
    <w:tmpl w:val="727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72E7FA5"/>
    <w:multiLevelType w:val="multilevel"/>
    <w:tmpl w:val="4A08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79A3157"/>
    <w:multiLevelType w:val="multilevel"/>
    <w:tmpl w:val="4D8A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7A70D9D"/>
    <w:multiLevelType w:val="multilevel"/>
    <w:tmpl w:val="03F6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7AA0B10"/>
    <w:multiLevelType w:val="multilevel"/>
    <w:tmpl w:val="1BF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7BA7DB8"/>
    <w:multiLevelType w:val="multilevel"/>
    <w:tmpl w:val="A19E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9B025AB"/>
    <w:multiLevelType w:val="multilevel"/>
    <w:tmpl w:val="8C2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C052325"/>
    <w:multiLevelType w:val="multilevel"/>
    <w:tmpl w:val="EE7C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C1F0E48"/>
    <w:multiLevelType w:val="multilevel"/>
    <w:tmpl w:val="193E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C6F7D29"/>
    <w:multiLevelType w:val="multilevel"/>
    <w:tmpl w:val="B50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CD12D18"/>
    <w:multiLevelType w:val="multilevel"/>
    <w:tmpl w:val="3B2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DC00239"/>
    <w:multiLevelType w:val="multilevel"/>
    <w:tmpl w:val="0A02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E026D0C"/>
    <w:multiLevelType w:val="multilevel"/>
    <w:tmpl w:val="885C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F664F61"/>
    <w:multiLevelType w:val="multilevel"/>
    <w:tmpl w:val="0BC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1376DC6"/>
    <w:multiLevelType w:val="multilevel"/>
    <w:tmpl w:val="3230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14B7DAF"/>
    <w:multiLevelType w:val="multilevel"/>
    <w:tmpl w:val="3FF4D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15A3E4A"/>
    <w:multiLevelType w:val="multilevel"/>
    <w:tmpl w:val="DD8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36B6CE9"/>
    <w:multiLevelType w:val="multilevel"/>
    <w:tmpl w:val="E9E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40E61BD"/>
    <w:multiLevelType w:val="multilevel"/>
    <w:tmpl w:val="A8D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43408F5"/>
    <w:multiLevelType w:val="multilevel"/>
    <w:tmpl w:val="9CCA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4AF0E83"/>
    <w:multiLevelType w:val="multilevel"/>
    <w:tmpl w:val="E534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51016B5"/>
    <w:multiLevelType w:val="multilevel"/>
    <w:tmpl w:val="9AEC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5241267"/>
    <w:multiLevelType w:val="multilevel"/>
    <w:tmpl w:val="3D6A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5A01F51"/>
    <w:multiLevelType w:val="multilevel"/>
    <w:tmpl w:val="4C6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5A31109"/>
    <w:multiLevelType w:val="multilevel"/>
    <w:tmpl w:val="898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5CC39F4"/>
    <w:multiLevelType w:val="multilevel"/>
    <w:tmpl w:val="2956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7022A97"/>
    <w:multiLevelType w:val="multilevel"/>
    <w:tmpl w:val="27486BE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4">
    <w:nsid w:val="27297B98"/>
    <w:multiLevelType w:val="multilevel"/>
    <w:tmpl w:val="B4A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83D6745"/>
    <w:multiLevelType w:val="multilevel"/>
    <w:tmpl w:val="287C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8DD5F2D"/>
    <w:multiLevelType w:val="multilevel"/>
    <w:tmpl w:val="02E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8DE017B"/>
    <w:multiLevelType w:val="multilevel"/>
    <w:tmpl w:val="A7B2F9F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29846456"/>
    <w:multiLevelType w:val="multilevel"/>
    <w:tmpl w:val="23E6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A2B5ECC"/>
    <w:multiLevelType w:val="multilevel"/>
    <w:tmpl w:val="EC24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A577939"/>
    <w:multiLevelType w:val="multilevel"/>
    <w:tmpl w:val="C7D2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AAC34AA"/>
    <w:multiLevelType w:val="multilevel"/>
    <w:tmpl w:val="3484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ADD1FFF"/>
    <w:multiLevelType w:val="multilevel"/>
    <w:tmpl w:val="3F24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B1C1EBE"/>
    <w:multiLevelType w:val="multilevel"/>
    <w:tmpl w:val="2DDEF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2BCB4B73"/>
    <w:multiLevelType w:val="multilevel"/>
    <w:tmpl w:val="8DB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BD40E84"/>
    <w:multiLevelType w:val="hybridMultilevel"/>
    <w:tmpl w:val="0844893A"/>
    <w:lvl w:ilvl="0" w:tplc="007AA68A">
      <w:start w:val="1"/>
      <w:numFmt w:val="bullet"/>
      <w:lvlText w:val="-"/>
      <w:lvlJc w:val="left"/>
      <w:pPr>
        <w:ind w:left="720" w:hanging="360"/>
      </w:pPr>
      <w:rPr>
        <w:rFonts w:ascii="Calibri" w:hAnsi="Calibri" w:hint="default"/>
      </w:rPr>
    </w:lvl>
    <w:lvl w:ilvl="1" w:tplc="1540952C">
      <w:numFmt w:val="bullet"/>
      <w:lvlText w:val="•"/>
      <w:lvlJc w:val="left"/>
      <w:pPr>
        <w:ind w:left="1440" w:hanging="360"/>
      </w:pPr>
      <w:rPr>
        <w:rFonts w:ascii="Times New Roman" w:eastAsia="Times New Roman" w:hAnsi="Times New Roman" w:cs="Times New Roman" w:hint="default"/>
        <w:color w:val="auto"/>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6">
    <w:nsid w:val="2BE407C1"/>
    <w:multiLevelType w:val="hybridMultilevel"/>
    <w:tmpl w:val="3C808782"/>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7">
    <w:nsid w:val="2C491E55"/>
    <w:multiLevelType w:val="multilevel"/>
    <w:tmpl w:val="BA78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D583504"/>
    <w:multiLevelType w:val="multilevel"/>
    <w:tmpl w:val="4D3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DAB2BAB"/>
    <w:multiLevelType w:val="multilevel"/>
    <w:tmpl w:val="FBD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E152027"/>
    <w:multiLevelType w:val="multilevel"/>
    <w:tmpl w:val="67C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EC75579"/>
    <w:multiLevelType w:val="hybridMultilevel"/>
    <w:tmpl w:val="A43E6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nsid w:val="30420CCF"/>
    <w:multiLevelType w:val="multilevel"/>
    <w:tmpl w:val="186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1317372"/>
    <w:multiLevelType w:val="hybridMultilevel"/>
    <w:tmpl w:val="80000BE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nsid w:val="313B54FB"/>
    <w:multiLevelType w:val="multilevel"/>
    <w:tmpl w:val="CCB2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1931ADA"/>
    <w:multiLevelType w:val="multilevel"/>
    <w:tmpl w:val="582E3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1C512E6"/>
    <w:multiLevelType w:val="multilevel"/>
    <w:tmpl w:val="781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1F94B22"/>
    <w:multiLevelType w:val="multilevel"/>
    <w:tmpl w:val="77C2B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2E532DB"/>
    <w:multiLevelType w:val="multilevel"/>
    <w:tmpl w:val="952A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39F1416"/>
    <w:multiLevelType w:val="multilevel"/>
    <w:tmpl w:val="7AC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40C7A44"/>
    <w:multiLevelType w:val="multilevel"/>
    <w:tmpl w:val="608C6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3494BA" w:themeColor="accent1"/>
      </w:rPr>
    </w:lvl>
    <w:lvl w:ilvl="2">
      <w:start w:val="1"/>
      <w:numFmt w:val="decimal"/>
      <w:lvlText w:val="%3)"/>
      <w:lvlJc w:val="left"/>
      <w:pPr>
        <w:ind w:left="2250" w:hanging="45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4316705"/>
    <w:multiLevelType w:val="multilevel"/>
    <w:tmpl w:val="FFE6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4427946"/>
    <w:multiLevelType w:val="multilevel"/>
    <w:tmpl w:val="8E083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4847B8E"/>
    <w:multiLevelType w:val="multilevel"/>
    <w:tmpl w:val="7D9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59F4B5E"/>
    <w:multiLevelType w:val="multilevel"/>
    <w:tmpl w:val="2C06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63A1342"/>
    <w:multiLevelType w:val="multilevel"/>
    <w:tmpl w:val="227A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6A93C2C"/>
    <w:multiLevelType w:val="multilevel"/>
    <w:tmpl w:val="60B0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73E010C"/>
    <w:multiLevelType w:val="multilevel"/>
    <w:tmpl w:val="A57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8427E5C"/>
    <w:multiLevelType w:val="hybridMultilevel"/>
    <w:tmpl w:val="D9620E12"/>
    <w:lvl w:ilvl="0" w:tplc="BCE66A42">
      <w:numFmt w:val="bullet"/>
      <w:lvlText w:val="-"/>
      <w:lvlJc w:val="left"/>
      <w:pPr>
        <w:ind w:left="720" w:hanging="360"/>
      </w:pPr>
      <w:rPr>
        <w:rFonts w:ascii="Aptos" w:eastAsiaTheme="minorEastAsia" w:hAnsi="Aptos"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8623BC1"/>
    <w:multiLevelType w:val="multilevel"/>
    <w:tmpl w:val="48AA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8E740C8"/>
    <w:multiLevelType w:val="multilevel"/>
    <w:tmpl w:val="0226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9291764"/>
    <w:multiLevelType w:val="multilevel"/>
    <w:tmpl w:val="FDB6C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A214626"/>
    <w:multiLevelType w:val="multilevel"/>
    <w:tmpl w:val="CE0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B4C2226"/>
    <w:multiLevelType w:val="multilevel"/>
    <w:tmpl w:val="A7EE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BBA0392"/>
    <w:multiLevelType w:val="multilevel"/>
    <w:tmpl w:val="652E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BEE5507"/>
    <w:multiLevelType w:val="hybridMultilevel"/>
    <w:tmpl w:val="443C23B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6">
    <w:nsid w:val="3C9A2255"/>
    <w:multiLevelType w:val="multilevel"/>
    <w:tmpl w:val="98B8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D011C65"/>
    <w:multiLevelType w:val="multilevel"/>
    <w:tmpl w:val="01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EBA2346"/>
    <w:multiLevelType w:val="hybridMultilevel"/>
    <w:tmpl w:val="F2A07E0E"/>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9">
    <w:nsid w:val="3F4D2E50"/>
    <w:multiLevelType w:val="multilevel"/>
    <w:tmpl w:val="E41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FCB11D1"/>
    <w:multiLevelType w:val="multilevel"/>
    <w:tmpl w:val="8A46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03D333F"/>
    <w:multiLevelType w:val="multilevel"/>
    <w:tmpl w:val="7E9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05F4DA3"/>
    <w:multiLevelType w:val="multilevel"/>
    <w:tmpl w:val="6B8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08445D2"/>
    <w:multiLevelType w:val="multilevel"/>
    <w:tmpl w:val="7D4E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0A821A7"/>
    <w:multiLevelType w:val="multilevel"/>
    <w:tmpl w:val="860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0E13AA8"/>
    <w:multiLevelType w:val="multilevel"/>
    <w:tmpl w:val="DC9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1051571"/>
    <w:multiLevelType w:val="multilevel"/>
    <w:tmpl w:val="76F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13F514B"/>
    <w:multiLevelType w:val="multilevel"/>
    <w:tmpl w:val="C4A6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16622A9"/>
    <w:multiLevelType w:val="multilevel"/>
    <w:tmpl w:val="CDC2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1B61395"/>
    <w:multiLevelType w:val="hybridMultilevel"/>
    <w:tmpl w:val="E9DACF08"/>
    <w:lvl w:ilvl="0" w:tplc="1540952C">
      <w:numFmt w:val="bullet"/>
      <w:lvlText w:val="•"/>
      <w:lvlJc w:val="left"/>
      <w:pPr>
        <w:ind w:left="1080" w:hanging="360"/>
      </w:pPr>
      <w:rPr>
        <w:rFonts w:ascii="Times New Roman" w:eastAsia="Times New Roman" w:hAnsi="Times New Roman" w:cs="Times New Roman" w:hint="default"/>
        <w:color w:val="auto"/>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130">
    <w:nsid w:val="41BC16B8"/>
    <w:multiLevelType w:val="multilevel"/>
    <w:tmpl w:val="821E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2196DAB"/>
    <w:multiLevelType w:val="multilevel"/>
    <w:tmpl w:val="EAA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288270D"/>
    <w:multiLevelType w:val="multilevel"/>
    <w:tmpl w:val="907E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28D633E"/>
    <w:multiLevelType w:val="multilevel"/>
    <w:tmpl w:val="0036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2AE5479"/>
    <w:multiLevelType w:val="multilevel"/>
    <w:tmpl w:val="8CEA770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2E46B96"/>
    <w:multiLevelType w:val="multilevel"/>
    <w:tmpl w:val="36B8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2F32276"/>
    <w:multiLevelType w:val="multilevel"/>
    <w:tmpl w:val="948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30C63E6"/>
    <w:multiLevelType w:val="multilevel"/>
    <w:tmpl w:val="8F02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3AB40F3"/>
    <w:multiLevelType w:val="multilevel"/>
    <w:tmpl w:val="D138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4024AB0"/>
    <w:multiLevelType w:val="multilevel"/>
    <w:tmpl w:val="05DC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515077B"/>
    <w:multiLevelType w:val="multilevel"/>
    <w:tmpl w:val="4C00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54E0475"/>
    <w:multiLevelType w:val="multilevel"/>
    <w:tmpl w:val="7B54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5A915E1"/>
    <w:multiLevelType w:val="multilevel"/>
    <w:tmpl w:val="2B3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81E5DAC"/>
    <w:multiLevelType w:val="hybridMultilevel"/>
    <w:tmpl w:val="BDFAD52E"/>
    <w:lvl w:ilvl="0" w:tplc="BCE66A42">
      <w:numFmt w:val="bullet"/>
      <w:lvlText w:val="-"/>
      <w:lvlJc w:val="left"/>
      <w:pPr>
        <w:ind w:left="720" w:hanging="360"/>
      </w:pPr>
      <w:rPr>
        <w:rFonts w:ascii="Aptos" w:eastAsiaTheme="minorEastAsia" w:hAnsi="Aptos" w:cstheme="minorHAnsi" w:hint="default"/>
        <w:b w:val="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4">
    <w:nsid w:val="4955051F"/>
    <w:multiLevelType w:val="multilevel"/>
    <w:tmpl w:val="33C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9CE3B55"/>
    <w:multiLevelType w:val="multilevel"/>
    <w:tmpl w:val="ECE8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A450ACE"/>
    <w:multiLevelType w:val="multilevel"/>
    <w:tmpl w:val="8662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A4A4D6B"/>
    <w:multiLevelType w:val="hybridMultilevel"/>
    <w:tmpl w:val="FFFFFFFF"/>
    <w:lvl w:ilvl="0" w:tplc="0409000F">
      <w:start w:val="1"/>
      <w:numFmt w:val="decimal"/>
      <w:lvlText w:val="%1."/>
      <w:lvlJc w:val="left"/>
      <w:pPr>
        <w:ind w:left="360" w:hanging="360"/>
      </w:pPr>
      <w:rPr>
        <w:rFonts w:cs="Times New Roman"/>
      </w:rPr>
    </w:lvl>
    <w:lvl w:ilvl="1" w:tplc="1166F052">
      <w:start w:val="1"/>
      <w:numFmt w:val="lowerLetter"/>
      <w:lvlText w:val="%2)"/>
      <w:lvlJc w:val="left"/>
      <w:pPr>
        <w:ind w:left="1080" w:hanging="360"/>
      </w:pPr>
      <w:rPr>
        <w:rFonts w:cs="Times New Roman" w:hint="default"/>
        <w:i/>
      </w:rPr>
    </w:lvl>
    <w:lvl w:ilvl="2" w:tplc="EE54B54E">
      <w:start w:val="1"/>
      <w:numFmt w:val="decimal"/>
      <w:lvlText w:val="%3)"/>
      <w:lvlJc w:val="left"/>
      <w:pPr>
        <w:ind w:left="1173" w:hanging="180"/>
      </w:pPr>
      <w:rPr>
        <w:rFonts w:cs="Times New Roman"/>
        <w:b w:val="0"/>
        <w:i w:val="0"/>
        <w:color w:val="000000"/>
        <w:sz w:val="28"/>
        <w:szCs w:val="28"/>
      </w:rPr>
    </w:lvl>
    <w:lvl w:ilvl="3" w:tplc="04190011">
      <w:start w:val="1"/>
      <w:numFmt w:val="decimal"/>
      <w:lvlText w:val="%4)"/>
      <w:lvlJc w:val="left"/>
      <w:pPr>
        <w:ind w:left="2520" w:hanging="360"/>
      </w:pPr>
      <w:rPr>
        <w:rFonts w:cs="Times New Roman" w:hint="default"/>
        <w:b w:val="0"/>
        <w:i w:val="0"/>
        <w:color w:val="000000"/>
        <w:sz w:val="24"/>
        <w:szCs w:val="24"/>
      </w:rPr>
    </w:lvl>
    <w:lvl w:ilvl="4" w:tplc="04090019">
      <w:start w:val="1"/>
      <w:numFmt w:val="lowerLetter"/>
      <w:lvlText w:val="%5."/>
      <w:lvlJc w:val="left"/>
      <w:pPr>
        <w:ind w:left="3240" w:hanging="360"/>
      </w:pPr>
      <w:rPr>
        <w:rFonts w:cs="Times New Roman"/>
      </w:rPr>
    </w:lvl>
    <w:lvl w:ilvl="5" w:tplc="700C0FAC">
      <w:start w:val="1"/>
      <w:numFmt w:val="decimal"/>
      <w:lvlText w:val="%6"/>
      <w:lvlJc w:val="left"/>
      <w:pPr>
        <w:ind w:left="4140" w:hanging="360"/>
      </w:pPr>
      <w:rPr>
        <w:rFonts w:cs="Times New Roman" w:hint="default"/>
        <w:i w:val="0"/>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nsid w:val="4C0E0BBC"/>
    <w:multiLevelType w:val="multilevel"/>
    <w:tmpl w:val="962A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C4A0695"/>
    <w:multiLevelType w:val="multilevel"/>
    <w:tmpl w:val="6E9E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C5D5D17"/>
    <w:multiLevelType w:val="multilevel"/>
    <w:tmpl w:val="F284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C6507D5"/>
    <w:multiLevelType w:val="multilevel"/>
    <w:tmpl w:val="4FE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C657375"/>
    <w:multiLevelType w:val="multilevel"/>
    <w:tmpl w:val="4AA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CAC1C90"/>
    <w:multiLevelType w:val="multilevel"/>
    <w:tmpl w:val="FFE8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D11395F"/>
    <w:multiLevelType w:val="multilevel"/>
    <w:tmpl w:val="DC3A5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D7B31B6"/>
    <w:multiLevelType w:val="multilevel"/>
    <w:tmpl w:val="21589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DA167AC"/>
    <w:multiLevelType w:val="multilevel"/>
    <w:tmpl w:val="EBE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DEA60C5"/>
    <w:multiLevelType w:val="multilevel"/>
    <w:tmpl w:val="80D8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E2E751E"/>
    <w:multiLevelType w:val="multilevel"/>
    <w:tmpl w:val="AF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E585A00"/>
    <w:multiLevelType w:val="multilevel"/>
    <w:tmpl w:val="E39A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EF73225"/>
    <w:multiLevelType w:val="multilevel"/>
    <w:tmpl w:val="DA30195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nsid w:val="4F0D6B37"/>
    <w:multiLevelType w:val="multilevel"/>
    <w:tmpl w:val="F372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F1D58DB"/>
    <w:multiLevelType w:val="multilevel"/>
    <w:tmpl w:val="1276BC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nsid w:val="4FD44D50"/>
    <w:multiLevelType w:val="hybridMultilevel"/>
    <w:tmpl w:val="5116280E"/>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4">
    <w:nsid w:val="5055215E"/>
    <w:multiLevelType w:val="multilevel"/>
    <w:tmpl w:val="AADC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50B571C4"/>
    <w:multiLevelType w:val="multilevel"/>
    <w:tmpl w:val="87A6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10D23B5"/>
    <w:multiLevelType w:val="multilevel"/>
    <w:tmpl w:val="03948958"/>
    <w:lvl w:ilvl="0">
      <w:start w:val="4"/>
      <w:numFmt w:val="decimal"/>
      <w:lvlText w:val="%1"/>
      <w:lvlJc w:val="left"/>
      <w:pPr>
        <w:ind w:left="600" w:hanging="600"/>
      </w:pPr>
      <w:rPr>
        <w:rFonts w:hint="default"/>
      </w:rPr>
    </w:lvl>
    <w:lvl w:ilvl="1">
      <w:start w:val="1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7">
    <w:nsid w:val="517B1B16"/>
    <w:multiLevelType w:val="multilevel"/>
    <w:tmpl w:val="A4C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20316D9"/>
    <w:multiLevelType w:val="multilevel"/>
    <w:tmpl w:val="50E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384318B"/>
    <w:multiLevelType w:val="multilevel"/>
    <w:tmpl w:val="A0E6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3856E7F"/>
    <w:multiLevelType w:val="multilevel"/>
    <w:tmpl w:val="A0F2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3DB3BC4"/>
    <w:multiLevelType w:val="multilevel"/>
    <w:tmpl w:val="13FE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404584E"/>
    <w:multiLevelType w:val="hybridMultilevel"/>
    <w:tmpl w:val="48AA0F66"/>
    <w:lvl w:ilvl="0" w:tplc="007AA68A">
      <w:start w:val="1"/>
      <w:numFmt w:val="bullet"/>
      <w:lvlText w:val="-"/>
      <w:lvlJc w:val="left"/>
      <w:pPr>
        <w:ind w:left="720" w:hanging="360"/>
      </w:pPr>
      <w:rPr>
        <w:rFonts w:ascii="Calibri" w:hAnsi="Calibri"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3">
    <w:nsid w:val="54A57450"/>
    <w:multiLevelType w:val="multilevel"/>
    <w:tmpl w:val="FFB2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4CB4890"/>
    <w:multiLevelType w:val="multilevel"/>
    <w:tmpl w:val="EA9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5294470"/>
    <w:multiLevelType w:val="multilevel"/>
    <w:tmpl w:val="896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5351FC3"/>
    <w:multiLevelType w:val="multilevel"/>
    <w:tmpl w:val="A24E322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7">
    <w:nsid w:val="55393FB3"/>
    <w:multiLevelType w:val="multilevel"/>
    <w:tmpl w:val="3F3A0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5526900"/>
    <w:multiLevelType w:val="multilevel"/>
    <w:tmpl w:val="F5B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56B289A"/>
    <w:multiLevelType w:val="multilevel"/>
    <w:tmpl w:val="BAFE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56414692"/>
    <w:multiLevelType w:val="multilevel"/>
    <w:tmpl w:val="05B41A1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1">
    <w:nsid w:val="56A11AA0"/>
    <w:multiLevelType w:val="multilevel"/>
    <w:tmpl w:val="3138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7EB1662"/>
    <w:multiLevelType w:val="multilevel"/>
    <w:tmpl w:val="DB6A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580F7395"/>
    <w:multiLevelType w:val="multilevel"/>
    <w:tmpl w:val="C67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8382682"/>
    <w:multiLevelType w:val="multilevel"/>
    <w:tmpl w:val="4A4479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92409BA"/>
    <w:multiLevelType w:val="hybridMultilevel"/>
    <w:tmpl w:val="33A820AC"/>
    <w:lvl w:ilvl="0" w:tplc="BCE66A42">
      <w:numFmt w:val="bullet"/>
      <w:lvlText w:val="-"/>
      <w:lvlJc w:val="left"/>
      <w:pPr>
        <w:ind w:left="720" w:hanging="360"/>
      </w:pPr>
      <w:rPr>
        <w:rFonts w:ascii="Aptos" w:eastAsiaTheme="minorEastAsia" w:hAnsi="Aptos" w:cstheme="minorHAnsi" w:hint="default"/>
        <w:b w:val="0"/>
      </w:rPr>
    </w:lvl>
    <w:lvl w:ilvl="1" w:tplc="BCE66A42">
      <w:numFmt w:val="bullet"/>
      <w:lvlText w:val="-"/>
      <w:lvlJc w:val="left"/>
      <w:pPr>
        <w:ind w:left="720" w:hanging="360"/>
      </w:pPr>
      <w:rPr>
        <w:rFonts w:ascii="Aptos" w:eastAsiaTheme="minorEastAsia" w:hAnsi="Aptos" w:cstheme="minorHAnsi" w:hint="default"/>
        <w:b w:val="0"/>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6">
    <w:nsid w:val="59282CBF"/>
    <w:multiLevelType w:val="multilevel"/>
    <w:tmpl w:val="A6D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59B24594"/>
    <w:multiLevelType w:val="multilevel"/>
    <w:tmpl w:val="13B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A192B2A"/>
    <w:multiLevelType w:val="multilevel"/>
    <w:tmpl w:val="3664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AD025D9"/>
    <w:multiLevelType w:val="multilevel"/>
    <w:tmpl w:val="5C2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BF75BA7"/>
    <w:multiLevelType w:val="multilevel"/>
    <w:tmpl w:val="BF4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D694BCE"/>
    <w:multiLevelType w:val="multilevel"/>
    <w:tmpl w:val="AF0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D8B68D5"/>
    <w:multiLevelType w:val="multilevel"/>
    <w:tmpl w:val="224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DAB30AF"/>
    <w:multiLevelType w:val="multilevel"/>
    <w:tmpl w:val="C32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0D04687"/>
    <w:multiLevelType w:val="multilevel"/>
    <w:tmpl w:val="F6C0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16229F5"/>
    <w:multiLevelType w:val="multilevel"/>
    <w:tmpl w:val="8B92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64445FF7"/>
    <w:multiLevelType w:val="multilevel"/>
    <w:tmpl w:val="B0F2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6742EA2"/>
    <w:multiLevelType w:val="multilevel"/>
    <w:tmpl w:val="76F0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668A1AF3"/>
    <w:multiLevelType w:val="multilevel"/>
    <w:tmpl w:val="11A2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69D64AA"/>
    <w:multiLevelType w:val="multilevel"/>
    <w:tmpl w:val="9670D01C"/>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7F74B6E"/>
    <w:multiLevelType w:val="multilevel"/>
    <w:tmpl w:val="EF52C7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nsid w:val="68566C8F"/>
    <w:multiLevelType w:val="multilevel"/>
    <w:tmpl w:val="D976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8804874"/>
    <w:multiLevelType w:val="multilevel"/>
    <w:tmpl w:val="8136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68AD770D"/>
    <w:multiLevelType w:val="multilevel"/>
    <w:tmpl w:val="E52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68D50516"/>
    <w:multiLevelType w:val="multilevel"/>
    <w:tmpl w:val="2356218C"/>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9384817"/>
    <w:multiLevelType w:val="multilevel"/>
    <w:tmpl w:val="AB5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94723D3"/>
    <w:multiLevelType w:val="multilevel"/>
    <w:tmpl w:val="04B27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9663FA0"/>
    <w:multiLevelType w:val="multilevel"/>
    <w:tmpl w:val="548A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B4460E2"/>
    <w:multiLevelType w:val="multilevel"/>
    <w:tmpl w:val="F68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B903380"/>
    <w:multiLevelType w:val="multilevel"/>
    <w:tmpl w:val="01A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CFE2D9B"/>
    <w:multiLevelType w:val="multilevel"/>
    <w:tmpl w:val="9914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D843BDE"/>
    <w:multiLevelType w:val="multilevel"/>
    <w:tmpl w:val="D8C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DF219E8"/>
    <w:multiLevelType w:val="multilevel"/>
    <w:tmpl w:val="11E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F916B4B"/>
    <w:multiLevelType w:val="multilevel"/>
    <w:tmpl w:val="D1F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0496F08"/>
    <w:multiLevelType w:val="hybridMultilevel"/>
    <w:tmpl w:val="9496C09E"/>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5">
    <w:nsid w:val="70BE0B7A"/>
    <w:multiLevelType w:val="multilevel"/>
    <w:tmpl w:val="CC80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71307CE6"/>
    <w:multiLevelType w:val="multilevel"/>
    <w:tmpl w:val="99AC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1540305"/>
    <w:multiLevelType w:val="multilevel"/>
    <w:tmpl w:val="CC406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17A35E0"/>
    <w:multiLevelType w:val="multilevel"/>
    <w:tmpl w:val="002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25A409B"/>
    <w:multiLevelType w:val="multilevel"/>
    <w:tmpl w:val="72A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729C17A2"/>
    <w:multiLevelType w:val="multilevel"/>
    <w:tmpl w:val="8C8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73443C63"/>
    <w:multiLevelType w:val="multilevel"/>
    <w:tmpl w:val="E372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351431D"/>
    <w:multiLevelType w:val="multilevel"/>
    <w:tmpl w:val="D2B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3C17FB8"/>
    <w:multiLevelType w:val="multilevel"/>
    <w:tmpl w:val="003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448429C"/>
    <w:multiLevelType w:val="multilevel"/>
    <w:tmpl w:val="1DB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522701B"/>
    <w:multiLevelType w:val="multilevel"/>
    <w:tmpl w:val="17A46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53E0D6D"/>
    <w:multiLevelType w:val="multilevel"/>
    <w:tmpl w:val="799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7AF47D7"/>
    <w:multiLevelType w:val="hybridMultilevel"/>
    <w:tmpl w:val="9FE6E96C"/>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8">
    <w:nsid w:val="77F12680"/>
    <w:multiLevelType w:val="multilevel"/>
    <w:tmpl w:val="76C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81B7D94"/>
    <w:multiLevelType w:val="multilevel"/>
    <w:tmpl w:val="E234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8A52867"/>
    <w:multiLevelType w:val="multilevel"/>
    <w:tmpl w:val="FFFFFFFF"/>
    <w:lvl w:ilvl="0">
      <w:start w:val="1"/>
      <w:numFmt w:val="decimal"/>
      <w:lvlText w:val="%1."/>
      <w:lvlJc w:val="left"/>
      <w:pPr>
        <w:ind w:left="360" w:hanging="360"/>
      </w:pPr>
      <w:rPr>
        <w:rFonts w:cs="Times New Roman" w:hint="default"/>
      </w:rPr>
    </w:lvl>
    <w:lvl w:ilvl="1">
      <w:start w:val="8"/>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31">
    <w:nsid w:val="7B6769A8"/>
    <w:multiLevelType w:val="multilevel"/>
    <w:tmpl w:val="634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7B7638B6"/>
    <w:multiLevelType w:val="multilevel"/>
    <w:tmpl w:val="DF62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7B9F452E"/>
    <w:multiLevelType w:val="multilevel"/>
    <w:tmpl w:val="8F90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7CBF01B7"/>
    <w:multiLevelType w:val="hybridMultilevel"/>
    <w:tmpl w:val="CBD8CC22"/>
    <w:lvl w:ilvl="0" w:tplc="007AA68A">
      <w:start w:val="1"/>
      <w:numFmt w:val="bullet"/>
      <w:lvlText w:val="-"/>
      <w:lvlJc w:val="left"/>
      <w:pPr>
        <w:ind w:left="720" w:hanging="360"/>
      </w:pPr>
      <w:rPr>
        <w:rFonts w:ascii="Calibri" w:hAnsi="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5">
    <w:nsid w:val="7DB436F6"/>
    <w:multiLevelType w:val="multilevel"/>
    <w:tmpl w:val="7FB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E4E3B76"/>
    <w:multiLevelType w:val="multilevel"/>
    <w:tmpl w:val="C668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EB25777"/>
    <w:multiLevelType w:val="multilevel"/>
    <w:tmpl w:val="69A0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7EC34395"/>
    <w:multiLevelType w:val="hybridMultilevel"/>
    <w:tmpl w:val="4CE8D75E"/>
    <w:lvl w:ilvl="0" w:tplc="08180011">
      <w:start w:val="1"/>
      <w:numFmt w:val="decimal"/>
      <w:lvlText w:val="%1)"/>
      <w:lvlJc w:val="left"/>
      <w:pPr>
        <w:ind w:left="720" w:hanging="360"/>
      </w:p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42"/>
  </w:num>
  <w:num w:numId="2">
    <w:abstractNumId w:val="200"/>
  </w:num>
  <w:num w:numId="3">
    <w:abstractNumId w:val="160"/>
  </w:num>
  <w:num w:numId="4">
    <w:abstractNumId w:val="176"/>
  </w:num>
  <w:num w:numId="5">
    <w:abstractNumId w:val="77"/>
  </w:num>
  <w:num w:numId="6">
    <w:abstractNumId w:val="143"/>
  </w:num>
  <w:num w:numId="7">
    <w:abstractNumId w:val="73"/>
  </w:num>
  <w:num w:numId="8">
    <w:abstractNumId w:val="180"/>
  </w:num>
  <w:num w:numId="9">
    <w:abstractNumId w:val="139"/>
  </w:num>
  <w:num w:numId="10">
    <w:abstractNumId w:val="201"/>
  </w:num>
  <w:num w:numId="11">
    <w:abstractNumId w:val="206"/>
  </w:num>
  <w:num w:numId="12">
    <w:abstractNumId w:val="142"/>
  </w:num>
  <w:num w:numId="13">
    <w:abstractNumId w:val="184"/>
  </w:num>
  <w:num w:numId="14">
    <w:abstractNumId w:val="192"/>
  </w:num>
  <w:num w:numId="15">
    <w:abstractNumId w:val="15"/>
  </w:num>
  <w:num w:numId="16">
    <w:abstractNumId w:val="228"/>
  </w:num>
  <w:num w:numId="17">
    <w:abstractNumId w:val="79"/>
  </w:num>
  <w:num w:numId="18">
    <w:abstractNumId w:val="41"/>
  </w:num>
  <w:num w:numId="19">
    <w:abstractNumId w:val="47"/>
  </w:num>
  <w:num w:numId="20">
    <w:abstractNumId w:val="28"/>
  </w:num>
  <w:num w:numId="21">
    <w:abstractNumId w:val="119"/>
  </w:num>
  <w:num w:numId="22">
    <w:abstractNumId w:val="116"/>
  </w:num>
  <w:num w:numId="23">
    <w:abstractNumId w:val="183"/>
  </w:num>
  <w:num w:numId="24">
    <w:abstractNumId w:val="4"/>
  </w:num>
  <w:num w:numId="25">
    <w:abstractNumId w:val="124"/>
  </w:num>
  <w:num w:numId="26">
    <w:abstractNumId w:val="113"/>
  </w:num>
  <w:num w:numId="27">
    <w:abstractNumId w:val="29"/>
  </w:num>
  <w:num w:numId="28">
    <w:abstractNumId w:val="233"/>
  </w:num>
  <w:num w:numId="29">
    <w:abstractNumId w:val="89"/>
  </w:num>
  <w:num w:numId="30">
    <w:abstractNumId w:val="122"/>
  </w:num>
  <w:num w:numId="31">
    <w:abstractNumId w:val="55"/>
  </w:num>
  <w:num w:numId="32">
    <w:abstractNumId w:val="179"/>
  </w:num>
  <w:num w:numId="33">
    <w:abstractNumId w:val="14"/>
  </w:num>
  <w:num w:numId="34">
    <w:abstractNumId w:val="78"/>
  </w:num>
  <w:num w:numId="35">
    <w:abstractNumId w:val="191"/>
  </w:num>
  <w:num w:numId="36">
    <w:abstractNumId w:val="224"/>
  </w:num>
  <w:num w:numId="37">
    <w:abstractNumId w:val="54"/>
  </w:num>
  <w:num w:numId="38">
    <w:abstractNumId w:val="30"/>
  </w:num>
  <w:num w:numId="39">
    <w:abstractNumId w:val="174"/>
  </w:num>
  <w:num w:numId="40">
    <w:abstractNumId w:val="33"/>
  </w:num>
  <w:num w:numId="41">
    <w:abstractNumId w:val="60"/>
  </w:num>
  <w:num w:numId="42">
    <w:abstractNumId w:val="22"/>
  </w:num>
  <w:num w:numId="43">
    <w:abstractNumId w:val="236"/>
  </w:num>
  <w:num w:numId="44">
    <w:abstractNumId w:val="157"/>
  </w:num>
  <w:num w:numId="45">
    <w:abstractNumId w:val="135"/>
  </w:num>
  <w:num w:numId="46">
    <w:abstractNumId w:val="162"/>
  </w:num>
  <w:num w:numId="47">
    <w:abstractNumId w:val="50"/>
  </w:num>
  <w:num w:numId="48">
    <w:abstractNumId w:val="126"/>
  </w:num>
  <w:num w:numId="49">
    <w:abstractNumId w:val="82"/>
  </w:num>
  <w:num w:numId="50">
    <w:abstractNumId w:val="61"/>
  </w:num>
  <w:num w:numId="51">
    <w:abstractNumId w:val="70"/>
  </w:num>
  <w:num w:numId="52">
    <w:abstractNumId w:val="57"/>
  </w:num>
  <w:num w:numId="53">
    <w:abstractNumId w:val="150"/>
  </w:num>
  <w:num w:numId="54">
    <w:abstractNumId w:val="8"/>
  </w:num>
  <w:num w:numId="55">
    <w:abstractNumId w:val="136"/>
  </w:num>
  <w:num w:numId="56">
    <w:abstractNumId w:val="141"/>
  </w:num>
  <w:num w:numId="57">
    <w:abstractNumId w:val="2"/>
  </w:num>
  <w:num w:numId="58">
    <w:abstractNumId w:val="0"/>
  </w:num>
  <w:num w:numId="59">
    <w:abstractNumId w:val="128"/>
  </w:num>
  <w:num w:numId="60">
    <w:abstractNumId w:val="94"/>
  </w:num>
  <w:num w:numId="61">
    <w:abstractNumId w:val="37"/>
  </w:num>
  <w:num w:numId="62">
    <w:abstractNumId w:val="5"/>
  </w:num>
  <w:num w:numId="63">
    <w:abstractNumId w:val="13"/>
  </w:num>
  <w:num w:numId="64">
    <w:abstractNumId w:val="16"/>
  </w:num>
  <w:num w:numId="65">
    <w:abstractNumId w:val="98"/>
  </w:num>
  <w:num w:numId="66">
    <w:abstractNumId w:val="205"/>
  </w:num>
  <w:num w:numId="67">
    <w:abstractNumId w:val="217"/>
  </w:num>
  <w:num w:numId="68">
    <w:abstractNumId w:val="175"/>
  </w:num>
  <w:num w:numId="69">
    <w:abstractNumId w:val="10"/>
  </w:num>
  <w:num w:numId="70">
    <w:abstractNumId w:val="211"/>
  </w:num>
  <w:num w:numId="71">
    <w:abstractNumId w:val="226"/>
  </w:num>
  <w:num w:numId="72">
    <w:abstractNumId w:val="173"/>
  </w:num>
  <w:num w:numId="73">
    <w:abstractNumId w:val="101"/>
  </w:num>
  <w:num w:numId="74">
    <w:abstractNumId w:val="127"/>
  </w:num>
  <w:num w:numId="75">
    <w:abstractNumId w:val="71"/>
  </w:num>
  <w:num w:numId="76">
    <w:abstractNumId w:val="148"/>
  </w:num>
  <w:num w:numId="77">
    <w:abstractNumId w:val="53"/>
  </w:num>
  <w:num w:numId="78">
    <w:abstractNumId w:val="159"/>
  </w:num>
  <w:num w:numId="79">
    <w:abstractNumId w:val="43"/>
  </w:num>
  <w:num w:numId="80">
    <w:abstractNumId w:val="165"/>
  </w:num>
  <w:num w:numId="81">
    <w:abstractNumId w:val="110"/>
  </w:num>
  <w:num w:numId="82">
    <w:abstractNumId w:val="120"/>
  </w:num>
  <w:num w:numId="83">
    <w:abstractNumId w:val="7"/>
  </w:num>
  <w:num w:numId="84">
    <w:abstractNumId w:val="121"/>
  </w:num>
  <w:num w:numId="85">
    <w:abstractNumId w:val="181"/>
  </w:num>
  <w:num w:numId="86">
    <w:abstractNumId w:val="212"/>
  </w:num>
  <w:num w:numId="87">
    <w:abstractNumId w:val="235"/>
  </w:num>
  <w:num w:numId="88">
    <w:abstractNumId w:val="208"/>
  </w:num>
  <w:num w:numId="89">
    <w:abstractNumId w:val="49"/>
  </w:num>
  <w:num w:numId="90">
    <w:abstractNumId w:val="194"/>
  </w:num>
  <w:num w:numId="91">
    <w:abstractNumId w:val="202"/>
  </w:num>
  <w:num w:numId="92">
    <w:abstractNumId w:val="51"/>
  </w:num>
  <w:num w:numId="93">
    <w:abstractNumId w:val="44"/>
  </w:num>
  <w:num w:numId="94">
    <w:abstractNumId w:val="118"/>
  </w:num>
  <w:num w:numId="95">
    <w:abstractNumId w:val="203"/>
  </w:num>
  <w:num w:numId="96">
    <w:abstractNumId w:val="171"/>
  </w:num>
  <w:num w:numId="97">
    <w:abstractNumId w:val="138"/>
  </w:num>
  <w:num w:numId="98">
    <w:abstractNumId w:val="137"/>
  </w:num>
  <w:num w:numId="99">
    <w:abstractNumId w:val="218"/>
  </w:num>
  <w:num w:numId="100">
    <w:abstractNumId w:val="115"/>
  </w:num>
  <w:num w:numId="101">
    <w:abstractNumId w:val="213"/>
  </w:num>
  <w:num w:numId="102">
    <w:abstractNumId w:val="107"/>
  </w:num>
  <w:num w:numId="103">
    <w:abstractNumId w:val="151"/>
  </w:num>
  <w:num w:numId="104">
    <w:abstractNumId w:val="67"/>
  </w:num>
  <w:num w:numId="105">
    <w:abstractNumId w:val="125"/>
  </w:num>
  <w:num w:numId="106">
    <w:abstractNumId w:val="111"/>
  </w:num>
  <w:num w:numId="107">
    <w:abstractNumId w:val="52"/>
  </w:num>
  <w:num w:numId="108">
    <w:abstractNumId w:val="48"/>
  </w:num>
  <w:num w:numId="109">
    <w:abstractNumId w:val="112"/>
  </w:num>
  <w:num w:numId="110">
    <w:abstractNumId w:val="190"/>
  </w:num>
  <w:num w:numId="111">
    <w:abstractNumId w:val="216"/>
  </w:num>
  <w:num w:numId="112">
    <w:abstractNumId w:val="114"/>
  </w:num>
  <w:num w:numId="113">
    <w:abstractNumId w:val="40"/>
  </w:num>
  <w:num w:numId="114">
    <w:abstractNumId w:val="35"/>
  </w:num>
  <w:num w:numId="115">
    <w:abstractNumId w:val="152"/>
  </w:num>
  <w:num w:numId="116">
    <w:abstractNumId w:val="167"/>
  </w:num>
  <w:num w:numId="117">
    <w:abstractNumId w:val="158"/>
  </w:num>
  <w:num w:numId="118">
    <w:abstractNumId w:val="74"/>
  </w:num>
  <w:num w:numId="119">
    <w:abstractNumId w:val="104"/>
  </w:num>
  <w:num w:numId="120">
    <w:abstractNumId w:val="170"/>
  </w:num>
  <w:num w:numId="121">
    <w:abstractNumId w:val="130"/>
  </w:num>
  <w:num w:numId="122">
    <w:abstractNumId w:val="132"/>
  </w:num>
  <w:num w:numId="123">
    <w:abstractNumId w:val="31"/>
  </w:num>
  <w:num w:numId="124">
    <w:abstractNumId w:val="221"/>
  </w:num>
  <w:num w:numId="125">
    <w:abstractNumId w:val="100"/>
  </w:num>
  <w:num w:numId="126">
    <w:abstractNumId w:val="75"/>
  </w:num>
  <w:num w:numId="127">
    <w:abstractNumId w:val="62"/>
  </w:num>
  <w:num w:numId="128">
    <w:abstractNumId w:val="68"/>
  </w:num>
  <w:num w:numId="129">
    <w:abstractNumId w:val="63"/>
  </w:num>
  <w:num w:numId="130">
    <w:abstractNumId w:val="154"/>
  </w:num>
  <w:num w:numId="131">
    <w:abstractNumId w:val="155"/>
  </w:num>
  <w:num w:numId="132">
    <w:abstractNumId w:val="11"/>
  </w:num>
  <w:num w:numId="133">
    <w:abstractNumId w:val="144"/>
  </w:num>
  <w:num w:numId="134">
    <w:abstractNumId w:val="20"/>
  </w:num>
  <w:num w:numId="135">
    <w:abstractNumId w:val="145"/>
  </w:num>
  <w:num w:numId="136">
    <w:abstractNumId w:val="24"/>
  </w:num>
  <w:num w:numId="137">
    <w:abstractNumId w:val="182"/>
  </w:num>
  <w:num w:numId="138">
    <w:abstractNumId w:val="210"/>
  </w:num>
  <w:num w:numId="139">
    <w:abstractNumId w:val="23"/>
  </w:num>
  <w:num w:numId="140">
    <w:abstractNumId w:val="186"/>
  </w:num>
  <w:num w:numId="141">
    <w:abstractNumId w:val="161"/>
  </w:num>
  <w:num w:numId="142">
    <w:abstractNumId w:val="197"/>
  </w:num>
  <w:num w:numId="143">
    <w:abstractNumId w:val="83"/>
  </w:num>
  <w:num w:numId="144">
    <w:abstractNumId w:val="195"/>
  </w:num>
  <w:num w:numId="145">
    <w:abstractNumId w:val="185"/>
  </w:num>
  <w:num w:numId="146">
    <w:abstractNumId w:val="85"/>
  </w:num>
  <w:num w:numId="147">
    <w:abstractNumId w:val="207"/>
  </w:num>
  <w:num w:numId="148">
    <w:abstractNumId w:val="26"/>
  </w:num>
  <w:num w:numId="149">
    <w:abstractNumId w:val="3"/>
  </w:num>
  <w:num w:numId="150">
    <w:abstractNumId w:val="91"/>
  </w:num>
  <w:num w:numId="151">
    <w:abstractNumId w:val="36"/>
  </w:num>
  <w:num w:numId="152">
    <w:abstractNumId w:val="93"/>
  </w:num>
  <w:num w:numId="153">
    <w:abstractNumId w:val="163"/>
  </w:num>
  <w:num w:numId="154">
    <w:abstractNumId w:val="227"/>
  </w:num>
  <w:num w:numId="155">
    <w:abstractNumId w:val="86"/>
  </w:num>
  <w:num w:numId="156">
    <w:abstractNumId w:val="214"/>
  </w:num>
  <w:num w:numId="157">
    <w:abstractNumId w:val="38"/>
  </w:num>
  <w:num w:numId="158">
    <w:abstractNumId w:val="153"/>
  </w:num>
  <w:num w:numId="159">
    <w:abstractNumId w:val="108"/>
  </w:num>
  <w:num w:numId="160">
    <w:abstractNumId w:val="168"/>
  </w:num>
  <w:num w:numId="161">
    <w:abstractNumId w:val="80"/>
  </w:num>
  <w:num w:numId="162">
    <w:abstractNumId w:val="58"/>
  </w:num>
  <w:num w:numId="163">
    <w:abstractNumId w:val="172"/>
  </w:num>
  <w:num w:numId="164">
    <w:abstractNumId w:val="34"/>
  </w:num>
  <w:num w:numId="165">
    <w:abstractNumId w:val="92"/>
  </w:num>
  <w:num w:numId="166">
    <w:abstractNumId w:val="6"/>
  </w:num>
  <w:num w:numId="167">
    <w:abstractNumId w:val="131"/>
  </w:num>
  <w:num w:numId="168">
    <w:abstractNumId w:val="106"/>
  </w:num>
  <w:num w:numId="169">
    <w:abstractNumId w:val="97"/>
  </w:num>
  <w:num w:numId="170">
    <w:abstractNumId w:val="177"/>
  </w:num>
  <w:num w:numId="171">
    <w:abstractNumId w:val="146"/>
  </w:num>
  <w:num w:numId="172">
    <w:abstractNumId w:val="234"/>
  </w:num>
  <w:num w:numId="173">
    <w:abstractNumId w:val="103"/>
  </w:num>
  <w:num w:numId="174">
    <w:abstractNumId w:val="96"/>
  </w:num>
  <w:num w:numId="175">
    <w:abstractNumId w:val="46"/>
  </w:num>
  <w:num w:numId="176">
    <w:abstractNumId w:val="81"/>
  </w:num>
  <w:num w:numId="177">
    <w:abstractNumId w:val="237"/>
  </w:num>
  <w:num w:numId="178">
    <w:abstractNumId w:val="169"/>
  </w:num>
  <w:num w:numId="179">
    <w:abstractNumId w:val="215"/>
  </w:num>
  <w:num w:numId="180">
    <w:abstractNumId w:val="45"/>
  </w:num>
  <w:num w:numId="181">
    <w:abstractNumId w:val="187"/>
  </w:num>
  <w:num w:numId="182">
    <w:abstractNumId w:val="21"/>
  </w:num>
  <w:num w:numId="183">
    <w:abstractNumId w:val="222"/>
  </w:num>
  <w:num w:numId="184">
    <w:abstractNumId w:val="66"/>
  </w:num>
  <w:num w:numId="185">
    <w:abstractNumId w:val="102"/>
  </w:num>
  <w:num w:numId="186">
    <w:abstractNumId w:val="231"/>
  </w:num>
  <w:num w:numId="187">
    <w:abstractNumId w:val="9"/>
  </w:num>
  <w:num w:numId="188">
    <w:abstractNumId w:val="19"/>
  </w:num>
  <w:num w:numId="189">
    <w:abstractNumId w:val="196"/>
  </w:num>
  <w:num w:numId="190">
    <w:abstractNumId w:val="69"/>
  </w:num>
  <w:num w:numId="191">
    <w:abstractNumId w:val="188"/>
  </w:num>
  <w:num w:numId="192">
    <w:abstractNumId w:val="223"/>
  </w:num>
  <w:num w:numId="193">
    <w:abstractNumId w:val="209"/>
  </w:num>
  <w:num w:numId="194">
    <w:abstractNumId w:val="232"/>
  </w:num>
  <w:num w:numId="195">
    <w:abstractNumId w:val="17"/>
  </w:num>
  <w:num w:numId="196">
    <w:abstractNumId w:val="90"/>
  </w:num>
  <w:num w:numId="197">
    <w:abstractNumId w:val="123"/>
  </w:num>
  <w:num w:numId="198">
    <w:abstractNumId w:val="95"/>
  </w:num>
  <w:num w:numId="199">
    <w:abstractNumId w:val="87"/>
  </w:num>
  <w:num w:numId="200">
    <w:abstractNumId w:val="193"/>
  </w:num>
  <w:num w:numId="201">
    <w:abstractNumId w:val="59"/>
  </w:num>
  <w:num w:numId="202">
    <w:abstractNumId w:val="178"/>
  </w:num>
  <w:num w:numId="203">
    <w:abstractNumId w:val="133"/>
  </w:num>
  <w:num w:numId="204">
    <w:abstractNumId w:val="109"/>
  </w:num>
  <w:num w:numId="205">
    <w:abstractNumId w:val="238"/>
  </w:num>
  <w:num w:numId="206">
    <w:abstractNumId w:val="12"/>
  </w:num>
  <w:num w:numId="207">
    <w:abstractNumId w:val="72"/>
  </w:num>
  <w:num w:numId="208">
    <w:abstractNumId w:val="56"/>
  </w:num>
  <w:num w:numId="209">
    <w:abstractNumId w:val="198"/>
  </w:num>
  <w:num w:numId="210">
    <w:abstractNumId w:val="1"/>
  </w:num>
  <w:num w:numId="211">
    <w:abstractNumId w:val="147"/>
  </w:num>
  <w:num w:numId="212">
    <w:abstractNumId w:val="230"/>
  </w:num>
  <w:num w:numId="213">
    <w:abstractNumId w:val="88"/>
  </w:num>
  <w:num w:numId="214">
    <w:abstractNumId w:val="65"/>
  </w:num>
  <w:num w:numId="215">
    <w:abstractNumId w:val="84"/>
  </w:num>
  <w:num w:numId="216">
    <w:abstractNumId w:val="189"/>
  </w:num>
  <w:num w:numId="217">
    <w:abstractNumId w:val="32"/>
  </w:num>
  <w:num w:numId="218">
    <w:abstractNumId w:val="219"/>
  </w:num>
  <w:num w:numId="219">
    <w:abstractNumId w:val="117"/>
  </w:num>
  <w:num w:numId="220">
    <w:abstractNumId w:val="27"/>
  </w:num>
  <w:num w:numId="221">
    <w:abstractNumId w:val="229"/>
  </w:num>
  <w:num w:numId="222">
    <w:abstractNumId w:val="105"/>
  </w:num>
  <w:num w:numId="223">
    <w:abstractNumId w:val="140"/>
  </w:num>
  <w:num w:numId="224">
    <w:abstractNumId w:val="156"/>
  </w:num>
  <w:num w:numId="225">
    <w:abstractNumId w:val="76"/>
  </w:num>
  <w:num w:numId="226">
    <w:abstractNumId w:val="99"/>
  </w:num>
  <w:num w:numId="227">
    <w:abstractNumId w:val="18"/>
  </w:num>
  <w:num w:numId="228">
    <w:abstractNumId w:val="225"/>
  </w:num>
  <w:num w:numId="229">
    <w:abstractNumId w:val="134"/>
  </w:num>
  <w:num w:numId="230">
    <w:abstractNumId w:val="39"/>
  </w:num>
  <w:num w:numId="231">
    <w:abstractNumId w:val="149"/>
  </w:num>
  <w:num w:numId="232">
    <w:abstractNumId w:val="64"/>
  </w:num>
  <w:num w:numId="233">
    <w:abstractNumId w:val="166"/>
  </w:num>
  <w:num w:numId="234">
    <w:abstractNumId w:val="129"/>
  </w:num>
  <w:num w:numId="235">
    <w:abstractNumId w:val="25"/>
  </w:num>
  <w:num w:numId="236">
    <w:abstractNumId w:val="220"/>
  </w:num>
  <w:num w:numId="237">
    <w:abstractNumId w:val="164"/>
  </w:num>
  <w:num w:numId="238">
    <w:abstractNumId w:val="199"/>
  </w:num>
  <w:num w:numId="239">
    <w:abstractNumId w:val="204"/>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EF"/>
    <w:rsid w:val="0000004F"/>
    <w:rsid w:val="00000996"/>
    <w:rsid w:val="000009EE"/>
    <w:rsid w:val="00000ABB"/>
    <w:rsid w:val="00002903"/>
    <w:rsid w:val="00002FAE"/>
    <w:rsid w:val="000035AB"/>
    <w:rsid w:val="00005330"/>
    <w:rsid w:val="00005666"/>
    <w:rsid w:val="000059EA"/>
    <w:rsid w:val="00006199"/>
    <w:rsid w:val="000064F7"/>
    <w:rsid w:val="0000681E"/>
    <w:rsid w:val="00006D96"/>
    <w:rsid w:val="00007DBE"/>
    <w:rsid w:val="0001026F"/>
    <w:rsid w:val="00010517"/>
    <w:rsid w:val="0001136B"/>
    <w:rsid w:val="00011ECF"/>
    <w:rsid w:val="00012245"/>
    <w:rsid w:val="000124BA"/>
    <w:rsid w:val="00014A64"/>
    <w:rsid w:val="00015ACF"/>
    <w:rsid w:val="00015BA6"/>
    <w:rsid w:val="00015F2B"/>
    <w:rsid w:val="00016572"/>
    <w:rsid w:val="00017039"/>
    <w:rsid w:val="0001704A"/>
    <w:rsid w:val="0001713A"/>
    <w:rsid w:val="000173AF"/>
    <w:rsid w:val="00020086"/>
    <w:rsid w:val="00020307"/>
    <w:rsid w:val="000204C6"/>
    <w:rsid w:val="00021C2B"/>
    <w:rsid w:val="00022173"/>
    <w:rsid w:val="000225CA"/>
    <w:rsid w:val="0002263F"/>
    <w:rsid w:val="00022FA8"/>
    <w:rsid w:val="0002332C"/>
    <w:rsid w:val="00024004"/>
    <w:rsid w:val="00025E9B"/>
    <w:rsid w:val="0002606D"/>
    <w:rsid w:val="0002645A"/>
    <w:rsid w:val="000277EF"/>
    <w:rsid w:val="00027815"/>
    <w:rsid w:val="0003158E"/>
    <w:rsid w:val="00031A59"/>
    <w:rsid w:val="00031D94"/>
    <w:rsid w:val="00032558"/>
    <w:rsid w:val="00032B92"/>
    <w:rsid w:val="00033133"/>
    <w:rsid w:val="0003429B"/>
    <w:rsid w:val="00034568"/>
    <w:rsid w:val="0003496F"/>
    <w:rsid w:val="00034DE3"/>
    <w:rsid w:val="00035104"/>
    <w:rsid w:val="00035AEB"/>
    <w:rsid w:val="00035B11"/>
    <w:rsid w:val="00035BFF"/>
    <w:rsid w:val="00035E34"/>
    <w:rsid w:val="00036A47"/>
    <w:rsid w:val="000374E7"/>
    <w:rsid w:val="00037759"/>
    <w:rsid w:val="000377E2"/>
    <w:rsid w:val="00037C58"/>
    <w:rsid w:val="00037D4D"/>
    <w:rsid w:val="00040508"/>
    <w:rsid w:val="00040831"/>
    <w:rsid w:val="00040DE9"/>
    <w:rsid w:val="00042E0F"/>
    <w:rsid w:val="0004358C"/>
    <w:rsid w:val="00043AF2"/>
    <w:rsid w:val="00043EB0"/>
    <w:rsid w:val="00044BF3"/>
    <w:rsid w:val="00044FA0"/>
    <w:rsid w:val="000467B8"/>
    <w:rsid w:val="00046DEF"/>
    <w:rsid w:val="00046E47"/>
    <w:rsid w:val="0005141C"/>
    <w:rsid w:val="00051998"/>
    <w:rsid w:val="00051DB2"/>
    <w:rsid w:val="00051F9D"/>
    <w:rsid w:val="000527AB"/>
    <w:rsid w:val="00053927"/>
    <w:rsid w:val="000548BA"/>
    <w:rsid w:val="00054ACB"/>
    <w:rsid w:val="00054D5A"/>
    <w:rsid w:val="000550CC"/>
    <w:rsid w:val="00056248"/>
    <w:rsid w:val="0005680A"/>
    <w:rsid w:val="00056A43"/>
    <w:rsid w:val="000578E0"/>
    <w:rsid w:val="00057CA6"/>
    <w:rsid w:val="00057FCA"/>
    <w:rsid w:val="00060265"/>
    <w:rsid w:val="0006102C"/>
    <w:rsid w:val="000619E0"/>
    <w:rsid w:val="00061C39"/>
    <w:rsid w:val="000620DA"/>
    <w:rsid w:val="00062401"/>
    <w:rsid w:val="0006254E"/>
    <w:rsid w:val="000628DC"/>
    <w:rsid w:val="00062BF6"/>
    <w:rsid w:val="00062E8D"/>
    <w:rsid w:val="00064C8B"/>
    <w:rsid w:val="00065C08"/>
    <w:rsid w:val="0006670E"/>
    <w:rsid w:val="00066C25"/>
    <w:rsid w:val="0006737F"/>
    <w:rsid w:val="0006795E"/>
    <w:rsid w:val="00067EBB"/>
    <w:rsid w:val="00070127"/>
    <w:rsid w:val="00070577"/>
    <w:rsid w:val="000706BA"/>
    <w:rsid w:val="0007112C"/>
    <w:rsid w:val="00071177"/>
    <w:rsid w:val="0007130D"/>
    <w:rsid w:val="000713E0"/>
    <w:rsid w:val="0007146F"/>
    <w:rsid w:val="00071CAF"/>
    <w:rsid w:val="00071D8E"/>
    <w:rsid w:val="00073218"/>
    <w:rsid w:val="00073722"/>
    <w:rsid w:val="0007449A"/>
    <w:rsid w:val="0007467F"/>
    <w:rsid w:val="00075B79"/>
    <w:rsid w:val="00076001"/>
    <w:rsid w:val="0007696A"/>
    <w:rsid w:val="00076BC7"/>
    <w:rsid w:val="00076E55"/>
    <w:rsid w:val="000772DE"/>
    <w:rsid w:val="00077726"/>
    <w:rsid w:val="00077A10"/>
    <w:rsid w:val="000811F7"/>
    <w:rsid w:val="00082272"/>
    <w:rsid w:val="00082B0B"/>
    <w:rsid w:val="00082F37"/>
    <w:rsid w:val="00084509"/>
    <w:rsid w:val="00084696"/>
    <w:rsid w:val="00084A19"/>
    <w:rsid w:val="000857DD"/>
    <w:rsid w:val="00085807"/>
    <w:rsid w:val="000869AB"/>
    <w:rsid w:val="00086C36"/>
    <w:rsid w:val="00086D3C"/>
    <w:rsid w:val="000900CD"/>
    <w:rsid w:val="000914C3"/>
    <w:rsid w:val="00091633"/>
    <w:rsid w:val="00091B58"/>
    <w:rsid w:val="0009214E"/>
    <w:rsid w:val="00093608"/>
    <w:rsid w:val="000936C7"/>
    <w:rsid w:val="00093746"/>
    <w:rsid w:val="0009461F"/>
    <w:rsid w:val="000948F2"/>
    <w:rsid w:val="00094C44"/>
    <w:rsid w:val="00094DA5"/>
    <w:rsid w:val="000956FB"/>
    <w:rsid w:val="000961A1"/>
    <w:rsid w:val="00096323"/>
    <w:rsid w:val="000964D0"/>
    <w:rsid w:val="00096F98"/>
    <w:rsid w:val="0009729E"/>
    <w:rsid w:val="00097A46"/>
    <w:rsid w:val="000A0322"/>
    <w:rsid w:val="000A08B8"/>
    <w:rsid w:val="000A0C44"/>
    <w:rsid w:val="000A134C"/>
    <w:rsid w:val="000A1595"/>
    <w:rsid w:val="000A17B6"/>
    <w:rsid w:val="000A2D9C"/>
    <w:rsid w:val="000A3B3E"/>
    <w:rsid w:val="000A3D0D"/>
    <w:rsid w:val="000A5297"/>
    <w:rsid w:val="000A55D0"/>
    <w:rsid w:val="000A570C"/>
    <w:rsid w:val="000A57E9"/>
    <w:rsid w:val="000A6358"/>
    <w:rsid w:val="000A73BA"/>
    <w:rsid w:val="000A7716"/>
    <w:rsid w:val="000A77CB"/>
    <w:rsid w:val="000A7D30"/>
    <w:rsid w:val="000A7F75"/>
    <w:rsid w:val="000B1003"/>
    <w:rsid w:val="000B14F2"/>
    <w:rsid w:val="000B209E"/>
    <w:rsid w:val="000B2221"/>
    <w:rsid w:val="000B2426"/>
    <w:rsid w:val="000B3074"/>
    <w:rsid w:val="000B34A4"/>
    <w:rsid w:val="000B35A1"/>
    <w:rsid w:val="000B39B6"/>
    <w:rsid w:val="000B40F8"/>
    <w:rsid w:val="000B4293"/>
    <w:rsid w:val="000B431A"/>
    <w:rsid w:val="000B5162"/>
    <w:rsid w:val="000B55BB"/>
    <w:rsid w:val="000B5DDD"/>
    <w:rsid w:val="000B5E44"/>
    <w:rsid w:val="000B6244"/>
    <w:rsid w:val="000B722A"/>
    <w:rsid w:val="000B7B8B"/>
    <w:rsid w:val="000C018E"/>
    <w:rsid w:val="000C05F2"/>
    <w:rsid w:val="000C0691"/>
    <w:rsid w:val="000C13A2"/>
    <w:rsid w:val="000C238E"/>
    <w:rsid w:val="000C27AB"/>
    <w:rsid w:val="000C2AFE"/>
    <w:rsid w:val="000C2E08"/>
    <w:rsid w:val="000C2E3B"/>
    <w:rsid w:val="000C39EE"/>
    <w:rsid w:val="000C433E"/>
    <w:rsid w:val="000C45D3"/>
    <w:rsid w:val="000C4E2F"/>
    <w:rsid w:val="000C5283"/>
    <w:rsid w:val="000C573F"/>
    <w:rsid w:val="000C6FF4"/>
    <w:rsid w:val="000C7F9B"/>
    <w:rsid w:val="000D03D0"/>
    <w:rsid w:val="000D0609"/>
    <w:rsid w:val="000D16BD"/>
    <w:rsid w:val="000D214C"/>
    <w:rsid w:val="000D25C4"/>
    <w:rsid w:val="000D37BC"/>
    <w:rsid w:val="000D387F"/>
    <w:rsid w:val="000D46E1"/>
    <w:rsid w:val="000D4C00"/>
    <w:rsid w:val="000D4D93"/>
    <w:rsid w:val="000D528E"/>
    <w:rsid w:val="000D5791"/>
    <w:rsid w:val="000D5BE9"/>
    <w:rsid w:val="000D6D52"/>
    <w:rsid w:val="000D6DEE"/>
    <w:rsid w:val="000D74A5"/>
    <w:rsid w:val="000E1254"/>
    <w:rsid w:val="000E14E1"/>
    <w:rsid w:val="000E17AE"/>
    <w:rsid w:val="000E18CE"/>
    <w:rsid w:val="000E1A8A"/>
    <w:rsid w:val="000E29FA"/>
    <w:rsid w:val="000E32F2"/>
    <w:rsid w:val="000E337F"/>
    <w:rsid w:val="000E433D"/>
    <w:rsid w:val="000E435B"/>
    <w:rsid w:val="000E56CF"/>
    <w:rsid w:val="000E5732"/>
    <w:rsid w:val="000E5938"/>
    <w:rsid w:val="000E63B1"/>
    <w:rsid w:val="000E6F15"/>
    <w:rsid w:val="000E755D"/>
    <w:rsid w:val="000E7570"/>
    <w:rsid w:val="000E7F7A"/>
    <w:rsid w:val="000F056C"/>
    <w:rsid w:val="000F05C4"/>
    <w:rsid w:val="000F08CE"/>
    <w:rsid w:val="000F09F4"/>
    <w:rsid w:val="000F1783"/>
    <w:rsid w:val="000F1BA3"/>
    <w:rsid w:val="000F1C3B"/>
    <w:rsid w:val="000F1CDE"/>
    <w:rsid w:val="000F21A2"/>
    <w:rsid w:val="000F2523"/>
    <w:rsid w:val="000F372B"/>
    <w:rsid w:val="000F3CC4"/>
    <w:rsid w:val="000F48D7"/>
    <w:rsid w:val="000F4B79"/>
    <w:rsid w:val="000F538F"/>
    <w:rsid w:val="000F5418"/>
    <w:rsid w:val="000F557E"/>
    <w:rsid w:val="000F58FC"/>
    <w:rsid w:val="000F5A17"/>
    <w:rsid w:val="000F5B4A"/>
    <w:rsid w:val="000F6386"/>
    <w:rsid w:val="000F7169"/>
    <w:rsid w:val="000F7257"/>
    <w:rsid w:val="000F7A4D"/>
    <w:rsid w:val="000F7C52"/>
    <w:rsid w:val="0010122D"/>
    <w:rsid w:val="001014C1"/>
    <w:rsid w:val="001017A4"/>
    <w:rsid w:val="001022D5"/>
    <w:rsid w:val="00102552"/>
    <w:rsid w:val="00102C6B"/>
    <w:rsid w:val="0010487D"/>
    <w:rsid w:val="00104918"/>
    <w:rsid w:val="00104BC0"/>
    <w:rsid w:val="00105384"/>
    <w:rsid w:val="001055DC"/>
    <w:rsid w:val="00106B8E"/>
    <w:rsid w:val="00110083"/>
    <w:rsid w:val="001102D2"/>
    <w:rsid w:val="00110E6F"/>
    <w:rsid w:val="00111CE2"/>
    <w:rsid w:val="001121DA"/>
    <w:rsid w:val="00112263"/>
    <w:rsid w:val="001123F7"/>
    <w:rsid w:val="001126FF"/>
    <w:rsid w:val="001136F7"/>
    <w:rsid w:val="00113ED1"/>
    <w:rsid w:val="001163D0"/>
    <w:rsid w:val="00116541"/>
    <w:rsid w:val="001166B5"/>
    <w:rsid w:val="0011678A"/>
    <w:rsid w:val="0012007F"/>
    <w:rsid w:val="00120275"/>
    <w:rsid w:val="001203B9"/>
    <w:rsid w:val="00120503"/>
    <w:rsid w:val="001205A0"/>
    <w:rsid w:val="00120F03"/>
    <w:rsid w:val="0012177C"/>
    <w:rsid w:val="00121C40"/>
    <w:rsid w:val="0012237E"/>
    <w:rsid w:val="001226BF"/>
    <w:rsid w:val="00122DA6"/>
    <w:rsid w:val="00123054"/>
    <w:rsid w:val="001236B4"/>
    <w:rsid w:val="00123EB3"/>
    <w:rsid w:val="00123EF6"/>
    <w:rsid w:val="00124570"/>
    <w:rsid w:val="00124F9C"/>
    <w:rsid w:val="001267B5"/>
    <w:rsid w:val="0012708A"/>
    <w:rsid w:val="001275A9"/>
    <w:rsid w:val="00127D2B"/>
    <w:rsid w:val="00127F64"/>
    <w:rsid w:val="001306D4"/>
    <w:rsid w:val="001307BB"/>
    <w:rsid w:val="00131067"/>
    <w:rsid w:val="0013283A"/>
    <w:rsid w:val="00132F04"/>
    <w:rsid w:val="00133B39"/>
    <w:rsid w:val="00134B47"/>
    <w:rsid w:val="00135962"/>
    <w:rsid w:val="001359CA"/>
    <w:rsid w:val="00135F6B"/>
    <w:rsid w:val="00136453"/>
    <w:rsid w:val="001366C0"/>
    <w:rsid w:val="00137A8D"/>
    <w:rsid w:val="001413F8"/>
    <w:rsid w:val="0014165F"/>
    <w:rsid w:val="001424B4"/>
    <w:rsid w:val="00142B07"/>
    <w:rsid w:val="00142D1E"/>
    <w:rsid w:val="001434BB"/>
    <w:rsid w:val="00143F3F"/>
    <w:rsid w:val="0014409B"/>
    <w:rsid w:val="001444C3"/>
    <w:rsid w:val="00144831"/>
    <w:rsid w:val="00145396"/>
    <w:rsid w:val="00145D6B"/>
    <w:rsid w:val="00145D82"/>
    <w:rsid w:val="00146512"/>
    <w:rsid w:val="00146547"/>
    <w:rsid w:val="00146F14"/>
    <w:rsid w:val="0014751A"/>
    <w:rsid w:val="001475F0"/>
    <w:rsid w:val="00147A30"/>
    <w:rsid w:val="001505A5"/>
    <w:rsid w:val="001513A5"/>
    <w:rsid w:val="00151A5A"/>
    <w:rsid w:val="00151AA1"/>
    <w:rsid w:val="00151EC9"/>
    <w:rsid w:val="0015213A"/>
    <w:rsid w:val="0015296C"/>
    <w:rsid w:val="00152C1A"/>
    <w:rsid w:val="001538FE"/>
    <w:rsid w:val="0015407F"/>
    <w:rsid w:val="00154573"/>
    <w:rsid w:val="0015496F"/>
    <w:rsid w:val="00154BE1"/>
    <w:rsid w:val="001552C2"/>
    <w:rsid w:val="00156A2E"/>
    <w:rsid w:val="00156E71"/>
    <w:rsid w:val="00157820"/>
    <w:rsid w:val="001601EC"/>
    <w:rsid w:val="00160A81"/>
    <w:rsid w:val="00160EFB"/>
    <w:rsid w:val="00160F09"/>
    <w:rsid w:val="00161BB6"/>
    <w:rsid w:val="00161E64"/>
    <w:rsid w:val="00163078"/>
    <w:rsid w:val="001634EF"/>
    <w:rsid w:val="001638F1"/>
    <w:rsid w:val="001657C3"/>
    <w:rsid w:val="00165BBD"/>
    <w:rsid w:val="00165FD7"/>
    <w:rsid w:val="00166FA0"/>
    <w:rsid w:val="0016796E"/>
    <w:rsid w:val="001700C2"/>
    <w:rsid w:val="00170B51"/>
    <w:rsid w:val="0017136C"/>
    <w:rsid w:val="001713AC"/>
    <w:rsid w:val="00171B96"/>
    <w:rsid w:val="00171F00"/>
    <w:rsid w:val="00171F05"/>
    <w:rsid w:val="00171F67"/>
    <w:rsid w:val="00172509"/>
    <w:rsid w:val="0017324E"/>
    <w:rsid w:val="00173476"/>
    <w:rsid w:val="00173D43"/>
    <w:rsid w:val="00173EA7"/>
    <w:rsid w:val="00173F19"/>
    <w:rsid w:val="001749F8"/>
    <w:rsid w:val="00174AAF"/>
    <w:rsid w:val="00175C7A"/>
    <w:rsid w:val="001769AC"/>
    <w:rsid w:val="00176C7F"/>
    <w:rsid w:val="00176C9B"/>
    <w:rsid w:val="00176D27"/>
    <w:rsid w:val="00176EE7"/>
    <w:rsid w:val="0017703D"/>
    <w:rsid w:val="001777A2"/>
    <w:rsid w:val="0018009C"/>
    <w:rsid w:val="0018107E"/>
    <w:rsid w:val="00181F1F"/>
    <w:rsid w:val="00182E7A"/>
    <w:rsid w:val="00182F08"/>
    <w:rsid w:val="001836EF"/>
    <w:rsid w:val="001846AE"/>
    <w:rsid w:val="00184B14"/>
    <w:rsid w:val="0018553E"/>
    <w:rsid w:val="0018636E"/>
    <w:rsid w:val="0018736A"/>
    <w:rsid w:val="00187F0C"/>
    <w:rsid w:val="001909DE"/>
    <w:rsid w:val="00190EC7"/>
    <w:rsid w:val="00191451"/>
    <w:rsid w:val="00191672"/>
    <w:rsid w:val="00191ECD"/>
    <w:rsid w:val="00191FAD"/>
    <w:rsid w:val="0019286E"/>
    <w:rsid w:val="00192B38"/>
    <w:rsid w:val="00192F41"/>
    <w:rsid w:val="00193020"/>
    <w:rsid w:val="00193124"/>
    <w:rsid w:val="001933F3"/>
    <w:rsid w:val="0019343E"/>
    <w:rsid w:val="001947A4"/>
    <w:rsid w:val="00194BE3"/>
    <w:rsid w:val="00194EA9"/>
    <w:rsid w:val="0019581F"/>
    <w:rsid w:val="0019670B"/>
    <w:rsid w:val="00196D8E"/>
    <w:rsid w:val="00196E68"/>
    <w:rsid w:val="0019710F"/>
    <w:rsid w:val="001975CD"/>
    <w:rsid w:val="00197675"/>
    <w:rsid w:val="001976B9"/>
    <w:rsid w:val="001A025E"/>
    <w:rsid w:val="001A0E87"/>
    <w:rsid w:val="001A0EF4"/>
    <w:rsid w:val="001A1645"/>
    <w:rsid w:val="001A1A93"/>
    <w:rsid w:val="001A1CE1"/>
    <w:rsid w:val="001A1DDC"/>
    <w:rsid w:val="001A29D8"/>
    <w:rsid w:val="001A318E"/>
    <w:rsid w:val="001A326E"/>
    <w:rsid w:val="001A3560"/>
    <w:rsid w:val="001A4542"/>
    <w:rsid w:val="001A4A91"/>
    <w:rsid w:val="001A4F66"/>
    <w:rsid w:val="001A520A"/>
    <w:rsid w:val="001A5CF3"/>
    <w:rsid w:val="001A667C"/>
    <w:rsid w:val="001B07F1"/>
    <w:rsid w:val="001B08C3"/>
    <w:rsid w:val="001B0D2B"/>
    <w:rsid w:val="001B1344"/>
    <w:rsid w:val="001B1DA4"/>
    <w:rsid w:val="001B28E0"/>
    <w:rsid w:val="001B3355"/>
    <w:rsid w:val="001B3809"/>
    <w:rsid w:val="001B3A83"/>
    <w:rsid w:val="001B4266"/>
    <w:rsid w:val="001B4F31"/>
    <w:rsid w:val="001B55FB"/>
    <w:rsid w:val="001B56D3"/>
    <w:rsid w:val="001B5E46"/>
    <w:rsid w:val="001B6C8D"/>
    <w:rsid w:val="001B7135"/>
    <w:rsid w:val="001B73CD"/>
    <w:rsid w:val="001B75DE"/>
    <w:rsid w:val="001B7A63"/>
    <w:rsid w:val="001B7B06"/>
    <w:rsid w:val="001C0351"/>
    <w:rsid w:val="001C036D"/>
    <w:rsid w:val="001C0FEF"/>
    <w:rsid w:val="001C118E"/>
    <w:rsid w:val="001C1505"/>
    <w:rsid w:val="001C1921"/>
    <w:rsid w:val="001C1AF2"/>
    <w:rsid w:val="001C2CE7"/>
    <w:rsid w:val="001C2F63"/>
    <w:rsid w:val="001C3398"/>
    <w:rsid w:val="001C371C"/>
    <w:rsid w:val="001C50BE"/>
    <w:rsid w:val="001C61AB"/>
    <w:rsid w:val="001C660D"/>
    <w:rsid w:val="001C703D"/>
    <w:rsid w:val="001C777F"/>
    <w:rsid w:val="001C7D38"/>
    <w:rsid w:val="001D0835"/>
    <w:rsid w:val="001D0E36"/>
    <w:rsid w:val="001D1053"/>
    <w:rsid w:val="001D12BD"/>
    <w:rsid w:val="001D1D33"/>
    <w:rsid w:val="001D1DA4"/>
    <w:rsid w:val="001D294F"/>
    <w:rsid w:val="001D297C"/>
    <w:rsid w:val="001D335C"/>
    <w:rsid w:val="001D3763"/>
    <w:rsid w:val="001D3780"/>
    <w:rsid w:val="001D3856"/>
    <w:rsid w:val="001D3C04"/>
    <w:rsid w:val="001D3D1C"/>
    <w:rsid w:val="001D4BD8"/>
    <w:rsid w:val="001D5076"/>
    <w:rsid w:val="001D6C1D"/>
    <w:rsid w:val="001D7BEB"/>
    <w:rsid w:val="001E0B6F"/>
    <w:rsid w:val="001E0D3C"/>
    <w:rsid w:val="001E0F0F"/>
    <w:rsid w:val="001E2477"/>
    <w:rsid w:val="001E2E74"/>
    <w:rsid w:val="001E31A8"/>
    <w:rsid w:val="001E38ED"/>
    <w:rsid w:val="001E45FA"/>
    <w:rsid w:val="001E5991"/>
    <w:rsid w:val="001E59C4"/>
    <w:rsid w:val="001E6AE6"/>
    <w:rsid w:val="001E6BDD"/>
    <w:rsid w:val="001E6DFA"/>
    <w:rsid w:val="001E731E"/>
    <w:rsid w:val="001E7505"/>
    <w:rsid w:val="001E7A44"/>
    <w:rsid w:val="001E7A90"/>
    <w:rsid w:val="001E7F3D"/>
    <w:rsid w:val="001F00B0"/>
    <w:rsid w:val="001F0912"/>
    <w:rsid w:val="001F0A9C"/>
    <w:rsid w:val="001F11B2"/>
    <w:rsid w:val="001F1530"/>
    <w:rsid w:val="001F1889"/>
    <w:rsid w:val="001F1927"/>
    <w:rsid w:val="001F1E57"/>
    <w:rsid w:val="001F2420"/>
    <w:rsid w:val="001F3410"/>
    <w:rsid w:val="001F34F0"/>
    <w:rsid w:val="001F375B"/>
    <w:rsid w:val="001F42F5"/>
    <w:rsid w:val="001F42F8"/>
    <w:rsid w:val="001F6026"/>
    <w:rsid w:val="001F679D"/>
    <w:rsid w:val="001F6F0C"/>
    <w:rsid w:val="001F6F31"/>
    <w:rsid w:val="001F7407"/>
    <w:rsid w:val="001F785A"/>
    <w:rsid w:val="001F7A40"/>
    <w:rsid w:val="00200053"/>
    <w:rsid w:val="00200596"/>
    <w:rsid w:val="002007EB"/>
    <w:rsid w:val="00200CA8"/>
    <w:rsid w:val="0020102C"/>
    <w:rsid w:val="0020124E"/>
    <w:rsid w:val="00201FEE"/>
    <w:rsid w:val="0020201B"/>
    <w:rsid w:val="0020269C"/>
    <w:rsid w:val="00202912"/>
    <w:rsid w:val="00204692"/>
    <w:rsid w:val="00204718"/>
    <w:rsid w:val="002048FA"/>
    <w:rsid w:val="00204D0D"/>
    <w:rsid w:val="00206954"/>
    <w:rsid w:val="00206ADF"/>
    <w:rsid w:val="00206ED5"/>
    <w:rsid w:val="0020718C"/>
    <w:rsid w:val="002076BE"/>
    <w:rsid w:val="002110D7"/>
    <w:rsid w:val="002111A5"/>
    <w:rsid w:val="00211645"/>
    <w:rsid w:val="0021166E"/>
    <w:rsid w:val="00211B56"/>
    <w:rsid w:val="00212228"/>
    <w:rsid w:val="00212CBE"/>
    <w:rsid w:val="00212CDF"/>
    <w:rsid w:val="00213EA2"/>
    <w:rsid w:val="002146E5"/>
    <w:rsid w:val="0021532D"/>
    <w:rsid w:val="00215935"/>
    <w:rsid w:val="0021622C"/>
    <w:rsid w:val="0021638E"/>
    <w:rsid w:val="00216539"/>
    <w:rsid w:val="0021666D"/>
    <w:rsid w:val="00216ECF"/>
    <w:rsid w:val="00217F45"/>
    <w:rsid w:val="00220103"/>
    <w:rsid w:val="00221891"/>
    <w:rsid w:val="00221C27"/>
    <w:rsid w:val="00221E69"/>
    <w:rsid w:val="00222140"/>
    <w:rsid w:val="002223E3"/>
    <w:rsid w:val="00222B58"/>
    <w:rsid w:val="0022305E"/>
    <w:rsid w:val="002230FE"/>
    <w:rsid w:val="00223980"/>
    <w:rsid w:val="00223BA1"/>
    <w:rsid w:val="00224FB4"/>
    <w:rsid w:val="00227CD8"/>
    <w:rsid w:val="00227CE7"/>
    <w:rsid w:val="002303F6"/>
    <w:rsid w:val="002313E8"/>
    <w:rsid w:val="00231938"/>
    <w:rsid w:val="00231C3A"/>
    <w:rsid w:val="00231E62"/>
    <w:rsid w:val="00232337"/>
    <w:rsid w:val="0023314B"/>
    <w:rsid w:val="0023384B"/>
    <w:rsid w:val="00234CCF"/>
    <w:rsid w:val="002350A6"/>
    <w:rsid w:val="00235C2E"/>
    <w:rsid w:val="002360A9"/>
    <w:rsid w:val="00236724"/>
    <w:rsid w:val="002368B9"/>
    <w:rsid w:val="00236CA3"/>
    <w:rsid w:val="00237A7A"/>
    <w:rsid w:val="002405BA"/>
    <w:rsid w:val="0024088F"/>
    <w:rsid w:val="00240901"/>
    <w:rsid w:val="00240BD0"/>
    <w:rsid w:val="00240ED7"/>
    <w:rsid w:val="002413EE"/>
    <w:rsid w:val="00241600"/>
    <w:rsid w:val="002417EB"/>
    <w:rsid w:val="00241C64"/>
    <w:rsid w:val="00242BDE"/>
    <w:rsid w:val="00242DF1"/>
    <w:rsid w:val="00242F25"/>
    <w:rsid w:val="00242FD9"/>
    <w:rsid w:val="0024341F"/>
    <w:rsid w:val="00243B12"/>
    <w:rsid w:val="00243C62"/>
    <w:rsid w:val="002443D5"/>
    <w:rsid w:val="0024589F"/>
    <w:rsid w:val="002461E6"/>
    <w:rsid w:val="0024623F"/>
    <w:rsid w:val="0024681C"/>
    <w:rsid w:val="00246852"/>
    <w:rsid w:val="00246A52"/>
    <w:rsid w:val="00246EB5"/>
    <w:rsid w:val="00247344"/>
    <w:rsid w:val="00250B2C"/>
    <w:rsid w:val="002513BE"/>
    <w:rsid w:val="002521D0"/>
    <w:rsid w:val="00252940"/>
    <w:rsid w:val="00252A38"/>
    <w:rsid w:val="00252CED"/>
    <w:rsid w:val="00253495"/>
    <w:rsid w:val="00253919"/>
    <w:rsid w:val="00254876"/>
    <w:rsid w:val="002553A1"/>
    <w:rsid w:val="00255608"/>
    <w:rsid w:val="00255FF1"/>
    <w:rsid w:val="0025602B"/>
    <w:rsid w:val="002562A6"/>
    <w:rsid w:val="00256807"/>
    <w:rsid w:val="00256C61"/>
    <w:rsid w:val="00256F55"/>
    <w:rsid w:val="00257086"/>
    <w:rsid w:val="0025733F"/>
    <w:rsid w:val="00260308"/>
    <w:rsid w:val="00260D2D"/>
    <w:rsid w:val="00261170"/>
    <w:rsid w:val="00261851"/>
    <w:rsid w:val="002624AF"/>
    <w:rsid w:val="00262CAC"/>
    <w:rsid w:val="002632E6"/>
    <w:rsid w:val="002640B4"/>
    <w:rsid w:val="0026488C"/>
    <w:rsid w:val="002648E3"/>
    <w:rsid w:val="00264999"/>
    <w:rsid w:val="002651CA"/>
    <w:rsid w:val="002652B6"/>
    <w:rsid w:val="002654BB"/>
    <w:rsid w:val="002656D8"/>
    <w:rsid w:val="002659D0"/>
    <w:rsid w:val="00265DCC"/>
    <w:rsid w:val="00266ACE"/>
    <w:rsid w:val="00266D21"/>
    <w:rsid w:val="00266E60"/>
    <w:rsid w:val="002677BC"/>
    <w:rsid w:val="00270180"/>
    <w:rsid w:val="00270242"/>
    <w:rsid w:val="002703BB"/>
    <w:rsid w:val="002706C7"/>
    <w:rsid w:val="0027144C"/>
    <w:rsid w:val="00271759"/>
    <w:rsid w:val="00272192"/>
    <w:rsid w:val="00272271"/>
    <w:rsid w:val="00272DAC"/>
    <w:rsid w:val="00272E8C"/>
    <w:rsid w:val="0027312A"/>
    <w:rsid w:val="00273219"/>
    <w:rsid w:val="0027341D"/>
    <w:rsid w:val="002753CB"/>
    <w:rsid w:val="00275DB7"/>
    <w:rsid w:val="0027607D"/>
    <w:rsid w:val="00276694"/>
    <w:rsid w:val="00276C16"/>
    <w:rsid w:val="00277068"/>
    <w:rsid w:val="0027734A"/>
    <w:rsid w:val="002773C2"/>
    <w:rsid w:val="00277DEF"/>
    <w:rsid w:val="002804BC"/>
    <w:rsid w:val="002811ED"/>
    <w:rsid w:val="0028332D"/>
    <w:rsid w:val="002837F6"/>
    <w:rsid w:val="0028490D"/>
    <w:rsid w:val="002855E6"/>
    <w:rsid w:val="0028566F"/>
    <w:rsid w:val="0028575C"/>
    <w:rsid w:val="0028744C"/>
    <w:rsid w:val="00290EA2"/>
    <w:rsid w:val="00291208"/>
    <w:rsid w:val="002920C8"/>
    <w:rsid w:val="00292C32"/>
    <w:rsid w:val="00293624"/>
    <w:rsid w:val="00293B0E"/>
    <w:rsid w:val="002942EA"/>
    <w:rsid w:val="002959D4"/>
    <w:rsid w:val="00295A5D"/>
    <w:rsid w:val="0029685C"/>
    <w:rsid w:val="00296946"/>
    <w:rsid w:val="00297A5F"/>
    <w:rsid w:val="002A0803"/>
    <w:rsid w:val="002A0AC4"/>
    <w:rsid w:val="002A17C8"/>
    <w:rsid w:val="002A2215"/>
    <w:rsid w:val="002A3888"/>
    <w:rsid w:val="002A3A35"/>
    <w:rsid w:val="002A422B"/>
    <w:rsid w:val="002A46CB"/>
    <w:rsid w:val="002A4E2E"/>
    <w:rsid w:val="002A66A3"/>
    <w:rsid w:val="002A68EC"/>
    <w:rsid w:val="002A69C6"/>
    <w:rsid w:val="002A726B"/>
    <w:rsid w:val="002A759D"/>
    <w:rsid w:val="002B0453"/>
    <w:rsid w:val="002B04DA"/>
    <w:rsid w:val="002B069F"/>
    <w:rsid w:val="002B19FB"/>
    <w:rsid w:val="002B1A5E"/>
    <w:rsid w:val="002B1D10"/>
    <w:rsid w:val="002B282A"/>
    <w:rsid w:val="002B28DD"/>
    <w:rsid w:val="002B2E1B"/>
    <w:rsid w:val="002B357D"/>
    <w:rsid w:val="002B385E"/>
    <w:rsid w:val="002B3973"/>
    <w:rsid w:val="002B505D"/>
    <w:rsid w:val="002B5A97"/>
    <w:rsid w:val="002B6186"/>
    <w:rsid w:val="002B64AB"/>
    <w:rsid w:val="002B659E"/>
    <w:rsid w:val="002B6CAC"/>
    <w:rsid w:val="002B72CC"/>
    <w:rsid w:val="002B79E2"/>
    <w:rsid w:val="002B7DBA"/>
    <w:rsid w:val="002B7F40"/>
    <w:rsid w:val="002C0412"/>
    <w:rsid w:val="002C08B1"/>
    <w:rsid w:val="002C093C"/>
    <w:rsid w:val="002C1130"/>
    <w:rsid w:val="002C16DF"/>
    <w:rsid w:val="002C1A28"/>
    <w:rsid w:val="002C1A5B"/>
    <w:rsid w:val="002C2000"/>
    <w:rsid w:val="002C28BF"/>
    <w:rsid w:val="002C2942"/>
    <w:rsid w:val="002C2B22"/>
    <w:rsid w:val="002C2DB3"/>
    <w:rsid w:val="002C2DF6"/>
    <w:rsid w:val="002C36D1"/>
    <w:rsid w:val="002C3AB5"/>
    <w:rsid w:val="002C3DB2"/>
    <w:rsid w:val="002C446D"/>
    <w:rsid w:val="002C5BD3"/>
    <w:rsid w:val="002C6604"/>
    <w:rsid w:val="002C6963"/>
    <w:rsid w:val="002C69F0"/>
    <w:rsid w:val="002C6A4C"/>
    <w:rsid w:val="002C6BD7"/>
    <w:rsid w:val="002C7338"/>
    <w:rsid w:val="002C74AA"/>
    <w:rsid w:val="002C7ACA"/>
    <w:rsid w:val="002C7FBD"/>
    <w:rsid w:val="002D0E13"/>
    <w:rsid w:val="002D149C"/>
    <w:rsid w:val="002D1766"/>
    <w:rsid w:val="002D206F"/>
    <w:rsid w:val="002D43A5"/>
    <w:rsid w:val="002D4F41"/>
    <w:rsid w:val="002D502F"/>
    <w:rsid w:val="002D50A3"/>
    <w:rsid w:val="002D660C"/>
    <w:rsid w:val="002D6C4D"/>
    <w:rsid w:val="002D6EF4"/>
    <w:rsid w:val="002D7857"/>
    <w:rsid w:val="002D7C88"/>
    <w:rsid w:val="002E018B"/>
    <w:rsid w:val="002E1702"/>
    <w:rsid w:val="002E1A29"/>
    <w:rsid w:val="002E2014"/>
    <w:rsid w:val="002E32D4"/>
    <w:rsid w:val="002E3497"/>
    <w:rsid w:val="002E36ED"/>
    <w:rsid w:val="002E3B99"/>
    <w:rsid w:val="002E49B4"/>
    <w:rsid w:val="002E5971"/>
    <w:rsid w:val="002E6307"/>
    <w:rsid w:val="002E69D6"/>
    <w:rsid w:val="002E6FDE"/>
    <w:rsid w:val="002E75E4"/>
    <w:rsid w:val="002E7FAC"/>
    <w:rsid w:val="002F010C"/>
    <w:rsid w:val="002F053B"/>
    <w:rsid w:val="002F1163"/>
    <w:rsid w:val="002F1448"/>
    <w:rsid w:val="002F1DA6"/>
    <w:rsid w:val="002F22EF"/>
    <w:rsid w:val="002F24EE"/>
    <w:rsid w:val="002F3200"/>
    <w:rsid w:val="002F3AAA"/>
    <w:rsid w:val="002F3D27"/>
    <w:rsid w:val="002F4C62"/>
    <w:rsid w:val="002F5128"/>
    <w:rsid w:val="002F5438"/>
    <w:rsid w:val="002F5559"/>
    <w:rsid w:val="002F56D6"/>
    <w:rsid w:val="002F57E2"/>
    <w:rsid w:val="002F5C7D"/>
    <w:rsid w:val="002F5CB8"/>
    <w:rsid w:val="002F5F21"/>
    <w:rsid w:val="002F6598"/>
    <w:rsid w:val="002F6CFA"/>
    <w:rsid w:val="002F7B7D"/>
    <w:rsid w:val="0030037C"/>
    <w:rsid w:val="00301905"/>
    <w:rsid w:val="00301911"/>
    <w:rsid w:val="00301C87"/>
    <w:rsid w:val="00302231"/>
    <w:rsid w:val="003033FB"/>
    <w:rsid w:val="0030385C"/>
    <w:rsid w:val="0030550A"/>
    <w:rsid w:val="003070FE"/>
    <w:rsid w:val="00307481"/>
    <w:rsid w:val="00307502"/>
    <w:rsid w:val="00307793"/>
    <w:rsid w:val="003078B8"/>
    <w:rsid w:val="003079FB"/>
    <w:rsid w:val="003105DC"/>
    <w:rsid w:val="0031122E"/>
    <w:rsid w:val="0031132C"/>
    <w:rsid w:val="003118E3"/>
    <w:rsid w:val="00311A09"/>
    <w:rsid w:val="00311EEA"/>
    <w:rsid w:val="00311F80"/>
    <w:rsid w:val="00313F45"/>
    <w:rsid w:val="003145B3"/>
    <w:rsid w:val="00314908"/>
    <w:rsid w:val="00315DE0"/>
    <w:rsid w:val="00317292"/>
    <w:rsid w:val="0031735C"/>
    <w:rsid w:val="00317FE0"/>
    <w:rsid w:val="00320DD1"/>
    <w:rsid w:val="003217F2"/>
    <w:rsid w:val="00321954"/>
    <w:rsid w:val="00322B55"/>
    <w:rsid w:val="0032456C"/>
    <w:rsid w:val="00324FD8"/>
    <w:rsid w:val="0032548C"/>
    <w:rsid w:val="003258DD"/>
    <w:rsid w:val="00325B30"/>
    <w:rsid w:val="003269ED"/>
    <w:rsid w:val="00327311"/>
    <w:rsid w:val="00327CBB"/>
    <w:rsid w:val="003300A8"/>
    <w:rsid w:val="0033025E"/>
    <w:rsid w:val="00330A2F"/>
    <w:rsid w:val="00330B40"/>
    <w:rsid w:val="00330E02"/>
    <w:rsid w:val="0033153F"/>
    <w:rsid w:val="0033268E"/>
    <w:rsid w:val="00332D3E"/>
    <w:rsid w:val="00332D67"/>
    <w:rsid w:val="00332E7E"/>
    <w:rsid w:val="0033304E"/>
    <w:rsid w:val="00333CBB"/>
    <w:rsid w:val="003341AD"/>
    <w:rsid w:val="00334C4D"/>
    <w:rsid w:val="00335093"/>
    <w:rsid w:val="0033599E"/>
    <w:rsid w:val="003359D8"/>
    <w:rsid w:val="00335BE1"/>
    <w:rsid w:val="00336E3D"/>
    <w:rsid w:val="003378C9"/>
    <w:rsid w:val="00337E42"/>
    <w:rsid w:val="00340190"/>
    <w:rsid w:val="00340740"/>
    <w:rsid w:val="00340AD3"/>
    <w:rsid w:val="003415ED"/>
    <w:rsid w:val="003419CC"/>
    <w:rsid w:val="0034246F"/>
    <w:rsid w:val="00342AAC"/>
    <w:rsid w:val="003431C9"/>
    <w:rsid w:val="003431CB"/>
    <w:rsid w:val="0034340B"/>
    <w:rsid w:val="00343B26"/>
    <w:rsid w:val="00343C4F"/>
    <w:rsid w:val="00343FD7"/>
    <w:rsid w:val="00344452"/>
    <w:rsid w:val="00345944"/>
    <w:rsid w:val="00345B11"/>
    <w:rsid w:val="00345BF2"/>
    <w:rsid w:val="00345E86"/>
    <w:rsid w:val="00347205"/>
    <w:rsid w:val="0034728B"/>
    <w:rsid w:val="0034731E"/>
    <w:rsid w:val="0034770D"/>
    <w:rsid w:val="003515A9"/>
    <w:rsid w:val="003515F6"/>
    <w:rsid w:val="003518A0"/>
    <w:rsid w:val="0035284C"/>
    <w:rsid w:val="00353C4B"/>
    <w:rsid w:val="003540E9"/>
    <w:rsid w:val="003544B8"/>
    <w:rsid w:val="00354672"/>
    <w:rsid w:val="00354733"/>
    <w:rsid w:val="00354BEA"/>
    <w:rsid w:val="0035600B"/>
    <w:rsid w:val="00356848"/>
    <w:rsid w:val="00356D7C"/>
    <w:rsid w:val="00356F18"/>
    <w:rsid w:val="00357642"/>
    <w:rsid w:val="00357AB2"/>
    <w:rsid w:val="00357F46"/>
    <w:rsid w:val="00360CE7"/>
    <w:rsid w:val="00361672"/>
    <w:rsid w:val="00361727"/>
    <w:rsid w:val="00361880"/>
    <w:rsid w:val="00361CD6"/>
    <w:rsid w:val="00361CEC"/>
    <w:rsid w:val="00362045"/>
    <w:rsid w:val="0036212F"/>
    <w:rsid w:val="00362159"/>
    <w:rsid w:val="003638C6"/>
    <w:rsid w:val="003657EE"/>
    <w:rsid w:val="00366A00"/>
    <w:rsid w:val="003673B6"/>
    <w:rsid w:val="003679E3"/>
    <w:rsid w:val="003708D4"/>
    <w:rsid w:val="0037093F"/>
    <w:rsid w:val="00370C48"/>
    <w:rsid w:val="00370FB1"/>
    <w:rsid w:val="00371D61"/>
    <w:rsid w:val="00372348"/>
    <w:rsid w:val="0037267F"/>
    <w:rsid w:val="00372D2B"/>
    <w:rsid w:val="00372E91"/>
    <w:rsid w:val="00373520"/>
    <w:rsid w:val="003735CA"/>
    <w:rsid w:val="00373708"/>
    <w:rsid w:val="00373A8C"/>
    <w:rsid w:val="00373F15"/>
    <w:rsid w:val="003741AC"/>
    <w:rsid w:val="003743A0"/>
    <w:rsid w:val="003743AE"/>
    <w:rsid w:val="003744FA"/>
    <w:rsid w:val="00374F5B"/>
    <w:rsid w:val="00376204"/>
    <w:rsid w:val="0037651F"/>
    <w:rsid w:val="00376E7E"/>
    <w:rsid w:val="00377247"/>
    <w:rsid w:val="00377473"/>
    <w:rsid w:val="003775E3"/>
    <w:rsid w:val="00377613"/>
    <w:rsid w:val="003779B3"/>
    <w:rsid w:val="00377A69"/>
    <w:rsid w:val="00377F1D"/>
    <w:rsid w:val="003805BA"/>
    <w:rsid w:val="00380E3B"/>
    <w:rsid w:val="00380F6C"/>
    <w:rsid w:val="003810D4"/>
    <w:rsid w:val="0038126A"/>
    <w:rsid w:val="00382665"/>
    <w:rsid w:val="00382801"/>
    <w:rsid w:val="00382A66"/>
    <w:rsid w:val="00383464"/>
    <w:rsid w:val="00383773"/>
    <w:rsid w:val="0038438D"/>
    <w:rsid w:val="003862C7"/>
    <w:rsid w:val="003865D9"/>
    <w:rsid w:val="0038691C"/>
    <w:rsid w:val="00386F57"/>
    <w:rsid w:val="00391322"/>
    <w:rsid w:val="003916B3"/>
    <w:rsid w:val="0039246D"/>
    <w:rsid w:val="0039276D"/>
    <w:rsid w:val="003928E4"/>
    <w:rsid w:val="003935CE"/>
    <w:rsid w:val="00393988"/>
    <w:rsid w:val="00393D43"/>
    <w:rsid w:val="00394211"/>
    <w:rsid w:val="00394409"/>
    <w:rsid w:val="00394560"/>
    <w:rsid w:val="003949EE"/>
    <w:rsid w:val="00395E12"/>
    <w:rsid w:val="00396188"/>
    <w:rsid w:val="0039637D"/>
    <w:rsid w:val="00396485"/>
    <w:rsid w:val="003967A1"/>
    <w:rsid w:val="00397142"/>
    <w:rsid w:val="00397E30"/>
    <w:rsid w:val="003A039C"/>
    <w:rsid w:val="003A0501"/>
    <w:rsid w:val="003A1709"/>
    <w:rsid w:val="003A1BC9"/>
    <w:rsid w:val="003A1D85"/>
    <w:rsid w:val="003A2E36"/>
    <w:rsid w:val="003A316A"/>
    <w:rsid w:val="003A334E"/>
    <w:rsid w:val="003A3497"/>
    <w:rsid w:val="003A4258"/>
    <w:rsid w:val="003A42B7"/>
    <w:rsid w:val="003A43B7"/>
    <w:rsid w:val="003A476B"/>
    <w:rsid w:val="003A4B39"/>
    <w:rsid w:val="003A4D51"/>
    <w:rsid w:val="003A4DAD"/>
    <w:rsid w:val="003A548D"/>
    <w:rsid w:val="003A639F"/>
    <w:rsid w:val="003A649B"/>
    <w:rsid w:val="003A68CF"/>
    <w:rsid w:val="003A6EE3"/>
    <w:rsid w:val="003A7024"/>
    <w:rsid w:val="003A71F1"/>
    <w:rsid w:val="003A7CB4"/>
    <w:rsid w:val="003B0068"/>
    <w:rsid w:val="003B0169"/>
    <w:rsid w:val="003B02B8"/>
    <w:rsid w:val="003B12BD"/>
    <w:rsid w:val="003B1DA8"/>
    <w:rsid w:val="003B2375"/>
    <w:rsid w:val="003B24EF"/>
    <w:rsid w:val="003B276E"/>
    <w:rsid w:val="003B30EE"/>
    <w:rsid w:val="003B3461"/>
    <w:rsid w:val="003B3A3A"/>
    <w:rsid w:val="003B3A8A"/>
    <w:rsid w:val="003B4A00"/>
    <w:rsid w:val="003B566F"/>
    <w:rsid w:val="003B73B7"/>
    <w:rsid w:val="003B753F"/>
    <w:rsid w:val="003B7B5E"/>
    <w:rsid w:val="003C0279"/>
    <w:rsid w:val="003C1123"/>
    <w:rsid w:val="003C163F"/>
    <w:rsid w:val="003C1C43"/>
    <w:rsid w:val="003C2853"/>
    <w:rsid w:val="003C2D99"/>
    <w:rsid w:val="003C3783"/>
    <w:rsid w:val="003C3834"/>
    <w:rsid w:val="003C394C"/>
    <w:rsid w:val="003C46E4"/>
    <w:rsid w:val="003C5038"/>
    <w:rsid w:val="003C5D90"/>
    <w:rsid w:val="003C6C7A"/>
    <w:rsid w:val="003C6DA7"/>
    <w:rsid w:val="003C7590"/>
    <w:rsid w:val="003C7A62"/>
    <w:rsid w:val="003C7E1F"/>
    <w:rsid w:val="003C7F11"/>
    <w:rsid w:val="003D0EA1"/>
    <w:rsid w:val="003D32B2"/>
    <w:rsid w:val="003D3793"/>
    <w:rsid w:val="003D4069"/>
    <w:rsid w:val="003D4223"/>
    <w:rsid w:val="003D4EF3"/>
    <w:rsid w:val="003D50E1"/>
    <w:rsid w:val="003D5394"/>
    <w:rsid w:val="003D581F"/>
    <w:rsid w:val="003D5AB5"/>
    <w:rsid w:val="003D5B9A"/>
    <w:rsid w:val="003D5F58"/>
    <w:rsid w:val="003D69FD"/>
    <w:rsid w:val="003D6CC2"/>
    <w:rsid w:val="003D755C"/>
    <w:rsid w:val="003D77C5"/>
    <w:rsid w:val="003D7B73"/>
    <w:rsid w:val="003E045E"/>
    <w:rsid w:val="003E1750"/>
    <w:rsid w:val="003E1ACD"/>
    <w:rsid w:val="003E1DF7"/>
    <w:rsid w:val="003E2688"/>
    <w:rsid w:val="003E2E5E"/>
    <w:rsid w:val="003E32E9"/>
    <w:rsid w:val="003E3364"/>
    <w:rsid w:val="003E3CE5"/>
    <w:rsid w:val="003E3D7B"/>
    <w:rsid w:val="003E44FE"/>
    <w:rsid w:val="003E4E1B"/>
    <w:rsid w:val="003E54E9"/>
    <w:rsid w:val="003E55EE"/>
    <w:rsid w:val="003E6F90"/>
    <w:rsid w:val="003E6FDD"/>
    <w:rsid w:val="003E7182"/>
    <w:rsid w:val="003E7380"/>
    <w:rsid w:val="003E7916"/>
    <w:rsid w:val="003E796A"/>
    <w:rsid w:val="003F00C2"/>
    <w:rsid w:val="003F0300"/>
    <w:rsid w:val="003F11A2"/>
    <w:rsid w:val="003F1254"/>
    <w:rsid w:val="003F1492"/>
    <w:rsid w:val="003F16A0"/>
    <w:rsid w:val="003F1844"/>
    <w:rsid w:val="003F199E"/>
    <w:rsid w:val="003F1D74"/>
    <w:rsid w:val="003F2CAE"/>
    <w:rsid w:val="003F34FE"/>
    <w:rsid w:val="003F37E9"/>
    <w:rsid w:val="003F3907"/>
    <w:rsid w:val="003F3DAD"/>
    <w:rsid w:val="003F4019"/>
    <w:rsid w:val="003F4355"/>
    <w:rsid w:val="003F4424"/>
    <w:rsid w:val="003F63DE"/>
    <w:rsid w:val="003F6470"/>
    <w:rsid w:val="003F6579"/>
    <w:rsid w:val="003F6783"/>
    <w:rsid w:val="003F707C"/>
    <w:rsid w:val="003F7929"/>
    <w:rsid w:val="003F799C"/>
    <w:rsid w:val="00401119"/>
    <w:rsid w:val="00401196"/>
    <w:rsid w:val="00401323"/>
    <w:rsid w:val="00401484"/>
    <w:rsid w:val="00401979"/>
    <w:rsid w:val="004019A8"/>
    <w:rsid w:val="00401B68"/>
    <w:rsid w:val="004031D7"/>
    <w:rsid w:val="004034C6"/>
    <w:rsid w:val="0040352A"/>
    <w:rsid w:val="00403874"/>
    <w:rsid w:val="00403B5D"/>
    <w:rsid w:val="00403B7F"/>
    <w:rsid w:val="00403F7D"/>
    <w:rsid w:val="004043B7"/>
    <w:rsid w:val="004044C9"/>
    <w:rsid w:val="00404FC6"/>
    <w:rsid w:val="004055B7"/>
    <w:rsid w:val="004055F8"/>
    <w:rsid w:val="00405614"/>
    <w:rsid w:val="004058FB"/>
    <w:rsid w:val="00405AE7"/>
    <w:rsid w:val="004064D5"/>
    <w:rsid w:val="004066C7"/>
    <w:rsid w:val="004068BF"/>
    <w:rsid w:val="00406B62"/>
    <w:rsid w:val="00407902"/>
    <w:rsid w:val="00407D9A"/>
    <w:rsid w:val="00410166"/>
    <w:rsid w:val="0041061D"/>
    <w:rsid w:val="004110BC"/>
    <w:rsid w:val="0041118E"/>
    <w:rsid w:val="00411849"/>
    <w:rsid w:val="0041218A"/>
    <w:rsid w:val="00412BF6"/>
    <w:rsid w:val="004131AC"/>
    <w:rsid w:val="0041374F"/>
    <w:rsid w:val="00413B0F"/>
    <w:rsid w:val="00413C25"/>
    <w:rsid w:val="00413CD2"/>
    <w:rsid w:val="00414BC1"/>
    <w:rsid w:val="004155F7"/>
    <w:rsid w:val="00416046"/>
    <w:rsid w:val="004163DE"/>
    <w:rsid w:val="00416524"/>
    <w:rsid w:val="00417436"/>
    <w:rsid w:val="00417FAD"/>
    <w:rsid w:val="00420897"/>
    <w:rsid w:val="00420CE8"/>
    <w:rsid w:val="00420D1B"/>
    <w:rsid w:val="004211D0"/>
    <w:rsid w:val="00422C45"/>
    <w:rsid w:val="00422FAB"/>
    <w:rsid w:val="004230FE"/>
    <w:rsid w:val="0042378B"/>
    <w:rsid w:val="004239DE"/>
    <w:rsid w:val="00423F7E"/>
    <w:rsid w:val="004256AE"/>
    <w:rsid w:val="004261A6"/>
    <w:rsid w:val="004263AF"/>
    <w:rsid w:val="00426467"/>
    <w:rsid w:val="00426D7E"/>
    <w:rsid w:val="004271E1"/>
    <w:rsid w:val="0042722C"/>
    <w:rsid w:val="00427765"/>
    <w:rsid w:val="00427C86"/>
    <w:rsid w:val="00430268"/>
    <w:rsid w:val="0043031F"/>
    <w:rsid w:val="00430CFD"/>
    <w:rsid w:val="004315B8"/>
    <w:rsid w:val="004315D4"/>
    <w:rsid w:val="004321C1"/>
    <w:rsid w:val="004326C8"/>
    <w:rsid w:val="00432969"/>
    <w:rsid w:val="00432D3D"/>
    <w:rsid w:val="00433190"/>
    <w:rsid w:val="00433C33"/>
    <w:rsid w:val="00433DDE"/>
    <w:rsid w:val="00434453"/>
    <w:rsid w:val="00435BDE"/>
    <w:rsid w:val="0043667E"/>
    <w:rsid w:val="004378B5"/>
    <w:rsid w:val="00437A46"/>
    <w:rsid w:val="004404B0"/>
    <w:rsid w:val="00440FA1"/>
    <w:rsid w:val="00441086"/>
    <w:rsid w:val="004418BB"/>
    <w:rsid w:val="00441949"/>
    <w:rsid w:val="00441AFA"/>
    <w:rsid w:val="004420D0"/>
    <w:rsid w:val="00442F37"/>
    <w:rsid w:val="00444303"/>
    <w:rsid w:val="00444873"/>
    <w:rsid w:val="00446FE9"/>
    <w:rsid w:val="00447320"/>
    <w:rsid w:val="00447C7F"/>
    <w:rsid w:val="00447E7C"/>
    <w:rsid w:val="00450269"/>
    <w:rsid w:val="0045077B"/>
    <w:rsid w:val="00451201"/>
    <w:rsid w:val="004512FC"/>
    <w:rsid w:val="00451EE0"/>
    <w:rsid w:val="004521AF"/>
    <w:rsid w:val="00452B06"/>
    <w:rsid w:val="00452E65"/>
    <w:rsid w:val="00454140"/>
    <w:rsid w:val="00454569"/>
    <w:rsid w:val="00454995"/>
    <w:rsid w:val="004549B7"/>
    <w:rsid w:val="00454A42"/>
    <w:rsid w:val="00454F5F"/>
    <w:rsid w:val="004552C4"/>
    <w:rsid w:val="00455E5F"/>
    <w:rsid w:val="00457729"/>
    <w:rsid w:val="00457E2C"/>
    <w:rsid w:val="0046086A"/>
    <w:rsid w:val="004618A2"/>
    <w:rsid w:val="004619B9"/>
    <w:rsid w:val="00461BF9"/>
    <w:rsid w:val="00461D9B"/>
    <w:rsid w:val="00461F89"/>
    <w:rsid w:val="00462BDD"/>
    <w:rsid w:val="00463032"/>
    <w:rsid w:val="00463355"/>
    <w:rsid w:val="00463503"/>
    <w:rsid w:val="00463572"/>
    <w:rsid w:val="00463589"/>
    <w:rsid w:val="00463802"/>
    <w:rsid w:val="00463C51"/>
    <w:rsid w:val="004642BF"/>
    <w:rsid w:val="004644B8"/>
    <w:rsid w:val="00464F41"/>
    <w:rsid w:val="004651D7"/>
    <w:rsid w:val="00465690"/>
    <w:rsid w:val="00465BB0"/>
    <w:rsid w:val="004661DA"/>
    <w:rsid w:val="00466781"/>
    <w:rsid w:val="004702FC"/>
    <w:rsid w:val="00470391"/>
    <w:rsid w:val="00470862"/>
    <w:rsid w:val="00470AD2"/>
    <w:rsid w:val="00470C55"/>
    <w:rsid w:val="0047114D"/>
    <w:rsid w:val="00471A3B"/>
    <w:rsid w:val="00471BD5"/>
    <w:rsid w:val="004727DC"/>
    <w:rsid w:val="0047290C"/>
    <w:rsid w:val="00472FB4"/>
    <w:rsid w:val="00472FDA"/>
    <w:rsid w:val="004731B1"/>
    <w:rsid w:val="00473538"/>
    <w:rsid w:val="0047394E"/>
    <w:rsid w:val="00473C45"/>
    <w:rsid w:val="0047432C"/>
    <w:rsid w:val="00474D41"/>
    <w:rsid w:val="00475092"/>
    <w:rsid w:val="004750B4"/>
    <w:rsid w:val="00475790"/>
    <w:rsid w:val="0047654C"/>
    <w:rsid w:val="0047665F"/>
    <w:rsid w:val="0047752F"/>
    <w:rsid w:val="00480C18"/>
    <w:rsid w:val="00480D88"/>
    <w:rsid w:val="00481805"/>
    <w:rsid w:val="004826D9"/>
    <w:rsid w:val="00482D69"/>
    <w:rsid w:val="00483B9F"/>
    <w:rsid w:val="00483BB6"/>
    <w:rsid w:val="004844B0"/>
    <w:rsid w:val="004845B1"/>
    <w:rsid w:val="004845B4"/>
    <w:rsid w:val="00484D12"/>
    <w:rsid w:val="004850BF"/>
    <w:rsid w:val="00486401"/>
    <w:rsid w:val="00486B93"/>
    <w:rsid w:val="00486DFC"/>
    <w:rsid w:val="004873FD"/>
    <w:rsid w:val="004878E7"/>
    <w:rsid w:val="00487A5E"/>
    <w:rsid w:val="00491237"/>
    <w:rsid w:val="004912A9"/>
    <w:rsid w:val="00491EE7"/>
    <w:rsid w:val="00492A41"/>
    <w:rsid w:val="00492E47"/>
    <w:rsid w:val="00493227"/>
    <w:rsid w:val="00493A5D"/>
    <w:rsid w:val="0049423F"/>
    <w:rsid w:val="00494696"/>
    <w:rsid w:val="004948AF"/>
    <w:rsid w:val="00495C96"/>
    <w:rsid w:val="00495E2D"/>
    <w:rsid w:val="00496E44"/>
    <w:rsid w:val="00497469"/>
    <w:rsid w:val="004976CA"/>
    <w:rsid w:val="004A01D0"/>
    <w:rsid w:val="004A073B"/>
    <w:rsid w:val="004A082A"/>
    <w:rsid w:val="004A104B"/>
    <w:rsid w:val="004A132F"/>
    <w:rsid w:val="004A18AA"/>
    <w:rsid w:val="004A2E6B"/>
    <w:rsid w:val="004A38A9"/>
    <w:rsid w:val="004A42B2"/>
    <w:rsid w:val="004A4305"/>
    <w:rsid w:val="004A4361"/>
    <w:rsid w:val="004A4F07"/>
    <w:rsid w:val="004A57E5"/>
    <w:rsid w:val="004A5C8A"/>
    <w:rsid w:val="004A6C4C"/>
    <w:rsid w:val="004A6EA5"/>
    <w:rsid w:val="004A7207"/>
    <w:rsid w:val="004A749E"/>
    <w:rsid w:val="004A766C"/>
    <w:rsid w:val="004A79C5"/>
    <w:rsid w:val="004A7DDC"/>
    <w:rsid w:val="004B169E"/>
    <w:rsid w:val="004B1F9C"/>
    <w:rsid w:val="004B2896"/>
    <w:rsid w:val="004B2B9C"/>
    <w:rsid w:val="004B33B2"/>
    <w:rsid w:val="004B33B6"/>
    <w:rsid w:val="004B3400"/>
    <w:rsid w:val="004B3A09"/>
    <w:rsid w:val="004B3AF4"/>
    <w:rsid w:val="004B5407"/>
    <w:rsid w:val="004B59F0"/>
    <w:rsid w:val="004B5A58"/>
    <w:rsid w:val="004B5FB3"/>
    <w:rsid w:val="004B664D"/>
    <w:rsid w:val="004B679E"/>
    <w:rsid w:val="004B7269"/>
    <w:rsid w:val="004B73E7"/>
    <w:rsid w:val="004B73FE"/>
    <w:rsid w:val="004B7BDA"/>
    <w:rsid w:val="004C0233"/>
    <w:rsid w:val="004C0AFA"/>
    <w:rsid w:val="004C111C"/>
    <w:rsid w:val="004C1316"/>
    <w:rsid w:val="004C34D7"/>
    <w:rsid w:val="004C37EC"/>
    <w:rsid w:val="004C3EFD"/>
    <w:rsid w:val="004C3F83"/>
    <w:rsid w:val="004C5CE0"/>
    <w:rsid w:val="004C755D"/>
    <w:rsid w:val="004D0C6B"/>
    <w:rsid w:val="004D1079"/>
    <w:rsid w:val="004D209D"/>
    <w:rsid w:val="004D22FB"/>
    <w:rsid w:val="004D2A27"/>
    <w:rsid w:val="004D2B23"/>
    <w:rsid w:val="004D36B5"/>
    <w:rsid w:val="004D4724"/>
    <w:rsid w:val="004D5B5B"/>
    <w:rsid w:val="004D6537"/>
    <w:rsid w:val="004D6B8B"/>
    <w:rsid w:val="004D6D83"/>
    <w:rsid w:val="004D7231"/>
    <w:rsid w:val="004D73A9"/>
    <w:rsid w:val="004D771D"/>
    <w:rsid w:val="004E0D7A"/>
    <w:rsid w:val="004E1099"/>
    <w:rsid w:val="004E12A1"/>
    <w:rsid w:val="004E1567"/>
    <w:rsid w:val="004E2669"/>
    <w:rsid w:val="004E2D66"/>
    <w:rsid w:val="004E363F"/>
    <w:rsid w:val="004E378F"/>
    <w:rsid w:val="004E3BDA"/>
    <w:rsid w:val="004E3DDE"/>
    <w:rsid w:val="004E404C"/>
    <w:rsid w:val="004E4B9B"/>
    <w:rsid w:val="004E4D44"/>
    <w:rsid w:val="004E5156"/>
    <w:rsid w:val="004E6E69"/>
    <w:rsid w:val="004E7C08"/>
    <w:rsid w:val="004F0249"/>
    <w:rsid w:val="004F037E"/>
    <w:rsid w:val="004F139C"/>
    <w:rsid w:val="004F169B"/>
    <w:rsid w:val="004F1A93"/>
    <w:rsid w:val="004F21BC"/>
    <w:rsid w:val="004F38E1"/>
    <w:rsid w:val="004F3B1D"/>
    <w:rsid w:val="004F40DC"/>
    <w:rsid w:val="004F4CB1"/>
    <w:rsid w:val="004F50A1"/>
    <w:rsid w:val="004F56B1"/>
    <w:rsid w:val="004F5734"/>
    <w:rsid w:val="004F6C91"/>
    <w:rsid w:val="004F6E45"/>
    <w:rsid w:val="0050071F"/>
    <w:rsid w:val="00500994"/>
    <w:rsid w:val="00500A40"/>
    <w:rsid w:val="00502049"/>
    <w:rsid w:val="00502380"/>
    <w:rsid w:val="005024E7"/>
    <w:rsid w:val="005028B0"/>
    <w:rsid w:val="00502DA1"/>
    <w:rsid w:val="0050343F"/>
    <w:rsid w:val="005035C2"/>
    <w:rsid w:val="005035FB"/>
    <w:rsid w:val="00503AC5"/>
    <w:rsid w:val="005040FE"/>
    <w:rsid w:val="00504634"/>
    <w:rsid w:val="005053C9"/>
    <w:rsid w:val="00505A5F"/>
    <w:rsid w:val="00505B21"/>
    <w:rsid w:val="00506606"/>
    <w:rsid w:val="00507F9F"/>
    <w:rsid w:val="00510AC2"/>
    <w:rsid w:val="00511048"/>
    <w:rsid w:val="005115C0"/>
    <w:rsid w:val="005118B2"/>
    <w:rsid w:val="005118DF"/>
    <w:rsid w:val="005125A0"/>
    <w:rsid w:val="00513138"/>
    <w:rsid w:val="00513D81"/>
    <w:rsid w:val="0051422B"/>
    <w:rsid w:val="00514A7F"/>
    <w:rsid w:val="005158AA"/>
    <w:rsid w:val="00515EC3"/>
    <w:rsid w:val="00516258"/>
    <w:rsid w:val="00516322"/>
    <w:rsid w:val="00516557"/>
    <w:rsid w:val="0051662F"/>
    <w:rsid w:val="005169C8"/>
    <w:rsid w:val="00517145"/>
    <w:rsid w:val="005207DB"/>
    <w:rsid w:val="00520838"/>
    <w:rsid w:val="00520E62"/>
    <w:rsid w:val="00521EF0"/>
    <w:rsid w:val="0052241F"/>
    <w:rsid w:val="00522761"/>
    <w:rsid w:val="00523299"/>
    <w:rsid w:val="00523512"/>
    <w:rsid w:val="00523BE8"/>
    <w:rsid w:val="00524020"/>
    <w:rsid w:val="0052437B"/>
    <w:rsid w:val="00524ABC"/>
    <w:rsid w:val="00525DBF"/>
    <w:rsid w:val="0052601F"/>
    <w:rsid w:val="00526034"/>
    <w:rsid w:val="005263F0"/>
    <w:rsid w:val="00527A02"/>
    <w:rsid w:val="00530B96"/>
    <w:rsid w:val="00530CB1"/>
    <w:rsid w:val="00531005"/>
    <w:rsid w:val="00531578"/>
    <w:rsid w:val="005319ED"/>
    <w:rsid w:val="00531AE7"/>
    <w:rsid w:val="00533345"/>
    <w:rsid w:val="00533D06"/>
    <w:rsid w:val="005341DE"/>
    <w:rsid w:val="005341E2"/>
    <w:rsid w:val="0053454E"/>
    <w:rsid w:val="005350AA"/>
    <w:rsid w:val="00535538"/>
    <w:rsid w:val="00535540"/>
    <w:rsid w:val="005360ED"/>
    <w:rsid w:val="00536155"/>
    <w:rsid w:val="00536341"/>
    <w:rsid w:val="00536508"/>
    <w:rsid w:val="00537C9D"/>
    <w:rsid w:val="00540960"/>
    <w:rsid w:val="005423C4"/>
    <w:rsid w:val="00542642"/>
    <w:rsid w:val="00542E15"/>
    <w:rsid w:val="00544B0F"/>
    <w:rsid w:val="0054585E"/>
    <w:rsid w:val="00546259"/>
    <w:rsid w:val="00546E28"/>
    <w:rsid w:val="00546F9A"/>
    <w:rsid w:val="0054736B"/>
    <w:rsid w:val="00547F6F"/>
    <w:rsid w:val="00550E3B"/>
    <w:rsid w:val="00551080"/>
    <w:rsid w:val="00551943"/>
    <w:rsid w:val="00551A40"/>
    <w:rsid w:val="00551DE1"/>
    <w:rsid w:val="005523C6"/>
    <w:rsid w:val="0055249C"/>
    <w:rsid w:val="00552753"/>
    <w:rsid w:val="00552D77"/>
    <w:rsid w:val="00553E79"/>
    <w:rsid w:val="00554A93"/>
    <w:rsid w:val="00555733"/>
    <w:rsid w:val="005557F4"/>
    <w:rsid w:val="00556476"/>
    <w:rsid w:val="00556739"/>
    <w:rsid w:val="00556A40"/>
    <w:rsid w:val="00556ED8"/>
    <w:rsid w:val="005601A3"/>
    <w:rsid w:val="00560A0A"/>
    <w:rsid w:val="00560C3D"/>
    <w:rsid w:val="005611FC"/>
    <w:rsid w:val="00561AC4"/>
    <w:rsid w:val="00561FBB"/>
    <w:rsid w:val="0056238E"/>
    <w:rsid w:val="0056254E"/>
    <w:rsid w:val="00562848"/>
    <w:rsid w:val="00562FE1"/>
    <w:rsid w:val="00563104"/>
    <w:rsid w:val="00563165"/>
    <w:rsid w:val="0056330B"/>
    <w:rsid w:val="00563A29"/>
    <w:rsid w:val="00563F56"/>
    <w:rsid w:val="0056484F"/>
    <w:rsid w:val="005656CF"/>
    <w:rsid w:val="00565DEA"/>
    <w:rsid w:val="00566C02"/>
    <w:rsid w:val="00566DCF"/>
    <w:rsid w:val="00566DDD"/>
    <w:rsid w:val="005670A8"/>
    <w:rsid w:val="00567137"/>
    <w:rsid w:val="00567E26"/>
    <w:rsid w:val="0057023E"/>
    <w:rsid w:val="00571622"/>
    <w:rsid w:val="005717E7"/>
    <w:rsid w:val="00571830"/>
    <w:rsid w:val="005718F5"/>
    <w:rsid w:val="00571F38"/>
    <w:rsid w:val="00571F9E"/>
    <w:rsid w:val="00572DBC"/>
    <w:rsid w:val="00573A8E"/>
    <w:rsid w:val="00573E23"/>
    <w:rsid w:val="00574CEB"/>
    <w:rsid w:val="005757EA"/>
    <w:rsid w:val="00575C2C"/>
    <w:rsid w:val="00576111"/>
    <w:rsid w:val="00576535"/>
    <w:rsid w:val="00576C5E"/>
    <w:rsid w:val="00576EFD"/>
    <w:rsid w:val="00577306"/>
    <w:rsid w:val="00580479"/>
    <w:rsid w:val="00580B13"/>
    <w:rsid w:val="00580DB2"/>
    <w:rsid w:val="00580E88"/>
    <w:rsid w:val="005813F3"/>
    <w:rsid w:val="00581B12"/>
    <w:rsid w:val="0058246A"/>
    <w:rsid w:val="0058281F"/>
    <w:rsid w:val="005830BD"/>
    <w:rsid w:val="0058443E"/>
    <w:rsid w:val="00584ADC"/>
    <w:rsid w:val="00584FC9"/>
    <w:rsid w:val="00586012"/>
    <w:rsid w:val="00586083"/>
    <w:rsid w:val="0058688B"/>
    <w:rsid w:val="00586943"/>
    <w:rsid w:val="00586C71"/>
    <w:rsid w:val="00587B08"/>
    <w:rsid w:val="00587FC5"/>
    <w:rsid w:val="005905ED"/>
    <w:rsid w:val="00590941"/>
    <w:rsid w:val="00590B1D"/>
    <w:rsid w:val="00590E8E"/>
    <w:rsid w:val="0059204F"/>
    <w:rsid w:val="00592509"/>
    <w:rsid w:val="00592C6D"/>
    <w:rsid w:val="00593579"/>
    <w:rsid w:val="005950AA"/>
    <w:rsid w:val="005950D0"/>
    <w:rsid w:val="00595899"/>
    <w:rsid w:val="00595FC8"/>
    <w:rsid w:val="005962D1"/>
    <w:rsid w:val="00596EDC"/>
    <w:rsid w:val="00597CCD"/>
    <w:rsid w:val="00597F62"/>
    <w:rsid w:val="005A0323"/>
    <w:rsid w:val="005A1128"/>
    <w:rsid w:val="005A150D"/>
    <w:rsid w:val="005A15B6"/>
    <w:rsid w:val="005A1838"/>
    <w:rsid w:val="005A1FF9"/>
    <w:rsid w:val="005A20DB"/>
    <w:rsid w:val="005A298E"/>
    <w:rsid w:val="005A2E87"/>
    <w:rsid w:val="005A3CE0"/>
    <w:rsid w:val="005A421E"/>
    <w:rsid w:val="005A4334"/>
    <w:rsid w:val="005A467D"/>
    <w:rsid w:val="005A4B76"/>
    <w:rsid w:val="005A533B"/>
    <w:rsid w:val="005A55CF"/>
    <w:rsid w:val="005A5D7F"/>
    <w:rsid w:val="005A5DFF"/>
    <w:rsid w:val="005A616F"/>
    <w:rsid w:val="005A6EB5"/>
    <w:rsid w:val="005A6F71"/>
    <w:rsid w:val="005A7551"/>
    <w:rsid w:val="005A764C"/>
    <w:rsid w:val="005A7C29"/>
    <w:rsid w:val="005B0A32"/>
    <w:rsid w:val="005B17B8"/>
    <w:rsid w:val="005B21C2"/>
    <w:rsid w:val="005B2766"/>
    <w:rsid w:val="005B2FEF"/>
    <w:rsid w:val="005B3642"/>
    <w:rsid w:val="005B3694"/>
    <w:rsid w:val="005B437B"/>
    <w:rsid w:val="005B44A8"/>
    <w:rsid w:val="005B59C3"/>
    <w:rsid w:val="005B65E3"/>
    <w:rsid w:val="005B7130"/>
    <w:rsid w:val="005B7B74"/>
    <w:rsid w:val="005C0607"/>
    <w:rsid w:val="005C0901"/>
    <w:rsid w:val="005C1009"/>
    <w:rsid w:val="005C1274"/>
    <w:rsid w:val="005C1964"/>
    <w:rsid w:val="005C242B"/>
    <w:rsid w:val="005C3887"/>
    <w:rsid w:val="005C4B7F"/>
    <w:rsid w:val="005C4FE9"/>
    <w:rsid w:val="005C5118"/>
    <w:rsid w:val="005C51E7"/>
    <w:rsid w:val="005C6886"/>
    <w:rsid w:val="005C68FE"/>
    <w:rsid w:val="005D1404"/>
    <w:rsid w:val="005D28D6"/>
    <w:rsid w:val="005D2B58"/>
    <w:rsid w:val="005D3889"/>
    <w:rsid w:val="005D38C6"/>
    <w:rsid w:val="005D5BB1"/>
    <w:rsid w:val="005D60E6"/>
    <w:rsid w:val="005D79DC"/>
    <w:rsid w:val="005E01CD"/>
    <w:rsid w:val="005E0290"/>
    <w:rsid w:val="005E0525"/>
    <w:rsid w:val="005E0CD0"/>
    <w:rsid w:val="005E0D4D"/>
    <w:rsid w:val="005E0E23"/>
    <w:rsid w:val="005E0E28"/>
    <w:rsid w:val="005E1220"/>
    <w:rsid w:val="005E1410"/>
    <w:rsid w:val="005E2566"/>
    <w:rsid w:val="005E2860"/>
    <w:rsid w:val="005E40B2"/>
    <w:rsid w:val="005E4821"/>
    <w:rsid w:val="005E4DDC"/>
    <w:rsid w:val="005E5132"/>
    <w:rsid w:val="005E53FC"/>
    <w:rsid w:val="005E5B29"/>
    <w:rsid w:val="005E5C0E"/>
    <w:rsid w:val="005E5C11"/>
    <w:rsid w:val="005E5C58"/>
    <w:rsid w:val="005E6552"/>
    <w:rsid w:val="005E66E5"/>
    <w:rsid w:val="005E700C"/>
    <w:rsid w:val="005E74C8"/>
    <w:rsid w:val="005E751C"/>
    <w:rsid w:val="005E75FC"/>
    <w:rsid w:val="005F12DC"/>
    <w:rsid w:val="005F16E1"/>
    <w:rsid w:val="005F1E3F"/>
    <w:rsid w:val="005F216E"/>
    <w:rsid w:val="005F2BC4"/>
    <w:rsid w:val="005F358A"/>
    <w:rsid w:val="005F3D12"/>
    <w:rsid w:val="005F3F29"/>
    <w:rsid w:val="005F4130"/>
    <w:rsid w:val="005F42FF"/>
    <w:rsid w:val="005F4816"/>
    <w:rsid w:val="005F4ABF"/>
    <w:rsid w:val="005F4C5E"/>
    <w:rsid w:val="005F4CCB"/>
    <w:rsid w:val="005F4F33"/>
    <w:rsid w:val="005F554B"/>
    <w:rsid w:val="005F56C4"/>
    <w:rsid w:val="005F5F7E"/>
    <w:rsid w:val="005F6A58"/>
    <w:rsid w:val="005F6ED4"/>
    <w:rsid w:val="005F6FAB"/>
    <w:rsid w:val="005F7F3D"/>
    <w:rsid w:val="006001CA"/>
    <w:rsid w:val="006004E0"/>
    <w:rsid w:val="00600688"/>
    <w:rsid w:val="00600E2D"/>
    <w:rsid w:val="0060128C"/>
    <w:rsid w:val="00601534"/>
    <w:rsid w:val="0060203D"/>
    <w:rsid w:val="0060213F"/>
    <w:rsid w:val="00602372"/>
    <w:rsid w:val="006025D8"/>
    <w:rsid w:val="00602797"/>
    <w:rsid w:val="00603B86"/>
    <w:rsid w:val="00603C42"/>
    <w:rsid w:val="00604945"/>
    <w:rsid w:val="00604B8D"/>
    <w:rsid w:val="00605BE9"/>
    <w:rsid w:val="00605C71"/>
    <w:rsid w:val="00605CB8"/>
    <w:rsid w:val="0060641E"/>
    <w:rsid w:val="00606EA0"/>
    <w:rsid w:val="00607523"/>
    <w:rsid w:val="0060791A"/>
    <w:rsid w:val="00610F7F"/>
    <w:rsid w:val="00611AC9"/>
    <w:rsid w:val="00611B46"/>
    <w:rsid w:val="00612308"/>
    <w:rsid w:val="00612760"/>
    <w:rsid w:val="00612C98"/>
    <w:rsid w:val="00612F08"/>
    <w:rsid w:val="00613567"/>
    <w:rsid w:val="00613DF4"/>
    <w:rsid w:val="00614471"/>
    <w:rsid w:val="00614585"/>
    <w:rsid w:val="00614672"/>
    <w:rsid w:val="006152B8"/>
    <w:rsid w:val="00615F54"/>
    <w:rsid w:val="006165B2"/>
    <w:rsid w:val="00616928"/>
    <w:rsid w:val="006170EC"/>
    <w:rsid w:val="006177A8"/>
    <w:rsid w:val="00617D7F"/>
    <w:rsid w:val="0062034A"/>
    <w:rsid w:val="006205F8"/>
    <w:rsid w:val="006207AD"/>
    <w:rsid w:val="006209B1"/>
    <w:rsid w:val="00621DB2"/>
    <w:rsid w:val="00622592"/>
    <w:rsid w:val="006230C3"/>
    <w:rsid w:val="00623898"/>
    <w:rsid w:val="00623C7C"/>
    <w:rsid w:val="0062456F"/>
    <w:rsid w:val="006247DE"/>
    <w:rsid w:val="00624830"/>
    <w:rsid w:val="00624F83"/>
    <w:rsid w:val="006252BC"/>
    <w:rsid w:val="006262D8"/>
    <w:rsid w:val="00626423"/>
    <w:rsid w:val="006264A5"/>
    <w:rsid w:val="00626AF5"/>
    <w:rsid w:val="00626E27"/>
    <w:rsid w:val="00626F28"/>
    <w:rsid w:val="006273C8"/>
    <w:rsid w:val="006307B5"/>
    <w:rsid w:val="00630B09"/>
    <w:rsid w:val="0063113D"/>
    <w:rsid w:val="006311DF"/>
    <w:rsid w:val="0063168F"/>
    <w:rsid w:val="00631B00"/>
    <w:rsid w:val="00631FCE"/>
    <w:rsid w:val="00633BA2"/>
    <w:rsid w:val="0063499B"/>
    <w:rsid w:val="00634B6D"/>
    <w:rsid w:val="006355F1"/>
    <w:rsid w:val="0063561A"/>
    <w:rsid w:val="006356EC"/>
    <w:rsid w:val="0063587E"/>
    <w:rsid w:val="00635F8F"/>
    <w:rsid w:val="006369B1"/>
    <w:rsid w:val="006375A2"/>
    <w:rsid w:val="00637BEA"/>
    <w:rsid w:val="00641F82"/>
    <w:rsid w:val="0064301D"/>
    <w:rsid w:val="00643A4B"/>
    <w:rsid w:val="00643A7C"/>
    <w:rsid w:val="00643F7C"/>
    <w:rsid w:val="00643FD1"/>
    <w:rsid w:val="00644341"/>
    <w:rsid w:val="00644B3C"/>
    <w:rsid w:val="00644B47"/>
    <w:rsid w:val="00644DEB"/>
    <w:rsid w:val="00644FCF"/>
    <w:rsid w:val="00645C22"/>
    <w:rsid w:val="0064611A"/>
    <w:rsid w:val="00647C29"/>
    <w:rsid w:val="00647FC3"/>
    <w:rsid w:val="00650C7C"/>
    <w:rsid w:val="00650C82"/>
    <w:rsid w:val="00650D55"/>
    <w:rsid w:val="00650E47"/>
    <w:rsid w:val="006511A2"/>
    <w:rsid w:val="006511B9"/>
    <w:rsid w:val="00651656"/>
    <w:rsid w:val="0065185D"/>
    <w:rsid w:val="00652AA2"/>
    <w:rsid w:val="00652DD4"/>
    <w:rsid w:val="00653C99"/>
    <w:rsid w:val="00654031"/>
    <w:rsid w:val="00654944"/>
    <w:rsid w:val="00654C16"/>
    <w:rsid w:val="006550F6"/>
    <w:rsid w:val="00655A31"/>
    <w:rsid w:val="00655B68"/>
    <w:rsid w:val="006561BA"/>
    <w:rsid w:val="00656A67"/>
    <w:rsid w:val="00656A8F"/>
    <w:rsid w:val="00656EE9"/>
    <w:rsid w:val="0065723C"/>
    <w:rsid w:val="00657250"/>
    <w:rsid w:val="00657917"/>
    <w:rsid w:val="00657C06"/>
    <w:rsid w:val="006600B1"/>
    <w:rsid w:val="006603BA"/>
    <w:rsid w:val="0066068B"/>
    <w:rsid w:val="00660880"/>
    <w:rsid w:val="00660C87"/>
    <w:rsid w:val="00661D4C"/>
    <w:rsid w:val="00662646"/>
    <w:rsid w:val="0066355C"/>
    <w:rsid w:val="00663714"/>
    <w:rsid w:val="00663E85"/>
    <w:rsid w:val="00663EA3"/>
    <w:rsid w:val="00664C5C"/>
    <w:rsid w:val="00664C61"/>
    <w:rsid w:val="00665296"/>
    <w:rsid w:val="00665CE1"/>
    <w:rsid w:val="00665EB7"/>
    <w:rsid w:val="00665FC1"/>
    <w:rsid w:val="00666621"/>
    <w:rsid w:val="00666A33"/>
    <w:rsid w:val="00666BAC"/>
    <w:rsid w:val="00666F2A"/>
    <w:rsid w:val="00667F4E"/>
    <w:rsid w:val="00671608"/>
    <w:rsid w:val="00671EE5"/>
    <w:rsid w:val="00672310"/>
    <w:rsid w:val="00672D68"/>
    <w:rsid w:val="00672F62"/>
    <w:rsid w:val="00673E88"/>
    <w:rsid w:val="0067402D"/>
    <w:rsid w:val="006740C6"/>
    <w:rsid w:val="006744CA"/>
    <w:rsid w:val="00675497"/>
    <w:rsid w:val="0067584E"/>
    <w:rsid w:val="00676F62"/>
    <w:rsid w:val="006779E4"/>
    <w:rsid w:val="00680381"/>
    <w:rsid w:val="00680785"/>
    <w:rsid w:val="00680C04"/>
    <w:rsid w:val="00680FE8"/>
    <w:rsid w:val="00681221"/>
    <w:rsid w:val="0068261D"/>
    <w:rsid w:val="00683155"/>
    <w:rsid w:val="0068317E"/>
    <w:rsid w:val="0068329F"/>
    <w:rsid w:val="006838C6"/>
    <w:rsid w:val="006844D4"/>
    <w:rsid w:val="00684AE1"/>
    <w:rsid w:val="00684B96"/>
    <w:rsid w:val="00685F14"/>
    <w:rsid w:val="00687517"/>
    <w:rsid w:val="00687F5B"/>
    <w:rsid w:val="0069093A"/>
    <w:rsid w:val="006910A1"/>
    <w:rsid w:val="006911E4"/>
    <w:rsid w:val="00691865"/>
    <w:rsid w:val="006918F1"/>
    <w:rsid w:val="00691BF1"/>
    <w:rsid w:val="006927FB"/>
    <w:rsid w:val="00692FDB"/>
    <w:rsid w:val="00693184"/>
    <w:rsid w:val="00693375"/>
    <w:rsid w:val="00694D09"/>
    <w:rsid w:val="00694E21"/>
    <w:rsid w:val="006950AE"/>
    <w:rsid w:val="00695805"/>
    <w:rsid w:val="006958DE"/>
    <w:rsid w:val="00695C3F"/>
    <w:rsid w:val="00696746"/>
    <w:rsid w:val="0069683A"/>
    <w:rsid w:val="00696B34"/>
    <w:rsid w:val="00697C92"/>
    <w:rsid w:val="00697D9F"/>
    <w:rsid w:val="00697DE5"/>
    <w:rsid w:val="006A0B68"/>
    <w:rsid w:val="006A2321"/>
    <w:rsid w:val="006A3468"/>
    <w:rsid w:val="006A358B"/>
    <w:rsid w:val="006A3691"/>
    <w:rsid w:val="006A3BD2"/>
    <w:rsid w:val="006A3C48"/>
    <w:rsid w:val="006A418B"/>
    <w:rsid w:val="006A4EDC"/>
    <w:rsid w:val="006A5604"/>
    <w:rsid w:val="006A5B6A"/>
    <w:rsid w:val="006A66E8"/>
    <w:rsid w:val="006A7397"/>
    <w:rsid w:val="006A7AE8"/>
    <w:rsid w:val="006A7B5A"/>
    <w:rsid w:val="006B0F63"/>
    <w:rsid w:val="006B14F4"/>
    <w:rsid w:val="006B1944"/>
    <w:rsid w:val="006B1AFE"/>
    <w:rsid w:val="006B1F0E"/>
    <w:rsid w:val="006B1F4A"/>
    <w:rsid w:val="006B2412"/>
    <w:rsid w:val="006B2C8B"/>
    <w:rsid w:val="006B2DD1"/>
    <w:rsid w:val="006B34D6"/>
    <w:rsid w:val="006B3604"/>
    <w:rsid w:val="006B3B17"/>
    <w:rsid w:val="006B3CE9"/>
    <w:rsid w:val="006B426E"/>
    <w:rsid w:val="006B4EE7"/>
    <w:rsid w:val="006B5B2F"/>
    <w:rsid w:val="006B5F02"/>
    <w:rsid w:val="006B5FE5"/>
    <w:rsid w:val="006B5FF5"/>
    <w:rsid w:val="006B72C4"/>
    <w:rsid w:val="006B7535"/>
    <w:rsid w:val="006B7645"/>
    <w:rsid w:val="006C0EED"/>
    <w:rsid w:val="006C138E"/>
    <w:rsid w:val="006C16A8"/>
    <w:rsid w:val="006C176A"/>
    <w:rsid w:val="006C1818"/>
    <w:rsid w:val="006C24D4"/>
    <w:rsid w:val="006C2AB8"/>
    <w:rsid w:val="006C2B80"/>
    <w:rsid w:val="006C3439"/>
    <w:rsid w:val="006C3AD7"/>
    <w:rsid w:val="006C416F"/>
    <w:rsid w:val="006C4403"/>
    <w:rsid w:val="006C4822"/>
    <w:rsid w:val="006C4ADF"/>
    <w:rsid w:val="006C4E94"/>
    <w:rsid w:val="006C5057"/>
    <w:rsid w:val="006C5724"/>
    <w:rsid w:val="006C5CAB"/>
    <w:rsid w:val="006C6509"/>
    <w:rsid w:val="006C6865"/>
    <w:rsid w:val="006C6892"/>
    <w:rsid w:val="006C7562"/>
    <w:rsid w:val="006D015D"/>
    <w:rsid w:val="006D0F8E"/>
    <w:rsid w:val="006D1391"/>
    <w:rsid w:val="006D1E6B"/>
    <w:rsid w:val="006D2663"/>
    <w:rsid w:val="006D26A4"/>
    <w:rsid w:val="006D2A39"/>
    <w:rsid w:val="006D4127"/>
    <w:rsid w:val="006D59E9"/>
    <w:rsid w:val="006D613F"/>
    <w:rsid w:val="006D68FD"/>
    <w:rsid w:val="006D6BA7"/>
    <w:rsid w:val="006D6FAF"/>
    <w:rsid w:val="006D7341"/>
    <w:rsid w:val="006D735F"/>
    <w:rsid w:val="006D777A"/>
    <w:rsid w:val="006D7ACD"/>
    <w:rsid w:val="006E10C7"/>
    <w:rsid w:val="006E1271"/>
    <w:rsid w:val="006E1894"/>
    <w:rsid w:val="006E199E"/>
    <w:rsid w:val="006E1FD9"/>
    <w:rsid w:val="006E2688"/>
    <w:rsid w:val="006E2712"/>
    <w:rsid w:val="006E2E28"/>
    <w:rsid w:val="006E3163"/>
    <w:rsid w:val="006E3278"/>
    <w:rsid w:val="006E3A78"/>
    <w:rsid w:val="006E4447"/>
    <w:rsid w:val="006E4E60"/>
    <w:rsid w:val="006E4EE9"/>
    <w:rsid w:val="006E4F6C"/>
    <w:rsid w:val="006E4F79"/>
    <w:rsid w:val="006E561B"/>
    <w:rsid w:val="006E6012"/>
    <w:rsid w:val="006E6758"/>
    <w:rsid w:val="006E695E"/>
    <w:rsid w:val="006E6A7A"/>
    <w:rsid w:val="006E736E"/>
    <w:rsid w:val="006F11EE"/>
    <w:rsid w:val="006F15A6"/>
    <w:rsid w:val="006F1712"/>
    <w:rsid w:val="006F1E08"/>
    <w:rsid w:val="006F20BE"/>
    <w:rsid w:val="006F28A0"/>
    <w:rsid w:val="006F2BCC"/>
    <w:rsid w:val="006F39A0"/>
    <w:rsid w:val="006F3EC5"/>
    <w:rsid w:val="006F54AA"/>
    <w:rsid w:val="006F5CA7"/>
    <w:rsid w:val="006F600A"/>
    <w:rsid w:val="006F65F0"/>
    <w:rsid w:val="006F6956"/>
    <w:rsid w:val="006F6B3B"/>
    <w:rsid w:val="006F6FD7"/>
    <w:rsid w:val="00700912"/>
    <w:rsid w:val="00700D8A"/>
    <w:rsid w:val="00701009"/>
    <w:rsid w:val="0070114B"/>
    <w:rsid w:val="00701151"/>
    <w:rsid w:val="00701498"/>
    <w:rsid w:val="007014C3"/>
    <w:rsid w:val="00701A6C"/>
    <w:rsid w:val="0070226E"/>
    <w:rsid w:val="007023A0"/>
    <w:rsid w:val="00702E09"/>
    <w:rsid w:val="0070352E"/>
    <w:rsid w:val="00703A38"/>
    <w:rsid w:val="00703D1C"/>
    <w:rsid w:val="0070412F"/>
    <w:rsid w:val="00704B2A"/>
    <w:rsid w:val="00704EC8"/>
    <w:rsid w:val="007052EF"/>
    <w:rsid w:val="007057A7"/>
    <w:rsid w:val="00705E28"/>
    <w:rsid w:val="00707A55"/>
    <w:rsid w:val="007101EF"/>
    <w:rsid w:val="0071155B"/>
    <w:rsid w:val="00711C0B"/>
    <w:rsid w:val="00711D54"/>
    <w:rsid w:val="00712051"/>
    <w:rsid w:val="0071235D"/>
    <w:rsid w:val="0071259D"/>
    <w:rsid w:val="007126D4"/>
    <w:rsid w:val="0071291B"/>
    <w:rsid w:val="00713A61"/>
    <w:rsid w:val="00714545"/>
    <w:rsid w:val="00714918"/>
    <w:rsid w:val="00714A8F"/>
    <w:rsid w:val="00714AC3"/>
    <w:rsid w:val="00714BD8"/>
    <w:rsid w:val="00714E1C"/>
    <w:rsid w:val="007151FE"/>
    <w:rsid w:val="0071521A"/>
    <w:rsid w:val="007152B1"/>
    <w:rsid w:val="00715BA4"/>
    <w:rsid w:val="00716776"/>
    <w:rsid w:val="0071681C"/>
    <w:rsid w:val="0071715E"/>
    <w:rsid w:val="0071734F"/>
    <w:rsid w:val="00717887"/>
    <w:rsid w:val="00717EE7"/>
    <w:rsid w:val="00721436"/>
    <w:rsid w:val="007217F1"/>
    <w:rsid w:val="00722426"/>
    <w:rsid w:val="007227B4"/>
    <w:rsid w:val="00722866"/>
    <w:rsid w:val="00722CB9"/>
    <w:rsid w:val="00722E1F"/>
    <w:rsid w:val="007236DC"/>
    <w:rsid w:val="00723F50"/>
    <w:rsid w:val="00723F95"/>
    <w:rsid w:val="007244C5"/>
    <w:rsid w:val="00724B0E"/>
    <w:rsid w:val="007256A5"/>
    <w:rsid w:val="00725703"/>
    <w:rsid w:val="00725BE1"/>
    <w:rsid w:val="00726BCD"/>
    <w:rsid w:val="007277B9"/>
    <w:rsid w:val="0072783A"/>
    <w:rsid w:val="00727CEA"/>
    <w:rsid w:val="00730A6F"/>
    <w:rsid w:val="00730A83"/>
    <w:rsid w:val="00731549"/>
    <w:rsid w:val="007318D7"/>
    <w:rsid w:val="00731B88"/>
    <w:rsid w:val="00732068"/>
    <w:rsid w:val="007326F2"/>
    <w:rsid w:val="007327B8"/>
    <w:rsid w:val="00732D17"/>
    <w:rsid w:val="00732F0F"/>
    <w:rsid w:val="00733528"/>
    <w:rsid w:val="00733A86"/>
    <w:rsid w:val="00733DC5"/>
    <w:rsid w:val="00733E64"/>
    <w:rsid w:val="0073432C"/>
    <w:rsid w:val="00734AE4"/>
    <w:rsid w:val="00734DB6"/>
    <w:rsid w:val="00734E59"/>
    <w:rsid w:val="00735A76"/>
    <w:rsid w:val="0073760D"/>
    <w:rsid w:val="00737E81"/>
    <w:rsid w:val="00740C09"/>
    <w:rsid w:val="007413A0"/>
    <w:rsid w:val="0074172D"/>
    <w:rsid w:val="00741E66"/>
    <w:rsid w:val="00741FD9"/>
    <w:rsid w:val="00742F9A"/>
    <w:rsid w:val="007432DA"/>
    <w:rsid w:val="00743FA4"/>
    <w:rsid w:val="007440CD"/>
    <w:rsid w:val="00744586"/>
    <w:rsid w:val="00745019"/>
    <w:rsid w:val="00746425"/>
    <w:rsid w:val="007467B4"/>
    <w:rsid w:val="00746811"/>
    <w:rsid w:val="00746893"/>
    <w:rsid w:val="00747606"/>
    <w:rsid w:val="007479D2"/>
    <w:rsid w:val="00750F87"/>
    <w:rsid w:val="0075137F"/>
    <w:rsid w:val="007526DB"/>
    <w:rsid w:val="00752C88"/>
    <w:rsid w:val="00754263"/>
    <w:rsid w:val="007545A3"/>
    <w:rsid w:val="00754792"/>
    <w:rsid w:val="00755196"/>
    <w:rsid w:val="00756BD4"/>
    <w:rsid w:val="00760227"/>
    <w:rsid w:val="007607D8"/>
    <w:rsid w:val="00760A55"/>
    <w:rsid w:val="007619BB"/>
    <w:rsid w:val="00761A0F"/>
    <w:rsid w:val="00761CFB"/>
    <w:rsid w:val="00762250"/>
    <w:rsid w:val="007624C5"/>
    <w:rsid w:val="0076278A"/>
    <w:rsid w:val="0076284E"/>
    <w:rsid w:val="00763061"/>
    <w:rsid w:val="0076502B"/>
    <w:rsid w:val="0076509C"/>
    <w:rsid w:val="00765EDC"/>
    <w:rsid w:val="00765FAA"/>
    <w:rsid w:val="007665F1"/>
    <w:rsid w:val="00766653"/>
    <w:rsid w:val="00766ACA"/>
    <w:rsid w:val="00766C3B"/>
    <w:rsid w:val="00766E04"/>
    <w:rsid w:val="0076733B"/>
    <w:rsid w:val="00767809"/>
    <w:rsid w:val="0077022D"/>
    <w:rsid w:val="00770AA9"/>
    <w:rsid w:val="00770EB0"/>
    <w:rsid w:val="007717E0"/>
    <w:rsid w:val="00771C06"/>
    <w:rsid w:val="007722FF"/>
    <w:rsid w:val="007726A7"/>
    <w:rsid w:val="007737AF"/>
    <w:rsid w:val="00774135"/>
    <w:rsid w:val="00774A78"/>
    <w:rsid w:val="00774A8C"/>
    <w:rsid w:val="00774AEE"/>
    <w:rsid w:val="00774BAF"/>
    <w:rsid w:val="00774C1C"/>
    <w:rsid w:val="00776848"/>
    <w:rsid w:val="007772DF"/>
    <w:rsid w:val="0077748F"/>
    <w:rsid w:val="00777806"/>
    <w:rsid w:val="007779CC"/>
    <w:rsid w:val="00780189"/>
    <w:rsid w:val="0078073A"/>
    <w:rsid w:val="007810D6"/>
    <w:rsid w:val="0078155C"/>
    <w:rsid w:val="00781DB8"/>
    <w:rsid w:val="0078226A"/>
    <w:rsid w:val="00783304"/>
    <w:rsid w:val="00783EFE"/>
    <w:rsid w:val="007841DC"/>
    <w:rsid w:val="0078483F"/>
    <w:rsid w:val="00784E62"/>
    <w:rsid w:val="00784FA6"/>
    <w:rsid w:val="0078583D"/>
    <w:rsid w:val="007867CF"/>
    <w:rsid w:val="00786CFD"/>
    <w:rsid w:val="0078788A"/>
    <w:rsid w:val="00787A77"/>
    <w:rsid w:val="00787F94"/>
    <w:rsid w:val="00790BF5"/>
    <w:rsid w:val="00790DF0"/>
    <w:rsid w:val="00790F48"/>
    <w:rsid w:val="0079106F"/>
    <w:rsid w:val="00791B5A"/>
    <w:rsid w:val="00791B8E"/>
    <w:rsid w:val="00792054"/>
    <w:rsid w:val="007927B1"/>
    <w:rsid w:val="00792BAA"/>
    <w:rsid w:val="00792DDD"/>
    <w:rsid w:val="00793080"/>
    <w:rsid w:val="007933C0"/>
    <w:rsid w:val="00793474"/>
    <w:rsid w:val="0079379C"/>
    <w:rsid w:val="00793F7F"/>
    <w:rsid w:val="007946D0"/>
    <w:rsid w:val="007946FD"/>
    <w:rsid w:val="00794BE4"/>
    <w:rsid w:val="00795325"/>
    <w:rsid w:val="00796500"/>
    <w:rsid w:val="00796E4A"/>
    <w:rsid w:val="0079707C"/>
    <w:rsid w:val="0079784D"/>
    <w:rsid w:val="00797E04"/>
    <w:rsid w:val="007A1176"/>
    <w:rsid w:val="007A12DF"/>
    <w:rsid w:val="007A13F6"/>
    <w:rsid w:val="007A1FF1"/>
    <w:rsid w:val="007A2098"/>
    <w:rsid w:val="007A23F3"/>
    <w:rsid w:val="007A39CF"/>
    <w:rsid w:val="007A3AFE"/>
    <w:rsid w:val="007A3FCF"/>
    <w:rsid w:val="007A4F94"/>
    <w:rsid w:val="007A6352"/>
    <w:rsid w:val="007A7643"/>
    <w:rsid w:val="007A7FCD"/>
    <w:rsid w:val="007B00F5"/>
    <w:rsid w:val="007B0B48"/>
    <w:rsid w:val="007B1728"/>
    <w:rsid w:val="007B1EC8"/>
    <w:rsid w:val="007B1F6A"/>
    <w:rsid w:val="007B252E"/>
    <w:rsid w:val="007B29A9"/>
    <w:rsid w:val="007B3AF1"/>
    <w:rsid w:val="007B3ED6"/>
    <w:rsid w:val="007B4508"/>
    <w:rsid w:val="007B47CA"/>
    <w:rsid w:val="007B481B"/>
    <w:rsid w:val="007B6010"/>
    <w:rsid w:val="007B7385"/>
    <w:rsid w:val="007B7D30"/>
    <w:rsid w:val="007B7F56"/>
    <w:rsid w:val="007C0B10"/>
    <w:rsid w:val="007C105C"/>
    <w:rsid w:val="007C1593"/>
    <w:rsid w:val="007C3637"/>
    <w:rsid w:val="007C423D"/>
    <w:rsid w:val="007C58F3"/>
    <w:rsid w:val="007C630A"/>
    <w:rsid w:val="007C6430"/>
    <w:rsid w:val="007C648A"/>
    <w:rsid w:val="007C6646"/>
    <w:rsid w:val="007C7797"/>
    <w:rsid w:val="007C78BE"/>
    <w:rsid w:val="007D0821"/>
    <w:rsid w:val="007D135D"/>
    <w:rsid w:val="007D1999"/>
    <w:rsid w:val="007D1E8F"/>
    <w:rsid w:val="007D2599"/>
    <w:rsid w:val="007D37C1"/>
    <w:rsid w:val="007D3A78"/>
    <w:rsid w:val="007D48A5"/>
    <w:rsid w:val="007D4B30"/>
    <w:rsid w:val="007D50E0"/>
    <w:rsid w:val="007D550A"/>
    <w:rsid w:val="007D5AC3"/>
    <w:rsid w:val="007D6451"/>
    <w:rsid w:val="007D6D8B"/>
    <w:rsid w:val="007D6E83"/>
    <w:rsid w:val="007D6F92"/>
    <w:rsid w:val="007D7943"/>
    <w:rsid w:val="007E0423"/>
    <w:rsid w:val="007E0814"/>
    <w:rsid w:val="007E08AF"/>
    <w:rsid w:val="007E14F3"/>
    <w:rsid w:val="007E1ED6"/>
    <w:rsid w:val="007E39AB"/>
    <w:rsid w:val="007E3A1D"/>
    <w:rsid w:val="007E427B"/>
    <w:rsid w:val="007E4942"/>
    <w:rsid w:val="007E5D3F"/>
    <w:rsid w:val="007E6709"/>
    <w:rsid w:val="007E676E"/>
    <w:rsid w:val="007E719A"/>
    <w:rsid w:val="007E7419"/>
    <w:rsid w:val="007E752C"/>
    <w:rsid w:val="007E765A"/>
    <w:rsid w:val="007E7A62"/>
    <w:rsid w:val="007E7ADE"/>
    <w:rsid w:val="007F3B4F"/>
    <w:rsid w:val="007F4073"/>
    <w:rsid w:val="007F4EBF"/>
    <w:rsid w:val="007F5B70"/>
    <w:rsid w:val="007F5FA1"/>
    <w:rsid w:val="007F6BF5"/>
    <w:rsid w:val="007F7288"/>
    <w:rsid w:val="007F7D33"/>
    <w:rsid w:val="007F7F5E"/>
    <w:rsid w:val="008006B8"/>
    <w:rsid w:val="00801429"/>
    <w:rsid w:val="00801F5F"/>
    <w:rsid w:val="0080272C"/>
    <w:rsid w:val="00802846"/>
    <w:rsid w:val="00802B2A"/>
    <w:rsid w:val="0080383C"/>
    <w:rsid w:val="00804341"/>
    <w:rsid w:val="00805081"/>
    <w:rsid w:val="00805669"/>
    <w:rsid w:val="00807060"/>
    <w:rsid w:val="00807354"/>
    <w:rsid w:val="0080753D"/>
    <w:rsid w:val="00807979"/>
    <w:rsid w:val="00810565"/>
    <w:rsid w:val="008118E6"/>
    <w:rsid w:val="00811969"/>
    <w:rsid w:val="00811A2B"/>
    <w:rsid w:val="00811AA7"/>
    <w:rsid w:val="00812501"/>
    <w:rsid w:val="0081298C"/>
    <w:rsid w:val="00812C29"/>
    <w:rsid w:val="00812C49"/>
    <w:rsid w:val="00812E51"/>
    <w:rsid w:val="008133A0"/>
    <w:rsid w:val="00813C3A"/>
    <w:rsid w:val="00813D4D"/>
    <w:rsid w:val="00813F27"/>
    <w:rsid w:val="00813F9E"/>
    <w:rsid w:val="008144BF"/>
    <w:rsid w:val="00815850"/>
    <w:rsid w:val="00815E0E"/>
    <w:rsid w:val="008167EB"/>
    <w:rsid w:val="00817A39"/>
    <w:rsid w:val="00817A72"/>
    <w:rsid w:val="00817BE3"/>
    <w:rsid w:val="008209FA"/>
    <w:rsid w:val="00821581"/>
    <w:rsid w:val="00821776"/>
    <w:rsid w:val="00822478"/>
    <w:rsid w:val="00822F85"/>
    <w:rsid w:val="0082334B"/>
    <w:rsid w:val="008239E8"/>
    <w:rsid w:val="008243E3"/>
    <w:rsid w:val="00824689"/>
    <w:rsid w:val="00825B55"/>
    <w:rsid w:val="00825C3B"/>
    <w:rsid w:val="008262C0"/>
    <w:rsid w:val="008263E9"/>
    <w:rsid w:val="008266FC"/>
    <w:rsid w:val="00827374"/>
    <w:rsid w:val="00827BC8"/>
    <w:rsid w:val="00827F74"/>
    <w:rsid w:val="00827F88"/>
    <w:rsid w:val="008301A7"/>
    <w:rsid w:val="0083111D"/>
    <w:rsid w:val="00831384"/>
    <w:rsid w:val="00831624"/>
    <w:rsid w:val="0083230E"/>
    <w:rsid w:val="0083305A"/>
    <w:rsid w:val="0083388D"/>
    <w:rsid w:val="00833BB9"/>
    <w:rsid w:val="00834C8E"/>
    <w:rsid w:val="0083585F"/>
    <w:rsid w:val="00835A4A"/>
    <w:rsid w:val="0083711D"/>
    <w:rsid w:val="00837F3B"/>
    <w:rsid w:val="00840111"/>
    <w:rsid w:val="00840464"/>
    <w:rsid w:val="008405FF"/>
    <w:rsid w:val="0084069D"/>
    <w:rsid w:val="00841076"/>
    <w:rsid w:val="00841E61"/>
    <w:rsid w:val="00841FB8"/>
    <w:rsid w:val="00842630"/>
    <w:rsid w:val="00842AAC"/>
    <w:rsid w:val="00842B07"/>
    <w:rsid w:val="00843B61"/>
    <w:rsid w:val="00845DB1"/>
    <w:rsid w:val="008460B9"/>
    <w:rsid w:val="00846267"/>
    <w:rsid w:val="008466A7"/>
    <w:rsid w:val="00846A70"/>
    <w:rsid w:val="0084719B"/>
    <w:rsid w:val="008471CE"/>
    <w:rsid w:val="00847312"/>
    <w:rsid w:val="0084768D"/>
    <w:rsid w:val="008478C6"/>
    <w:rsid w:val="00850683"/>
    <w:rsid w:val="00850AC0"/>
    <w:rsid w:val="00850B71"/>
    <w:rsid w:val="0085104D"/>
    <w:rsid w:val="008510A3"/>
    <w:rsid w:val="008510B3"/>
    <w:rsid w:val="00853165"/>
    <w:rsid w:val="0085338A"/>
    <w:rsid w:val="008534CD"/>
    <w:rsid w:val="00853691"/>
    <w:rsid w:val="008539AB"/>
    <w:rsid w:val="00853F04"/>
    <w:rsid w:val="008541C4"/>
    <w:rsid w:val="008543EB"/>
    <w:rsid w:val="00854581"/>
    <w:rsid w:val="00854C26"/>
    <w:rsid w:val="00854E59"/>
    <w:rsid w:val="0085505D"/>
    <w:rsid w:val="00855881"/>
    <w:rsid w:val="00855E84"/>
    <w:rsid w:val="00856D92"/>
    <w:rsid w:val="00857564"/>
    <w:rsid w:val="00857F41"/>
    <w:rsid w:val="0086080D"/>
    <w:rsid w:val="00861138"/>
    <w:rsid w:val="00861854"/>
    <w:rsid w:val="00862535"/>
    <w:rsid w:val="00862662"/>
    <w:rsid w:val="008626B3"/>
    <w:rsid w:val="00862FC5"/>
    <w:rsid w:val="008634AB"/>
    <w:rsid w:val="00863618"/>
    <w:rsid w:val="00863D0D"/>
    <w:rsid w:val="00863E31"/>
    <w:rsid w:val="0086573D"/>
    <w:rsid w:val="00865952"/>
    <w:rsid w:val="0086679B"/>
    <w:rsid w:val="00866D10"/>
    <w:rsid w:val="00866D17"/>
    <w:rsid w:val="00867396"/>
    <w:rsid w:val="008673D5"/>
    <w:rsid w:val="0086749B"/>
    <w:rsid w:val="00870D86"/>
    <w:rsid w:val="00870FEF"/>
    <w:rsid w:val="0087103A"/>
    <w:rsid w:val="00871A92"/>
    <w:rsid w:val="00872CE3"/>
    <w:rsid w:val="00873A56"/>
    <w:rsid w:val="00873A5B"/>
    <w:rsid w:val="0087430E"/>
    <w:rsid w:val="008744B4"/>
    <w:rsid w:val="00875323"/>
    <w:rsid w:val="00875EE0"/>
    <w:rsid w:val="008761C6"/>
    <w:rsid w:val="0087676F"/>
    <w:rsid w:val="008767B0"/>
    <w:rsid w:val="00876F78"/>
    <w:rsid w:val="00877E9E"/>
    <w:rsid w:val="00877ED7"/>
    <w:rsid w:val="008804CA"/>
    <w:rsid w:val="00880B1D"/>
    <w:rsid w:val="00880BC4"/>
    <w:rsid w:val="00880F82"/>
    <w:rsid w:val="008811D6"/>
    <w:rsid w:val="0088170F"/>
    <w:rsid w:val="00882327"/>
    <w:rsid w:val="00883131"/>
    <w:rsid w:val="00883504"/>
    <w:rsid w:val="008835F5"/>
    <w:rsid w:val="008846FA"/>
    <w:rsid w:val="00884920"/>
    <w:rsid w:val="00884CB9"/>
    <w:rsid w:val="00884E47"/>
    <w:rsid w:val="00884F25"/>
    <w:rsid w:val="00884FF2"/>
    <w:rsid w:val="00885430"/>
    <w:rsid w:val="008856E2"/>
    <w:rsid w:val="008856F0"/>
    <w:rsid w:val="008858FF"/>
    <w:rsid w:val="00886F4B"/>
    <w:rsid w:val="008870A2"/>
    <w:rsid w:val="008871DC"/>
    <w:rsid w:val="00890724"/>
    <w:rsid w:val="00890B5F"/>
    <w:rsid w:val="00890CA7"/>
    <w:rsid w:val="00892A25"/>
    <w:rsid w:val="00892DFD"/>
    <w:rsid w:val="00892FA1"/>
    <w:rsid w:val="0089333D"/>
    <w:rsid w:val="00893956"/>
    <w:rsid w:val="00894829"/>
    <w:rsid w:val="0089614E"/>
    <w:rsid w:val="00896B82"/>
    <w:rsid w:val="00897942"/>
    <w:rsid w:val="008A0190"/>
    <w:rsid w:val="008A0498"/>
    <w:rsid w:val="008A07BD"/>
    <w:rsid w:val="008A0A4F"/>
    <w:rsid w:val="008A1058"/>
    <w:rsid w:val="008A254D"/>
    <w:rsid w:val="008A29CB"/>
    <w:rsid w:val="008A2ACB"/>
    <w:rsid w:val="008A2D57"/>
    <w:rsid w:val="008A2E4F"/>
    <w:rsid w:val="008A35EF"/>
    <w:rsid w:val="008A4BAC"/>
    <w:rsid w:val="008A5820"/>
    <w:rsid w:val="008A599F"/>
    <w:rsid w:val="008A5A68"/>
    <w:rsid w:val="008A5E58"/>
    <w:rsid w:val="008A6775"/>
    <w:rsid w:val="008A6829"/>
    <w:rsid w:val="008A718D"/>
    <w:rsid w:val="008A726C"/>
    <w:rsid w:val="008A75AF"/>
    <w:rsid w:val="008A7AAA"/>
    <w:rsid w:val="008B09F5"/>
    <w:rsid w:val="008B0F04"/>
    <w:rsid w:val="008B1AB8"/>
    <w:rsid w:val="008B2C32"/>
    <w:rsid w:val="008B2DAD"/>
    <w:rsid w:val="008B3C9B"/>
    <w:rsid w:val="008B4318"/>
    <w:rsid w:val="008B447A"/>
    <w:rsid w:val="008B4708"/>
    <w:rsid w:val="008B5604"/>
    <w:rsid w:val="008B581C"/>
    <w:rsid w:val="008B6450"/>
    <w:rsid w:val="008B6F32"/>
    <w:rsid w:val="008B6FD3"/>
    <w:rsid w:val="008B7139"/>
    <w:rsid w:val="008B7E1C"/>
    <w:rsid w:val="008B7F83"/>
    <w:rsid w:val="008C04F7"/>
    <w:rsid w:val="008C0773"/>
    <w:rsid w:val="008C0B1F"/>
    <w:rsid w:val="008C1329"/>
    <w:rsid w:val="008C1C3F"/>
    <w:rsid w:val="008C2736"/>
    <w:rsid w:val="008C2A3F"/>
    <w:rsid w:val="008C376E"/>
    <w:rsid w:val="008C4335"/>
    <w:rsid w:val="008C5C67"/>
    <w:rsid w:val="008C618E"/>
    <w:rsid w:val="008C61A3"/>
    <w:rsid w:val="008C69EA"/>
    <w:rsid w:val="008C6FF5"/>
    <w:rsid w:val="008C7015"/>
    <w:rsid w:val="008C70D7"/>
    <w:rsid w:val="008D0601"/>
    <w:rsid w:val="008D0660"/>
    <w:rsid w:val="008D06F4"/>
    <w:rsid w:val="008D09D8"/>
    <w:rsid w:val="008D0D2D"/>
    <w:rsid w:val="008D10D3"/>
    <w:rsid w:val="008D10F2"/>
    <w:rsid w:val="008D115D"/>
    <w:rsid w:val="008D141F"/>
    <w:rsid w:val="008D16F6"/>
    <w:rsid w:val="008D172F"/>
    <w:rsid w:val="008D17AC"/>
    <w:rsid w:val="008D24C6"/>
    <w:rsid w:val="008D3F9B"/>
    <w:rsid w:val="008D418B"/>
    <w:rsid w:val="008D514E"/>
    <w:rsid w:val="008D55CE"/>
    <w:rsid w:val="008D75A2"/>
    <w:rsid w:val="008D792C"/>
    <w:rsid w:val="008D7D8C"/>
    <w:rsid w:val="008E01E3"/>
    <w:rsid w:val="008E0B19"/>
    <w:rsid w:val="008E16DE"/>
    <w:rsid w:val="008E18A2"/>
    <w:rsid w:val="008E2996"/>
    <w:rsid w:val="008E3285"/>
    <w:rsid w:val="008E392B"/>
    <w:rsid w:val="008E3A2E"/>
    <w:rsid w:val="008E3AB1"/>
    <w:rsid w:val="008E3D95"/>
    <w:rsid w:val="008E48EF"/>
    <w:rsid w:val="008E4EE3"/>
    <w:rsid w:val="008E50BE"/>
    <w:rsid w:val="008E5C19"/>
    <w:rsid w:val="008E5FFC"/>
    <w:rsid w:val="008E61FB"/>
    <w:rsid w:val="008E6E4F"/>
    <w:rsid w:val="008E71C5"/>
    <w:rsid w:val="008E739E"/>
    <w:rsid w:val="008E7A9B"/>
    <w:rsid w:val="008F09DF"/>
    <w:rsid w:val="008F1511"/>
    <w:rsid w:val="008F212F"/>
    <w:rsid w:val="008F2245"/>
    <w:rsid w:val="008F2D8B"/>
    <w:rsid w:val="008F3612"/>
    <w:rsid w:val="008F3706"/>
    <w:rsid w:val="008F3C40"/>
    <w:rsid w:val="008F42C9"/>
    <w:rsid w:val="008F4C7E"/>
    <w:rsid w:val="008F63A7"/>
    <w:rsid w:val="008F6A97"/>
    <w:rsid w:val="008F7007"/>
    <w:rsid w:val="008F7418"/>
    <w:rsid w:val="00900270"/>
    <w:rsid w:val="009008E4"/>
    <w:rsid w:val="00900B32"/>
    <w:rsid w:val="00900CBF"/>
    <w:rsid w:val="00900F77"/>
    <w:rsid w:val="00901675"/>
    <w:rsid w:val="00902579"/>
    <w:rsid w:val="0090272B"/>
    <w:rsid w:val="00902798"/>
    <w:rsid w:val="0090289D"/>
    <w:rsid w:val="009032C4"/>
    <w:rsid w:val="0090380D"/>
    <w:rsid w:val="00903F2E"/>
    <w:rsid w:val="0090457A"/>
    <w:rsid w:val="0090481E"/>
    <w:rsid w:val="00904D6F"/>
    <w:rsid w:val="00904F77"/>
    <w:rsid w:val="009054C4"/>
    <w:rsid w:val="0090582A"/>
    <w:rsid w:val="00905A99"/>
    <w:rsid w:val="00905CD5"/>
    <w:rsid w:val="00906402"/>
    <w:rsid w:val="00906C3E"/>
    <w:rsid w:val="00907190"/>
    <w:rsid w:val="009071CA"/>
    <w:rsid w:val="009071E5"/>
    <w:rsid w:val="00907343"/>
    <w:rsid w:val="00907992"/>
    <w:rsid w:val="00907EBD"/>
    <w:rsid w:val="00907F3D"/>
    <w:rsid w:val="00910B0B"/>
    <w:rsid w:val="009111BB"/>
    <w:rsid w:val="009112F0"/>
    <w:rsid w:val="00911EEA"/>
    <w:rsid w:val="00912238"/>
    <w:rsid w:val="00913A0C"/>
    <w:rsid w:val="00913A0F"/>
    <w:rsid w:val="00913E5C"/>
    <w:rsid w:val="00914478"/>
    <w:rsid w:val="009144C7"/>
    <w:rsid w:val="00914718"/>
    <w:rsid w:val="00914D1E"/>
    <w:rsid w:val="00914EA2"/>
    <w:rsid w:val="00915043"/>
    <w:rsid w:val="009150A5"/>
    <w:rsid w:val="0091519E"/>
    <w:rsid w:val="009157E8"/>
    <w:rsid w:val="00915BF4"/>
    <w:rsid w:val="009164EB"/>
    <w:rsid w:val="00916872"/>
    <w:rsid w:val="00916AE3"/>
    <w:rsid w:val="00917041"/>
    <w:rsid w:val="00917189"/>
    <w:rsid w:val="009172BD"/>
    <w:rsid w:val="009172D9"/>
    <w:rsid w:val="009173D3"/>
    <w:rsid w:val="00917A4C"/>
    <w:rsid w:val="00920379"/>
    <w:rsid w:val="009212DF"/>
    <w:rsid w:val="0092206B"/>
    <w:rsid w:val="00922363"/>
    <w:rsid w:val="009223C3"/>
    <w:rsid w:val="009227E5"/>
    <w:rsid w:val="009235AA"/>
    <w:rsid w:val="00923A76"/>
    <w:rsid w:val="00924FFA"/>
    <w:rsid w:val="009254BC"/>
    <w:rsid w:val="009256CE"/>
    <w:rsid w:val="00926566"/>
    <w:rsid w:val="009278CE"/>
    <w:rsid w:val="00927DF6"/>
    <w:rsid w:val="009307EC"/>
    <w:rsid w:val="00930ECA"/>
    <w:rsid w:val="0093101C"/>
    <w:rsid w:val="00931561"/>
    <w:rsid w:val="00931D44"/>
    <w:rsid w:val="00932E9F"/>
    <w:rsid w:val="00933229"/>
    <w:rsid w:val="00933463"/>
    <w:rsid w:val="0093370A"/>
    <w:rsid w:val="00933E68"/>
    <w:rsid w:val="00935A5A"/>
    <w:rsid w:val="00936228"/>
    <w:rsid w:val="00936515"/>
    <w:rsid w:val="00936BD1"/>
    <w:rsid w:val="00936F0A"/>
    <w:rsid w:val="0093702D"/>
    <w:rsid w:val="00937E78"/>
    <w:rsid w:val="0094055C"/>
    <w:rsid w:val="009408EB"/>
    <w:rsid w:val="009445E6"/>
    <w:rsid w:val="00944803"/>
    <w:rsid w:val="0094552B"/>
    <w:rsid w:val="00946D29"/>
    <w:rsid w:val="009470E4"/>
    <w:rsid w:val="009473DC"/>
    <w:rsid w:val="00947447"/>
    <w:rsid w:val="009476B9"/>
    <w:rsid w:val="00947D52"/>
    <w:rsid w:val="00950243"/>
    <w:rsid w:val="00950965"/>
    <w:rsid w:val="00950B7C"/>
    <w:rsid w:val="00950F1D"/>
    <w:rsid w:val="009513A4"/>
    <w:rsid w:val="00951F11"/>
    <w:rsid w:val="00951F30"/>
    <w:rsid w:val="00951FFB"/>
    <w:rsid w:val="009527BA"/>
    <w:rsid w:val="00952D4E"/>
    <w:rsid w:val="00953C84"/>
    <w:rsid w:val="0095455C"/>
    <w:rsid w:val="00955378"/>
    <w:rsid w:val="00955CCC"/>
    <w:rsid w:val="009563F8"/>
    <w:rsid w:val="00956DBC"/>
    <w:rsid w:val="00956E81"/>
    <w:rsid w:val="009579A6"/>
    <w:rsid w:val="009602F8"/>
    <w:rsid w:val="00960906"/>
    <w:rsid w:val="00960BFA"/>
    <w:rsid w:val="009618CE"/>
    <w:rsid w:val="00962C64"/>
    <w:rsid w:val="00963100"/>
    <w:rsid w:val="00963210"/>
    <w:rsid w:val="0096499F"/>
    <w:rsid w:val="00965919"/>
    <w:rsid w:val="00966312"/>
    <w:rsid w:val="0096700D"/>
    <w:rsid w:val="00967762"/>
    <w:rsid w:val="0096790A"/>
    <w:rsid w:val="00967937"/>
    <w:rsid w:val="00967A37"/>
    <w:rsid w:val="00967EE3"/>
    <w:rsid w:val="009704DA"/>
    <w:rsid w:val="0097083F"/>
    <w:rsid w:val="00970F1C"/>
    <w:rsid w:val="0097149A"/>
    <w:rsid w:val="00971A6D"/>
    <w:rsid w:val="00972083"/>
    <w:rsid w:val="009723D8"/>
    <w:rsid w:val="00973050"/>
    <w:rsid w:val="00973173"/>
    <w:rsid w:val="00973BFD"/>
    <w:rsid w:val="00975C52"/>
    <w:rsid w:val="009762A4"/>
    <w:rsid w:val="0097696A"/>
    <w:rsid w:val="00980109"/>
    <w:rsid w:val="0098082A"/>
    <w:rsid w:val="00980AFF"/>
    <w:rsid w:val="00980E7B"/>
    <w:rsid w:val="00980F81"/>
    <w:rsid w:val="009821CF"/>
    <w:rsid w:val="0098227A"/>
    <w:rsid w:val="00982377"/>
    <w:rsid w:val="00982407"/>
    <w:rsid w:val="009824A8"/>
    <w:rsid w:val="0098276E"/>
    <w:rsid w:val="00982C53"/>
    <w:rsid w:val="00983160"/>
    <w:rsid w:val="0098321E"/>
    <w:rsid w:val="009844C4"/>
    <w:rsid w:val="0098472F"/>
    <w:rsid w:val="00984E77"/>
    <w:rsid w:val="00985584"/>
    <w:rsid w:val="00985BBF"/>
    <w:rsid w:val="00985E0C"/>
    <w:rsid w:val="0098655A"/>
    <w:rsid w:val="00986629"/>
    <w:rsid w:val="009866D8"/>
    <w:rsid w:val="00986F63"/>
    <w:rsid w:val="0098771C"/>
    <w:rsid w:val="0099068D"/>
    <w:rsid w:val="00990D97"/>
    <w:rsid w:val="0099157D"/>
    <w:rsid w:val="00991EC6"/>
    <w:rsid w:val="00991F47"/>
    <w:rsid w:val="00992292"/>
    <w:rsid w:val="0099248B"/>
    <w:rsid w:val="00994192"/>
    <w:rsid w:val="00994702"/>
    <w:rsid w:val="0099485C"/>
    <w:rsid w:val="009950B3"/>
    <w:rsid w:val="00996920"/>
    <w:rsid w:val="00996EF9"/>
    <w:rsid w:val="00997344"/>
    <w:rsid w:val="009979AD"/>
    <w:rsid w:val="009979D2"/>
    <w:rsid w:val="00997C4D"/>
    <w:rsid w:val="00997D50"/>
    <w:rsid w:val="009A03DA"/>
    <w:rsid w:val="009A0E9A"/>
    <w:rsid w:val="009A12D0"/>
    <w:rsid w:val="009A1D16"/>
    <w:rsid w:val="009A2737"/>
    <w:rsid w:val="009A2E27"/>
    <w:rsid w:val="009A304A"/>
    <w:rsid w:val="009A326A"/>
    <w:rsid w:val="009A3C2B"/>
    <w:rsid w:val="009A4809"/>
    <w:rsid w:val="009A5310"/>
    <w:rsid w:val="009A68F1"/>
    <w:rsid w:val="009A6947"/>
    <w:rsid w:val="009A7311"/>
    <w:rsid w:val="009A74A1"/>
    <w:rsid w:val="009A782B"/>
    <w:rsid w:val="009B01B5"/>
    <w:rsid w:val="009B0585"/>
    <w:rsid w:val="009B0773"/>
    <w:rsid w:val="009B07D6"/>
    <w:rsid w:val="009B0BA8"/>
    <w:rsid w:val="009B176B"/>
    <w:rsid w:val="009B2853"/>
    <w:rsid w:val="009B2958"/>
    <w:rsid w:val="009B4A5A"/>
    <w:rsid w:val="009B5285"/>
    <w:rsid w:val="009B6071"/>
    <w:rsid w:val="009B65A1"/>
    <w:rsid w:val="009B67B4"/>
    <w:rsid w:val="009B72EB"/>
    <w:rsid w:val="009B779D"/>
    <w:rsid w:val="009B7D3A"/>
    <w:rsid w:val="009B7E59"/>
    <w:rsid w:val="009C0C76"/>
    <w:rsid w:val="009C1ACF"/>
    <w:rsid w:val="009C1CED"/>
    <w:rsid w:val="009C23D1"/>
    <w:rsid w:val="009C24A7"/>
    <w:rsid w:val="009C2B06"/>
    <w:rsid w:val="009C31D9"/>
    <w:rsid w:val="009C3FFF"/>
    <w:rsid w:val="009C41EE"/>
    <w:rsid w:val="009C441C"/>
    <w:rsid w:val="009C4567"/>
    <w:rsid w:val="009C5318"/>
    <w:rsid w:val="009C647D"/>
    <w:rsid w:val="009C7484"/>
    <w:rsid w:val="009C7E96"/>
    <w:rsid w:val="009C7FD6"/>
    <w:rsid w:val="009D0319"/>
    <w:rsid w:val="009D0470"/>
    <w:rsid w:val="009D131B"/>
    <w:rsid w:val="009D1A91"/>
    <w:rsid w:val="009D1FFC"/>
    <w:rsid w:val="009D28A8"/>
    <w:rsid w:val="009D2C2B"/>
    <w:rsid w:val="009D375E"/>
    <w:rsid w:val="009D38C7"/>
    <w:rsid w:val="009D3909"/>
    <w:rsid w:val="009D3DA5"/>
    <w:rsid w:val="009D4990"/>
    <w:rsid w:val="009D4A32"/>
    <w:rsid w:val="009D4AB1"/>
    <w:rsid w:val="009D538A"/>
    <w:rsid w:val="009D5445"/>
    <w:rsid w:val="009D54E6"/>
    <w:rsid w:val="009D5622"/>
    <w:rsid w:val="009D5CC6"/>
    <w:rsid w:val="009D5D2A"/>
    <w:rsid w:val="009D620D"/>
    <w:rsid w:val="009D6D49"/>
    <w:rsid w:val="009D6FB2"/>
    <w:rsid w:val="009D7213"/>
    <w:rsid w:val="009D7900"/>
    <w:rsid w:val="009D79C6"/>
    <w:rsid w:val="009E038D"/>
    <w:rsid w:val="009E0451"/>
    <w:rsid w:val="009E05C7"/>
    <w:rsid w:val="009E0906"/>
    <w:rsid w:val="009E0B79"/>
    <w:rsid w:val="009E0BCB"/>
    <w:rsid w:val="009E0FBF"/>
    <w:rsid w:val="009E13A8"/>
    <w:rsid w:val="009E1677"/>
    <w:rsid w:val="009E27C2"/>
    <w:rsid w:val="009E2A22"/>
    <w:rsid w:val="009E3194"/>
    <w:rsid w:val="009E359D"/>
    <w:rsid w:val="009E3BDC"/>
    <w:rsid w:val="009E3C8F"/>
    <w:rsid w:val="009E411F"/>
    <w:rsid w:val="009E52AB"/>
    <w:rsid w:val="009E6BA9"/>
    <w:rsid w:val="009E6D76"/>
    <w:rsid w:val="009E6E53"/>
    <w:rsid w:val="009E71C1"/>
    <w:rsid w:val="009E7240"/>
    <w:rsid w:val="009E7730"/>
    <w:rsid w:val="009E7B4F"/>
    <w:rsid w:val="009E7BDA"/>
    <w:rsid w:val="009E7E92"/>
    <w:rsid w:val="009F0058"/>
    <w:rsid w:val="009F019B"/>
    <w:rsid w:val="009F04CE"/>
    <w:rsid w:val="009F08DD"/>
    <w:rsid w:val="009F1C7F"/>
    <w:rsid w:val="009F2B27"/>
    <w:rsid w:val="009F2B2C"/>
    <w:rsid w:val="009F2D1B"/>
    <w:rsid w:val="009F2D59"/>
    <w:rsid w:val="009F3890"/>
    <w:rsid w:val="009F4CF4"/>
    <w:rsid w:val="009F55FB"/>
    <w:rsid w:val="009F613B"/>
    <w:rsid w:val="009F7175"/>
    <w:rsid w:val="009F776D"/>
    <w:rsid w:val="009F7BAC"/>
    <w:rsid w:val="009F7DB7"/>
    <w:rsid w:val="009F7FD8"/>
    <w:rsid w:val="00A00F94"/>
    <w:rsid w:val="00A012EF"/>
    <w:rsid w:val="00A0146A"/>
    <w:rsid w:val="00A0186A"/>
    <w:rsid w:val="00A01906"/>
    <w:rsid w:val="00A0516C"/>
    <w:rsid w:val="00A05F73"/>
    <w:rsid w:val="00A06274"/>
    <w:rsid w:val="00A068A2"/>
    <w:rsid w:val="00A06DC1"/>
    <w:rsid w:val="00A072B2"/>
    <w:rsid w:val="00A1053F"/>
    <w:rsid w:val="00A10B3A"/>
    <w:rsid w:val="00A116D6"/>
    <w:rsid w:val="00A129BC"/>
    <w:rsid w:val="00A12BA2"/>
    <w:rsid w:val="00A12C92"/>
    <w:rsid w:val="00A12DD8"/>
    <w:rsid w:val="00A14482"/>
    <w:rsid w:val="00A16399"/>
    <w:rsid w:val="00A163EC"/>
    <w:rsid w:val="00A167AF"/>
    <w:rsid w:val="00A16BDA"/>
    <w:rsid w:val="00A171C4"/>
    <w:rsid w:val="00A17AB9"/>
    <w:rsid w:val="00A2017E"/>
    <w:rsid w:val="00A20202"/>
    <w:rsid w:val="00A20E18"/>
    <w:rsid w:val="00A21063"/>
    <w:rsid w:val="00A213FD"/>
    <w:rsid w:val="00A21499"/>
    <w:rsid w:val="00A21627"/>
    <w:rsid w:val="00A21EE1"/>
    <w:rsid w:val="00A2222F"/>
    <w:rsid w:val="00A223F4"/>
    <w:rsid w:val="00A23E27"/>
    <w:rsid w:val="00A23E2A"/>
    <w:rsid w:val="00A24039"/>
    <w:rsid w:val="00A24169"/>
    <w:rsid w:val="00A242DF"/>
    <w:rsid w:val="00A243E9"/>
    <w:rsid w:val="00A24EF8"/>
    <w:rsid w:val="00A25E37"/>
    <w:rsid w:val="00A25EA6"/>
    <w:rsid w:val="00A27A17"/>
    <w:rsid w:val="00A27F65"/>
    <w:rsid w:val="00A3124C"/>
    <w:rsid w:val="00A31E8E"/>
    <w:rsid w:val="00A31F1D"/>
    <w:rsid w:val="00A32360"/>
    <w:rsid w:val="00A337E6"/>
    <w:rsid w:val="00A35EB7"/>
    <w:rsid w:val="00A36073"/>
    <w:rsid w:val="00A3696D"/>
    <w:rsid w:val="00A37508"/>
    <w:rsid w:val="00A376AF"/>
    <w:rsid w:val="00A4002E"/>
    <w:rsid w:val="00A4086B"/>
    <w:rsid w:val="00A413CB"/>
    <w:rsid w:val="00A414EA"/>
    <w:rsid w:val="00A41843"/>
    <w:rsid w:val="00A42A5B"/>
    <w:rsid w:val="00A431E7"/>
    <w:rsid w:val="00A43A6B"/>
    <w:rsid w:val="00A43FDD"/>
    <w:rsid w:val="00A44124"/>
    <w:rsid w:val="00A446D0"/>
    <w:rsid w:val="00A446E3"/>
    <w:rsid w:val="00A449FE"/>
    <w:rsid w:val="00A44B6B"/>
    <w:rsid w:val="00A4567A"/>
    <w:rsid w:val="00A457D6"/>
    <w:rsid w:val="00A45DE0"/>
    <w:rsid w:val="00A4625D"/>
    <w:rsid w:val="00A46374"/>
    <w:rsid w:val="00A4637C"/>
    <w:rsid w:val="00A46B47"/>
    <w:rsid w:val="00A46D05"/>
    <w:rsid w:val="00A46E2A"/>
    <w:rsid w:val="00A4709E"/>
    <w:rsid w:val="00A47666"/>
    <w:rsid w:val="00A5005D"/>
    <w:rsid w:val="00A5067C"/>
    <w:rsid w:val="00A508A8"/>
    <w:rsid w:val="00A508B4"/>
    <w:rsid w:val="00A50AF3"/>
    <w:rsid w:val="00A50ECF"/>
    <w:rsid w:val="00A517A4"/>
    <w:rsid w:val="00A51B83"/>
    <w:rsid w:val="00A51C70"/>
    <w:rsid w:val="00A51E6C"/>
    <w:rsid w:val="00A5260F"/>
    <w:rsid w:val="00A52A14"/>
    <w:rsid w:val="00A52A30"/>
    <w:rsid w:val="00A53DFB"/>
    <w:rsid w:val="00A54FC8"/>
    <w:rsid w:val="00A55048"/>
    <w:rsid w:val="00A5510E"/>
    <w:rsid w:val="00A568C8"/>
    <w:rsid w:val="00A56CD0"/>
    <w:rsid w:val="00A574D4"/>
    <w:rsid w:val="00A57D47"/>
    <w:rsid w:val="00A612C8"/>
    <w:rsid w:val="00A615DE"/>
    <w:rsid w:val="00A61F4F"/>
    <w:rsid w:val="00A624B0"/>
    <w:rsid w:val="00A6257C"/>
    <w:rsid w:val="00A62A21"/>
    <w:rsid w:val="00A63678"/>
    <w:rsid w:val="00A653DC"/>
    <w:rsid w:val="00A65EA4"/>
    <w:rsid w:val="00A660F2"/>
    <w:rsid w:val="00A66452"/>
    <w:rsid w:val="00A66CAF"/>
    <w:rsid w:val="00A67D00"/>
    <w:rsid w:val="00A67FF1"/>
    <w:rsid w:val="00A70404"/>
    <w:rsid w:val="00A70EFF"/>
    <w:rsid w:val="00A7142F"/>
    <w:rsid w:val="00A7311F"/>
    <w:rsid w:val="00A74004"/>
    <w:rsid w:val="00A743B3"/>
    <w:rsid w:val="00A7709C"/>
    <w:rsid w:val="00A77DD7"/>
    <w:rsid w:val="00A82540"/>
    <w:rsid w:val="00A82F0C"/>
    <w:rsid w:val="00A82F73"/>
    <w:rsid w:val="00A832D6"/>
    <w:rsid w:val="00A83493"/>
    <w:rsid w:val="00A83BB4"/>
    <w:rsid w:val="00A83EE7"/>
    <w:rsid w:val="00A84758"/>
    <w:rsid w:val="00A849AA"/>
    <w:rsid w:val="00A85EEB"/>
    <w:rsid w:val="00A86427"/>
    <w:rsid w:val="00A86A0A"/>
    <w:rsid w:val="00A86B14"/>
    <w:rsid w:val="00A909A4"/>
    <w:rsid w:val="00A9104E"/>
    <w:rsid w:val="00A91E55"/>
    <w:rsid w:val="00A92FB5"/>
    <w:rsid w:val="00A933DA"/>
    <w:rsid w:val="00A93BB7"/>
    <w:rsid w:val="00A94C2F"/>
    <w:rsid w:val="00A94D01"/>
    <w:rsid w:val="00A95F14"/>
    <w:rsid w:val="00A963CC"/>
    <w:rsid w:val="00A96754"/>
    <w:rsid w:val="00A968A6"/>
    <w:rsid w:val="00A97A32"/>
    <w:rsid w:val="00AA0323"/>
    <w:rsid w:val="00AA2027"/>
    <w:rsid w:val="00AA2785"/>
    <w:rsid w:val="00AA2B00"/>
    <w:rsid w:val="00AA2B51"/>
    <w:rsid w:val="00AA365E"/>
    <w:rsid w:val="00AA3E0A"/>
    <w:rsid w:val="00AA4425"/>
    <w:rsid w:val="00AA5144"/>
    <w:rsid w:val="00AA547E"/>
    <w:rsid w:val="00AA5595"/>
    <w:rsid w:val="00AA5B20"/>
    <w:rsid w:val="00AA6F39"/>
    <w:rsid w:val="00AA7A7B"/>
    <w:rsid w:val="00AA7DC0"/>
    <w:rsid w:val="00AA7EEB"/>
    <w:rsid w:val="00AB0B65"/>
    <w:rsid w:val="00AB1B37"/>
    <w:rsid w:val="00AB213A"/>
    <w:rsid w:val="00AB2493"/>
    <w:rsid w:val="00AB2BB2"/>
    <w:rsid w:val="00AB2FCE"/>
    <w:rsid w:val="00AB39B4"/>
    <w:rsid w:val="00AB45FB"/>
    <w:rsid w:val="00AB4BDE"/>
    <w:rsid w:val="00AB50E1"/>
    <w:rsid w:val="00AB609E"/>
    <w:rsid w:val="00AB613B"/>
    <w:rsid w:val="00AB6638"/>
    <w:rsid w:val="00AB6A8C"/>
    <w:rsid w:val="00AB7018"/>
    <w:rsid w:val="00AB73A1"/>
    <w:rsid w:val="00AB79C9"/>
    <w:rsid w:val="00AB7CAA"/>
    <w:rsid w:val="00AC01D8"/>
    <w:rsid w:val="00AC169C"/>
    <w:rsid w:val="00AC1B5F"/>
    <w:rsid w:val="00AC1F44"/>
    <w:rsid w:val="00AC2B10"/>
    <w:rsid w:val="00AC2CD7"/>
    <w:rsid w:val="00AC316E"/>
    <w:rsid w:val="00AC3590"/>
    <w:rsid w:val="00AC35CC"/>
    <w:rsid w:val="00AC37BD"/>
    <w:rsid w:val="00AC38C3"/>
    <w:rsid w:val="00AC3CDA"/>
    <w:rsid w:val="00AC4E53"/>
    <w:rsid w:val="00AC4E55"/>
    <w:rsid w:val="00AC648D"/>
    <w:rsid w:val="00AC678E"/>
    <w:rsid w:val="00AC67B7"/>
    <w:rsid w:val="00AC6FCF"/>
    <w:rsid w:val="00AD03BF"/>
    <w:rsid w:val="00AD07B5"/>
    <w:rsid w:val="00AD0EF1"/>
    <w:rsid w:val="00AD118A"/>
    <w:rsid w:val="00AD234B"/>
    <w:rsid w:val="00AD27A3"/>
    <w:rsid w:val="00AD32A6"/>
    <w:rsid w:val="00AD35A8"/>
    <w:rsid w:val="00AD3D58"/>
    <w:rsid w:val="00AD4277"/>
    <w:rsid w:val="00AD454B"/>
    <w:rsid w:val="00AD484F"/>
    <w:rsid w:val="00AD4B3B"/>
    <w:rsid w:val="00AD64DC"/>
    <w:rsid w:val="00AD6504"/>
    <w:rsid w:val="00AD6607"/>
    <w:rsid w:val="00AD6B3F"/>
    <w:rsid w:val="00AD7D2C"/>
    <w:rsid w:val="00AE02C5"/>
    <w:rsid w:val="00AE1614"/>
    <w:rsid w:val="00AE1ECF"/>
    <w:rsid w:val="00AE24D1"/>
    <w:rsid w:val="00AE25E8"/>
    <w:rsid w:val="00AE2AE1"/>
    <w:rsid w:val="00AE3228"/>
    <w:rsid w:val="00AE3CC2"/>
    <w:rsid w:val="00AE46B3"/>
    <w:rsid w:val="00AE487B"/>
    <w:rsid w:val="00AE4921"/>
    <w:rsid w:val="00AE4DE9"/>
    <w:rsid w:val="00AE4FE9"/>
    <w:rsid w:val="00AE59A5"/>
    <w:rsid w:val="00AE5E40"/>
    <w:rsid w:val="00AE5F9A"/>
    <w:rsid w:val="00AE7C1F"/>
    <w:rsid w:val="00AE7C3E"/>
    <w:rsid w:val="00AF0FB3"/>
    <w:rsid w:val="00AF1404"/>
    <w:rsid w:val="00AF17AA"/>
    <w:rsid w:val="00AF20C5"/>
    <w:rsid w:val="00AF2FC1"/>
    <w:rsid w:val="00AF3553"/>
    <w:rsid w:val="00AF36D0"/>
    <w:rsid w:val="00AF3F34"/>
    <w:rsid w:val="00AF47C5"/>
    <w:rsid w:val="00AF53BA"/>
    <w:rsid w:val="00AF5938"/>
    <w:rsid w:val="00AF5BCC"/>
    <w:rsid w:val="00AF618E"/>
    <w:rsid w:val="00AF6258"/>
    <w:rsid w:val="00AF6E32"/>
    <w:rsid w:val="00AF763C"/>
    <w:rsid w:val="00AF779B"/>
    <w:rsid w:val="00B00838"/>
    <w:rsid w:val="00B013E0"/>
    <w:rsid w:val="00B0296A"/>
    <w:rsid w:val="00B03885"/>
    <w:rsid w:val="00B03B83"/>
    <w:rsid w:val="00B046C9"/>
    <w:rsid w:val="00B0491D"/>
    <w:rsid w:val="00B057DD"/>
    <w:rsid w:val="00B0583B"/>
    <w:rsid w:val="00B070CB"/>
    <w:rsid w:val="00B1086A"/>
    <w:rsid w:val="00B1095F"/>
    <w:rsid w:val="00B10C42"/>
    <w:rsid w:val="00B10E2A"/>
    <w:rsid w:val="00B117B3"/>
    <w:rsid w:val="00B12296"/>
    <w:rsid w:val="00B12672"/>
    <w:rsid w:val="00B12BA4"/>
    <w:rsid w:val="00B12C31"/>
    <w:rsid w:val="00B12CE1"/>
    <w:rsid w:val="00B12D36"/>
    <w:rsid w:val="00B12E66"/>
    <w:rsid w:val="00B13B6D"/>
    <w:rsid w:val="00B13D77"/>
    <w:rsid w:val="00B13F89"/>
    <w:rsid w:val="00B1410A"/>
    <w:rsid w:val="00B1425E"/>
    <w:rsid w:val="00B1481D"/>
    <w:rsid w:val="00B14BEF"/>
    <w:rsid w:val="00B1528B"/>
    <w:rsid w:val="00B1697B"/>
    <w:rsid w:val="00B169DB"/>
    <w:rsid w:val="00B1786B"/>
    <w:rsid w:val="00B20A02"/>
    <w:rsid w:val="00B21904"/>
    <w:rsid w:val="00B21BD6"/>
    <w:rsid w:val="00B233D8"/>
    <w:rsid w:val="00B2345B"/>
    <w:rsid w:val="00B23BAF"/>
    <w:rsid w:val="00B23DB3"/>
    <w:rsid w:val="00B244C0"/>
    <w:rsid w:val="00B24872"/>
    <w:rsid w:val="00B24AA4"/>
    <w:rsid w:val="00B25036"/>
    <w:rsid w:val="00B25D2B"/>
    <w:rsid w:val="00B26561"/>
    <w:rsid w:val="00B270C7"/>
    <w:rsid w:val="00B27FC4"/>
    <w:rsid w:val="00B30778"/>
    <w:rsid w:val="00B30A04"/>
    <w:rsid w:val="00B30E9C"/>
    <w:rsid w:val="00B32E0D"/>
    <w:rsid w:val="00B33A04"/>
    <w:rsid w:val="00B346B6"/>
    <w:rsid w:val="00B34717"/>
    <w:rsid w:val="00B34C7C"/>
    <w:rsid w:val="00B36EBC"/>
    <w:rsid w:val="00B37109"/>
    <w:rsid w:val="00B37F48"/>
    <w:rsid w:val="00B40763"/>
    <w:rsid w:val="00B41363"/>
    <w:rsid w:val="00B415C5"/>
    <w:rsid w:val="00B4216E"/>
    <w:rsid w:val="00B42291"/>
    <w:rsid w:val="00B423A7"/>
    <w:rsid w:val="00B43213"/>
    <w:rsid w:val="00B43D19"/>
    <w:rsid w:val="00B43DF5"/>
    <w:rsid w:val="00B4426C"/>
    <w:rsid w:val="00B44733"/>
    <w:rsid w:val="00B4626F"/>
    <w:rsid w:val="00B50004"/>
    <w:rsid w:val="00B50517"/>
    <w:rsid w:val="00B50A11"/>
    <w:rsid w:val="00B514B4"/>
    <w:rsid w:val="00B52025"/>
    <w:rsid w:val="00B5210D"/>
    <w:rsid w:val="00B52811"/>
    <w:rsid w:val="00B52972"/>
    <w:rsid w:val="00B52A5F"/>
    <w:rsid w:val="00B52C1D"/>
    <w:rsid w:val="00B5367C"/>
    <w:rsid w:val="00B545C4"/>
    <w:rsid w:val="00B54B3B"/>
    <w:rsid w:val="00B550FA"/>
    <w:rsid w:val="00B56F2C"/>
    <w:rsid w:val="00B57603"/>
    <w:rsid w:val="00B6039C"/>
    <w:rsid w:val="00B6044B"/>
    <w:rsid w:val="00B60615"/>
    <w:rsid w:val="00B60B0C"/>
    <w:rsid w:val="00B60D23"/>
    <w:rsid w:val="00B61070"/>
    <w:rsid w:val="00B61F84"/>
    <w:rsid w:val="00B620E2"/>
    <w:rsid w:val="00B624D3"/>
    <w:rsid w:val="00B62601"/>
    <w:rsid w:val="00B62703"/>
    <w:rsid w:val="00B62CBE"/>
    <w:rsid w:val="00B62D52"/>
    <w:rsid w:val="00B62E7C"/>
    <w:rsid w:val="00B62EE6"/>
    <w:rsid w:val="00B635C1"/>
    <w:rsid w:val="00B63EA0"/>
    <w:rsid w:val="00B63FD4"/>
    <w:rsid w:val="00B64D87"/>
    <w:rsid w:val="00B651BF"/>
    <w:rsid w:val="00B65901"/>
    <w:rsid w:val="00B65932"/>
    <w:rsid w:val="00B65A3C"/>
    <w:rsid w:val="00B661AD"/>
    <w:rsid w:val="00B664D0"/>
    <w:rsid w:val="00B666F6"/>
    <w:rsid w:val="00B671FD"/>
    <w:rsid w:val="00B67449"/>
    <w:rsid w:val="00B7019A"/>
    <w:rsid w:val="00B706F0"/>
    <w:rsid w:val="00B70D74"/>
    <w:rsid w:val="00B71021"/>
    <w:rsid w:val="00B73195"/>
    <w:rsid w:val="00B73494"/>
    <w:rsid w:val="00B7364D"/>
    <w:rsid w:val="00B73864"/>
    <w:rsid w:val="00B746B4"/>
    <w:rsid w:val="00B74A5D"/>
    <w:rsid w:val="00B7513B"/>
    <w:rsid w:val="00B75234"/>
    <w:rsid w:val="00B754E0"/>
    <w:rsid w:val="00B75D0B"/>
    <w:rsid w:val="00B76243"/>
    <w:rsid w:val="00B7797D"/>
    <w:rsid w:val="00B77FA5"/>
    <w:rsid w:val="00B802B6"/>
    <w:rsid w:val="00B804B0"/>
    <w:rsid w:val="00B8069F"/>
    <w:rsid w:val="00B81198"/>
    <w:rsid w:val="00B81475"/>
    <w:rsid w:val="00B8188B"/>
    <w:rsid w:val="00B81D86"/>
    <w:rsid w:val="00B8310C"/>
    <w:rsid w:val="00B841C5"/>
    <w:rsid w:val="00B84C12"/>
    <w:rsid w:val="00B86BE9"/>
    <w:rsid w:val="00B873F3"/>
    <w:rsid w:val="00B87839"/>
    <w:rsid w:val="00B9000D"/>
    <w:rsid w:val="00B906CA"/>
    <w:rsid w:val="00B9074B"/>
    <w:rsid w:val="00B90C0D"/>
    <w:rsid w:val="00B910FE"/>
    <w:rsid w:val="00B91A64"/>
    <w:rsid w:val="00B91BA3"/>
    <w:rsid w:val="00B9221E"/>
    <w:rsid w:val="00B93B4D"/>
    <w:rsid w:val="00B94119"/>
    <w:rsid w:val="00B9494B"/>
    <w:rsid w:val="00B94993"/>
    <w:rsid w:val="00B94B78"/>
    <w:rsid w:val="00B95045"/>
    <w:rsid w:val="00B95242"/>
    <w:rsid w:val="00B95303"/>
    <w:rsid w:val="00B96D28"/>
    <w:rsid w:val="00B96DFA"/>
    <w:rsid w:val="00B97FF1"/>
    <w:rsid w:val="00BA0936"/>
    <w:rsid w:val="00BA1284"/>
    <w:rsid w:val="00BA1B9D"/>
    <w:rsid w:val="00BA2084"/>
    <w:rsid w:val="00BA2515"/>
    <w:rsid w:val="00BA41E2"/>
    <w:rsid w:val="00BA43DE"/>
    <w:rsid w:val="00BA4FFF"/>
    <w:rsid w:val="00BA5D04"/>
    <w:rsid w:val="00BA5DA3"/>
    <w:rsid w:val="00BA5F91"/>
    <w:rsid w:val="00BA69F7"/>
    <w:rsid w:val="00BA7319"/>
    <w:rsid w:val="00BA740F"/>
    <w:rsid w:val="00BA74B8"/>
    <w:rsid w:val="00BA7AED"/>
    <w:rsid w:val="00BB01C7"/>
    <w:rsid w:val="00BB02F4"/>
    <w:rsid w:val="00BB2308"/>
    <w:rsid w:val="00BB231E"/>
    <w:rsid w:val="00BB255E"/>
    <w:rsid w:val="00BB2577"/>
    <w:rsid w:val="00BB2A74"/>
    <w:rsid w:val="00BB2B56"/>
    <w:rsid w:val="00BB38B5"/>
    <w:rsid w:val="00BB393B"/>
    <w:rsid w:val="00BB39A6"/>
    <w:rsid w:val="00BB42F6"/>
    <w:rsid w:val="00BB5001"/>
    <w:rsid w:val="00BB51A6"/>
    <w:rsid w:val="00BB5499"/>
    <w:rsid w:val="00BB66FF"/>
    <w:rsid w:val="00BB673D"/>
    <w:rsid w:val="00BB6757"/>
    <w:rsid w:val="00BB6C9C"/>
    <w:rsid w:val="00BB7372"/>
    <w:rsid w:val="00BB7583"/>
    <w:rsid w:val="00BB762D"/>
    <w:rsid w:val="00BB798C"/>
    <w:rsid w:val="00BC00ED"/>
    <w:rsid w:val="00BC0A4D"/>
    <w:rsid w:val="00BC0D03"/>
    <w:rsid w:val="00BC10B6"/>
    <w:rsid w:val="00BC19F5"/>
    <w:rsid w:val="00BC2935"/>
    <w:rsid w:val="00BC2E32"/>
    <w:rsid w:val="00BC33E4"/>
    <w:rsid w:val="00BC3447"/>
    <w:rsid w:val="00BC43AB"/>
    <w:rsid w:val="00BC47DE"/>
    <w:rsid w:val="00BC4929"/>
    <w:rsid w:val="00BC5515"/>
    <w:rsid w:val="00BC5596"/>
    <w:rsid w:val="00BC63A7"/>
    <w:rsid w:val="00BC66C2"/>
    <w:rsid w:val="00BC6AF4"/>
    <w:rsid w:val="00BC6CEE"/>
    <w:rsid w:val="00BC6D2D"/>
    <w:rsid w:val="00BC7662"/>
    <w:rsid w:val="00BD07ED"/>
    <w:rsid w:val="00BD0EC6"/>
    <w:rsid w:val="00BD134B"/>
    <w:rsid w:val="00BD1357"/>
    <w:rsid w:val="00BD1A75"/>
    <w:rsid w:val="00BD1DCE"/>
    <w:rsid w:val="00BD24F5"/>
    <w:rsid w:val="00BD2CD6"/>
    <w:rsid w:val="00BD3246"/>
    <w:rsid w:val="00BD34A9"/>
    <w:rsid w:val="00BD35C1"/>
    <w:rsid w:val="00BD365D"/>
    <w:rsid w:val="00BD416E"/>
    <w:rsid w:val="00BD529A"/>
    <w:rsid w:val="00BD5340"/>
    <w:rsid w:val="00BD546B"/>
    <w:rsid w:val="00BD5A25"/>
    <w:rsid w:val="00BD5A96"/>
    <w:rsid w:val="00BD5BBF"/>
    <w:rsid w:val="00BD5C8E"/>
    <w:rsid w:val="00BD6A21"/>
    <w:rsid w:val="00BD6BBB"/>
    <w:rsid w:val="00BD6C2D"/>
    <w:rsid w:val="00BD6DB4"/>
    <w:rsid w:val="00BD76A8"/>
    <w:rsid w:val="00BD7E06"/>
    <w:rsid w:val="00BE01E2"/>
    <w:rsid w:val="00BE1103"/>
    <w:rsid w:val="00BE1669"/>
    <w:rsid w:val="00BE1CFE"/>
    <w:rsid w:val="00BE1E29"/>
    <w:rsid w:val="00BE1F55"/>
    <w:rsid w:val="00BE258D"/>
    <w:rsid w:val="00BE25A2"/>
    <w:rsid w:val="00BE25E3"/>
    <w:rsid w:val="00BE2CAB"/>
    <w:rsid w:val="00BE2E56"/>
    <w:rsid w:val="00BE392F"/>
    <w:rsid w:val="00BE4989"/>
    <w:rsid w:val="00BE5032"/>
    <w:rsid w:val="00BE5081"/>
    <w:rsid w:val="00BE58DB"/>
    <w:rsid w:val="00BE5FAD"/>
    <w:rsid w:val="00BE6369"/>
    <w:rsid w:val="00BE667E"/>
    <w:rsid w:val="00BE66FE"/>
    <w:rsid w:val="00BE688F"/>
    <w:rsid w:val="00BE7294"/>
    <w:rsid w:val="00BE73D0"/>
    <w:rsid w:val="00BE76A7"/>
    <w:rsid w:val="00BE7CC0"/>
    <w:rsid w:val="00BE7ED4"/>
    <w:rsid w:val="00BF18B8"/>
    <w:rsid w:val="00BF1941"/>
    <w:rsid w:val="00BF19AC"/>
    <w:rsid w:val="00BF19C6"/>
    <w:rsid w:val="00BF2865"/>
    <w:rsid w:val="00BF36C4"/>
    <w:rsid w:val="00BF3E1C"/>
    <w:rsid w:val="00BF4AAC"/>
    <w:rsid w:val="00BF4B30"/>
    <w:rsid w:val="00BF565B"/>
    <w:rsid w:val="00BF5C32"/>
    <w:rsid w:val="00BF6484"/>
    <w:rsid w:val="00BF663C"/>
    <w:rsid w:val="00BF6F51"/>
    <w:rsid w:val="00BF6FEA"/>
    <w:rsid w:val="00BF71CD"/>
    <w:rsid w:val="00C00426"/>
    <w:rsid w:val="00C005C8"/>
    <w:rsid w:val="00C01774"/>
    <w:rsid w:val="00C0236B"/>
    <w:rsid w:val="00C024B4"/>
    <w:rsid w:val="00C0260E"/>
    <w:rsid w:val="00C02A1D"/>
    <w:rsid w:val="00C02A81"/>
    <w:rsid w:val="00C02D0E"/>
    <w:rsid w:val="00C030C6"/>
    <w:rsid w:val="00C038E7"/>
    <w:rsid w:val="00C03968"/>
    <w:rsid w:val="00C04190"/>
    <w:rsid w:val="00C055E1"/>
    <w:rsid w:val="00C05792"/>
    <w:rsid w:val="00C0579E"/>
    <w:rsid w:val="00C058D1"/>
    <w:rsid w:val="00C05C3F"/>
    <w:rsid w:val="00C05F35"/>
    <w:rsid w:val="00C06116"/>
    <w:rsid w:val="00C061E5"/>
    <w:rsid w:val="00C06849"/>
    <w:rsid w:val="00C105FB"/>
    <w:rsid w:val="00C11341"/>
    <w:rsid w:val="00C12298"/>
    <w:rsid w:val="00C13379"/>
    <w:rsid w:val="00C135ED"/>
    <w:rsid w:val="00C1398A"/>
    <w:rsid w:val="00C147FD"/>
    <w:rsid w:val="00C149BB"/>
    <w:rsid w:val="00C14F37"/>
    <w:rsid w:val="00C154A9"/>
    <w:rsid w:val="00C15912"/>
    <w:rsid w:val="00C1694E"/>
    <w:rsid w:val="00C16E6A"/>
    <w:rsid w:val="00C16F68"/>
    <w:rsid w:val="00C172EB"/>
    <w:rsid w:val="00C17998"/>
    <w:rsid w:val="00C201BF"/>
    <w:rsid w:val="00C2196D"/>
    <w:rsid w:val="00C21D44"/>
    <w:rsid w:val="00C21E4A"/>
    <w:rsid w:val="00C22216"/>
    <w:rsid w:val="00C22218"/>
    <w:rsid w:val="00C22748"/>
    <w:rsid w:val="00C22B70"/>
    <w:rsid w:val="00C236F4"/>
    <w:rsid w:val="00C238AD"/>
    <w:rsid w:val="00C24FE6"/>
    <w:rsid w:val="00C2629A"/>
    <w:rsid w:val="00C26832"/>
    <w:rsid w:val="00C26C1F"/>
    <w:rsid w:val="00C2706E"/>
    <w:rsid w:val="00C2784B"/>
    <w:rsid w:val="00C2788E"/>
    <w:rsid w:val="00C27924"/>
    <w:rsid w:val="00C27CDF"/>
    <w:rsid w:val="00C30720"/>
    <w:rsid w:val="00C30B1F"/>
    <w:rsid w:val="00C30F11"/>
    <w:rsid w:val="00C30FAC"/>
    <w:rsid w:val="00C320D9"/>
    <w:rsid w:val="00C32174"/>
    <w:rsid w:val="00C32ECD"/>
    <w:rsid w:val="00C330DE"/>
    <w:rsid w:val="00C33B33"/>
    <w:rsid w:val="00C34D5C"/>
    <w:rsid w:val="00C352E6"/>
    <w:rsid w:val="00C35F87"/>
    <w:rsid w:val="00C36700"/>
    <w:rsid w:val="00C36DF8"/>
    <w:rsid w:val="00C40309"/>
    <w:rsid w:val="00C40433"/>
    <w:rsid w:val="00C40B77"/>
    <w:rsid w:val="00C4132C"/>
    <w:rsid w:val="00C41472"/>
    <w:rsid w:val="00C422C0"/>
    <w:rsid w:val="00C428B2"/>
    <w:rsid w:val="00C42DAF"/>
    <w:rsid w:val="00C4363D"/>
    <w:rsid w:val="00C438A6"/>
    <w:rsid w:val="00C447AE"/>
    <w:rsid w:val="00C468CD"/>
    <w:rsid w:val="00C469EF"/>
    <w:rsid w:val="00C46C4C"/>
    <w:rsid w:val="00C4794A"/>
    <w:rsid w:val="00C479E9"/>
    <w:rsid w:val="00C5063A"/>
    <w:rsid w:val="00C50E29"/>
    <w:rsid w:val="00C51193"/>
    <w:rsid w:val="00C521DE"/>
    <w:rsid w:val="00C52A57"/>
    <w:rsid w:val="00C5377A"/>
    <w:rsid w:val="00C53DA9"/>
    <w:rsid w:val="00C545E3"/>
    <w:rsid w:val="00C54634"/>
    <w:rsid w:val="00C547AB"/>
    <w:rsid w:val="00C54D52"/>
    <w:rsid w:val="00C54DE5"/>
    <w:rsid w:val="00C54EEE"/>
    <w:rsid w:val="00C550AD"/>
    <w:rsid w:val="00C5520C"/>
    <w:rsid w:val="00C55D19"/>
    <w:rsid w:val="00C566F5"/>
    <w:rsid w:val="00C572C1"/>
    <w:rsid w:val="00C60260"/>
    <w:rsid w:val="00C60D23"/>
    <w:rsid w:val="00C60E00"/>
    <w:rsid w:val="00C60E06"/>
    <w:rsid w:val="00C613C3"/>
    <w:rsid w:val="00C61E6F"/>
    <w:rsid w:val="00C621D2"/>
    <w:rsid w:val="00C62A03"/>
    <w:rsid w:val="00C636F6"/>
    <w:rsid w:val="00C64D21"/>
    <w:rsid w:val="00C658E6"/>
    <w:rsid w:val="00C65C3A"/>
    <w:rsid w:val="00C67611"/>
    <w:rsid w:val="00C70885"/>
    <w:rsid w:val="00C71D57"/>
    <w:rsid w:val="00C7237B"/>
    <w:rsid w:val="00C72CA3"/>
    <w:rsid w:val="00C731A5"/>
    <w:rsid w:val="00C73B5B"/>
    <w:rsid w:val="00C746F9"/>
    <w:rsid w:val="00C74B16"/>
    <w:rsid w:val="00C74D55"/>
    <w:rsid w:val="00C74ECB"/>
    <w:rsid w:val="00C74F96"/>
    <w:rsid w:val="00C75ABE"/>
    <w:rsid w:val="00C80208"/>
    <w:rsid w:val="00C80FA6"/>
    <w:rsid w:val="00C81466"/>
    <w:rsid w:val="00C819A6"/>
    <w:rsid w:val="00C81B88"/>
    <w:rsid w:val="00C81BF7"/>
    <w:rsid w:val="00C83351"/>
    <w:rsid w:val="00C83D8F"/>
    <w:rsid w:val="00C847FC"/>
    <w:rsid w:val="00C84DB6"/>
    <w:rsid w:val="00C84F01"/>
    <w:rsid w:val="00C8661B"/>
    <w:rsid w:val="00C87D81"/>
    <w:rsid w:val="00C87F63"/>
    <w:rsid w:val="00C901F2"/>
    <w:rsid w:val="00C90D16"/>
    <w:rsid w:val="00C90E4F"/>
    <w:rsid w:val="00C914F3"/>
    <w:rsid w:val="00C91679"/>
    <w:rsid w:val="00C92B50"/>
    <w:rsid w:val="00C933FD"/>
    <w:rsid w:val="00C934D5"/>
    <w:rsid w:val="00C94352"/>
    <w:rsid w:val="00C94916"/>
    <w:rsid w:val="00C95292"/>
    <w:rsid w:val="00C95DAF"/>
    <w:rsid w:val="00C95DD3"/>
    <w:rsid w:val="00C960A9"/>
    <w:rsid w:val="00C96814"/>
    <w:rsid w:val="00C97311"/>
    <w:rsid w:val="00C97A75"/>
    <w:rsid w:val="00C97E65"/>
    <w:rsid w:val="00CA0628"/>
    <w:rsid w:val="00CA0CAF"/>
    <w:rsid w:val="00CA161C"/>
    <w:rsid w:val="00CA1BC2"/>
    <w:rsid w:val="00CA2285"/>
    <w:rsid w:val="00CA22E0"/>
    <w:rsid w:val="00CA249C"/>
    <w:rsid w:val="00CA4061"/>
    <w:rsid w:val="00CA428F"/>
    <w:rsid w:val="00CA4FDE"/>
    <w:rsid w:val="00CA5857"/>
    <w:rsid w:val="00CA5C00"/>
    <w:rsid w:val="00CA5CFC"/>
    <w:rsid w:val="00CA791C"/>
    <w:rsid w:val="00CA7E53"/>
    <w:rsid w:val="00CB114C"/>
    <w:rsid w:val="00CB119D"/>
    <w:rsid w:val="00CB12CF"/>
    <w:rsid w:val="00CB1335"/>
    <w:rsid w:val="00CB1DB5"/>
    <w:rsid w:val="00CB1E3B"/>
    <w:rsid w:val="00CB20CD"/>
    <w:rsid w:val="00CB2917"/>
    <w:rsid w:val="00CB29E9"/>
    <w:rsid w:val="00CB38A3"/>
    <w:rsid w:val="00CB39B4"/>
    <w:rsid w:val="00CB3B9D"/>
    <w:rsid w:val="00CB3F5A"/>
    <w:rsid w:val="00CB4E12"/>
    <w:rsid w:val="00CB5B7D"/>
    <w:rsid w:val="00CB5FD4"/>
    <w:rsid w:val="00CB632D"/>
    <w:rsid w:val="00CB6D9F"/>
    <w:rsid w:val="00CB7BE8"/>
    <w:rsid w:val="00CC113B"/>
    <w:rsid w:val="00CC1500"/>
    <w:rsid w:val="00CC16D0"/>
    <w:rsid w:val="00CC27B9"/>
    <w:rsid w:val="00CC301C"/>
    <w:rsid w:val="00CC342F"/>
    <w:rsid w:val="00CC3DA2"/>
    <w:rsid w:val="00CC409D"/>
    <w:rsid w:val="00CC41FC"/>
    <w:rsid w:val="00CC4CBF"/>
    <w:rsid w:val="00CC5B6A"/>
    <w:rsid w:val="00CC5BF6"/>
    <w:rsid w:val="00CC60FE"/>
    <w:rsid w:val="00CC633F"/>
    <w:rsid w:val="00CC6729"/>
    <w:rsid w:val="00CC70FB"/>
    <w:rsid w:val="00CC71FE"/>
    <w:rsid w:val="00CC7A30"/>
    <w:rsid w:val="00CC7B57"/>
    <w:rsid w:val="00CC7F30"/>
    <w:rsid w:val="00CD03C8"/>
    <w:rsid w:val="00CD03D5"/>
    <w:rsid w:val="00CD0B34"/>
    <w:rsid w:val="00CD0E9D"/>
    <w:rsid w:val="00CD10A6"/>
    <w:rsid w:val="00CD1348"/>
    <w:rsid w:val="00CD2042"/>
    <w:rsid w:val="00CD2532"/>
    <w:rsid w:val="00CD2597"/>
    <w:rsid w:val="00CD407A"/>
    <w:rsid w:val="00CD4C85"/>
    <w:rsid w:val="00CD4D42"/>
    <w:rsid w:val="00CD4F4D"/>
    <w:rsid w:val="00CD55CF"/>
    <w:rsid w:val="00CD5680"/>
    <w:rsid w:val="00CD58F0"/>
    <w:rsid w:val="00CD5C4B"/>
    <w:rsid w:val="00CD5F32"/>
    <w:rsid w:val="00CD64D0"/>
    <w:rsid w:val="00CD67AD"/>
    <w:rsid w:val="00CD6A62"/>
    <w:rsid w:val="00CD6AFA"/>
    <w:rsid w:val="00CD6AFC"/>
    <w:rsid w:val="00CD6E8B"/>
    <w:rsid w:val="00CD6FB6"/>
    <w:rsid w:val="00CD7105"/>
    <w:rsid w:val="00CD7B51"/>
    <w:rsid w:val="00CD7D3D"/>
    <w:rsid w:val="00CD7FDC"/>
    <w:rsid w:val="00CE0386"/>
    <w:rsid w:val="00CE0B15"/>
    <w:rsid w:val="00CE1418"/>
    <w:rsid w:val="00CE1AB4"/>
    <w:rsid w:val="00CE2C35"/>
    <w:rsid w:val="00CE44DB"/>
    <w:rsid w:val="00CE45ED"/>
    <w:rsid w:val="00CE5C2A"/>
    <w:rsid w:val="00CE777E"/>
    <w:rsid w:val="00CF0B0F"/>
    <w:rsid w:val="00CF0D7A"/>
    <w:rsid w:val="00CF20D5"/>
    <w:rsid w:val="00CF2481"/>
    <w:rsid w:val="00CF250D"/>
    <w:rsid w:val="00CF2FAA"/>
    <w:rsid w:val="00CF3122"/>
    <w:rsid w:val="00CF3A89"/>
    <w:rsid w:val="00CF424C"/>
    <w:rsid w:val="00CF433D"/>
    <w:rsid w:val="00CF4BF0"/>
    <w:rsid w:val="00CF4F2D"/>
    <w:rsid w:val="00CF57D5"/>
    <w:rsid w:val="00CF6399"/>
    <w:rsid w:val="00CF68AA"/>
    <w:rsid w:val="00CF7342"/>
    <w:rsid w:val="00CF7727"/>
    <w:rsid w:val="00CF7F06"/>
    <w:rsid w:val="00D00D3D"/>
    <w:rsid w:val="00D00D7C"/>
    <w:rsid w:val="00D01828"/>
    <w:rsid w:val="00D033E0"/>
    <w:rsid w:val="00D03692"/>
    <w:rsid w:val="00D03792"/>
    <w:rsid w:val="00D037A2"/>
    <w:rsid w:val="00D03996"/>
    <w:rsid w:val="00D04F6C"/>
    <w:rsid w:val="00D0536D"/>
    <w:rsid w:val="00D05C9A"/>
    <w:rsid w:val="00D06C8D"/>
    <w:rsid w:val="00D06CE2"/>
    <w:rsid w:val="00D0760F"/>
    <w:rsid w:val="00D07756"/>
    <w:rsid w:val="00D07E26"/>
    <w:rsid w:val="00D1021A"/>
    <w:rsid w:val="00D1036B"/>
    <w:rsid w:val="00D10599"/>
    <w:rsid w:val="00D10FE6"/>
    <w:rsid w:val="00D11023"/>
    <w:rsid w:val="00D1251E"/>
    <w:rsid w:val="00D12A0B"/>
    <w:rsid w:val="00D1354C"/>
    <w:rsid w:val="00D13C7D"/>
    <w:rsid w:val="00D13E6D"/>
    <w:rsid w:val="00D14119"/>
    <w:rsid w:val="00D1436B"/>
    <w:rsid w:val="00D144EA"/>
    <w:rsid w:val="00D15355"/>
    <w:rsid w:val="00D154C1"/>
    <w:rsid w:val="00D15B03"/>
    <w:rsid w:val="00D15B28"/>
    <w:rsid w:val="00D16955"/>
    <w:rsid w:val="00D17218"/>
    <w:rsid w:val="00D17264"/>
    <w:rsid w:val="00D1735F"/>
    <w:rsid w:val="00D2063B"/>
    <w:rsid w:val="00D20654"/>
    <w:rsid w:val="00D20957"/>
    <w:rsid w:val="00D20C9A"/>
    <w:rsid w:val="00D20D4E"/>
    <w:rsid w:val="00D20FDD"/>
    <w:rsid w:val="00D21735"/>
    <w:rsid w:val="00D220FB"/>
    <w:rsid w:val="00D2231D"/>
    <w:rsid w:val="00D23364"/>
    <w:rsid w:val="00D239FA"/>
    <w:rsid w:val="00D23BC1"/>
    <w:rsid w:val="00D2519A"/>
    <w:rsid w:val="00D25F45"/>
    <w:rsid w:val="00D260D0"/>
    <w:rsid w:val="00D2668C"/>
    <w:rsid w:val="00D26FFC"/>
    <w:rsid w:val="00D2755A"/>
    <w:rsid w:val="00D306A4"/>
    <w:rsid w:val="00D31870"/>
    <w:rsid w:val="00D31C65"/>
    <w:rsid w:val="00D32210"/>
    <w:rsid w:val="00D33503"/>
    <w:rsid w:val="00D33CF2"/>
    <w:rsid w:val="00D34134"/>
    <w:rsid w:val="00D34459"/>
    <w:rsid w:val="00D3475A"/>
    <w:rsid w:val="00D3487E"/>
    <w:rsid w:val="00D34A3B"/>
    <w:rsid w:val="00D352F2"/>
    <w:rsid w:val="00D35319"/>
    <w:rsid w:val="00D35803"/>
    <w:rsid w:val="00D35951"/>
    <w:rsid w:val="00D35A43"/>
    <w:rsid w:val="00D36509"/>
    <w:rsid w:val="00D366E2"/>
    <w:rsid w:val="00D36BB9"/>
    <w:rsid w:val="00D370EA"/>
    <w:rsid w:val="00D40346"/>
    <w:rsid w:val="00D4056A"/>
    <w:rsid w:val="00D40F7C"/>
    <w:rsid w:val="00D41134"/>
    <w:rsid w:val="00D41F6E"/>
    <w:rsid w:val="00D424C9"/>
    <w:rsid w:val="00D43A97"/>
    <w:rsid w:val="00D43D59"/>
    <w:rsid w:val="00D43EF7"/>
    <w:rsid w:val="00D44628"/>
    <w:rsid w:val="00D44CE1"/>
    <w:rsid w:val="00D4586A"/>
    <w:rsid w:val="00D45A1A"/>
    <w:rsid w:val="00D45A89"/>
    <w:rsid w:val="00D45F30"/>
    <w:rsid w:val="00D45FAD"/>
    <w:rsid w:val="00D45FF3"/>
    <w:rsid w:val="00D4608D"/>
    <w:rsid w:val="00D46EC2"/>
    <w:rsid w:val="00D46F47"/>
    <w:rsid w:val="00D47839"/>
    <w:rsid w:val="00D4787D"/>
    <w:rsid w:val="00D47EB4"/>
    <w:rsid w:val="00D50D1B"/>
    <w:rsid w:val="00D513BE"/>
    <w:rsid w:val="00D515EA"/>
    <w:rsid w:val="00D52332"/>
    <w:rsid w:val="00D5283B"/>
    <w:rsid w:val="00D52CF3"/>
    <w:rsid w:val="00D53899"/>
    <w:rsid w:val="00D53AD3"/>
    <w:rsid w:val="00D5420D"/>
    <w:rsid w:val="00D5446D"/>
    <w:rsid w:val="00D56665"/>
    <w:rsid w:val="00D5779C"/>
    <w:rsid w:val="00D57B40"/>
    <w:rsid w:val="00D60230"/>
    <w:rsid w:val="00D60600"/>
    <w:rsid w:val="00D60CC8"/>
    <w:rsid w:val="00D60E80"/>
    <w:rsid w:val="00D6100A"/>
    <w:rsid w:val="00D61171"/>
    <w:rsid w:val="00D6184F"/>
    <w:rsid w:val="00D6228F"/>
    <w:rsid w:val="00D627E0"/>
    <w:rsid w:val="00D62A43"/>
    <w:rsid w:val="00D630FE"/>
    <w:rsid w:val="00D64526"/>
    <w:rsid w:val="00D645CA"/>
    <w:rsid w:val="00D65144"/>
    <w:rsid w:val="00D65422"/>
    <w:rsid w:val="00D6563D"/>
    <w:rsid w:val="00D65E58"/>
    <w:rsid w:val="00D662BE"/>
    <w:rsid w:val="00D66FE3"/>
    <w:rsid w:val="00D6782E"/>
    <w:rsid w:val="00D679FD"/>
    <w:rsid w:val="00D67AAF"/>
    <w:rsid w:val="00D67CC9"/>
    <w:rsid w:val="00D67D4D"/>
    <w:rsid w:val="00D721A0"/>
    <w:rsid w:val="00D7335F"/>
    <w:rsid w:val="00D73A7C"/>
    <w:rsid w:val="00D74633"/>
    <w:rsid w:val="00D7510F"/>
    <w:rsid w:val="00D75A22"/>
    <w:rsid w:val="00D7726C"/>
    <w:rsid w:val="00D7773D"/>
    <w:rsid w:val="00D77A08"/>
    <w:rsid w:val="00D80080"/>
    <w:rsid w:val="00D802B0"/>
    <w:rsid w:val="00D8115B"/>
    <w:rsid w:val="00D812D6"/>
    <w:rsid w:val="00D81406"/>
    <w:rsid w:val="00D81EF3"/>
    <w:rsid w:val="00D820C5"/>
    <w:rsid w:val="00D82211"/>
    <w:rsid w:val="00D829B2"/>
    <w:rsid w:val="00D8428C"/>
    <w:rsid w:val="00D84510"/>
    <w:rsid w:val="00D84570"/>
    <w:rsid w:val="00D85367"/>
    <w:rsid w:val="00D85550"/>
    <w:rsid w:val="00D85A99"/>
    <w:rsid w:val="00D85DAC"/>
    <w:rsid w:val="00D86BF1"/>
    <w:rsid w:val="00D87453"/>
    <w:rsid w:val="00D875C6"/>
    <w:rsid w:val="00D87CA7"/>
    <w:rsid w:val="00D907B5"/>
    <w:rsid w:val="00D909A7"/>
    <w:rsid w:val="00D91910"/>
    <w:rsid w:val="00D91972"/>
    <w:rsid w:val="00D91BBB"/>
    <w:rsid w:val="00D91EED"/>
    <w:rsid w:val="00D92752"/>
    <w:rsid w:val="00D9383C"/>
    <w:rsid w:val="00D93A5B"/>
    <w:rsid w:val="00D93AA6"/>
    <w:rsid w:val="00D945FC"/>
    <w:rsid w:val="00D9485E"/>
    <w:rsid w:val="00D953A5"/>
    <w:rsid w:val="00D96227"/>
    <w:rsid w:val="00D9667A"/>
    <w:rsid w:val="00D96B68"/>
    <w:rsid w:val="00D97A04"/>
    <w:rsid w:val="00DA04C6"/>
    <w:rsid w:val="00DA1143"/>
    <w:rsid w:val="00DA12EE"/>
    <w:rsid w:val="00DA17D9"/>
    <w:rsid w:val="00DA1C5B"/>
    <w:rsid w:val="00DA1C89"/>
    <w:rsid w:val="00DA36F0"/>
    <w:rsid w:val="00DA370E"/>
    <w:rsid w:val="00DA3A30"/>
    <w:rsid w:val="00DA4FF2"/>
    <w:rsid w:val="00DA5181"/>
    <w:rsid w:val="00DA5482"/>
    <w:rsid w:val="00DA5788"/>
    <w:rsid w:val="00DA6144"/>
    <w:rsid w:val="00DA6E43"/>
    <w:rsid w:val="00DA6ECF"/>
    <w:rsid w:val="00DA7430"/>
    <w:rsid w:val="00DA74B1"/>
    <w:rsid w:val="00DA768F"/>
    <w:rsid w:val="00DB084D"/>
    <w:rsid w:val="00DB1583"/>
    <w:rsid w:val="00DB4A03"/>
    <w:rsid w:val="00DB537C"/>
    <w:rsid w:val="00DB5CA8"/>
    <w:rsid w:val="00DB6320"/>
    <w:rsid w:val="00DB6374"/>
    <w:rsid w:val="00DB6428"/>
    <w:rsid w:val="00DB6BB4"/>
    <w:rsid w:val="00DB737E"/>
    <w:rsid w:val="00DC05FF"/>
    <w:rsid w:val="00DC11EB"/>
    <w:rsid w:val="00DC24CE"/>
    <w:rsid w:val="00DC2B45"/>
    <w:rsid w:val="00DC3C77"/>
    <w:rsid w:val="00DC3EA7"/>
    <w:rsid w:val="00DC4107"/>
    <w:rsid w:val="00DC42BB"/>
    <w:rsid w:val="00DC4682"/>
    <w:rsid w:val="00DC5335"/>
    <w:rsid w:val="00DC596F"/>
    <w:rsid w:val="00DC5E7C"/>
    <w:rsid w:val="00DC60F0"/>
    <w:rsid w:val="00DC7EBF"/>
    <w:rsid w:val="00DD032A"/>
    <w:rsid w:val="00DD04E2"/>
    <w:rsid w:val="00DD11B9"/>
    <w:rsid w:val="00DD1DE3"/>
    <w:rsid w:val="00DD25EC"/>
    <w:rsid w:val="00DD2774"/>
    <w:rsid w:val="00DD33D0"/>
    <w:rsid w:val="00DD3581"/>
    <w:rsid w:val="00DD3676"/>
    <w:rsid w:val="00DD56F4"/>
    <w:rsid w:val="00DD6690"/>
    <w:rsid w:val="00DD6ABA"/>
    <w:rsid w:val="00DD6BCD"/>
    <w:rsid w:val="00DD7920"/>
    <w:rsid w:val="00DD7950"/>
    <w:rsid w:val="00DD7E2F"/>
    <w:rsid w:val="00DD7F59"/>
    <w:rsid w:val="00DE07C9"/>
    <w:rsid w:val="00DE0F1B"/>
    <w:rsid w:val="00DE1321"/>
    <w:rsid w:val="00DE1538"/>
    <w:rsid w:val="00DE1735"/>
    <w:rsid w:val="00DE1A94"/>
    <w:rsid w:val="00DE230D"/>
    <w:rsid w:val="00DE2404"/>
    <w:rsid w:val="00DE2B83"/>
    <w:rsid w:val="00DE2CDD"/>
    <w:rsid w:val="00DE2E6D"/>
    <w:rsid w:val="00DE2ED1"/>
    <w:rsid w:val="00DE3530"/>
    <w:rsid w:val="00DE3831"/>
    <w:rsid w:val="00DE4C98"/>
    <w:rsid w:val="00DE54F2"/>
    <w:rsid w:val="00DE59CB"/>
    <w:rsid w:val="00DE624F"/>
    <w:rsid w:val="00DE63B7"/>
    <w:rsid w:val="00DE6B50"/>
    <w:rsid w:val="00DE75AD"/>
    <w:rsid w:val="00DE7D79"/>
    <w:rsid w:val="00DE7E75"/>
    <w:rsid w:val="00DF1383"/>
    <w:rsid w:val="00DF1539"/>
    <w:rsid w:val="00DF16DD"/>
    <w:rsid w:val="00DF1FB9"/>
    <w:rsid w:val="00DF2B2B"/>
    <w:rsid w:val="00DF364A"/>
    <w:rsid w:val="00DF36BA"/>
    <w:rsid w:val="00DF4BC5"/>
    <w:rsid w:val="00DF51B4"/>
    <w:rsid w:val="00DF55CE"/>
    <w:rsid w:val="00DF603C"/>
    <w:rsid w:val="00DF6A51"/>
    <w:rsid w:val="00DF7281"/>
    <w:rsid w:val="00DF7788"/>
    <w:rsid w:val="00DF7966"/>
    <w:rsid w:val="00DF79DE"/>
    <w:rsid w:val="00DF7C58"/>
    <w:rsid w:val="00DF7DDA"/>
    <w:rsid w:val="00DF7FC3"/>
    <w:rsid w:val="00E00B27"/>
    <w:rsid w:val="00E019D9"/>
    <w:rsid w:val="00E01D1C"/>
    <w:rsid w:val="00E02350"/>
    <w:rsid w:val="00E02926"/>
    <w:rsid w:val="00E02CCC"/>
    <w:rsid w:val="00E02FEC"/>
    <w:rsid w:val="00E0318F"/>
    <w:rsid w:val="00E038CE"/>
    <w:rsid w:val="00E04192"/>
    <w:rsid w:val="00E04431"/>
    <w:rsid w:val="00E05CCB"/>
    <w:rsid w:val="00E06464"/>
    <w:rsid w:val="00E065F0"/>
    <w:rsid w:val="00E06B08"/>
    <w:rsid w:val="00E06F5C"/>
    <w:rsid w:val="00E071F1"/>
    <w:rsid w:val="00E0720A"/>
    <w:rsid w:val="00E07766"/>
    <w:rsid w:val="00E07906"/>
    <w:rsid w:val="00E07B40"/>
    <w:rsid w:val="00E100C7"/>
    <w:rsid w:val="00E10553"/>
    <w:rsid w:val="00E11AE3"/>
    <w:rsid w:val="00E12338"/>
    <w:rsid w:val="00E12A8C"/>
    <w:rsid w:val="00E12BAF"/>
    <w:rsid w:val="00E12E10"/>
    <w:rsid w:val="00E13078"/>
    <w:rsid w:val="00E13383"/>
    <w:rsid w:val="00E13640"/>
    <w:rsid w:val="00E14767"/>
    <w:rsid w:val="00E14960"/>
    <w:rsid w:val="00E14A0F"/>
    <w:rsid w:val="00E14E38"/>
    <w:rsid w:val="00E15401"/>
    <w:rsid w:val="00E15459"/>
    <w:rsid w:val="00E1547D"/>
    <w:rsid w:val="00E15CA8"/>
    <w:rsid w:val="00E16104"/>
    <w:rsid w:val="00E20010"/>
    <w:rsid w:val="00E2027B"/>
    <w:rsid w:val="00E2036F"/>
    <w:rsid w:val="00E20415"/>
    <w:rsid w:val="00E20602"/>
    <w:rsid w:val="00E20608"/>
    <w:rsid w:val="00E2296B"/>
    <w:rsid w:val="00E22F4D"/>
    <w:rsid w:val="00E2308B"/>
    <w:rsid w:val="00E2319A"/>
    <w:rsid w:val="00E23503"/>
    <w:rsid w:val="00E239C9"/>
    <w:rsid w:val="00E246CB"/>
    <w:rsid w:val="00E246E0"/>
    <w:rsid w:val="00E247C1"/>
    <w:rsid w:val="00E267D8"/>
    <w:rsid w:val="00E27305"/>
    <w:rsid w:val="00E27544"/>
    <w:rsid w:val="00E277C8"/>
    <w:rsid w:val="00E30371"/>
    <w:rsid w:val="00E30E32"/>
    <w:rsid w:val="00E31294"/>
    <w:rsid w:val="00E31456"/>
    <w:rsid w:val="00E31B6C"/>
    <w:rsid w:val="00E31CC1"/>
    <w:rsid w:val="00E324CA"/>
    <w:rsid w:val="00E32C1D"/>
    <w:rsid w:val="00E32CC9"/>
    <w:rsid w:val="00E32E6D"/>
    <w:rsid w:val="00E32FA5"/>
    <w:rsid w:val="00E33BE0"/>
    <w:rsid w:val="00E3406B"/>
    <w:rsid w:val="00E34832"/>
    <w:rsid w:val="00E34962"/>
    <w:rsid w:val="00E34E26"/>
    <w:rsid w:val="00E35BB0"/>
    <w:rsid w:val="00E35EFB"/>
    <w:rsid w:val="00E367CB"/>
    <w:rsid w:val="00E36A5A"/>
    <w:rsid w:val="00E3731A"/>
    <w:rsid w:val="00E37558"/>
    <w:rsid w:val="00E37636"/>
    <w:rsid w:val="00E37AA3"/>
    <w:rsid w:val="00E37DD2"/>
    <w:rsid w:val="00E40AE5"/>
    <w:rsid w:val="00E40EC7"/>
    <w:rsid w:val="00E4132A"/>
    <w:rsid w:val="00E418BB"/>
    <w:rsid w:val="00E41E5A"/>
    <w:rsid w:val="00E42988"/>
    <w:rsid w:val="00E429A7"/>
    <w:rsid w:val="00E42D49"/>
    <w:rsid w:val="00E44078"/>
    <w:rsid w:val="00E44366"/>
    <w:rsid w:val="00E44385"/>
    <w:rsid w:val="00E4478D"/>
    <w:rsid w:val="00E44B61"/>
    <w:rsid w:val="00E45CD2"/>
    <w:rsid w:val="00E45FDB"/>
    <w:rsid w:val="00E467C7"/>
    <w:rsid w:val="00E46BFD"/>
    <w:rsid w:val="00E46D15"/>
    <w:rsid w:val="00E46D8B"/>
    <w:rsid w:val="00E46F6B"/>
    <w:rsid w:val="00E47F24"/>
    <w:rsid w:val="00E5028A"/>
    <w:rsid w:val="00E50797"/>
    <w:rsid w:val="00E51713"/>
    <w:rsid w:val="00E517A6"/>
    <w:rsid w:val="00E51F9E"/>
    <w:rsid w:val="00E52108"/>
    <w:rsid w:val="00E52417"/>
    <w:rsid w:val="00E52546"/>
    <w:rsid w:val="00E52775"/>
    <w:rsid w:val="00E540B0"/>
    <w:rsid w:val="00E54375"/>
    <w:rsid w:val="00E54A9F"/>
    <w:rsid w:val="00E556B0"/>
    <w:rsid w:val="00E556F7"/>
    <w:rsid w:val="00E559D9"/>
    <w:rsid w:val="00E55D48"/>
    <w:rsid w:val="00E55DF7"/>
    <w:rsid w:val="00E568CB"/>
    <w:rsid w:val="00E56DF1"/>
    <w:rsid w:val="00E56F59"/>
    <w:rsid w:val="00E576F5"/>
    <w:rsid w:val="00E579AA"/>
    <w:rsid w:val="00E57AF3"/>
    <w:rsid w:val="00E57D23"/>
    <w:rsid w:val="00E57FFD"/>
    <w:rsid w:val="00E60777"/>
    <w:rsid w:val="00E60AD4"/>
    <w:rsid w:val="00E60F58"/>
    <w:rsid w:val="00E6134A"/>
    <w:rsid w:val="00E61FBF"/>
    <w:rsid w:val="00E6211E"/>
    <w:rsid w:val="00E623A6"/>
    <w:rsid w:val="00E6245A"/>
    <w:rsid w:val="00E62537"/>
    <w:rsid w:val="00E62CBE"/>
    <w:rsid w:val="00E62DC7"/>
    <w:rsid w:val="00E63FF9"/>
    <w:rsid w:val="00E6454C"/>
    <w:rsid w:val="00E64866"/>
    <w:rsid w:val="00E656EB"/>
    <w:rsid w:val="00E676E7"/>
    <w:rsid w:val="00E67F35"/>
    <w:rsid w:val="00E7055C"/>
    <w:rsid w:val="00E712A4"/>
    <w:rsid w:val="00E71B54"/>
    <w:rsid w:val="00E71C13"/>
    <w:rsid w:val="00E72F49"/>
    <w:rsid w:val="00E733DB"/>
    <w:rsid w:val="00E74091"/>
    <w:rsid w:val="00E7418E"/>
    <w:rsid w:val="00E742B5"/>
    <w:rsid w:val="00E7460F"/>
    <w:rsid w:val="00E749F1"/>
    <w:rsid w:val="00E74B0E"/>
    <w:rsid w:val="00E74BA8"/>
    <w:rsid w:val="00E74DB9"/>
    <w:rsid w:val="00E76486"/>
    <w:rsid w:val="00E767F2"/>
    <w:rsid w:val="00E77673"/>
    <w:rsid w:val="00E77CE7"/>
    <w:rsid w:val="00E77CF4"/>
    <w:rsid w:val="00E80163"/>
    <w:rsid w:val="00E809D6"/>
    <w:rsid w:val="00E81632"/>
    <w:rsid w:val="00E81A2A"/>
    <w:rsid w:val="00E8299D"/>
    <w:rsid w:val="00E83FFC"/>
    <w:rsid w:val="00E84B73"/>
    <w:rsid w:val="00E84C14"/>
    <w:rsid w:val="00E84D45"/>
    <w:rsid w:val="00E84DCB"/>
    <w:rsid w:val="00E854D6"/>
    <w:rsid w:val="00E8567B"/>
    <w:rsid w:val="00E857B0"/>
    <w:rsid w:val="00E859DA"/>
    <w:rsid w:val="00E85B5A"/>
    <w:rsid w:val="00E864F2"/>
    <w:rsid w:val="00E86696"/>
    <w:rsid w:val="00E86EFC"/>
    <w:rsid w:val="00E87EBC"/>
    <w:rsid w:val="00E904DA"/>
    <w:rsid w:val="00E918F0"/>
    <w:rsid w:val="00E91ADB"/>
    <w:rsid w:val="00E91D2E"/>
    <w:rsid w:val="00E92891"/>
    <w:rsid w:val="00E92EB5"/>
    <w:rsid w:val="00E93A49"/>
    <w:rsid w:val="00E93E24"/>
    <w:rsid w:val="00E94677"/>
    <w:rsid w:val="00E94744"/>
    <w:rsid w:val="00E951E8"/>
    <w:rsid w:val="00E95BE8"/>
    <w:rsid w:val="00E97570"/>
    <w:rsid w:val="00E97C8E"/>
    <w:rsid w:val="00EA005A"/>
    <w:rsid w:val="00EA0FD6"/>
    <w:rsid w:val="00EA11EB"/>
    <w:rsid w:val="00EA1554"/>
    <w:rsid w:val="00EA19F9"/>
    <w:rsid w:val="00EA1C23"/>
    <w:rsid w:val="00EA1E69"/>
    <w:rsid w:val="00EA23C9"/>
    <w:rsid w:val="00EA2600"/>
    <w:rsid w:val="00EA2E18"/>
    <w:rsid w:val="00EA3590"/>
    <w:rsid w:val="00EA395A"/>
    <w:rsid w:val="00EA3AEF"/>
    <w:rsid w:val="00EA42CC"/>
    <w:rsid w:val="00EA4C04"/>
    <w:rsid w:val="00EA4F0B"/>
    <w:rsid w:val="00EA5141"/>
    <w:rsid w:val="00EA5D00"/>
    <w:rsid w:val="00EA60D5"/>
    <w:rsid w:val="00EA60F4"/>
    <w:rsid w:val="00EA6A17"/>
    <w:rsid w:val="00EA6A47"/>
    <w:rsid w:val="00EA6C37"/>
    <w:rsid w:val="00EA7268"/>
    <w:rsid w:val="00EA7A6D"/>
    <w:rsid w:val="00EA7C7F"/>
    <w:rsid w:val="00EA7CBD"/>
    <w:rsid w:val="00EB072F"/>
    <w:rsid w:val="00EB1469"/>
    <w:rsid w:val="00EB26A8"/>
    <w:rsid w:val="00EB2D3E"/>
    <w:rsid w:val="00EB3219"/>
    <w:rsid w:val="00EB4604"/>
    <w:rsid w:val="00EB5051"/>
    <w:rsid w:val="00EB528E"/>
    <w:rsid w:val="00EB5315"/>
    <w:rsid w:val="00EB5A4B"/>
    <w:rsid w:val="00EB5D60"/>
    <w:rsid w:val="00EB6AB4"/>
    <w:rsid w:val="00EB778B"/>
    <w:rsid w:val="00EC0841"/>
    <w:rsid w:val="00EC0D28"/>
    <w:rsid w:val="00EC1AC6"/>
    <w:rsid w:val="00EC254C"/>
    <w:rsid w:val="00EC31EA"/>
    <w:rsid w:val="00EC4FEC"/>
    <w:rsid w:val="00EC5BE4"/>
    <w:rsid w:val="00EC5F54"/>
    <w:rsid w:val="00EC616C"/>
    <w:rsid w:val="00EC6B51"/>
    <w:rsid w:val="00EC720D"/>
    <w:rsid w:val="00EC7EBD"/>
    <w:rsid w:val="00ED0074"/>
    <w:rsid w:val="00ED00FD"/>
    <w:rsid w:val="00ED0618"/>
    <w:rsid w:val="00ED21D8"/>
    <w:rsid w:val="00ED21DC"/>
    <w:rsid w:val="00ED2305"/>
    <w:rsid w:val="00ED23C4"/>
    <w:rsid w:val="00ED24CE"/>
    <w:rsid w:val="00ED297B"/>
    <w:rsid w:val="00ED2BD5"/>
    <w:rsid w:val="00ED2C91"/>
    <w:rsid w:val="00ED2F9C"/>
    <w:rsid w:val="00ED3531"/>
    <w:rsid w:val="00ED3631"/>
    <w:rsid w:val="00ED5352"/>
    <w:rsid w:val="00ED53F8"/>
    <w:rsid w:val="00ED570F"/>
    <w:rsid w:val="00ED5F56"/>
    <w:rsid w:val="00ED61EE"/>
    <w:rsid w:val="00ED666C"/>
    <w:rsid w:val="00ED706E"/>
    <w:rsid w:val="00ED720D"/>
    <w:rsid w:val="00ED7F5B"/>
    <w:rsid w:val="00ED7F6E"/>
    <w:rsid w:val="00EE0160"/>
    <w:rsid w:val="00EE0D08"/>
    <w:rsid w:val="00EE0FE5"/>
    <w:rsid w:val="00EE10E3"/>
    <w:rsid w:val="00EE1503"/>
    <w:rsid w:val="00EE1998"/>
    <w:rsid w:val="00EE1A78"/>
    <w:rsid w:val="00EE218F"/>
    <w:rsid w:val="00EE21DE"/>
    <w:rsid w:val="00EE2344"/>
    <w:rsid w:val="00EE264C"/>
    <w:rsid w:val="00EE28AA"/>
    <w:rsid w:val="00EE3EB0"/>
    <w:rsid w:val="00EE40A6"/>
    <w:rsid w:val="00EE4669"/>
    <w:rsid w:val="00EE4EBD"/>
    <w:rsid w:val="00EE5D44"/>
    <w:rsid w:val="00EE68CC"/>
    <w:rsid w:val="00EE69F3"/>
    <w:rsid w:val="00EE6FDD"/>
    <w:rsid w:val="00EE7935"/>
    <w:rsid w:val="00EE79EB"/>
    <w:rsid w:val="00EE7B11"/>
    <w:rsid w:val="00EE7D26"/>
    <w:rsid w:val="00EE7F7D"/>
    <w:rsid w:val="00EE7FE9"/>
    <w:rsid w:val="00EF0869"/>
    <w:rsid w:val="00EF0A03"/>
    <w:rsid w:val="00EF3F43"/>
    <w:rsid w:val="00EF4461"/>
    <w:rsid w:val="00EF463A"/>
    <w:rsid w:val="00EF4D89"/>
    <w:rsid w:val="00EF5044"/>
    <w:rsid w:val="00EF6003"/>
    <w:rsid w:val="00EF72B2"/>
    <w:rsid w:val="00EF7449"/>
    <w:rsid w:val="00EF76A6"/>
    <w:rsid w:val="00F00081"/>
    <w:rsid w:val="00F006E6"/>
    <w:rsid w:val="00F00B44"/>
    <w:rsid w:val="00F0161E"/>
    <w:rsid w:val="00F019CC"/>
    <w:rsid w:val="00F01A1C"/>
    <w:rsid w:val="00F0333E"/>
    <w:rsid w:val="00F034AC"/>
    <w:rsid w:val="00F03FAD"/>
    <w:rsid w:val="00F04064"/>
    <w:rsid w:val="00F044CD"/>
    <w:rsid w:val="00F044ED"/>
    <w:rsid w:val="00F049C4"/>
    <w:rsid w:val="00F04A85"/>
    <w:rsid w:val="00F0510C"/>
    <w:rsid w:val="00F05838"/>
    <w:rsid w:val="00F05E7E"/>
    <w:rsid w:val="00F06034"/>
    <w:rsid w:val="00F06094"/>
    <w:rsid w:val="00F06359"/>
    <w:rsid w:val="00F063F8"/>
    <w:rsid w:val="00F07C54"/>
    <w:rsid w:val="00F105C4"/>
    <w:rsid w:val="00F112ED"/>
    <w:rsid w:val="00F11A9D"/>
    <w:rsid w:val="00F12C24"/>
    <w:rsid w:val="00F134DB"/>
    <w:rsid w:val="00F14ACD"/>
    <w:rsid w:val="00F14D33"/>
    <w:rsid w:val="00F15C6D"/>
    <w:rsid w:val="00F161E1"/>
    <w:rsid w:val="00F16858"/>
    <w:rsid w:val="00F175C7"/>
    <w:rsid w:val="00F21726"/>
    <w:rsid w:val="00F2189D"/>
    <w:rsid w:val="00F218EF"/>
    <w:rsid w:val="00F22FB3"/>
    <w:rsid w:val="00F231C4"/>
    <w:rsid w:val="00F239A6"/>
    <w:rsid w:val="00F23BBD"/>
    <w:rsid w:val="00F23CB6"/>
    <w:rsid w:val="00F23F0D"/>
    <w:rsid w:val="00F251BD"/>
    <w:rsid w:val="00F25B68"/>
    <w:rsid w:val="00F2667B"/>
    <w:rsid w:val="00F26C42"/>
    <w:rsid w:val="00F274FB"/>
    <w:rsid w:val="00F301FB"/>
    <w:rsid w:val="00F30762"/>
    <w:rsid w:val="00F310A3"/>
    <w:rsid w:val="00F31857"/>
    <w:rsid w:val="00F31D1C"/>
    <w:rsid w:val="00F31E92"/>
    <w:rsid w:val="00F3252E"/>
    <w:rsid w:val="00F32777"/>
    <w:rsid w:val="00F32BF3"/>
    <w:rsid w:val="00F332C0"/>
    <w:rsid w:val="00F34292"/>
    <w:rsid w:val="00F350C0"/>
    <w:rsid w:val="00F352D1"/>
    <w:rsid w:val="00F35608"/>
    <w:rsid w:val="00F35D48"/>
    <w:rsid w:val="00F363E3"/>
    <w:rsid w:val="00F37DBA"/>
    <w:rsid w:val="00F37FC6"/>
    <w:rsid w:val="00F429D5"/>
    <w:rsid w:val="00F43190"/>
    <w:rsid w:val="00F432EB"/>
    <w:rsid w:val="00F436FF"/>
    <w:rsid w:val="00F45B1B"/>
    <w:rsid w:val="00F45ECD"/>
    <w:rsid w:val="00F50543"/>
    <w:rsid w:val="00F510AD"/>
    <w:rsid w:val="00F51166"/>
    <w:rsid w:val="00F5117D"/>
    <w:rsid w:val="00F518E5"/>
    <w:rsid w:val="00F522AE"/>
    <w:rsid w:val="00F52470"/>
    <w:rsid w:val="00F52E5D"/>
    <w:rsid w:val="00F53460"/>
    <w:rsid w:val="00F53CAD"/>
    <w:rsid w:val="00F53CF3"/>
    <w:rsid w:val="00F54A47"/>
    <w:rsid w:val="00F559AB"/>
    <w:rsid w:val="00F55BEE"/>
    <w:rsid w:val="00F562E5"/>
    <w:rsid w:val="00F56529"/>
    <w:rsid w:val="00F56DAD"/>
    <w:rsid w:val="00F57061"/>
    <w:rsid w:val="00F57AC5"/>
    <w:rsid w:val="00F57FCB"/>
    <w:rsid w:val="00F60129"/>
    <w:rsid w:val="00F61393"/>
    <w:rsid w:val="00F62127"/>
    <w:rsid w:val="00F62397"/>
    <w:rsid w:val="00F6394D"/>
    <w:rsid w:val="00F63D89"/>
    <w:rsid w:val="00F63FB1"/>
    <w:rsid w:val="00F64ADD"/>
    <w:rsid w:val="00F6551D"/>
    <w:rsid w:val="00F6584D"/>
    <w:rsid w:val="00F660BC"/>
    <w:rsid w:val="00F6632A"/>
    <w:rsid w:val="00F66ADA"/>
    <w:rsid w:val="00F6730D"/>
    <w:rsid w:val="00F675C4"/>
    <w:rsid w:val="00F70EA7"/>
    <w:rsid w:val="00F712E3"/>
    <w:rsid w:val="00F72C70"/>
    <w:rsid w:val="00F73080"/>
    <w:rsid w:val="00F74B49"/>
    <w:rsid w:val="00F75FB2"/>
    <w:rsid w:val="00F77A87"/>
    <w:rsid w:val="00F77EFC"/>
    <w:rsid w:val="00F80910"/>
    <w:rsid w:val="00F81A4D"/>
    <w:rsid w:val="00F81C40"/>
    <w:rsid w:val="00F824DD"/>
    <w:rsid w:val="00F82DAF"/>
    <w:rsid w:val="00F83C4E"/>
    <w:rsid w:val="00F83DAE"/>
    <w:rsid w:val="00F845B8"/>
    <w:rsid w:val="00F84856"/>
    <w:rsid w:val="00F84ECE"/>
    <w:rsid w:val="00F86456"/>
    <w:rsid w:val="00F8673A"/>
    <w:rsid w:val="00F871A1"/>
    <w:rsid w:val="00F87729"/>
    <w:rsid w:val="00F87D64"/>
    <w:rsid w:val="00F9055C"/>
    <w:rsid w:val="00F9075D"/>
    <w:rsid w:val="00F90AF7"/>
    <w:rsid w:val="00F90CFE"/>
    <w:rsid w:val="00F9179F"/>
    <w:rsid w:val="00F91D2E"/>
    <w:rsid w:val="00F928CD"/>
    <w:rsid w:val="00F930D5"/>
    <w:rsid w:val="00F933AC"/>
    <w:rsid w:val="00F93CD2"/>
    <w:rsid w:val="00F956C8"/>
    <w:rsid w:val="00F959D4"/>
    <w:rsid w:val="00F95CA8"/>
    <w:rsid w:val="00F960E6"/>
    <w:rsid w:val="00F961BC"/>
    <w:rsid w:val="00F96D96"/>
    <w:rsid w:val="00F9742C"/>
    <w:rsid w:val="00FA0697"/>
    <w:rsid w:val="00FA080D"/>
    <w:rsid w:val="00FA1424"/>
    <w:rsid w:val="00FA19E8"/>
    <w:rsid w:val="00FA1A27"/>
    <w:rsid w:val="00FA2114"/>
    <w:rsid w:val="00FA258A"/>
    <w:rsid w:val="00FA2A3A"/>
    <w:rsid w:val="00FA3F0B"/>
    <w:rsid w:val="00FA417B"/>
    <w:rsid w:val="00FA42D7"/>
    <w:rsid w:val="00FA4782"/>
    <w:rsid w:val="00FA56B5"/>
    <w:rsid w:val="00FA63FC"/>
    <w:rsid w:val="00FA70F9"/>
    <w:rsid w:val="00FA73FC"/>
    <w:rsid w:val="00FA7D6E"/>
    <w:rsid w:val="00FA7F0C"/>
    <w:rsid w:val="00FB04C8"/>
    <w:rsid w:val="00FB20A3"/>
    <w:rsid w:val="00FB22D6"/>
    <w:rsid w:val="00FB23EF"/>
    <w:rsid w:val="00FB2466"/>
    <w:rsid w:val="00FB26E6"/>
    <w:rsid w:val="00FB2973"/>
    <w:rsid w:val="00FB2DB4"/>
    <w:rsid w:val="00FB327A"/>
    <w:rsid w:val="00FB39F6"/>
    <w:rsid w:val="00FB3AD7"/>
    <w:rsid w:val="00FB3C0D"/>
    <w:rsid w:val="00FB4385"/>
    <w:rsid w:val="00FB43E0"/>
    <w:rsid w:val="00FB4C2C"/>
    <w:rsid w:val="00FB5B19"/>
    <w:rsid w:val="00FB6160"/>
    <w:rsid w:val="00FB6237"/>
    <w:rsid w:val="00FB72B7"/>
    <w:rsid w:val="00FB77AA"/>
    <w:rsid w:val="00FB78DC"/>
    <w:rsid w:val="00FB7DE1"/>
    <w:rsid w:val="00FC0763"/>
    <w:rsid w:val="00FC07E5"/>
    <w:rsid w:val="00FC0ADE"/>
    <w:rsid w:val="00FC0B74"/>
    <w:rsid w:val="00FC0C1D"/>
    <w:rsid w:val="00FC1FC3"/>
    <w:rsid w:val="00FC2CCA"/>
    <w:rsid w:val="00FC2FDB"/>
    <w:rsid w:val="00FC3313"/>
    <w:rsid w:val="00FC3BF2"/>
    <w:rsid w:val="00FC4139"/>
    <w:rsid w:val="00FC41AE"/>
    <w:rsid w:val="00FC43FB"/>
    <w:rsid w:val="00FC4462"/>
    <w:rsid w:val="00FC4AAE"/>
    <w:rsid w:val="00FC4D24"/>
    <w:rsid w:val="00FC4E0F"/>
    <w:rsid w:val="00FC5500"/>
    <w:rsid w:val="00FC55ED"/>
    <w:rsid w:val="00FC5818"/>
    <w:rsid w:val="00FC5919"/>
    <w:rsid w:val="00FC62DC"/>
    <w:rsid w:val="00FC640E"/>
    <w:rsid w:val="00FD088C"/>
    <w:rsid w:val="00FD0989"/>
    <w:rsid w:val="00FD3C7C"/>
    <w:rsid w:val="00FD3D3B"/>
    <w:rsid w:val="00FD4679"/>
    <w:rsid w:val="00FD4CD2"/>
    <w:rsid w:val="00FD55E9"/>
    <w:rsid w:val="00FD61F0"/>
    <w:rsid w:val="00FD66CB"/>
    <w:rsid w:val="00FD6B6F"/>
    <w:rsid w:val="00FD6CCD"/>
    <w:rsid w:val="00FD6F12"/>
    <w:rsid w:val="00FE12D9"/>
    <w:rsid w:val="00FE15FB"/>
    <w:rsid w:val="00FE1D7C"/>
    <w:rsid w:val="00FE23A2"/>
    <w:rsid w:val="00FE2582"/>
    <w:rsid w:val="00FE25C3"/>
    <w:rsid w:val="00FE2A39"/>
    <w:rsid w:val="00FE2AAF"/>
    <w:rsid w:val="00FE2E2B"/>
    <w:rsid w:val="00FE403F"/>
    <w:rsid w:val="00FE40F8"/>
    <w:rsid w:val="00FE4560"/>
    <w:rsid w:val="00FE48F8"/>
    <w:rsid w:val="00FE4A2E"/>
    <w:rsid w:val="00FE4FCF"/>
    <w:rsid w:val="00FE597E"/>
    <w:rsid w:val="00FE5B38"/>
    <w:rsid w:val="00FE5DA2"/>
    <w:rsid w:val="00FE5DDD"/>
    <w:rsid w:val="00FE6C09"/>
    <w:rsid w:val="00FE70E8"/>
    <w:rsid w:val="00FE7355"/>
    <w:rsid w:val="00FE7EEB"/>
    <w:rsid w:val="00FF068B"/>
    <w:rsid w:val="00FF0BF3"/>
    <w:rsid w:val="00FF173B"/>
    <w:rsid w:val="00FF1BEB"/>
    <w:rsid w:val="00FF274F"/>
    <w:rsid w:val="00FF2AA4"/>
    <w:rsid w:val="00FF391A"/>
    <w:rsid w:val="00FF3B23"/>
    <w:rsid w:val="00FF584B"/>
    <w:rsid w:val="00FF6190"/>
    <w:rsid w:val="00FF6401"/>
    <w:rsid w:val="00FF6A0D"/>
    <w:rsid w:val="00FF6AF9"/>
    <w:rsid w:val="00FF6BCF"/>
    <w:rsid w:val="00FF7D3B"/>
  </w:rsids>
  <m:mathPr>
    <m:mathFont m:val="Cambria Math"/>
    <m:brkBin m:val="before"/>
    <m:brkBinSub m:val="--"/>
    <m:smallFrac m:val="0"/>
    <m:dispDef/>
    <m:lMargin m:val="0"/>
    <m:rMargin m:val="0"/>
    <m:defJc m:val="centerGroup"/>
    <m:wrapIndent m:val="1440"/>
    <m:intLim m:val="subSup"/>
    <m:naryLim m:val="undOvr"/>
  </m:mathPr>
  <w:themeFontLang w:val="ro-M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C041"/>
  <w15:chartTrackingRefBased/>
  <w15:docId w15:val="{0854F4F5-70F3-4CE0-9266-F616E9AE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89D"/>
    <w:rPr>
      <w:lang w:val="ro-RO"/>
    </w:rPr>
  </w:style>
  <w:style w:type="paragraph" w:styleId="1">
    <w:name w:val="heading 1"/>
    <w:basedOn w:val="a"/>
    <w:next w:val="a"/>
    <w:link w:val="10"/>
    <w:uiPriority w:val="9"/>
    <w:qFormat/>
    <w:rsid w:val="001836EF"/>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2">
    <w:name w:val="heading 2"/>
    <w:basedOn w:val="a"/>
    <w:next w:val="a"/>
    <w:link w:val="20"/>
    <w:uiPriority w:val="9"/>
    <w:semiHidden/>
    <w:unhideWhenUsed/>
    <w:qFormat/>
    <w:rsid w:val="001836EF"/>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3">
    <w:name w:val="heading 3"/>
    <w:basedOn w:val="a"/>
    <w:next w:val="a"/>
    <w:link w:val="30"/>
    <w:uiPriority w:val="9"/>
    <w:unhideWhenUsed/>
    <w:qFormat/>
    <w:rsid w:val="001836EF"/>
    <w:pPr>
      <w:keepNext/>
      <w:keepLines/>
      <w:spacing w:before="160" w:after="80"/>
      <w:outlineLvl w:val="2"/>
    </w:pPr>
    <w:rPr>
      <w:rFonts w:eastAsiaTheme="majorEastAsia" w:cstheme="majorBidi"/>
      <w:color w:val="276E8B" w:themeColor="accent1" w:themeShade="BF"/>
      <w:sz w:val="28"/>
      <w:szCs w:val="28"/>
    </w:rPr>
  </w:style>
  <w:style w:type="paragraph" w:styleId="4">
    <w:name w:val="heading 4"/>
    <w:basedOn w:val="a"/>
    <w:next w:val="a"/>
    <w:link w:val="40"/>
    <w:uiPriority w:val="9"/>
    <w:unhideWhenUsed/>
    <w:qFormat/>
    <w:rsid w:val="001836EF"/>
    <w:pPr>
      <w:keepNext/>
      <w:keepLines/>
      <w:spacing w:before="80" w:after="40"/>
      <w:outlineLvl w:val="3"/>
    </w:pPr>
    <w:rPr>
      <w:rFonts w:eastAsiaTheme="majorEastAsia" w:cstheme="majorBidi"/>
      <w:i/>
      <w:iCs/>
      <w:color w:val="276E8B" w:themeColor="accent1" w:themeShade="BF"/>
    </w:rPr>
  </w:style>
  <w:style w:type="paragraph" w:styleId="5">
    <w:name w:val="heading 5"/>
    <w:basedOn w:val="a"/>
    <w:next w:val="a"/>
    <w:link w:val="50"/>
    <w:uiPriority w:val="9"/>
    <w:unhideWhenUsed/>
    <w:qFormat/>
    <w:rsid w:val="001836EF"/>
    <w:pPr>
      <w:keepNext/>
      <w:keepLines/>
      <w:spacing w:before="80" w:after="40"/>
      <w:outlineLvl w:val="4"/>
    </w:pPr>
    <w:rPr>
      <w:rFonts w:eastAsiaTheme="majorEastAsia" w:cstheme="majorBidi"/>
      <w:color w:val="276E8B" w:themeColor="accent1" w:themeShade="BF"/>
    </w:rPr>
  </w:style>
  <w:style w:type="paragraph" w:styleId="6">
    <w:name w:val="heading 6"/>
    <w:basedOn w:val="a"/>
    <w:next w:val="a"/>
    <w:link w:val="60"/>
    <w:uiPriority w:val="9"/>
    <w:unhideWhenUsed/>
    <w:qFormat/>
    <w:rsid w:val="001836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36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36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36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6EF"/>
    <w:rPr>
      <w:rFonts w:asciiTheme="majorHAnsi" w:eastAsiaTheme="majorEastAsia" w:hAnsiTheme="majorHAnsi" w:cstheme="majorBidi"/>
      <w:color w:val="276E8B" w:themeColor="accent1" w:themeShade="BF"/>
      <w:sz w:val="40"/>
      <w:szCs w:val="40"/>
    </w:rPr>
  </w:style>
  <w:style w:type="character" w:customStyle="1" w:styleId="20">
    <w:name w:val="Заголовок 2 Знак"/>
    <w:basedOn w:val="a0"/>
    <w:link w:val="2"/>
    <w:uiPriority w:val="9"/>
    <w:semiHidden/>
    <w:rsid w:val="001836EF"/>
    <w:rPr>
      <w:rFonts w:asciiTheme="majorHAnsi" w:eastAsiaTheme="majorEastAsia" w:hAnsiTheme="majorHAnsi" w:cstheme="majorBidi"/>
      <w:color w:val="276E8B" w:themeColor="accent1" w:themeShade="BF"/>
      <w:sz w:val="32"/>
      <w:szCs w:val="32"/>
    </w:rPr>
  </w:style>
  <w:style w:type="character" w:customStyle="1" w:styleId="30">
    <w:name w:val="Заголовок 3 Знак"/>
    <w:basedOn w:val="a0"/>
    <w:link w:val="3"/>
    <w:uiPriority w:val="9"/>
    <w:rsid w:val="001836EF"/>
    <w:rPr>
      <w:rFonts w:eastAsiaTheme="majorEastAsia" w:cstheme="majorBidi"/>
      <w:color w:val="276E8B" w:themeColor="accent1" w:themeShade="BF"/>
      <w:sz w:val="28"/>
      <w:szCs w:val="28"/>
    </w:rPr>
  </w:style>
  <w:style w:type="character" w:customStyle="1" w:styleId="40">
    <w:name w:val="Заголовок 4 Знак"/>
    <w:basedOn w:val="a0"/>
    <w:link w:val="4"/>
    <w:uiPriority w:val="9"/>
    <w:rsid w:val="001836EF"/>
    <w:rPr>
      <w:rFonts w:eastAsiaTheme="majorEastAsia" w:cstheme="majorBidi"/>
      <w:i/>
      <w:iCs/>
      <w:color w:val="276E8B" w:themeColor="accent1" w:themeShade="BF"/>
    </w:rPr>
  </w:style>
  <w:style w:type="character" w:customStyle="1" w:styleId="50">
    <w:name w:val="Заголовок 5 Знак"/>
    <w:basedOn w:val="a0"/>
    <w:link w:val="5"/>
    <w:uiPriority w:val="9"/>
    <w:rsid w:val="001836EF"/>
    <w:rPr>
      <w:rFonts w:eastAsiaTheme="majorEastAsia" w:cstheme="majorBidi"/>
      <w:color w:val="276E8B" w:themeColor="accent1" w:themeShade="BF"/>
    </w:rPr>
  </w:style>
  <w:style w:type="character" w:customStyle="1" w:styleId="60">
    <w:name w:val="Заголовок 6 Знак"/>
    <w:basedOn w:val="a0"/>
    <w:link w:val="6"/>
    <w:uiPriority w:val="9"/>
    <w:rsid w:val="001836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36EF"/>
    <w:rPr>
      <w:rFonts w:eastAsiaTheme="majorEastAsia" w:cstheme="majorBidi"/>
      <w:color w:val="595959" w:themeColor="text1" w:themeTint="A6"/>
    </w:rPr>
  </w:style>
  <w:style w:type="character" w:customStyle="1" w:styleId="80">
    <w:name w:val="Заголовок 8 Знак"/>
    <w:basedOn w:val="a0"/>
    <w:link w:val="8"/>
    <w:uiPriority w:val="9"/>
    <w:semiHidden/>
    <w:rsid w:val="001836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36EF"/>
    <w:rPr>
      <w:rFonts w:eastAsiaTheme="majorEastAsia" w:cstheme="majorBidi"/>
      <w:color w:val="272727" w:themeColor="text1" w:themeTint="D8"/>
    </w:rPr>
  </w:style>
  <w:style w:type="paragraph" w:styleId="a3">
    <w:name w:val="Title"/>
    <w:basedOn w:val="a"/>
    <w:next w:val="a"/>
    <w:link w:val="a4"/>
    <w:uiPriority w:val="10"/>
    <w:qFormat/>
    <w:rsid w:val="00183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83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6E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36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36EF"/>
    <w:pPr>
      <w:spacing w:before="160"/>
      <w:jc w:val="center"/>
    </w:pPr>
    <w:rPr>
      <w:i/>
      <w:iCs/>
      <w:color w:val="404040" w:themeColor="text1" w:themeTint="BF"/>
    </w:rPr>
  </w:style>
  <w:style w:type="character" w:customStyle="1" w:styleId="22">
    <w:name w:val="Цитата 2 Знак"/>
    <w:basedOn w:val="a0"/>
    <w:link w:val="21"/>
    <w:uiPriority w:val="29"/>
    <w:rsid w:val="001836EF"/>
    <w:rPr>
      <w:i/>
      <w:iCs/>
      <w:color w:val="404040" w:themeColor="text1" w:themeTint="BF"/>
    </w:rPr>
  </w:style>
  <w:style w:type="paragraph" w:styleId="a7">
    <w:name w:val="List Paragraph"/>
    <w:aliases w:val="Table/Figure Heading,Lapis Bulleted List,Dot pt,F5 List Paragraph,No Spacing1,Indicator Text,Numbered Para 1,Bullet 1,List Paragraph12,Bullet Points,MAIN CONTENT,Body Before Bullet,Colorful List - Accent 12,Normal 2,Paragraph,References"/>
    <w:basedOn w:val="a"/>
    <w:link w:val="a8"/>
    <w:uiPriority w:val="34"/>
    <w:qFormat/>
    <w:rsid w:val="001836EF"/>
    <w:pPr>
      <w:ind w:left="720"/>
      <w:contextualSpacing/>
    </w:pPr>
  </w:style>
  <w:style w:type="character" w:styleId="a9">
    <w:name w:val="Intense Emphasis"/>
    <w:basedOn w:val="a0"/>
    <w:uiPriority w:val="21"/>
    <w:qFormat/>
    <w:rsid w:val="001836EF"/>
    <w:rPr>
      <w:i/>
      <w:iCs/>
      <w:color w:val="276E8B" w:themeColor="accent1" w:themeShade="BF"/>
    </w:rPr>
  </w:style>
  <w:style w:type="paragraph" w:styleId="aa">
    <w:name w:val="Intense Quote"/>
    <w:basedOn w:val="a"/>
    <w:next w:val="a"/>
    <w:link w:val="ab"/>
    <w:uiPriority w:val="30"/>
    <w:qFormat/>
    <w:rsid w:val="001836EF"/>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ab">
    <w:name w:val="Выделенная цитата Знак"/>
    <w:basedOn w:val="a0"/>
    <w:link w:val="aa"/>
    <w:uiPriority w:val="30"/>
    <w:rsid w:val="001836EF"/>
    <w:rPr>
      <w:i/>
      <w:iCs/>
      <w:color w:val="276E8B" w:themeColor="accent1" w:themeShade="BF"/>
    </w:rPr>
  </w:style>
  <w:style w:type="character" w:styleId="ac">
    <w:name w:val="Intense Reference"/>
    <w:basedOn w:val="a0"/>
    <w:uiPriority w:val="32"/>
    <w:qFormat/>
    <w:rsid w:val="001836EF"/>
    <w:rPr>
      <w:b/>
      <w:bCs/>
      <w:smallCaps/>
      <w:color w:val="276E8B" w:themeColor="accent1" w:themeShade="BF"/>
      <w:spacing w:val="5"/>
    </w:rPr>
  </w:style>
  <w:style w:type="paragraph" w:styleId="ad">
    <w:name w:val="No Spacing"/>
    <w:link w:val="ae"/>
    <w:uiPriority w:val="1"/>
    <w:qFormat/>
    <w:rsid w:val="00454140"/>
    <w:pPr>
      <w:spacing w:after="0" w:line="240" w:lineRule="auto"/>
    </w:pPr>
    <w:rPr>
      <w:rFonts w:eastAsiaTheme="minorEastAsia"/>
      <w:kern w:val="0"/>
      <w:lang w:val="en-US"/>
      <w14:ligatures w14:val="none"/>
    </w:rPr>
  </w:style>
  <w:style w:type="character" w:customStyle="1" w:styleId="ae">
    <w:name w:val="Без интервала Знак"/>
    <w:basedOn w:val="a0"/>
    <w:link w:val="ad"/>
    <w:uiPriority w:val="1"/>
    <w:rsid w:val="00454140"/>
    <w:rPr>
      <w:rFonts w:eastAsiaTheme="minorEastAsia"/>
      <w:kern w:val="0"/>
      <w:lang w:val="en-US"/>
      <w14:ligatures w14:val="none"/>
    </w:rPr>
  </w:style>
  <w:style w:type="paragraph" w:styleId="af">
    <w:name w:val="header"/>
    <w:basedOn w:val="a"/>
    <w:link w:val="af0"/>
    <w:uiPriority w:val="99"/>
    <w:unhideWhenUsed/>
    <w:rsid w:val="00FE15F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E15FB"/>
  </w:style>
  <w:style w:type="paragraph" w:styleId="af1">
    <w:name w:val="footer"/>
    <w:basedOn w:val="a"/>
    <w:link w:val="af2"/>
    <w:uiPriority w:val="99"/>
    <w:unhideWhenUsed/>
    <w:rsid w:val="00FE15F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E15FB"/>
  </w:style>
  <w:style w:type="character" w:styleId="af3">
    <w:name w:val="annotation reference"/>
    <w:basedOn w:val="a0"/>
    <w:uiPriority w:val="99"/>
    <w:semiHidden/>
    <w:unhideWhenUsed/>
    <w:rsid w:val="00301C87"/>
    <w:rPr>
      <w:sz w:val="16"/>
      <w:szCs w:val="16"/>
    </w:rPr>
  </w:style>
  <w:style w:type="paragraph" w:styleId="af4">
    <w:name w:val="annotation text"/>
    <w:basedOn w:val="a"/>
    <w:link w:val="af5"/>
    <w:uiPriority w:val="99"/>
    <w:unhideWhenUsed/>
    <w:rsid w:val="00301C87"/>
    <w:pPr>
      <w:spacing w:line="240" w:lineRule="auto"/>
    </w:pPr>
    <w:rPr>
      <w:sz w:val="20"/>
      <w:szCs w:val="20"/>
    </w:rPr>
  </w:style>
  <w:style w:type="character" w:customStyle="1" w:styleId="af5">
    <w:name w:val="Текст примечания Знак"/>
    <w:basedOn w:val="a0"/>
    <w:link w:val="af4"/>
    <w:uiPriority w:val="99"/>
    <w:rsid w:val="00301C87"/>
    <w:rPr>
      <w:sz w:val="20"/>
      <w:szCs w:val="20"/>
    </w:rPr>
  </w:style>
  <w:style w:type="paragraph" w:styleId="af6">
    <w:name w:val="annotation subject"/>
    <w:basedOn w:val="af4"/>
    <w:next w:val="af4"/>
    <w:link w:val="af7"/>
    <w:uiPriority w:val="99"/>
    <w:semiHidden/>
    <w:unhideWhenUsed/>
    <w:rsid w:val="00301C87"/>
    <w:rPr>
      <w:b/>
      <w:bCs/>
    </w:rPr>
  </w:style>
  <w:style w:type="character" w:customStyle="1" w:styleId="af7">
    <w:name w:val="Тема примечания Знак"/>
    <w:basedOn w:val="af5"/>
    <w:link w:val="af6"/>
    <w:uiPriority w:val="99"/>
    <w:semiHidden/>
    <w:rsid w:val="00301C87"/>
    <w:rPr>
      <w:b/>
      <w:bCs/>
      <w:sz w:val="20"/>
      <w:szCs w:val="20"/>
    </w:rPr>
  </w:style>
  <w:style w:type="paragraph" w:styleId="af8">
    <w:name w:val="Normal (Web)"/>
    <w:basedOn w:val="a"/>
    <w:uiPriority w:val="99"/>
    <w:unhideWhenUsed/>
    <w:rsid w:val="00C352E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af9">
    <w:name w:val="Strong"/>
    <w:basedOn w:val="a0"/>
    <w:uiPriority w:val="22"/>
    <w:qFormat/>
    <w:rsid w:val="00C352E6"/>
    <w:rPr>
      <w:b/>
      <w:bCs/>
    </w:rPr>
  </w:style>
  <w:style w:type="paragraph" w:styleId="afa">
    <w:name w:val="footnote text"/>
    <w:basedOn w:val="a"/>
    <w:link w:val="afb"/>
    <w:uiPriority w:val="99"/>
    <w:unhideWhenUsed/>
    <w:rsid w:val="00A24039"/>
    <w:pPr>
      <w:spacing w:after="0" w:line="240" w:lineRule="auto"/>
    </w:pPr>
    <w:rPr>
      <w:sz w:val="20"/>
      <w:szCs w:val="20"/>
    </w:rPr>
  </w:style>
  <w:style w:type="character" w:customStyle="1" w:styleId="afb">
    <w:name w:val="Текст сноски Знак"/>
    <w:basedOn w:val="a0"/>
    <w:link w:val="afa"/>
    <w:uiPriority w:val="99"/>
    <w:rsid w:val="00A24039"/>
    <w:rPr>
      <w:sz w:val="20"/>
      <w:szCs w:val="20"/>
    </w:rPr>
  </w:style>
  <w:style w:type="character" w:styleId="afc">
    <w:name w:val="footnote reference"/>
    <w:basedOn w:val="a0"/>
    <w:uiPriority w:val="99"/>
    <w:semiHidden/>
    <w:unhideWhenUsed/>
    <w:rsid w:val="00A24039"/>
    <w:rPr>
      <w:vertAlign w:val="superscript"/>
    </w:rPr>
  </w:style>
  <w:style w:type="character" w:styleId="afd">
    <w:name w:val="Emphasis"/>
    <w:basedOn w:val="a0"/>
    <w:uiPriority w:val="20"/>
    <w:qFormat/>
    <w:rsid w:val="00500994"/>
    <w:rPr>
      <w:i/>
      <w:iCs/>
    </w:rPr>
  </w:style>
  <w:style w:type="paragraph" w:styleId="afe">
    <w:name w:val="Revision"/>
    <w:hidden/>
    <w:uiPriority w:val="99"/>
    <w:semiHidden/>
    <w:rsid w:val="00FF6BCF"/>
    <w:pPr>
      <w:spacing w:after="0" w:line="240" w:lineRule="auto"/>
    </w:pPr>
  </w:style>
  <w:style w:type="table" w:styleId="aff">
    <w:name w:val="Table Grid"/>
    <w:basedOn w:val="a1"/>
    <w:uiPriority w:val="59"/>
    <w:rsid w:val="003B7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basedOn w:val="a0"/>
    <w:uiPriority w:val="99"/>
    <w:unhideWhenUsed/>
    <w:rsid w:val="00441949"/>
    <w:rPr>
      <w:color w:val="6B9F25" w:themeColor="hyperlink"/>
      <w:u w:val="single"/>
    </w:rPr>
  </w:style>
  <w:style w:type="character" w:customStyle="1" w:styleId="UnresolvedMention">
    <w:name w:val="Unresolved Mention"/>
    <w:basedOn w:val="a0"/>
    <w:uiPriority w:val="99"/>
    <w:semiHidden/>
    <w:unhideWhenUsed/>
    <w:rsid w:val="00441949"/>
    <w:rPr>
      <w:color w:val="605E5C"/>
      <w:shd w:val="clear" w:color="auto" w:fill="E1DFDD"/>
    </w:rPr>
  </w:style>
  <w:style w:type="character" w:styleId="aff1">
    <w:name w:val="FollowedHyperlink"/>
    <w:basedOn w:val="a0"/>
    <w:uiPriority w:val="99"/>
    <w:semiHidden/>
    <w:unhideWhenUsed/>
    <w:rsid w:val="00040508"/>
    <w:rPr>
      <w:color w:val="9F6715" w:themeColor="followedHyperlink"/>
      <w:u w:val="single"/>
    </w:rPr>
  </w:style>
  <w:style w:type="character" w:customStyle="1" w:styleId="ms-1">
    <w:name w:val="ms-1"/>
    <w:basedOn w:val="a0"/>
    <w:rsid w:val="00C02D0E"/>
  </w:style>
  <w:style w:type="character" w:customStyle="1" w:styleId="max-w-full">
    <w:name w:val="max-w-full"/>
    <w:basedOn w:val="a0"/>
    <w:rsid w:val="00C02D0E"/>
  </w:style>
  <w:style w:type="paragraph" w:customStyle="1" w:styleId="ListParagraph1">
    <w:name w:val="List Paragraph1"/>
    <w:aliases w:val="List Paragraph 1,Bullets,List Paragraph (numbered (a)),Scriptoria bullet points,HotarirePunct1,Абзац списка1,Bullet,Заголовок 3 глава,Akapit z listą BS,Outlines a.b.c.,List_Paragraph,Multilevel para_II,Akapit z lista BS,List Paragraph11"/>
    <w:basedOn w:val="a"/>
    <w:link w:val="ListParagraphChar"/>
    <w:uiPriority w:val="99"/>
    <w:rsid w:val="00DC42BB"/>
    <w:pPr>
      <w:ind w:left="720"/>
      <w:jc w:val="both"/>
    </w:pPr>
    <w:rPr>
      <w:rFonts w:ascii="Calibri" w:eastAsia="Times New Roman" w:hAnsi="Calibri" w:cs="Times New Roman"/>
      <w:kern w:val="0"/>
      <w:sz w:val="20"/>
      <w:szCs w:val="20"/>
      <w:lang w:eastAsia="ru-RU"/>
      <w14:ligatures w14:val="none"/>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link w:val="ListParagraph1"/>
    <w:uiPriority w:val="34"/>
    <w:locked/>
    <w:rsid w:val="00DC42BB"/>
    <w:rPr>
      <w:rFonts w:ascii="Calibri" w:eastAsia="Times New Roman" w:hAnsi="Calibri" w:cs="Times New Roman"/>
      <w:kern w:val="0"/>
      <w:sz w:val="20"/>
      <w:szCs w:val="20"/>
      <w:lang w:val="ro-RO" w:eastAsia="ru-RU"/>
      <w14:ligatures w14:val="none"/>
    </w:rPr>
  </w:style>
  <w:style w:type="character" w:customStyle="1" w:styleId="a8">
    <w:name w:val="Абзац списка Знак"/>
    <w:aliases w:val="Table/Figure Heading Знак,Lapis Bulleted List Знак,Dot pt Знак,F5 List Paragraph Знак,No Spacing1 Знак,Indicator Text Знак,Numbered Para 1 Знак,Bullet 1 Знак,List Paragraph12 Знак,Bullet Points Знак,MAIN CONTENT Знак,Normal 2 Знак"/>
    <w:link w:val="a7"/>
    <w:uiPriority w:val="99"/>
    <w:locked/>
    <w:rsid w:val="006918F1"/>
  </w:style>
  <w:style w:type="character" w:customStyle="1" w:styleId="max-w-15ch">
    <w:name w:val="max-w-[15ch]"/>
    <w:basedOn w:val="a0"/>
    <w:rsid w:val="00F45B1B"/>
  </w:style>
  <w:style w:type="character" w:customStyle="1" w:styleId="-me-1">
    <w:name w:val="-me-1"/>
    <w:basedOn w:val="a0"/>
    <w:rsid w:val="00F45B1B"/>
  </w:style>
  <w:style w:type="paragraph" w:customStyle="1" w:styleId="msonormal0">
    <w:name w:val="msonormal"/>
    <w:basedOn w:val="a"/>
    <w:rsid w:val="008E48EF"/>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a"/>
    <w:rsid w:val="008E48EF"/>
    <w:pPr>
      <w:spacing w:after="0" w:line="240" w:lineRule="auto"/>
      <w:jc w:val="right"/>
    </w:pPr>
    <w:rPr>
      <w:rFonts w:ascii="Times New Roman" w:eastAsia="Times New Roman" w:hAnsi="Times New Roman" w:cs="Times New Roman"/>
      <w:kern w:val="0"/>
      <w:sz w:val="24"/>
      <w:szCs w:val="24"/>
      <w:lang w:eastAsia="zh-CN"/>
      <w14:ligatures w14:val="none"/>
    </w:rPr>
  </w:style>
  <w:style w:type="paragraph" w:customStyle="1" w:styleId="cn">
    <w:name w:val="cn"/>
    <w:basedOn w:val="a"/>
    <w:uiPriority w:val="99"/>
    <w:rsid w:val="008E48EF"/>
    <w:pPr>
      <w:spacing w:after="0" w:line="240" w:lineRule="auto"/>
      <w:jc w:val="center"/>
    </w:pPr>
    <w:rPr>
      <w:rFonts w:ascii="Times New Roman" w:eastAsia="Times New Roman" w:hAnsi="Times New Roman" w:cs="Times New Roman"/>
      <w:kern w:val="0"/>
      <w:sz w:val="24"/>
      <w:szCs w:val="24"/>
      <w:lang w:val="ru-RU" w:eastAsia="ru-RU"/>
      <w14:ligatures w14:val="none"/>
    </w:rPr>
  </w:style>
  <w:style w:type="character" w:customStyle="1" w:styleId="FontStyle78">
    <w:name w:val="Font Style78"/>
    <w:basedOn w:val="a0"/>
    <w:rsid w:val="008E48EF"/>
    <w:rPr>
      <w:rFonts w:ascii="Times New Roman" w:hAnsi="Times New Roman" w:cs="Times New Roman" w:hint="default"/>
      <w:sz w:val="22"/>
      <w:szCs w:val="22"/>
    </w:rPr>
  </w:style>
  <w:style w:type="paragraph" w:styleId="aff2">
    <w:name w:val="Body Text"/>
    <w:basedOn w:val="a"/>
    <w:link w:val="aff3"/>
    <w:uiPriority w:val="1"/>
    <w:qFormat/>
    <w:rsid w:val="009824A8"/>
    <w:pPr>
      <w:widowControl w:val="0"/>
      <w:autoSpaceDE w:val="0"/>
      <w:autoSpaceDN w:val="0"/>
      <w:spacing w:after="0" w:line="240" w:lineRule="auto"/>
    </w:pPr>
    <w:rPr>
      <w:rFonts w:ascii="Cambria" w:eastAsia="Cambria" w:hAnsi="Cambria" w:cs="Cambria"/>
      <w:kern w:val="0"/>
      <w:sz w:val="19"/>
      <w:szCs w:val="19"/>
      <w14:ligatures w14:val="none"/>
    </w:rPr>
  </w:style>
  <w:style w:type="character" w:customStyle="1" w:styleId="aff3">
    <w:name w:val="Основной текст Знак"/>
    <w:basedOn w:val="a0"/>
    <w:link w:val="aff2"/>
    <w:uiPriority w:val="1"/>
    <w:rsid w:val="009824A8"/>
    <w:rPr>
      <w:rFonts w:ascii="Cambria" w:eastAsia="Cambria" w:hAnsi="Cambria" w:cs="Cambria"/>
      <w:kern w:val="0"/>
      <w:sz w:val="19"/>
      <w:szCs w:val="19"/>
      <w:lang w:val="ro-RO"/>
      <w14:ligatures w14:val="none"/>
    </w:rPr>
  </w:style>
  <w:style w:type="character" w:customStyle="1" w:styleId="cf01">
    <w:name w:val="cf01"/>
    <w:basedOn w:val="a0"/>
    <w:rsid w:val="00913A0F"/>
    <w:rPr>
      <w:rFonts w:ascii="Segoe UI" w:hAnsi="Segoe UI" w:cs="Segoe UI" w:hint="default"/>
      <w:sz w:val="18"/>
      <w:szCs w:val="18"/>
    </w:rPr>
  </w:style>
  <w:style w:type="paragraph" w:customStyle="1" w:styleId="pf0">
    <w:name w:val="pf0"/>
    <w:basedOn w:val="a"/>
    <w:rsid w:val="00AA3E0A"/>
    <w:pPr>
      <w:spacing w:before="100" w:beforeAutospacing="1" w:after="100" w:afterAutospacing="1" w:line="240" w:lineRule="auto"/>
    </w:pPr>
    <w:rPr>
      <w:rFonts w:ascii="Times New Roman" w:eastAsia="Times New Roman" w:hAnsi="Times New Roman" w:cs="Times New Roman"/>
      <w:kern w:val="0"/>
      <w:sz w:val="24"/>
      <w:szCs w:val="24"/>
      <w:lang w:val="ro-MD" w:eastAsia="ro-MD"/>
      <w14:ligatures w14:val="none"/>
    </w:rPr>
  </w:style>
  <w:style w:type="character" w:customStyle="1" w:styleId="cf21">
    <w:name w:val="cf21"/>
    <w:basedOn w:val="a0"/>
    <w:rsid w:val="00AA3E0A"/>
    <w:rPr>
      <w:rFonts w:ascii="Segoe UI" w:hAnsi="Segoe UI" w:cs="Segoe UI" w:hint="default"/>
      <w:color w:val="333333"/>
      <w:sz w:val="18"/>
      <w:szCs w:val="18"/>
      <w:shd w:val="clear" w:color="auto" w:fill="FFFFFF"/>
    </w:rPr>
  </w:style>
  <w:style w:type="character" w:customStyle="1" w:styleId="FontStyle15">
    <w:name w:val="Font Style15"/>
    <w:basedOn w:val="a0"/>
    <w:rsid w:val="00FA63FC"/>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5415">
      <w:bodyDiv w:val="1"/>
      <w:marLeft w:val="0"/>
      <w:marRight w:val="0"/>
      <w:marTop w:val="0"/>
      <w:marBottom w:val="0"/>
      <w:divBdr>
        <w:top w:val="none" w:sz="0" w:space="0" w:color="auto"/>
        <w:left w:val="none" w:sz="0" w:space="0" w:color="auto"/>
        <w:bottom w:val="none" w:sz="0" w:space="0" w:color="auto"/>
        <w:right w:val="none" w:sz="0" w:space="0" w:color="auto"/>
      </w:divBdr>
    </w:div>
    <w:div w:id="741877294">
      <w:bodyDiv w:val="1"/>
      <w:marLeft w:val="0"/>
      <w:marRight w:val="0"/>
      <w:marTop w:val="0"/>
      <w:marBottom w:val="0"/>
      <w:divBdr>
        <w:top w:val="none" w:sz="0" w:space="0" w:color="auto"/>
        <w:left w:val="none" w:sz="0" w:space="0" w:color="auto"/>
        <w:bottom w:val="none" w:sz="0" w:space="0" w:color="auto"/>
        <w:right w:val="none" w:sz="0" w:space="0" w:color="auto"/>
      </w:divBdr>
    </w:div>
    <w:div w:id="923952889">
      <w:bodyDiv w:val="1"/>
      <w:marLeft w:val="0"/>
      <w:marRight w:val="0"/>
      <w:marTop w:val="0"/>
      <w:marBottom w:val="0"/>
      <w:divBdr>
        <w:top w:val="none" w:sz="0" w:space="0" w:color="auto"/>
        <w:left w:val="none" w:sz="0" w:space="0" w:color="auto"/>
        <w:bottom w:val="none" w:sz="0" w:space="0" w:color="auto"/>
        <w:right w:val="none" w:sz="0" w:space="0" w:color="auto"/>
      </w:divBdr>
    </w:div>
    <w:div w:id="985010452">
      <w:bodyDiv w:val="1"/>
      <w:marLeft w:val="0"/>
      <w:marRight w:val="0"/>
      <w:marTop w:val="0"/>
      <w:marBottom w:val="0"/>
      <w:divBdr>
        <w:top w:val="none" w:sz="0" w:space="0" w:color="auto"/>
        <w:left w:val="none" w:sz="0" w:space="0" w:color="auto"/>
        <w:bottom w:val="none" w:sz="0" w:space="0" w:color="auto"/>
        <w:right w:val="none" w:sz="0" w:space="0" w:color="auto"/>
      </w:divBdr>
    </w:div>
    <w:div w:id="1039160336">
      <w:bodyDiv w:val="1"/>
      <w:marLeft w:val="0"/>
      <w:marRight w:val="0"/>
      <w:marTop w:val="0"/>
      <w:marBottom w:val="0"/>
      <w:divBdr>
        <w:top w:val="none" w:sz="0" w:space="0" w:color="auto"/>
        <w:left w:val="none" w:sz="0" w:space="0" w:color="auto"/>
        <w:bottom w:val="none" w:sz="0" w:space="0" w:color="auto"/>
        <w:right w:val="none" w:sz="0" w:space="0" w:color="auto"/>
      </w:divBdr>
    </w:div>
    <w:div w:id="1060788356">
      <w:bodyDiv w:val="1"/>
      <w:marLeft w:val="0"/>
      <w:marRight w:val="0"/>
      <w:marTop w:val="0"/>
      <w:marBottom w:val="0"/>
      <w:divBdr>
        <w:top w:val="none" w:sz="0" w:space="0" w:color="auto"/>
        <w:left w:val="none" w:sz="0" w:space="0" w:color="auto"/>
        <w:bottom w:val="none" w:sz="0" w:space="0" w:color="auto"/>
        <w:right w:val="none" w:sz="0" w:space="0" w:color="auto"/>
      </w:divBdr>
    </w:div>
    <w:div w:id="1096906272">
      <w:bodyDiv w:val="1"/>
      <w:marLeft w:val="0"/>
      <w:marRight w:val="0"/>
      <w:marTop w:val="0"/>
      <w:marBottom w:val="0"/>
      <w:divBdr>
        <w:top w:val="none" w:sz="0" w:space="0" w:color="auto"/>
        <w:left w:val="none" w:sz="0" w:space="0" w:color="auto"/>
        <w:bottom w:val="none" w:sz="0" w:space="0" w:color="auto"/>
        <w:right w:val="none" w:sz="0" w:space="0" w:color="auto"/>
      </w:divBdr>
    </w:div>
    <w:div w:id="1130168878">
      <w:bodyDiv w:val="1"/>
      <w:marLeft w:val="0"/>
      <w:marRight w:val="0"/>
      <w:marTop w:val="0"/>
      <w:marBottom w:val="0"/>
      <w:divBdr>
        <w:top w:val="none" w:sz="0" w:space="0" w:color="auto"/>
        <w:left w:val="none" w:sz="0" w:space="0" w:color="auto"/>
        <w:bottom w:val="none" w:sz="0" w:space="0" w:color="auto"/>
        <w:right w:val="none" w:sz="0" w:space="0" w:color="auto"/>
      </w:divBdr>
    </w:div>
    <w:div w:id="1258442518">
      <w:bodyDiv w:val="1"/>
      <w:marLeft w:val="0"/>
      <w:marRight w:val="0"/>
      <w:marTop w:val="0"/>
      <w:marBottom w:val="0"/>
      <w:divBdr>
        <w:top w:val="none" w:sz="0" w:space="0" w:color="auto"/>
        <w:left w:val="none" w:sz="0" w:space="0" w:color="auto"/>
        <w:bottom w:val="none" w:sz="0" w:space="0" w:color="auto"/>
        <w:right w:val="none" w:sz="0" w:space="0" w:color="auto"/>
      </w:divBdr>
    </w:div>
    <w:div w:id="1311784316">
      <w:bodyDiv w:val="1"/>
      <w:marLeft w:val="0"/>
      <w:marRight w:val="0"/>
      <w:marTop w:val="0"/>
      <w:marBottom w:val="0"/>
      <w:divBdr>
        <w:top w:val="none" w:sz="0" w:space="0" w:color="auto"/>
        <w:left w:val="none" w:sz="0" w:space="0" w:color="auto"/>
        <w:bottom w:val="none" w:sz="0" w:space="0" w:color="auto"/>
        <w:right w:val="none" w:sz="0" w:space="0" w:color="auto"/>
      </w:divBdr>
    </w:div>
    <w:div w:id="1327368134">
      <w:bodyDiv w:val="1"/>
      <w:marLeft w:val="0"/>
      <w:marRight w:val="0"/>
      <w:marTop w:val="0"/>
      <w:marBottom w:val="0"/>
      <w:divBdr>
        <w:top w:val="none" w:sz="0" w:space="0" w:color="auto"/>
        <w:left w:val="none" w:sz="0" w:space="0" w:color="auto"/>
        <w:bottom w:val="none" w:sz="0" w:space="0" w:color="auto"/>
        <w:right w:val="none" w:sz="0" w:space="0" w:color="auto"/>
      </w:divBdr>
    </w:div>
    <w:div w:id="1608662167">
      <w:bodyDiv w:val="1"/>
      <w:marLeft w:val="0"/>
      <w:marRight w:val="0"/>
      <w:marTop w:val="0"/>
      <w:marBottom w:val="0"/>
      <w:divBdr>
        <w:top w:val="none" w:sz="0" w:space="0" w:color="auto"/>
        <w:left w:val="none" w:sz="0" w:space="0" w:color="auto"/>
        <w:bottom w:val="none" w:sz="0" w:space="0" w:color="auto"/>
        <w:right w:val="none" w:sz="0" w:space="0" w:color="auto"/>
      </w:divBdr>
    </w:div>
    <w:div w:id="1619335738">
      <w:bodyDiv w:val="1"/>
      <w:marLeft w:val="0"/>
      <w:marRight w:val="0"/>
      <w:marTop w:val="0"/>
      <w:marBottom w:val="0"/>
      <w:divBdr>
        <w:top w:val="none" w:sz="0" w:space="0" w:color="auto"/>
        <w:left w:val="none" w:sz="0" w:space="0" w:color="auto"/>
        <w:bottom w:val="none" w:sz="0" w:space="0" w:color="auto"/>
        <w:right w:val="none" w:sz="0" w:space="0" w:color="auto"/>
      </w:divBdr>
    </w:div>
    <w:div w:id="1726643545">
      <w:bodyDiv w:val="1"/>
      <w:marLeft w:val="0"/>
      <w:marRight w:val="0"/>
      <w:marTop w:val="0"/>
      <w:marBottom w:val="0"/>
      <w:divBdr>
        <w:top w:val="none" w:sz="0" w:space="0" w:color="auto"/>
        <w:left w:val="none" w:sz="0" w:space="0" w:color="auto"/>
        <w:bottom w:val="none" w:sz="0" w:space="0" w:color="auto"/>
        <w:right w:val="none" w:sz="0" w:space="0" w:color="auto"/>
      </w:divBdr>
    </w:div>
    <w:div w:id="1737776474">
      <w:bodyDiv w:val="1"/>
      <w:marLeft w:val="0"/>
      <w:marRight w:val="0"/>
      <w:marTop w:val="0"/>
      <w:marBottom w:val="0"/>
      <w:divBdr>
        <w:top w:val="none" w:sz="0" w:space="0" w:color="auto"/>
        <w:left w:val="none" w:sz="0" w:space="0" w:color="auto"/>
        <w:bottom w:val="none" w:sz="0" w:space="0" w:color="auto"/>
        <w:right w:val="none" w:sz="0" w:space="0" w:color="auto"/>
      </w:divBdr>
    </w:div>
    <w:div w:id="1765764223">
      <w:bodyDiv w:val="1"/>
      <w:marLeft w:val="0"/>
      <w:marRight w:val="0"/>
      <w:marTop w:val="0"/>
      <w:marBottom w:val="0"/>
      <w:divBdr>
        <w:top w:val="none" w:sz="0" w:space="0" w:color="auto"/>
        <w:left w:val="none" w:sz="0" w:space="0" w:color="auto"/>
        <w:bottom w:val="none" w:sz="0" w:space="0" w:color="auto"/>
        <w:right w:val="none" w:sz="0" w:space="0" w:color="auto"/>
      </w:divBdr>
    </w:div>
    <w:div w:id="18650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TXT/PDF/?uri=CELEX:32017H0615(01)&amp;from=IT" TargetMode="External"/><Relationship Id="rId21" Type="http://schemas.openxmlformats.org/officeDocument/2006/relationships/hyperlink" Target="https://sime.md/ords/f?p=201:1:::::P_MENU:&amp;cs=1RCvaHA_ZpAgIdwR_016_0yuJAGSRvYd_dCLOIxJc-fDKFM8kHZhdkRXUVeQI6CoBIyHsECQ19YtwQM_qmX9zKw" TargetMode="External"/><Relationship Id="rId42" Type="http://schemas.openxmlformats.org/officeDocument/2006/relationships/hyperlink" Target="https://eur-lex.europa.eu/legal-content/RO/TXT/?uri=CELEX:32012H1222(01)" TargetMode="External"/><Relationship Id="rId47" Type="http://schemas.openxmlformats.org/officeDocument/2006/relationships/hyperlink" Target="https://www.legis.md/cautare/getResults?doc_id=149212&amp;lang=ro" TargetMode="External"/><Relationship Id="rId63" Type="http://schemas.openxmlformats.org/officeDocument/2006/relationships/diagramData" Target="diagrams/data1.xml"/><Relationship Id="rId68" Type="http://schemas.openxmlformats.org/officeDocument/2006/relationships/hyperlink" Target="https://mecc.gov.md/sites/default/files/ordinul_mec_nr._1818_din_17.12.2024.pdf" TargetMode="External"/><Relationship Id="rId84" Type="http://schemas.openxmlformats.org/officeDocument/2006/relationships/hyperlink" Target="https://anacec.md/files/2025_Altele/Procedura%20de%20monitorizare%20post-evaluare%20a%20programelor%20de%20studii%20&#537;i%20a%20institu&#539;iilor%20de%20&#238;nv&#259;&#539;&#259;m&#226;nt%20profesional%20tehnic%2C%20superior%20&#537;i%20formare%20profesional&#259;%20a%20adul&#539;ilor%202025.pdf" TargetMode="External"/><Relationship Id="rId89" Type="http://schemas.openxmlformats.org/officeDocument/2006/relationships/hyperlink" Target="https://mecc.gov.md/ro/content/asigurarea-calitatii-1" TargetMode="External"/><Relationship Id="rId16" Type="http://schemas.openxmlformats.org/officeDocument/2006/relationships/hyperlink" Target="https://mecc.gov.md/sites/default/files/ordin_638_metodologia_recunoaster_ipt.pdf" TargetMode="External"/><Relationship Id="rId11" Type="http://schemas.openxmlformats.org/officeDocument/2006/relationships/hyperlink" Target="https://www.legis.md/cautare/getResults?doc_id=143592&amp;lang=ro" TargetMode="External"/><Relationship Id="rId32" Type="http://schemas.openxmlformats.org/officeDocument/2006/relationships/hyperlink" Target="https://www.legis.md/cautare/getResults?doc_id=149163&amp;lang=ro" TargetMode="External"/><Relationship Id="rId37" Type="http://schemas.openxmlformats.org/officeDocument/2006/relationships/hyperlink" Target="https://ehea.info/media.ehea.info/file/WG_Frameworks_qualification/71/0/050218_QF_EHEA_580710.pdf" TargetMode="External"/><Relationship Id="rId53" Type="http://schemas.openxmlformats.org/officeDocument/2006/relationships/hyperlink" Target="https://servicii.gov.md/ro/organization/CTICE?utm_source=chatgpt.com" TargetMode="External"/><Relationship Id="rId58" Type="http://schemas.openxmlformats.org/officeDocument/2006/relationships/footer" Target="footer1.xml"/><Relationship Id="rId74" Type="http://schemas.openxmlformats.org/officeDocument/2006/relationships/hyperlink" Target="https://mecc.gov.md/ro/content/cadrul-national-al-calificarilor-2" TargetMode="External"/><Relationship Id="rId79" Type="http://schemas.openxmlformats.org/officeDocument/2006/relationships/hyperlink" Target="https://www.enqa.eu/membership-database/anacec-national-agency-for-quality-assurance-in-education-and-research/" TargetMode="External"/><Relationship Id="rId5" Type="http://schemas.openxmlformats.org/officeDocument/2006/relationships/numbering" Target="numbering.xml"/><Relationship Id="rId90" Type="http://schemas.openxmlformats.org/officeDocument/2006/relationships/hyperlink" Target="https://upsc.md/organizare/dmaac/sacdc/" TargetMode="External"/><Relationship Id="rId95" Type="http://schemas.openxmlformats.org/officeDocument/2006/relationships/fontTable" Target="fontTable.xml"/><Relationship Id="rId22" Type="http://schemas.openxmlformats.org/officeDocument/2006/relationships/hyperlink" Target="https://eadmitere.sime.md/" TargetMode="External"/><Relationship Id="rId27" Type="http://schemas.openxmlformats.org/officeDocument/2006/relationships/hyperlink" Target="https://www.legis.md/cautare/getResults?doc_id=149703&amp;lang=ro" TargetMode="External"/><Relationship Id="rId43" Type="http://schemas.openxmlformats.org/officeDocument/2006/relationships/hyperlink" Target="https://www.legis.md/cautare/getResults?doc_id=149210&amp;lang=ro" TargetMode="External"/><Relationship Id="rId48" Type="http://schemas.openxmlformats.org/officeDocument/2006/relationships/hyperlink" Target="https://anacec.md/files/2025_Altele/Raport_ANACEC_2024.pdf" TargetMode="External"/><Relationship Id="rId64" Type="http://schemas.openxmlformats.org/officeDocument/2006/relationships/diagramLayout" Target="diagrams/layout1.xml"/><Relationship Id="rId69" Type="http://schemas.openxmlformats.org/officeDocument/2006/relationships/hyperlink" Target="https://anacec.md/ro/high-education/evaluations" TargetMode="External"/><Relationship Id="rId8" Type="http://schemas.openxmlformats.org/officeDocument/2006/relationships/webSettings" Target="webSettings.xml"/><Relationship Id="rId51" Type="http://schemas.openxmlformats.org/officeDocument/2006/relationships/hyperlink" Target="https://www.legis.md/cautare/getResults?doc_id=133344&amp;lang=ro" TargetMode="External"/><Relationship Id="rId72" Type="http://schemas.openxmlformats.org/officeDocument/2006/relationships/hyperlink" Target="https://mec.gov.md/ro/content/certificarea-competentelor-profesionale-dobandite-contexte-de-educatie-nonformale-si" TargetMode="External"/><Relationship Id="rId80" Type="http://schemas.openxmlformats.org/officeDocument/2006/relationships/hyperlink" Target="https://anacec.md/files/75.Deciz_Proced_Diplome%20comune_Anexa.pdf" TargetMode="External"/><Relationship Id="rId85" Type="http://schemas.openxmlformats.org/officeDocument/2006/relationships/hyperlink" Target="https://anacec.md/files/2025_Altele/postarefb/Anexa_D82_CC_25.07.2025_Regulament%20CC_ANACEC.signed%20%282%29.pdf" TargetMode="External"/><Relationship Id="rId93" Type="http://schemas.openxmlformats.org/officeDocument/2006/relationships/hyperlink" Target="https://anacec.md/files/2025_Altele/Raport_ANACEC_2024.pdf" TargetMode="External"/><Relationship Id="rId3" Type="http://schemas.openxmlformats.org/officeDocument/2006/relationships/customXml" Target="../customXml/item3.xml"/><Relationship Id="rId12" Type="http://schemas.openxmlformats.org/officeDocument/2006/relationships/hyperlink" Target="https://www.legis.md/cautare/getResults?doc_id=149197&amp;lang=ro" TargetMode="External"/><Relationship Id="rId17" Type="http://schemas.openxmlformats.org/officeDocument/2006/relationships/hyperlink" Target="https://mec.gov.md/sites/default/files/ordin_1702_de_aprobare_a_regulamentului_de_recunoastere.pdf" TargetMode="External"/><Relationship Id="rId25" Type="http://schemas.openxmlformats.org/officeDocument/2006/relationships/hyperlink" Target="https://drive.google.com/file/d/1GvfBTYnOnfoKMcFNJx7zy9E_X0BbFKl3/view?usp=sharing" TargetMode="External"/><Relationship Id="rId33" Type="http://schemas.openxmlformats.org/officeDocument/2006/relationships/hyperlink" Target="https://eur-lex.europa.eu/legal-content/RO/TXT/?uri=LEGISSUM:c11088" TargetMode="External"/><Relationship Id="rId38" Type="http://schemas.openxmlformats.org/officeDocument/2006/relationships/hyperlink" Target="https://www.legis.md/cautare/getResults?doc_id=149163&amp;lang=ro" TargetMode="External"/><Relationship Id="rId46" Type="http://schemas.openxmlformats.org/officeDocument/2006/relationships/hyperlink" Target="https://www.legis.md/cautare/getResults?doc_id=149163&amp;lang=ro" TargetMode="External"/><Relationship Id="rId59" Type="http://schemas.openxmlformats.org/officeDocument/2006/relationships/footer" Target="footer2.xml"/><Relationship Id="rId67" Type="http://schemas.microsoft.com/office/2007/relationships/diagramDrawing" Target="diagrams/drawing1.xml"/><Relationship Id="rId20" Type="http://schemas.openxmlformats.org/officeDocument/2006/relationships/hyperlink" Target="https://drive.google.com/file/d/1BcMSibO4TWiNUSVjQXyLDQFXGTQqbS0F/view?usp=sharing" TargetMode="External"/><Relationship Id="rId41" Type="http://schemas.openxmlformats.org/officeDocument/2006/relationships/hyperlink" Target="https://www.anacec.md/ro/content/legislatie" TargetMode="External"/><Relationship Id="rId54" Type="http://schemas.openxmlformats.org/officeDocument/2006/relationships/hyperlink" Target="https://www.legis.md/cautare/getResults?doc_id=97268&amp;lang=ro" TargetMode="External"/><Relationship Id="rId62" Type="http://schemas.openxmlformats.org/officeDocument/2006/relationships/hyperlink" Target="https://www.legis.md/cautare/getResults?doc_id=149212&amp;lang=ro" TargetMode="External"/><Relationship Id="rId70" Type="http://schemas.openxmlformats.org/officeDocument/2006/relationships/hyperlink" Target="https://anacec.md/ro/technical-education/evaluations" TargetMode="External"/><Relationship Id="rId75" Type="http://schemas.openxmlformats.org/officeDocument/2006/relationships/hyperlink" Target="https://www.legis.md/cautare/getResults?doc_id=149703&amp;lang=ro" TargetMode="External"/><Relationship Id="rId83" Type="http://schemas.openxmlformats.org/officeDocument/2006/relationships/hyperlink" Target="https://anacec.md/files/2025_Altele/Regulament%20privind%20implicarea%20p&#259;r&#539;ilor%20interesate%20&#238;n%20activit&#259;&#539;ile%20de%20asigurare%20extern&#259;%20a%20calit&#259;&#539;ii%202025.pdf" TargetMode="External"/><Relationship Id="rId88" Type="http://schemas.openxmlformats.org/officeDocument/2006/relationships/hyperlink" Target="https://anacec.md/ro/high-education/evaluations" TargetMode="External"/><Relationship Id="rId91" Type="http://schemas.openxmlformats.org/officeDocument/2006/relationships/hyperlink" Target="https://upsc.md/wp-content/uploads/2025/01/acte_raport_anual-CIM_2024_upsc.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ecc.gov.md/sites/default/files/ordin_mec_1717-29.11.2024-regulament_pnc_eqflll_1.pdf" TargetMode="External"/><Relationship Id="rId23" Type="http://schemas.openxmlformats.org/officeDocument/2006/relationships/hyperlink" Target="https://rnc.sime.md/ords/r/rnc/main/home" TargetMode="External"/><Relationship Id="rId28" Type="http://schemas.openxmlformats.org/officeDocument/2006/relationships/hyperlink" Target="https://www.legis.md/cautare/getResults?doc_id=136600&amp;lang=ro" TargetMode="External"/><Relationship Id="rId36" Type="http://schemas.openxmlformats.org/officeDocument/2006/relationships/hyperlink" Target="https://ehea.info/Immagini/QUATRA_-_TPG_A_recommendations_self-certification_20.12_.2023_.pdf" TargetMode="External"/><Relationship Id="rId49" Type="http://schemas.openxmlformats.org/officeDocument/2006/relationships/hyperlink" Target="https://www.legis.md/cautare/getResults?doc_id=149163&amp;lang=ro" TargetMode="External"/><Relationship Id="rId57" Type="http://schemas.openxmlformats.org/officeDocument/2006/relationships/hyperlink" Target="https://www.legis.md/cautare/getResults?doc_id=149344&amp;lang=ro" TargetMode="External"/><Relationship Id="rId10" Type="http://schemas.openxmlformats.org/officeDocument/2006/relationships/endnotes" Target="endnotes.xml"/><Relationship Id="rId31" Type="http://schemas.openxmlformats.org/officeDocument/2006/relationships/hyperlink" Target="https://www.etf.europa.eu/sites/default/files/2024-04/Referencing%20NQFs%20to%20the%20EQF%20-%2010%20criteria-%20Azzara%20and%20Pliakis.pdf" TargetMode="External"/><Relationship Id="rId44" Type="http://schemas.openxmlformats.org/officeDocument/2006/relationships/hyperlink" Target="https://eur-lex.europa.eu/legal-content/EN/TXT/PDF/?uri=CELEX%3A32017H0615%2801%29&amp;utm_source=chatgpt.com" TargetMode="External"/><Relationship Id="rId52" Type="http://schemas.openxmlformats.org/officeDocument/2006/relationships/hyperlink" Target="https://www.legis.md/cautare/getResults?doc_id=123260&amp;lang=ro" TargetMode="External"/><Relationship Id="rId60" Type="http://schemas.openxmlformats.org/officeDocument/2006/relationships/hyperlink" Target="https://mecc.gov.md/sites/default/files/ordin_mec_nr._944_din_25.06.2024_gl_pentru_elaborarea_raportului_de_referentiere_cnc_la_eqf.pdf" TargetMode="External"/><Relationship Id="rId65" Type="http://schemas.openxmlformats.org/officeDocument/2006/relationships/diagramQuickStyle" Target="diagrams/quickStyle1.xml"/><Relationship Id="rId73" Type="http://schemas.openxmlformats.org/officeDocument/2006/relationships/hyperlink" Target="https://rnc.sime.md/ords/r/rnc/main/statistica-qualifications?session=10007384101255" TargetMode="External"/><Relationship Id="rId78" Type="http://schemas.openxmlformats.org/officeDocument/2006/relationships/hyperlink" Target="https://www.legis.md/cautare/getResults?doc_id=149163&amp;lang=ro" TargetMode="External"/><Relationship Id="rId81" Type="http://schemas.openxmlformats.org/officeDocument/2006/relationships/hyperlink" Target="https://anacec.md/files/6.O.%20Decizii/Decizii%20%2010.09.2025/decizii%20semnate%20CC%2010.09.2025/Anexa%20D9_CC_10.09.2025_Metodologia%20selectare%20experti%20_ANACEC.signed.pdf" TargetMode="External"/><Relationship Id="rId86" Type="http://schemas.openxmlformats.org/officeDocument/2006/relationships/hyperlink" Target="https://anacec.md/files/Regulament_petitie.PDF"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ecc.gov.md/sites/default/files/145243_0.pdf" TargetMode="External"/><Relationship Id="rId18" Type="http://schemas.openxmlformats.org/officeDocument/2006/relationships/hyperlink" Target="https://mecc.gov.md/sites/default/files/ordin_nr.1019_din_14.08.2023_cu_privire_la_aprobarea_regulamentului-cadru_privind_formarea_profesionala_continua_a_personalului_academic_universitar_0.pdf" TargetMode="External"/><Relationship Id="rId39" Type="http://schemas.openxmlformats.org/officeDocument/2006/relationships/hyperlink" Target="https://mec.gov.md/sites/default/files/document/attachments/cadrul_european_de_referinta_pentru_asigurarea_calitatii_in_educatie_si_formare_profesionala_ro.pdf" TargetMode="External"/><Relationship Id="rId34" Type="http://schemas.openxmlformats.org/officeDocument/2006/relationships/hyperlink" Target="https://ehea.info/media.ehea.info/file/WG_Frameworks_qualification/71/0/050218_QF_EHEA_580710.pdf" TargetMode="External"/><Relationship Id="rId50" Type="http://schemas.openxmlformats.org/officeDocument/2006/relationships/hyperlink" Target="https://www.legis.md/cautare/getResults?doc_id=123260&amp;lang=ro" TargetMode="External"/><Relationship Id="rId55" Type="http://schemas.openxmlformats.org/officeDocument/2006/relationships/hyperlink" Target="https://upsc.md/studii/programe-planuri/" TargetMode="External"/><Relationship Id="rId76" Type="http://schemas.openxmlformats.org/officeDocument/2006/relationships/hyperlink" Target="https://www.legis.md/cautare/getResults?doc_id=149212&amp;lang=ro" TargetMode="External"/><Relationship Id="rId7" Type="http://schemas.openxmlformats.org/officeDocument/2006/relationships/settings" Target="settings.xml"/><Relationship Id="rId71" Type="http://schemas.openxmlformats.org/officeDocument/2006/relationships/hyperlink" Target="https://mec.gov.md/ro/content/validarea-educatiei-nonformale-si-informale-1" TargetMode="External"/><Relationship Id="rId92" Type="http://schemas.openxmlformats.org/officeDocument/2006/relationships/hyperlink" Target="https://upsc.md/universitate/rapoarte/raport-anual-cim/" TargetMode="External"/><Relationship Id="rId2" Type="http://schemas.openxmlformats.org/officeDocument/2006/relationships/customXml" Target="../customXml/item2.xml"/><Relationship Id="rId29" Type="http://schemas.openxmlformats.org/officeDocument/2006/relationships/hyperlink" Target="http://noks.mpn.gov.rs/wp-content/uploads/2017/08/referencing_eqf_with_nqf.pdf" TargetMode="External"/><Relationship Id="rId24" Type="http://schemas.openxmlformats.org/officeDocument/2006/relationships/hyperlink" Target="https://anacec.md/files/Regulamente/Ghid_EE_Licenta_2025.pdf" TargetMode="External"/><Relationship Id="rId40" Type="http://schemas.openxmlformats.org/officeDocument/2006/relationships/hyperlink" Target="https://www.enqa.eu/esg-standards-and-guidelines-for-quality-assurance-in-the-european-higher-education-area/" TargetMode="External"/><Relationship Id="rId45" Type="http://schemas.openxmlformats.org/officeDocument/2006/relationships/hyperlink" Target="https://www.legis.md/cautare/getResults?doc_id=149163&amp;lang=ro" TargetMode="External"/><Relationship Id="rId66" Type="http://schemas.openxmlformats.org/officeDocument/2006/relationships/diagramColors" Target="diagrams/colors1.xml"/><Relationship Id="rId87" Type="http://schemas.openxmlformats.org/officeDocument/2006/relationships/hyperlink" Target="https://anacec.md/ro/technical-education/evaluations" TargetMode="External"/><Relationship Id="rId61" Type="http://schemas.openxmlformats.org/officeDocument/2006/relationships/hyperlink" Target="https://www.legis.md/cautare/getResults?doc_id=97268&amp;lang=ro" TargetMode="External"/><Relationship Id="rId82" Type="http://schemas.openxmlformats.org/officeDocument/2006/relationships/hyperlink" Target="https://anacec.md/files/D18_CC_16.09.2022_Anexa%20(1).pdf" TargetMode="External"/><Relationship Id="rId19" Type="http://schemas.openxmlformats.org/officeDocument/2006/relationships/hyperlink" Target="https://mec.gov.md/sites/default/files/omec_1713_29.11.2024_cu_2_anexe_1.pdf" TargetMode="External"/><Relationship Id="rId14" Type="http://schemas.openxmlformats.org/officeDocument/2006/relationships/hyperlink" Target="https://mecc.gov.md/sites/default/files/ordin_nr.1019_din_14.08.2023_cu_privire_la_aprobarea_regulamentului-cadru_privind_formarea_profesionala_continua_a_personalului_academic_universitar_0.pdf" TargetMode="External"/><Relationship Id="rId30" Type="http://schemas.openxmlformats.org/officeDocument/2006/relationships/hyperlink" Target="https://www.hm.ee/sites/default/files/documents/2022-06/criteria_en.pdf" TargetMode="External"/><Relationship Id="rId35" Type="http://schemas.openxmlformats.org/officeDocument/2006/relationships/hyperlink" Target="https://ehea.info/Upload/document/ministerial_declarations/EHEAParis2018_Communique_AppendixIII_952778.pdf" TargetMode="External"/><Relationship Id="rId56" Type="http://schemas.openxmlformats.org/officeDocument/2006/relationships/hyperlink" Target="https://upsc.md/universitate/rapoarte/rapoarte-de-activitate/" TargetMode="External"/><Relationship Id="rId77" Type="http://schemas.openxmlformats.org/officeDocument/2006/relationships/hyperlink" Target="https://www.legis.md/cautare/getResults?doc_id=149203&amp;lang=r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legis.md/cautare/getResults?doc_id=135082&amp;lang=ro" TargetMode="External"/><Relationship Id="rId18" Type="http://schemas.openxmlformats.org/officeDocument/2006/relationships/hyperlink" Target="https://www.legis.md/cautare/getResults?doc_id=135639&amp;lang=ro" TargetMode="External"/><Relationship Id="rId26" Type="http://schemas.openxmlformats.org/officeDocument/2006/relationships/hyperlink" Target="https://www.legis.md/cautare/getResults?doc_id=142655&amp;lang=ro" TargetMode="External"/><Relationship Id="rId39" Type="http://schemas.openxmlformats.org/officeDocument/2006/relationships/hyperlink" Target="https://anacec.md/files/2025_Altele/Ghidurile%20de%20evaluare%20extern%C4%83%20a%20programelor%20IPT%2C%20FPA%20%C8%99i%20UICV/GHID_FPA17.07.2025.pdf" TargetMode="External"/><Relationship Id="rId21" Type="http://schemas.openxmlformats.org/officeDocument/2006/relationships/hyperlink" Target="https://www.legis.md/cautare/getResults?doc_id=137990&amp;lang=ro" TargetMode="External"/><Relationship Id="rId34" Type="http://schemas.openxmlformats.org/officeDocument/2006/relationships/hyperlink" Target="https://mecc.gov.md/sites/default/files/ghid_metod_curriculum_ipt_10.12.2024.pdf" TargetMode="External"/><Relationship Id="rId42" Type="http://schemas.openxmlformats.org/officeDocument/2006/relationships/hyperlink" Target="https://mecc.gov.md/sites/default/files/ordin_nr._1020_din_14.08.2023_cu_privire_la_aprobarea_regulamentului_privind_aplicarea_ects_in_cadrul_programelor_de_formare_profesionala_continua_in_institutiile_de_invatamant_superior.pdf" TargetMode="External"/><Relationship Id="rId47" Type="http://schemas.openxmlformats.org/officeDocument/2006/relationships/hyperlink" Target="https://mec.gov.md/sites/default/files/ordin_nr.1021_din_14.08.2023._cu_privire_la_aprobarea_regulamentusui_privind_certificarea_competentelor_profesionale_corespunzatoare_calificarilor_de_nivel_6_din_cadrul_national_al_calificarilor_dobandite_in_c_1.pdf" TargetMode="External"/><Relationship Id="rId7" Type="http://schemas.openxmlformats.org/officeDocument/2006/relationships/hyperlink" Target="https://mecc.gov.md/sites/default/files/ordin_mec_1717-29.11.2024-regulament_pnc_eqflll_1.pdf" TargetMode="External"/><Relationship Id="rId2" Type="http://schemas.openxmlformats.org/officeDocument/2006/relationships/hyperlink" Target="https://www.legis.md/cautare/getResults?doc_id=149703&amp;lang=ro" TargetMode="External"/><Relationship Id="rId16" Type="http://schemas.openxmlformats.org/officeDocument/2006/relationships/hyperlink" Target="https://www.legis.md/cautare/getResults?doc_id=137226&amp;lang=ro" TargetMode="External"/><Relationship Id="rId29" Type="http://schemas.openxmlformats.org/officeDocument/2006/relationships/hyperlink" Target="https://mec.gov.md/sites/default/files/advance_page/metodologia_de_elaborare_validare_si_aprobare_a_standardelor_de_calificare.pdf" TargetMode="External"/><Relationship Id="rId11" Type="http://schemas.openxmlformats.org/officeDocument/2006/relationships/hyperlink" Target="https://www.legis.md/cautare/getResults?doc_id=136600&amp;lang=ro" TargetMode="External"/><Relationship Id="rId24" Type="http://schemas.openxmlformats.org/officeDocument/2006/relationships/hyperlink" Target="https://www.legis.md/cautare/getResults?doc_id=133344&amp;lang=ro" TargetMode="External"/><Relationship Id="rId32" Type="http://schemas.openxmlformats.org/officeDocument/2006/relationships/hyperlink" Target="https://edu.gov.md/sites/default/files/curriculum-electrician-electronist_auto_compressed.pdf" TargetMode="External"/><Relationship Id="rId37" Type="http://schemas.openxmlformats.org/officeDocument/2006/relationships/hyperlink" Target="https://anacec.md/files/Regulamente/Ghid_EvExt_Master_2025.pdf" TargetMode="External"/><Relationship Id="rId40" Type="http://schemas.openxmlformats.org/officeDocument/2006/relationships/hyperlink" Target="https://mecc.gov.md/sites/default/files/ghid_credite.pdf" TargetMode="External"/><Relationship Id="rId45" Type="http://schemas.openxmlformats.org/officeDocument/2006/relationships/hyperlink" Target="https://mecc.gov.md/sites/default/files/regulamentul_privind_certificarea_competentelor_profesionale.pdf" TargetMode="External"/><Relationship Id="rId5" Type="http://schemas.openxmlformats.org/officeDocument/2006/relationships/hyperlink" Target="https://mfa.gov.md/ro/content/agenda-de-asociere" TargetMode="External"/><Relationship Id="rId15" Type="http://schemas.openxmlformats.org/officeDocument/2006/relationships/hyperlink" Target="https://www.legis.md/cautare/getResults?doc_id=141025&amp;lang=ro" TargetMode="External"/><Relationship Id="rId23" Type="http://schemas.openxmlformats.org/officeDocument/2006/relationships/hyperlink" Target="https://www.legis.md/cautare/getResults?doc_id=149210&amp;lang=ro" TargetMode="External"/><Relationship Id="rId28" Type="http://schemas.openxmlformats.org/officeDocument/2006/relationships/hyperlink" Target="https://mec.gov.md/sites/default/files/ghid_metodologic_privind_transpunerea_competentelor_profesionale_in_rezultate_ale_invatarii.pdf" TargetMode="External"/><Relationship Id="rId36" Type="http://schemas.openxmlformats.org/officeDocument/2006/relationships/hyperlink" Target="https://anacec.md/files/Regulamente/Ghid_EE_Licenta_2025.pdf" TargetMode="External"/><Relationship Id="rId49" Type="http://schemas.openxmlformats.org/officeDocument/2006/relationships/hyperlink" Target="https://mec.gov.md/sites/default/files/advance_page/metodologia_de_elaborare_validare_si_aprobare_a_standardelor_de_calificare.pdf" TargetMode="External"/><Relationship Id="rId10" Type="http://schemas.openxmlformats.org/officeDocument/2006/relationships/hyperlink" Target="https://europass.europa.eu/system/files/2020-05/EQF%20Brochure-EN.pdf?utm_source=chatgpt.com" TargetMode="External"/><Relationship Id="rId19" Type="http://schemas.openxmlformats.org/officeDocument/2006/relationships/hyperlink" Target="https://www.legis.md/cautare/getResults?doc_id=149703&amp;lang=ro" TargetMode="External"/><Relationship Id="rId31" Type="http://schemas.openxmlformats.org/officeDocument/2006/relationships/hyperlink" Target="https://mecc.gov.md/sites/default/files/3_cnc_electrician-electronist_auto.pdf" TargetMode="External"/><Relationship Id="rId44" Type="http://schemas.openxmlformats.org/officeDocument/2006/relationships/hyperlink" Target="https://www.legis.md/cautare/getResults?doc_id=149210&amp;lang=ro" TargetMode="External"/><Relationship Id="rId4" Type="http://schemas.openxmlformats.org/officeDocument/2006/relationships/hyperlink" Target="https://new.parlament.md/content/Acord%20de%20asociere%20Moldova%20-%20UE.pdf" TargetMode="External"/><Relationship Id="rId9" Type="http://schemas.openxmlformats.org/officeDocument/2006/relationships/hyperlink" Target="https://mecc.gov.md/sites/default/files/ordin_mec_nr._1623_din_14.11.2024_pentru_aprobarea_structurii_raportului_de_referentiere.pdf" TargetMode="External"/><Relationship Id="rId14" Type="http://schemas.openxmlformats.org/officeDocument/2006/relationships/hyperlink" Target="https://www.legis.md/cautare/getResults?doc_id=139797&amp;lang=ro" TargetMode="External"/><Relationship Id="rId22" Type="http://schemas.openxmlformats.org/officeDocument/2006/relationships/hyperlink" Target="https://www.legis.md/cautare/getResults?doc_id=141662&amp;lang=ro" TargetMode="External"/><Relationship Id="rId27" Type="http://schemas.openxmlformats.org/officeDocument/2006/relationships/hyperlink" Target="https://anacec.md/files/2025_Altele/Raport_ANACEC_2024.pdf" TargetMode="External"/><Relationship Id="rId30" Type="http://schemas.openxmlformats.org/officeDocument/2006/relationships/hyperlink" Target="https://www.legis.md/cautare/getResults?doc_id=127858&amp;lang=ro" TargetMode="External"/><Relationship Id="rId35" Type="http://schemas.openxmlformats.org/officeDocument/2006/relationships/hyperlink" Target="https://mec.gov.md/sites/default/files/ordin_nr._785_din_30.05.2024_aprob.metodologiei.pdf?utm_source=chatgpt.com" TargetMode="External"/><Relationship Id="rId43" Type="http://schemas.openxmlformats.org/officeDocument/2006/relationships/hyperlink" Target="https://www.legis.md/cautare/getResults?doc_id=149210&amp;lang=ro" TargetMode="External"/><Relationship Id="rId48" Type="http://schemas.openxmlformats.org/officeDocument/2006/relationships/hyperlink" Target="https://mecc.gov.md/sites/default/files/advance_page/metodologia_de_elaborare_validare_si_aprobare_a_standardelor_de_calificare.pdf" TargetMode="External"/><Relationship Id="rId8" Type="http://schemas.openxmlformats.org/officeDocument/2006/relationships/hyperlink" Target="https://mecc.gov.md/sites/default/files/ordin_mec_nr._944_din_25.06.2024_gl_pentru_elaborarea_raportului_de_referentiere_cnc_la_eqf.pdf" TargetMode="External"/><Relationship Id="rId3" Type="http://schemas.openxmlformats.org/officeDocument/2006/relationships/hyperlink" Target="https://www.legis.md/cautare/getResults?doc_id=149163&amp;lang=ro" TargetMode="External"/><Relationship Id="rId12" Type="http://schemas.openxmlformats.org/officeDocument/2006/relationships/hyperlink" Target="https://www.legis.md/cautare/getResults?doc_id=134612&amp;lang=ro" TargetMode="External"/><Relationship Id="rId17" Type="http://schemas.openxmlformats.org/officeDocument/2006/relationships/hyperlink" Target="https://www.legis.md/cautare/getResults?doc_id=150413&amp;lang=ro" TargetMode="External"/><Relationship Id="rId25" Type="http://schemas.openxmlformats.org/officeDocument/2006/relationships/hyperlink" Target="https://www.legis.md/cautare/getResults?doc_id=149344&amp;lang=ro" TargetMode="External"/><Relationship Id="rId33" Type="http://schemas.openxmlformats.org/officeDocument/2006/relationships/hyperlink" Target="https://mecc.gov.md/sites/default/files/cadrul_referinta_curriculum_ipt_10.12.2024.pdf" TargetMode="External"/><Relationship Id="rId38" Type="http://schemas.openxmlformats.org/officeDocument/2006/relationships/hyperlink" Target="https://anacec.md/files/2025_Altele/Ghidurile%20de%20evaluare%20extern%C4%83%20a%20programelor%20IPT%2C%20FPA%20%C8%99i%20UICV/GHID_IPT%2021.07.2025.pdf" TargetMode="External"/><Relationship Id="rId46" Type="http://schemas.openxmlformats.org/officeDocument/2006/relationships/hyperlink" Target="https://mec.gov.md/sites/default/files/1066_0.pdf" TargetMode="External"/><Relationship Id="rId20" Type="http://schemas.openxmlformats.org/officeDocument/2006/relationships/hyperlink" Target="https://www.legis.md/cautare/getResults?doc_id=131324&amp;lang=ro" TargetMode="External"/><Relationship Id="rId41" Type="http://schemas.openxmlformats.org/officeDocument/2006/relationships/hyperlink" Target="https://mecc.gov.md/sites/default/files/ordinul_cu_anexe_actualizat.pdf" TargetMode="External"/><Relationship Id="rId1" Type="http://schemas.openxmlformats.org/officeDocument/2006/relationships/hyperlink" Target="https://eur-lex.europa.eu/legal-content/RO/TXT/PDF/?uri=CELEX:32017H0615(01)&amp;from=IT" TargetMode="External"/><Relationship Id="rId6" Type="http://schemas.openxmlformats.org/officeDocument/2006/relationships/hyperlink" Target="https://ehea.info/Immagini/QUATRA_-_TPG_A_recommendations_self-certification_20.12_.2023_.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12C11D-0D95-49C2-B6E6-D56375C8CB14}"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ro-MD"/>
        </a:p>
      </dgm:t>
    </dgm:pt>
    <dgm:pt modelId="{F0024F79-55F6-4568-B9FA-C962BA9E2A9E}">
      <dgm:prSet phldrT="[Text]"/>
      <dgm:spPr/>
      <dgm:t>
        <a:bodyPr/>
        <a:lstStyle/>
        <a:p>
          <a:r>
            <a:rPr lang="ro-MD"/>
            <a:t>Standard ocupațional (Competențe profesionale)</a:t>
          </a:r>
        </a:p>
      </dgm:t>
    </dgm:pt>
    <dgm:pt modelId="{23CA158E-B04B-47E2-A9AF-688BBA24ACCB}" type="parTrans" cxnId="{16992082-2E0F-4DF1-8B85-30D431DBCAE1}">
      <dgm:prSet/>
      <dgm:spPr/>
      <dgm:t>
        <a:bodyPr/>
        <a:lstStyle/>
        <a:p>
          <a:endParaRPr lang="ro-MD"/>
        </a:p>
      </dgm:t>
    </dgm:pt>
    <dgm:pt modelId="{7910CAE1-7BF7-4CAB-8F1B-B6CACE4DFFE4}" type="sibTrans" cxnId="{16992082-2E0F-4DF1-8B85-30D431DBCAE1}">
      <dgm:prSet/>
      <dgm:spPr/>
      <dgm:t>
        <a:bodyPr/>
        <a:lstStyle/>
        <a:p>
          <a:endParaRPr lang="ro-MD"/>
        </a:p>
      </dgm:t>
    </dgm:pt>
    <dgm:pt modelId="{5EF472E4-86CE-4375-B242-656C207BE65A}">
      <dgm:prSet phldrT="[Text]" custT="1"/>
      <dgm:spPr/>
      <dgm:t>
        <a:bodyPr/>
        <a:lstStyle/>
        <a:p>
          <a:pPr>
            <a:buNone/>
          </a:pPr>
          <a:r>
            <a:rPr lang="ro-RO" sz="1000" b="1"/>
            <a:t>CP</a:t>
          </a:r>
          <a:r>
            <a:rPr lang="ro-RO" sz="1000"/>
            <a:t> Prelucrarea manuală și/sau mecanică a materialelor</a:t>
          </a:r>
          <a:endParaRPr lang="ro-MD" sz="1000"/>
        </a:p>
      </dgm:t>
    </dgm:pt>
    <dgm:pt modelId="{9B69D272-E354-491C-8CD4-452021C8B817}" type="parTrans" cxnId="{93063C96-39DC-4E65-AC9D-0D408883BC7C}">
      <dgm:prSet/>
      <dgm:spPr/>
      <dgm:t>
        <a:bodyPr/>
        <a:lstStyle/>
        <a:p>
          <a:endParaRPr lang="ro-MD"/>
        </a:p>
      </dgm:t>
    </dgm:pt>
    <dgm:pt modelId="{D20442E5-FB7E-43CB-A35B-E9768E0210F7}" type="sibTrans" cxnId="{93063C96-39DC-4E65-AC9D-0D408883BC7C}">
      <dgm:prSet/>
      <dgm:spPr/>
      <dgm:t>
        <a:bodyPr/>
        <a:lstStyle/>
        <a:p>
          <a:endParaRPr lang="ro-MD"/>
        </a:p>
      </dgm:t>
    </dgm:pt>
    <dgm:pt modelId="{1B67B8DA-5FD6-41DC-A3D1-579666EBC4C6}">
      <dgm:prSet phldrT="[Text]"/>
      <dgm:spPr/>
      <dgm:t>
        <a:bodyPr/>
        <a:lstStyle/>
        <a:p>
          <a:r>
            <a:rPr lang="ro-MD"/>
            <a:t>Standard de calificare (Rezultate ale învățării) </a:t>
          </a:r>
        </a:p>
      </dgm:t>
    </dgm:pt>
    <dgm:pt modelId="{C6C181AE-8215-4E0A-9FDD-95F27F81A6ED}" type="parTrans" cxnId="{C7F3AFF8-DCAA-4EA9-9A8F-C77384BDDFCD}">
      <dgm:prSet/>
      <dgm:spPr/>
      <dgm:t>
        <a:bodyPr/>
        <a:lstStyle/>
        <a:p>
          <a:endParaRPr lang="ro-MD"/>
        </a:p>
      </dgm:t>
    </dgm:pt>
    <dgm:pt modelId="{6490747A-E14E-44AE-A9BB-D3FA6F49FA0B}" type="sibTrans" cxnId="{C7F3AFF8-DCAA-4EA9-9A8F-C77384BDDFCD}">
      <dgm:prSet/>
      <dgm:spPr/>
      <dgm:t>
        <a:bodyPr/>
        <a:lstStyle/>
        <a:p>
          <a:endParaRPr lang="ro-MD"/>
        </a:p>
      </dgm:t>
    </dgm:pt>
    <dgm:pt modelId="{B0979AA3-36F5-47CC-B6B8-9348D750C9B9}">
      <dgm:prSet phldrT="[Text]"/>
      <dgm:spPr/>
      <dgm:t>
        <a:bodyPr/>
        <a:lstStyle/>
        <a:p>
          <a:r>
            <a:rPr lang="ro-MD" b="1"/>
            <a:t>RÎ. </a:t>
          </a:r>
          <a:r>
            <a:rPr lang="ro-RO" i="1"/>
            <a:t>Absolventul/candidatul la atribuirea calificării poate </a:t>
          </a:r>
          <a:r>
            <a:rPr lang="ro-RO"/>
            <a:t>executa lucrări de lăcătușărie specifice echipamentului electric și electronic.</a:t>
          </a:r>
          <a:endParaRPr lang="ro-MD"/>
        </a:p>
      </dgm:t>
    </dgm:pt>
    <dgm:pt modelId="{A61379A1-B495-4FCF-A0FD-59DF9B624848}" type="parTrans" cxnId="{BB8E9A74-A41E-492A-BCFD-859850DBBF6F}">
      <dgm:prSet/>
      <dgm:spPr/>
      <dgm:t>
        <a:bodyPr/>
        <a:lstStyle/>
        <a:p>
          <a:endParaRPr lang="ro-MD"/>
        </a:p>
      </dgm:t>
    </dgm:pt>
    <dgm:pt modelId="{DFFE9E7F-640A-4B25-B7E1-8045E6F17C96}" type="sibTrans" cxnId="{BB8E9A74-A41E-492A-BCFD-859850DBBF6F}">
      <dgm:prSet/>
      <dgm:spPr/>
      <dgm:t>
        <a:bodyPr/>
        <a:lstStyle/>
        <a:p>
          <a:endParaRPr lang="ro-MD"/>
        </a:p>
      </dgm:t>
    </dgm:pt>
    <dgm:pt modelId="{5BC21909-8D7D-44C3-AA76-4A93121ABBE0}">
      <dgm:prSet phldrT="[Text]"/>
      <dgm:spPr/>
      <dgm:t>
        <a:bodyPr/>
        <a:lstStyle/>
        <a:p>
          <a:r>
            <a:rPr lang="ro-MD"/>
            <a:t>Curriculum (Rezultate ale învățării)</a:t>
          </a:r>
        </a:p>
      </dgm:t>
    </dgm:pt>
    <dgm:pt modelId="{EA407BBD-41BC-4974-A3EC-7CF714A210D0}" type="parTrans" cxnId="{E010B462-7F1D-4E68-A2AE-5E3488D1E387}">
      <dgm:prSet/>
      <dgm:spPr/>
      <dgm:t>
        <a:bodyPr/>
        <a:lstStyle/>
        <a:p>
          <a:endParaRPr lang="ro-MD"/>
        </a:p>
      </dgm:t>
    </dgm:pt>
    <dgm:pt modelId="{C81C9047-EB12-4E57-80C6-DD42CEAB2BAC}" type="sibTrans" cxnId="{E010B462-7F1D-4E68-A2AE-5E3488D1E387}">
      <dgm:prSet/>
      <dgm:spPr/>
      <dgm:t>
        <a:bodyPr/>
        <a:lstStyle/>
        <a:p>
          <a:endParaRPr lang="ro-MD"/>
        </a:p>
      </dgm:t>
    </dgm:pt>
    <dgm:pt modelId="{102C3E3F-4315-470C-8398-28DC868F8ADA}">
      <dgm:prSet phldrT="[Text]"/>
      <dgm:spPr/>
      <dgm:t>
        <a:bodyPr/>
        <a:lstStyle/>
        <a:p>
          <a:r>
            <a:rPr lang="ro-MD" b="1"/>
            <a:t>RÎ. </a:t>
          </a:r>
          <a:r>
            <a:rPr lang="ro-MD" b="0"/>
            <a:t>L</a:t>
          </a:r>
          <a:r>
            <a:rPr lang="ro-RO"/>
            <a:t>a final de program, absolventul trebuie să demonstreze că poate executa lucrări de lăcătușărie auto</a:t>
          </a:r>
          <a:endParaRPr lang="ro-MD" b="1"/>
        </a:p>
      </dgm:t>
    </dgm:pt>
    <dgm:pt modelId="{15404BED-2C14-484F-874B-2C1401A6E6B3}" type="parTrans" cxnId="{C4BDBF90-1739-4CCC-BAE3-D882F7C8814E}">
      <dgm:prSet/>
      <dgm:spPr/>
      <dgm:t>
        <a:bodyPr/>
        <a:lstStyle/>
        <a:p>
          <a:endParaRPr lang="ro-MD"/>
        </a:p>
      </dgm:t>
    </dgm:pt>
    <dgm:pt modelId="{7FF5128C-E3A5-40C2-ACDA-86D59B45129C}" type="sibTrans" cxnId="{C4BDBF90-1739-4CCC-BAE3-D882F7C8814E}">
      <dgm:prSet/>
      <dgm:spPr/>
      <dgm:t>
        <a:bodyPr/>
        <a:lstStyle/>
        <a:p>
          <a:endParaRPr lang="ro-MD"/>
        </a:p>
      </dgm:t>
    </dgm:pt>
    <dgm:pt modelId="{43F1BB38-8C93-4AE8-B28A-A571746B0253}" type="pres">
      <dgm:prSet presAssocID="{E112C11D-0D95-49C2-B6E6-D56375C8CB14}" presName="linearFlow" presStyleCnt="0">
        <dgm:presLayoutVars>
          <dgm:dir/>
          <dgm:animLvl val="lvl"/>
          <dgm:resizeHandles val="exact"/>
        </dgm:presLayoutVars>
      </dgm:prSet>
      <dgm:spPr/>
      <dgm:t>
        <a:bodyPr/>
        <a:lstStyle/>
        <a:p>
          <a:endParaRPr lang="en-US"/>
        </a:p>
      </dgm:t>
    </dgm:pt>
    <dgm:pt modelId="{574C2513-7A31-4365-8A38-818B470755A3}" type="pres">
      <dgm:prSet presAssocID="{F0024F79-55F6-4568-B9FA-C962BA9E2A9E}" presName="composite" presStyleCnt="0"/>
      <dgm:spPr/>
    </dgm:pt>
    <dgm:pt modelId="{9C2A5A39-50A6-42C3-BC10-6D90F3D9C752}" type="pres">
      <dgm:prSet presAssocID="{F0024F79-55F6-4568-B9FA-C962BA9E2A9E}" presName="parTx" presStyleLbl="node1" presStyleIdx="0" presStyleCnt="3">
        <dgm:presLayoutVars>
          <dgm:chMax val="0"/>
          <dgm:chPref val="0"/>
          <dgm:bulletEnabled val="1"/>
        </dgm:presLayoutVars>
      </dgm:prSet>
      <dgm:spPr/>
      <dgm:t>
        <a:bodyPr/>
        <a:lstStyle/>
        <a:p>
          <a:endParaRPr lang="en-US"/>
        </a:p>
      </dgm:t>
    </dgm:pt>
    <dgm:pt modelId="{7F89FDC9-067A-431B-81D3-B003C366FACC}" type="pres">
      <dgm:prSet presAssocID="{F0024F79-55F6-4568-B9FA-C962BA9E2A9E}" presName="parSh" presStyleLbl="node1" presStyleIdx="0" presStyleCnt="3" custScaleY="136307"/>
      <dgm:spPr/>
      <dgm:t>
        <a:bodyPr/>
        <a:lstStyle/>
        <a:p>
          <a:endParaRPr lang="en-US"/>
        </a:p>
      </dgm:t>
    </dgm:pt>
    <dgm:pt modelId="{80E78826-9DF7-43A4-9BF6-6A839F328044}" type="pres">
      <dgm:prSet presAssocID="{F0024F79-55F6-4568-B9FA-C962BA9E2A9E}" presName="desTx" presStyleLbl="fgAcc1" presStyleIdx="0" presStyleCnt="3" custScaleX="127073">
        <dgm:presLayoutVars>
          <dgm:bulletEnabled val="1"/>
        </dgm:presLayoutVars>
      </dgm:prSet>
      <dgm:spPr/>
      <dgm:t>
        <a:bodyPr/>
        <a:lstStyle/>
        <a:p>
          <a:endParaRPr lang="en-US"/>
        </a:p>
      </dgm:t>
    </dgm:pt>
    <dgm:pt modelId="{612FDD07-6CA3-4148-87D1-6FABABEBF1D5}" type="pres">
      <dgm:prSet presAssocID="{7910CAE1-7BF7-4CAB-8F1B-B6CACE4DFFE4}" presName="sibTrans" presStyleLbl="sibTrans2D1" presStyleIdx="0" presStyleCnt="2"/>
      <dgm:spPr/>
      <dgm:t>
        <a:bodyPr/>
        <a:lstStyle/>
        <a:p>
          <a:endParaRPr lang="en-US"/>
        </a:p>
      </dgm:t>
    </dgm:pt>
    <dgm:pt modelId="{73D6FA06-675B-4DB1-A7D0-C0D21859032B}" type="pres">
      <dgm:prSet presAssocID="{7910CAE1-7BF7-4CAB-8F1B-B6CACE4DFFE4}" presName="connTx" presStyleLbl="sibTrans2D1" presStyleIdx="0" presStyleCnt="2"/>
      <dgm:spPr/>
      <dgm:t>
        <a:bodyPr/>
        <a:lstStyle/>
        <a:p>
          <a:endParaRPr lang="en-US"/>
        </a:p>
      </dgm:t>
    </dgm:pt>
    <dgm:pt modelId="{70F3AF65-710E-47EA-A33C-33C9B0676892}" type="pres">
      <dgm:prSet presAssocID="{1B67B8DA-5FD6-41DC-A3D1-579666EBC4C6}" presName="composite" presStyleCnt="0"/>
      <dgm:spPr/>
    </dgm:pt>
    <dgm:pt modelId="{2B49E849-19F9-4472-8099-FF9D09CA854F}" type="pres">
      <dgm:prSet presAssocID="{1B67B8DA-5FD6-41DC-A3D1-579666EBC4C6}" presName="parTx" presStyleLbl="node1" presStyleIdx="0" presStyleCnt="3">
        <dgm:presLayoutVars>
          <dgm:chMax val="0"/>
          <dgm:chPref val="0"/>
          <dgm:bulletEnabled val="1"/>
        </dgm:presLayoutVars>
      </dgm:prSet>
      <dgm:spPr/>
      <dgm:t>
        <a:bodyPr/>
        <a:lstStyle/>
        <a:p>
          <a:endParaRPr lang="en-US"/>
        </a:p>
      </dgm:t>
    </dgm:pt>
    <dgm:pt modelId="{D6203931-AD49-4CB3-9DA3-95DBA25E563E}" type="pres">
      <dgm:prSet presAssocID="{1B67B8DA-5FD6-41DC-A3D1-579666EBC4C6}" presName="parSh" presStyleLbl="node1" presStyleIdx="1" presStyleCnt="3" custScaleY="118237"/>
      <dgm:spPr/>
      <dgm:t>
        <a:bodyPr/>
        <a:lstStyle/>
        <a:p>
          <a:endParaRPr lang="en-US"/>
        </a:p>
      </dgm:t>
    </dgm:pt>
    <dgm:pt modelId="{F4944093-97A9-4E34-9E35-8E3BA52F0F23}" type="pres">
      <dgm:prSet presAssocID="{1B67B8DA-5FD6-41DC-A3D1-579666EBC4C6}" presName="desTx" presStyleLbl="fgAcc1" presStyleIdx="1" presStyleCnt="3" custScaleX="127982">
        <dgm:presLayoutVars>
          <dgm:bulletEnabled val="1"/>
        </dgm:presLayoutVars>
      </dgm:prSet>
      <dgm:spPr/>
      <dgm:t>
        <a:bodyPr/>
        <a:lstStyle/>
        <a:p>
          <a:endParaRPr lang="en-US"/>
        </a:p>
      </dgm:t>
    </dgm:pt>
    <dgm:pt modelId="{1C593144-55BC-491B-BE90-A96CD1F20612}" type="pres">
      <dgm:prSet presAssocID="{6490747A-E14E-44AE-A9BB-D3FA6F49FA0B}" presName="sibTrans" presStyleLbl="sibTrans2D1" presStyleIdx="1" presStyleCnt="2"/>
      <dgm:spPr/>
      <dgm:t>
        <a:bodyPr/>
        <a:lstStyle/>
        <a:p>
          <a:endParaRPr lang="en-US"/>
        </a:p>
      </dgm:t>
    </dgm:pt>
    <dgm:pt modelId="{F5BE05C0-0F20-422F-B106-A7A8AC02BD1A}" type="pres">
      <dgm:prSet presAssocID="{6490747A-E14E-44AE-A9BB-D3FA6F49FA0B}" presName="connTx" presStyleLbl="sibTrans2D1" presStyleIdx="1" presStyleCnt="2"/>
      <dgm:spPr/>
      <dgm:t>
        <a:bodyPr/>
        <a:lstStyle/>
        <a:p>
          <a:endParaRPr lang="en-US"/>
        </a:p>
      </dgm:t>
    </dgm:pt>
    <dgm:pt modelId="{0E2D5F80-DD2D-4542-8DDB-08316165B010}" type="pres">
      <dgm:prSet presAssocID="{5BC21909-8D7D-44C3-AA76-4A93121ABBE0}" presName="composite" presStyleCnt="0"/>
      <dgm:spPr/>
    </dgm:pt>
    <dgm:pt modelId="{6FA55E12-343C-48AE-B4FF-A228B39FADF5}" type="pres">
      <dgm:prSet presAssocID="{5BC21909-8D7D-44C3-AA76-4A93121ABBE0}" presName="parTx" presStyleLbl="node1" presStyleIdx="1" presStyleCnt="3">
        <dgm:presLayoutVars>
          <dgm:chMax val="0"/>
          <dgm:chPref val="0"/>
          <dgm:bulletEnabled val="1"/>
        </dgm:presLayoutVars>
      </dgm:prSet>
      <dgm:spPr/>
      <dgm:t>
        <a:bodyPr/>
        <a:lstStyle/>
        <a:p>
          <a:endParaRPr lang="en-US"/>
        </a:p>
      </dgm:t>
    </dgm:pt>
    <dgm:pt modelId="{E6EC2E35-4AC9-4F09-9EAC-545A055BF7BA}" type="pres">
      <dgm:prSet presAssocID="{5BC21909-8D7D-44C3-AA76-4A93121ABBE0}" presName="parSh" presStyleLbl="node1" presStyleIdx="2" presStyleCnt="3" custScaleY="120496"/>
      <dgm:spPr/>
      <dgm:t>
        <a:bodyPr/>
        <a:lstStyle/>
        <a:p>
          <a:endParaRPr lang="en-US"/>
        </a:p>
      </dgm:t>
    </dgm:pt>
    <dgm:pt modelId="{8E524ED6-1076-4664-BB40-8ED0EB0FA31C}" type="pres">
      <dgm:prSet presAssocID="{5BC21909-8D7D-44C3-AA76-4A93121ABBE0}" presName="desTx" presStyleLbl="fgAcc1" presStyleIdx="2" presStyleCnt="3" custScaleX="128995">
        <dgm:presLayoutVars>
          <dgm:bulletEnabled val="1"/>
        </dgm:presLayoutVars>
      </dgm:prSet>
      <dgm:spPr/>
      <dgm:t>
        <a:bodyPr/>
        <a:lstStyle/>
        <a:p>
          <a:endParaRPr lang="en-US"/>
        </a:p>
      </dgm:t>
    </dgm:pt>
  </dgm:ptLst>
  <dgm:cxnLst>
    <dgm:cxn modelId="{CA1C7B76-C3D8-4B72-AF5B-1F3589EA442B}" type="presOf" srcId="{5EF472E4-86CE-4375-B242-656C207BE65A}" destId="{80E78826-9DF7-43A4-9BF6-6A839F328044}" srcOrd="0" destOrd="0" presId="urn:microsoft.com/office/officeart/2005/8/layout/process3"/>
    <dgm:cxn modelId="{C7F3AFF8-DCAA-4EA9-9A8F-C77384BDDFCD}" srcId="{E112C11D-0D95-49C2-B6E6-D56375C8CB14}" destId="{1B67B8DA-5FD6-41DC-A3D1-579666EBC4C6}" srcOrd="1" destOrd="0" parTransId="{C6C181AE-8215-4E0A-9FDD-95F27F81A6ED}" sibTransId="{6490747A-E14E-44AE-A9BB-D3FA6F49FA0B}"/>
    <dgm:cxn modelId="{DDA6B1B4-5B49-4344-AC30-A37DCA8DEFCA}" type="presOf" srcId="{7910CAE1-7BF7-4CAB-8F1B-B6CACE4DFFE4}" destId="{73D6FA06-675B-4DB1-A7D0-C0D21859032B}" srcOrd="1" destOrd="0" presId="urn:microsoft.com/office/officeart/2005/8/layout/process3"/>
    <dgm:cxn modelId="{62DE8F16-5340-458B-B0CA-76B89126DD23}" type="presOf" srcId="{E112C11D-0D95-49C2-B6E6-D56375C8CB14}" destId="{43F1BB38-8C93-4AE8-B28A-A571746B0253}" srcOrd="0" destOrd="0" presId="urn:microsoft.com/office/officeart/2005/8/layout/process3"/>
    <dgm:cxn modelId="{242B14FF-AB8C-4215-83E0-FA7976D80ACB}" type="presOf" srcId="{5BC21909-8D7D-44C3-AA76-4A93121ABBE0}" destId="{E6EC2E35-4AC9-4F09-9EAC-545A055BF7BA}" srcOrd="1" destOrd="0" presId="urn:microsoft.com/office/officeart/2005/8/layout/process3"/>
    <dgm:cxn modelId="{AB0AE6FE-BB9C-4A7B-9CCF-B4272DFFF41B}" type="presOf" srcId="{6490747A-E14E-44AE-A9BB-D3FA6F49FA0B}" destId="{1C593144-55BC-491B-BE90-A96CD1F20612}" srcOrd="0" destOrd="0" presId="urn:microsoft.com/office/officeart/2005/8/layout/process3"/>
    <dgm:cxn modelId="{C4BDBF90-1739-4CCC-BAE3-D882F7C8814E}" srcId="{5BC21909-8D7D-44C3-AA76-4A93121ABBE0}" destId="{102C3E3F-4315-470C-8398-28DC868F8ADA}" srcOrd="0" destOrd="0" parTransId="{15404BED-2C14-484F-874B-2C1401A6E6B3}" sibTransId="{7FF5128C-E3A5-40C2-ACDA-86D59B45129C}"/>
    <dgm:cxn modelId="{E5E2D504-9364-4216-9732-570E5C4581D4}" type="presOf" srcId="{7910CAE1-7BF7-4CAB-8F1B-B6CACE4DFFE4}" destId="{612FDD07-6CA3-4148-87D1-6FABABEBF1D5}" srcOrd="0" destOrd="0" presId="urn:microsoft.com/office/officeart/2005/8/layout/process3"/>
    <dgm:cxn modelId="{67084C19-BE50-4D01-806F-2F88E4AB1374}" type="presOf" srcId="{1B67B8DA-5FD6-41DC-A3D1-579666EBC4C6}" destId="{2B49E849-19F9-4472-8099-FF9D09CA854F}" srcOrd="0" destOrd="0" presId="urn:microsoft.com/office/officeart/2005/8/layout/process3"/>
    <dgm:cxn modelId="{AD1B4BFA-C593-4415-BC74-35B05087B1C2}" type="presOf" srcId="{102C3E3F-4315-470C-8398-28DC868F8ADA}" destId="{8E524ED6-1076-4664-BB40-8ED0EB0FA31C}" srcOrd="0" destOrd="0" presId="urn:microsoft.com/office/officeart/2005/8/layout/process3"/>
    <dgm:cxn modelId="{16992082-2E0F-4DF1-8B85-30D431DBCAE1}" srcId="{E112C11D-0D95-49C2-B6E6-D56375C8CB14}" destId="{F0024F79-55F6-4568-B9FA-C962BA9E2A9E}" srcOrd="0" destOrd="0" parTransId="{23CA158E-B04B-47E2-A9AF-688BBA24ACCB}" sibTransId="{7910CAE1-7BF7-4CAB-8F1B-B6CACE4DFFE4}"/>
    <dgm:cxn modelId="{E010B462-7F1D-4E68-A2AE-5E3488D1E387}" srcId="{E112C11D-0D95-49C2-B6E6-D56375C8CB14}" destId="{5BC21909-8D7D-44C3-AA76-4A93121ABBE0}" srcOrd="2" destOrd="0" parTransId="{EA407BBD-41BC-4974-A3EC-7CF714A210D0}" sibTransId="{C81C9047-EB12-4E57-80C6-DD42CEAB2BAC}"/>
    <dgm:cxn modelId="{B497BF84-4472-422E-AF3D-25484E47EB0E}" type="presOf" srcId="{B0979AA3-36F5-47CC-B6B8-9348D750C9B9}" destId="{F4944093-97A9-4E34-9E35-8E3BA52F0F23}" srcOrd="0" destOrd="0" presId="urn:microsoft.com/office/officeart/2005/8/layout/process3"/>
    <dgm:cxn modelId="{A9BEEC16-66BC-4EB8-812E-63983D50BFAB}" type="presOf" srcId="{6490747A-E14E-44AE-A9BB-D3FA6F49FA0B}" destId="{F5BE05C0-0F20-422F-B106-A7A8AC02BD1A}" srcOrd="1" destOrd="0" presId="urn:microsoft.com/office/officeart/2005/8/layout/process3"/>
    <dgm:cxn modelId="{19041F43-34F2-4D1D-9801-33CAA18E28DC}" type="presOf" srcId="{F0024F79-55F6-4568-B9FA-C962BA9E2A9E}" destId="{9C2A5A39-50A6-42C3-BC10-6D90F3D9C752}" srcOrd="0" destOrd="0" presId="urn:microsoft.com/office/officeart/2005/8/layout/process3"/>
    <dgm:cxn modelId="{51FB7E12-0038-4DA9-84C7-9FEDD363BFB0}" type="presOf" srcId="{5BC21909-8D7D-44C3-AA76-4A93121ABBE0}" destId="{6FA55E12-343C-48AE-B4FF-A228B39FADF5}" srcOrd="0" destOrd="0" presId="urn:microsoft.com/office/officeart/2005/8/layout/process3"/>
    <dgm:cxn modelId="{6F8FE424-523A-48A8-BFF7-DEA6CDCEA24A}" type="presOf" srcId="{1B67B8DA-5FD6-41DC-A3D1-579666EBC4C6}" destId="{D6203931-AD49-4CB3-9DA3-95DBA25E563E}" srcOrd="1" destOrd="0" presId="urn:microsoft.com/office/officeart/2005/8/layout/process3"/>
    <dgm:cxn modelId="{93063C96-39DC-4E65-AC9D-0D408883BC7C}" srcId="{F0024F79-55F6-4568-B9FA-C962BA9E2A9E}" destId="{5EF472E4-86CE-4375-B242-656C207BE65A}" srcOrd="0" destOrd="0" parTransId="{9B69D272-E354-491C-8CD4-452021C8B817}" sibTransId="{D20442E5-FB7E-43CB-A35B-E9768E0210F7}"/>
    <dgm:cxn modelId="{34105FC2-22DE-42ED-B262-3B0D48505B66}" type="presOf" srcId="{F0024F79-55F6-4568-B9FA-C962BA9E2A9E}" destId="{7F89FDC9-067A-431B-81D3-B003C366FACC}" srcOrd="1" destOrd="0" presId="urn:microsoft.com/office/officeart/2005/8/layout/process3"/>
    <dgm:cxn modelId="{BB8E9A74-A41E-492A-BCFD-859850DBBF6F}" srcId="{1B67B8DA-5FD6-41DC-A3D1-579666EBC4C6}" destId="{B0979AA3-36F5-47CC-B6B8-9348D750C9B9}" srcOrd="0" destOrd="0" parTransId="{A61379A1-B495-4FCF-A0FD-59DF9B624848}" sibTransId="{DFFE9E7F-640A-4B25-B7E1-8045E6F17C96}"/>
    <dgm:cxn modelId="{40604D51-7800-4421-99F5-40EBCB117D7B}" type="presParOf" srcId="{43F1BB38-8C93-4AE8-B28A-A571746B0253}" destId="{574C2513-7A31-4365-8A38-818B470755A3}" srcOrd="0" destOrd="0" presId="urn:microsoft.com/office/officeart/2005/8/layout/process3"/>
    <dgm:cxn modelId="{AA0247E0-ED60-4701-B2EE-F7BCC22E522B}" type="presParOf" srcId="{574C2513-7A31-4365-8A38-818B470755A3}" destId="{9C2A5A39-50A6-42C3-BC10-6D90F3D9C752}" srcOrd="0" destOrd="0" presId="urn:microsoft.com/office/officeart/2005/8/layout/process3"/>
    <dgm:cxn modelId="{4B3CF258-E408-48E6-8683-0AFF193342DC}" type="presParOf" srcId="{574C2513-7A31-4365-8A38-818B470755A3}" destId="{7F89FDC9-067A-431B-81D3-B003C366FACC}" srcOrd="1" destOrd="0" presId="urn:microsoft.com/office/officeart/2005/8/layout/process3"/>
    <dgm:cxn modelId="{FA67116D-C5A4-4513-9CFA-5F316B7A22E7}" type="presParOf" srcId="{574C2513-7A31-4365-8A38-818B470755A3}" destId="{80E78826-9DF7-43A4-9BF6-6A839F328044}" srcOrd="2" destOrd="0" presId="urn:microsoft.com/office/officeart/2005/8/layout/process3"/>
    <dgm:cxn modelId="{883A4605-2C4F-4BAB-BEFF-CD80E2EEDE42}" type="presParOf" srcId="{43F1BB38-8C93-4AE8-B28A-A571746B0253}" destId="{612FDD07-6CA3-4148-87D1-6FABABEBF1D5}" srcOrd="1" destOrd="0" presId="urn:microsoft.com/office/officeart/2005/8/layout/process3"/>
    <dgm:cxn modelId="{426DC691-0C4A-40E3-909F-11AF41ED3F2A}" type="presParOf" srcId="{612FDD07-6CA3-4148-87D1-6FABABEBF1D5}" destId="{73D6FA06-675B-4DB1-A7D0-C0D21859032B}" srcOrd="0" destOrd="0" presId="urn:microsoft.com/office/officeart/2005/8/layout/process3"/>
    <dgm:cxn modelId="{8C19A5D4-F230-4FCA-8B9E-ED298631DDAA}" type="presParOf" srcId="{43F1BB38-8C93-4AE8-B28A-A571746B0253}" destId="{70F3AF65-710E-47EA-A33C-33C9B0676892}" srcOrd="2" destOrd="0" presId="urn:microsoft.com/office/officeart/2005/8/layout/process3"/>
    <dgm:cxn modelId="{08B41DDA-703C-4130-AEC7-CFBB9EA86E8D}" type="presParOf" srcId="{70F3AF65-710E-47EA-A33C-33C9B0676892}" destId="{2B49E849-19F9-4472-8099-FF9D09CA854F}" srcOrd="0" destOrd="0" presId="urn:microsoft.com/office/officeart/2005/8/layout/process3"/>
    <dgm:cxn modelId="{470656E8-A1AF-46FD-9D06-7538F2A62073}" type="presParOf" srcId="{70F3AF65-710E-47EA-A33C-33C9B0676892}" destId="{D6203931-AD49-4CB3-9DA3-95DBA25E563E}" srcOrd="1" destOrd="0" presId="urn:microsoft.com/office/officeart/2005/8/layout/process3"/>
    <dgm:cxn modelId="{1932A3B6-4EBE-4FA8-8415-E41230DBB4C2}" type="presParOf" srcId="{70F3AF65-710E-47EA-A33C-33C9B0676892}" destId="{F4944093-97A9-4E34-9E35-8E3BA52F0F23}" srcOrd="2" destOrd="0" presId="urn:microsoft.com/office/officeart/2005/8/layout/process3"/>
    <dgm:cxn modelId="{17251156-1E4F-46DF-84B1-3A15A15FB48C}" type="presParOf" srcId="{43F1BB38-8C93-4AE8-B28A-A571746B0253}" destId="{1C593144-55BC-491B-BE90-A96CD1F20612}" srcOrd="3" destOrd="0" presId="urn:microsoft.com/office/officeart/2005/8/layout/process3"/>
    <dgm:cxn modelId="{1315E140-69B2-484A-9381-4E8F9E8719BB}" type="presParOf" srcId="{1C593144-55BC-491B-BE90-A96CD1F20612}" destId="{F5BE05C0-0F20-422F-B106-A7A8AC02BD1A}" srcOrd="0" destOrd="0" presId="urn:microsoft.com/office/officeart/2005/8/layout/process3"/>
    <dgm:cxn modelId="{CC215DC6-19DB-49C8-B631-599CB4CD5E42}" type="presParOf" srcId="{43F1BB38-8C93-4AE8-B28A-A571746B0253}" destId="{0E2D5F80-DD2D-4542-8DDB-08316165B010}" srcOrd="4" destOrd="0" presId="urn:microsoft.com/office/officeart/2005/8/layout/process3"/>
    <dgm:cxn modelId="{49FD144B-276C-4058-A94A-1E6BD9E54EBB}" type="presParOf" srcId="{0E2D5F80-DD2D-4542-8DDB-08316165B010}" destId="{6FA55E12-343C-48AE-B4FF-A228B39FADF5}" srcOrd="0" destOrd="0" presId="urn:microsoft.com/office/officeart/2005/8/layout/process3"/>
    <dgm:cxn modelId="{E69A7C06-C503-4279-AB14-EE6ADDB42511}" type="presParOf" srcId="{0E2D5F80-DD2D-4542-8DDB-08316165B010}" destId="{E6EC2E35-4AC9-4F09-9EAC-545A055BF7BA}" srcOrd="1" destOrd="0" presId="urn:microsoft.com/office/officeart/2005/8/layout/process3"/>
    <dgm:cxn modelId="{2672E1FD-D753-4DEF-9E3B-F4C6BA409EC7}" type="presParOf" srcId="{0E2D5F80-DD2D-4542-8DDB-08316165B010}" destId="{8E524ED6-1076-4664-BB40-8ED0EB0FA31C}" srcOrd="2" destOrd="0" presId="urn:microsoft.com/office/officeart/2005/8/layout/process3"/>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89FDC9-067A-431B-81D3-B003C366FACC}">
      <dsp:nvSpPr>
        <dsp:cNvPr id="0" name=""/>
        <dsp:cNvSpPr/>
      </dsp:nvSpPr>
      <dsp:spPr>
        <a:xfrm>
          <a:off x="190" y="176921"/>
          <a:ext cx="1133981" cy="39332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lvl="0" algn="l" defTabSz="222250">
            <a:lnSpc>
              <a:spcPct val="90000"/>
            </a:lnSpc>
            <a:spcBef>
              <a:spcPct val="0"/>
            </a:spcBef>
            <a:spcAft>
              <a:spcPct val="35000"/>
            </a:spcAft>
          </a:pPr>
          <a:r>
            <a:rPr lang="ro-MD" sz="500" kern="1200"/>
            <a:t>Standard ocupațional (Competențe profesionale)</a:t>
          </a:r>
        </a:p>
      </dsp:txBody>
      <dsp:txXfrm>
        <a:off x="190" y="176921"/>
        <a:ext cx="1133981" cy="262218"/>
      </dsp:txXfrm>
    </dsp:sp>
    <dsp:sp modelId="{80E78826-9DF7-43A4-9BF6-6A839F328044}">
      <dsp:nvSpPr>
        <dsp:cNvPr id="0" name=""/>
        <dsp:cNvSpPr/>
      </dsp:nvSpPr>
      <dsp:spPr>
        <a:xfrm>
          <a:off x="78950" y="421678"/>
          <a:ext cx="1440983" cy="900000"/>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ro-RO" sz="1000" b="1" kern="1200"/>
            <a:t>CP</a:t>
          </a:r>
          <a:r>
            <a:rPr lang="ro-RO" sz="1000" kern="1200"/>
            <a:t> Prelucrarea manuală și/sau mecanică a materialelor</a:t>
          </a:r>
          <a:endParaRPr lang="ro-MD" sz="1000" kern="1200"/>
        </a:p>
      </dsp:txBody>
      <dsp:txXfrm>
        <a:off x="105310" y="448038"/>
        <a:ext cx="1388263" cy="847280"/>
      </dsp:txXfrm>
    </dsp:sp>
    <dsp:sp modelId="{612FDD07-6CA3-4148-87D1-6FABABEBF1D5}">
      <dsp:nvSpPr>
        <dsp:cNvPr id="0" name=""/>
        <dsp:cNvSpPr/>
      </dsp:nvSpPr>
      <dsp:spPr>
        <a:xfrm rot="21592437">
          <a:off x="1344453" y="164666"/>
          <a:ext cx="445800" cy="2823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ro-MD" sz="400" kern="1200"/>
        </a:p>
      </dsp:txBody>
      <dsp:txXfrm>
        <a:off x="1344453" y="221225"/>
        <a:ext cx="361102" cy="169396"/>
      </dsp:txXfrm>
    </dsp:sp>
    <dsp:sp modelId="{D6203931-AD49-4CB3-9DA3-95DBA25E563E}">
      <dsp:nvSpPr>
        <dsp:cNvPr id="0" name=""/>
        <dsp:cNvSpPr/>
      </dsp:nvSpPr>
      <dsp:spPr>
        <a:xfrm>
          <a:off x="1975302" y="189956"/>
          <a:ext cx="1133981" cy="34118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lvl="0" algn="l" defTabSz="222250">
            <a:lnSpc>
              <a:spcPct val="90000"/>
            </a:lnSpc>
            <a:spcBef>
              <a:spcPct val="0"/>
            </a:spcBef>
            <a:spcAft>
              <a:spcPct val="35000"/>
            </a:spcAft>
          </a:pPr>
          <a:r>
            <a:rPr lang="ro-MD" sz="500" kern="1200"/>
            <a:t>Standard de calificare (Rezultate ale învățării) </a:t>
          </a:r>
        </a:p>
      </dsp:txBody>
      <dsp:txXfrm>
        <a:off x="1975302" y="189956"/>
        <a:ext cx="1133981" cy="227457"/>
      </dsp:txXfrm>
    </dsp:sp>
    <dsp:sp modelId="{F4944093-97A9-4E34-9E35-8E3BA52F0F23}">
      <dsp:nvSpPr>
        <dsp:cNvPr id="0" name=""/>
        <dsp:cNvSpPr/>
      </dsp:nvSpPr>
      <dsp:spPr>
        <a:xfrm>
          <a:off x="2048908" y="408643"/>
          <a:ext cx="1451291" cy="900000"/>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ro-MD" sz="500" b="1" kern="1200"/>
            <a:t>RÎ. </a:t>
          </a:r>
          <a:r>
            <a:rPr lang="ro-RO" sz="500" i="1" kern="1200"/>
            <a:t>Absolventul/candidatul la atribuirea calificării poate </a:t>
          </a:r>
          <a:r>
            <a:rPr lang="ro-RO" sz="500" kern="1200"/>
            <a:t>executa lucrări de lăcătușărie specifice echipamentului electric și electronic.</a:t>
          </a:r>
          <a:endParaRPr lang="ro-MD" sz="500" kern="1200"/>
        </a:p>
      </dsp:txBody>
      <dsp:txXfrm>
        <a:off x="2075268" y="435003"/>
        <a:ext cx="1398571" cy="847280"/>
      </dsp:txXfrm>
    </dsp:sp>
    <dsp:sp modelId="{1C593144-55BC-491B-BE90-A96CD1F20612}">
      <dsp:nvSpPr>
        <dsp:cNvPr id="0" name=""/>
        <dsp:cNvSpPr/>
      </dsp:nvSpPr>
      <dsp:spPr>
        <a:xfrm rot="943">
          <a:off x="3320854" y="162796"/>
          <a:ext cx="448531" cy="2823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ro-MD" sz="400" kern="1200"/>
        </a:p>
      </dsp:txBody>
      <dsp:txXfrm>
        <a:off x="3320854" y="219250"/>
        <a:ext cx="363833" cy="169396"/>
      </dsp:txXfrm>
    </dsp:sp>
    <dsp:sp modelId="{E6EC2E35-4AC9-4F09-9EAC-545A055BF7BA}">
      <dsp:nvSpPr>
        <dsp:cNvPr id="0" name=""/>
        <dsp:cNvSpPr/>
      </dsp:nvSpPr>
      <dsp:spPr>
        <a:xfrm>
          <a:off x="3955568" y="188327"/>
          <a:ext cx="1133981" cy="347704"/>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lvl="0" algn="l" defTabSz="222250">
            <a:lnSpc>
              <a:spcPct val="90000"/>
            </a:lnSpc>
            <a:spcBef>
              <a:spcPct val="0"/>
            </a:spcBef>
            <a:spcAft>
              <a:spcPct val="35000"/>
            </a:spcAft>
          </a:pPr>
          <a:r>
            <a:rPr lang="ro-MD" sz="500" kern="1200"/>
            <a:t>Curriculum (Rezultate ale învățării)</a:t>
          </a:r>
        </a:p>
      </dsp:txBody>
      <dsp:txXfrm>
        <a:off x="3955568" y="188327"/>
        <a:ext cx="1133981" cy="231802"/>
      </dsp:txXfrm>
    </dsp:sp>
    <dsp:sp modelId="{8E524ED6-1076-4664-BB40-8ED0EB0FA31C}">
      <dsp:nvSpPr>
        <dsp:cNvPr id="0" name=""/>
        <dsp:cNvSpPr/>
      </dsp:nvSpPr>
      <dsp:spPr>
        <a:xfrm>
          <a:off x="4023430" y="410272"/>
          <a:ext cx="1462778" cy="900000"/>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ro-MD" sz="500" b="1" kern="1200"/>
            <a:t>RÎ. </a:t>
          </a:r>
          <a:r>
            <a:rPr lang="ro-MD" sz="500" b="0" kern="1200"/>
            <a:t>L</a:t>
          </a:r>
          <a:r>
            <a:rPr lang="ro-RO" sz="500" kern="1200"/>
            <a:t>a final de program, absolventul trebuie să demonstreze că poate executa lucrări de lăcătușărie auto</a:t>
          </a:r>
          <a:endParaRPr lang="ro-MD" sz="500" b="1" kern="1200"/>
        </a:p>
      </dsp:txBody>
      <dsp:txXfrm>
        <a:off x="4049790" y="436632"/>
        <a:ext cx="1410058" cy="8472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1E34EC18DB949AAE9A1BDE48EE5C1" ma:contentTypeVersion="19" ma:contentTypeDescription="Create a new document." ma:contentTypeScope="" ma:versionID="1e2cd3cd15f9a2165f6c0a17d8f912b4">
  <xsd:schema xmlns:xsd="http://www.w3.org/2001/XMLSchema" xmlns:xs="http://www.w3.org/2001/XMLSchema" xmlns:p="http://schemas.microsoft.com/office/2006/metadata/properties" xmlns:ns2="bb3199a6-b2bc-437b-a73c-531cdd370169" xmlns:ns3="57893e3f-2cb6-416c-b8cb-105855cdd66b" targetNamespace="http://schemas.microsoft.com/office/2006/metadata/properties" ma:root="true" ma:fieldsID="567ca148269ffad098a9df87856534d5" ns2:_="" ns3:_="">
    <xsd:import namespace="bb3199a6-b2bc-437b-a73c-531cdd370169"/>
    <xsd:import namespace="57893e3f-2cb6-416c-b8cb-105855cdd6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199a6-b2bc-437b-a73c-531cdd370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b458b8-b0f4-4e67-85ce-c8f81b703e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93e3f-2cb6-416c-b8cb-105855cdd6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868287-6e28-4a3b-b33b-48cddd3609a2}" ma:internalName="TaxCatchAll" ma:showField="CatchAllData" ma:web="57893e3f-2cb6-416c-b8cb-105855cdd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893e3f-2cb6-416c-b8cb-105855cdd66b" xsi:nil="true"/>
    <lcf76f155ced4ddcb4097134ff3c332f xmlns="bb3199a6-b2bc-437b-a73c-531cdd3701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58DF-B477-4E6D-9DE8-A2E3BF670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199a6-b2bc-437b-a73c-531cdd370169"/>
    <ds:schemaRef ds:uri="57893e3f-2cb6-416c-b8cb-105855cd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2E788-CCFA-42AC-BEF1-EA8E9D808E84}">
  <ds:schemaRefs>
    <ds:schemaRef ds:uri="http://schemas.microsoft.com/office/2006/metadata/properties"/>
    <ds:schemaRef ds:uri="http://schemas.microsoft.com/office/infopath/2007/PartnerControls"/>
    <ds:schemaRef ds:uri="57893e3f-2cb6-416c-b8cb-105855cdd66b"/>
    <ds:schemaRef ds:uri="bb3199a6-b2bc-437b-a73c-531cdd370169"/>
  </ds:schemaRefs>
</ds:datastoreItem>
</file>

<file path=customXml/itemProps3.xml><?xml version="1.0" encoding="utf-8"?>
<ds:datastoreItem xmlns:ds="http://schemas.openxmlformats.org/officeDocument/2006/customXml" ds:itemID="{5C95ACDE-FE89-49B5-90AB-CDEADA43F627}">
  <ds:schemaRefs>
    <ds:schemaRef ds:uri="http://schemas.microsoft.com/sharepoint/v3/contenttype/forms"/>
  </ds:schemaRefs>
</ds:datastoreItem>
</file>

<file path=customXml/itemProps4.xml><?xml version="1.0" encoding="utf-8"?>
<ds:datastoreItem xmlns:ds="http://schemas.openxmlformats.org/officeDocument/2006/customXml" ds:itemID="{60D32D46-FA3F-400A-9EC7-7EAB7745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155</Pages>
  <Words>71791</Words>
  <Characters>409211</Characters>
  <Application>Microsoft Office Word</Application>
  <DocSecurity>0</DocSecurity>
  <Lines>3410</Lines>
  <Paragraphs>960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Raport de referențiere a Cadrului Național al Calificărilor (CNC) la Cadrul European al Calificărilor (EQF) și de autocertificare la Cadrul Calificărilor din Spațiul Învățământului Superior (QF-EHEA)</vt:lpstr>
      <vt:lpstr>Raport de referențiere a Cadrului Național al Calificărilor (CNC) la Cadrul European al Calificărilor (EQF) și de autocertificare la Cadrul Calificărilor din Spațiul Învățământului Superior (QF-EHEA)</vt:lpstr>
    </vt:vector>
  </TitlesOfParts>
  <Company/>
  <LinksUpToDate>false</LinksUpToDate>
  <CharactersWithSpaces>480042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referențiere a Cadrului Național al Calificărilor (CNC) la Cadrul European al Calificărilor (EQF) și de autocertificare la Cadrul Calificărilor din Spațiul Învățământului Superior (QF-EHEA)</dc:title>
  <dc:subject/>
  <dc:creator>Ministerul Educației și Cercetării al Republicii Moldova</dc:creator>
  <cp:keywords/>
  <dc:description/>
  <cp:lastModifiedBy>MECC</cp:lastModifiedBy>
  <cp:revision>2</cp:revision>
  <cp:lastPrinted>2025-08-09T17:16:00Z</cp:lastPrinted>
  <dcterms:created xsi:type="dcterms:W3CDTF">2025-10-16T14:12:00Z</dcterms:created>
  <dcterms:modified xsi:type="dcterms:W3CDTF">2025-10-16T14:12:00Z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0x0101007AC1E34EC18DB949AAE9A1BDE48EE5C1</vt:lpwstr>
  </property>
  <property fmtid="{D5CDD505-2E9C-101B-9397-08002B2CF9AE}" pid="3" name="MediaServiceImageTags">
    <vt:lpwstr/>
  </property>
</Properties>
</file>