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5450" w14:textId="033884CF" w:rsidR="002510C1" w:rsidRPr="002F7510" w:rsidRDefault="00A042D0" w:rsidP="00A042D0">
      <w:pPr>
        <w:jc w:val="center"/>
        <w:rPr>
          <w:rFonts w:ascii="Times New Roman" w:hAnsi="Times New Roman" w:cs="Times New Roman"/>
          <w:b/>
          <w:lang w:val="ro-RO"/>
        </w:rPr>
      </w:pPr>
      <w:r w:rsidRPr="002F7510">
        <w:rPr>
          <w:rFonts w:ascii="Times New Roman" w:hAnsi="Times New Roman" w:cs="Times New Roman"/>
          <w:b/>
          <w:lang w:val="ro-RO"/>
        </w:rPr>
        <w:t xml:space="preserve">Nota </w:t>
      </w:r>
      <w:r w:rsidR="00534614">
        <w:rPr>
          <w:rFonts w:ascii="Times New Roman" w:hAnsi="Times New Roman" w:cs="Times New Roman"/>
          <w:b/>
          <w:lang w:val="ro-RO"/>
        </w:rPr>
        <w:t>de fundamentare</w:t>
      </w:r>
      <w:r w:rsidRPr="002F7510">
        <w:rPr>
          <w:rFonts w:ascii="Times New Roman" w:hAnsi="Times New Roman" w:cs="Times New Roman"/>
          <w:b/>
          <w:lang w:val="ro-RO"/>
        </w:rPr>
        <w:t xml:space="preserve"> </w:t>
      </w:r>
    </w:p>
    <w:p w14:paraId="478E1F6C" w14:textId="7EB26D34" w:rsidR="00A042D0" w:rsidRPr="001954AD" w:rsidRDefault="00A042D0" w:rsidP="00A042D0">
      <w:pPr>
        <w:jc w:val="center"/>
        <w:rPr>
          <w:rFonts w:ascii="Times New Roman" w:hAnsi="Times New Roman" w:cs="Times New Roman"/>
          <w:b/>
          <w:lang w:val="ro-RO"/>
        </w:rPr>
      </w:pPr>
      <w:r w:rsidRPr="004A02FA">
        <w:rPr>
          <w:rFonts w:ascii="Times New Roman" w:hAnsi="Times New Roman" w:cs="Times New Roman"/>
          <w:b/>
          <w:lang w:val="ro-RO"/>
        </w:rPr>
        <w:t xml:space="preserve">la </w:t>
      </w:r>
      <w:bookmarkStart w:id="0" w:name="_Hlk194992246"/>
      <w:r w:rsidRPr="004A02FA">
        <w:rPr>
          <w:rFonts w:ascii="Times New Roman" w:hAnsi="Times New Roman" w:cs="Times New Roman"/>
          <w:b/>
          <w:lang w:val="ro-RO"/>
        </w:rPr>
        <w:t xml:space="preserve">proiectul </w:t>
      </w:r>
      <w:r w:rsidR="00481C13" w:rsidRPr="004A02FA">
        <w:rPr>
          <w:rFonts w:ascii="Times New Roman" w:hAnsi="Times New Roman" w:cs="Times New Roman"/>
          <w:b/>
          <w:lang w:val="ro-RO"/>
        </w:rPr>
        <w:t>hotărârii</w:t>
      </w:r>
      <w:r w:rsidR="00200D91" w:rsidRPr="004A02FA">
        <w:rPr>
          <w:rFonts w:ascii="Times New Roman" w:hAnsi="Times New Roman" w:cs="Times New Roman"/>
          <w:b/>
          <w:lang w:val="ro-RO"/>
        </w:rPr>
        <w:t xml:space="preserve"> Guvernului</w:t>
      </w:r>
      <w:r w:rsidR="00CA25FD" w:rsidRPr="004A02FA">
        <w:rPr>
          <w:rFonts w:ascii="Times New Roman" w:hAnsi="Times New Roman" w:cs="Times New Roman"/>
          <w:b/>
          <w:lang w:val="ro-RO"/>
        </w:rPr>
        <w:t xml:space="preserve"> </w:t>
      </w:r>
      <w:bookmarkStart w:id="1" w:name="_Hlk209708718"/>
      <w:bookmarkEnd w:id="0"/>
      <w:r w:rsidR="00DB4CEB" w:rsidRPr="00DB4CEB">
        <w:rPr>
          <w:rFonts w:ascii="Times New Roman" w:hAnsi="Times New Roman" w:cs="Times New Roman"/>
          <w:b/>
          <w:lang w:val="ro-RO"/>
        </w:rPr>
        <w:t xml:space="preserve">cu privire la aprobarea Cerințelor și procedurilor pentru încărcarea și descărcarea în siguranță a </w:t>
      </w:r>
      <w:proofErr w:type="spellStart"/>
      <w:r w:rsidR="00DB4CEB" w:rsidRPr="00DB4CEB">
        <w:rPr>
          <w:rFonts w:ascii="Times New Roman" w:hAnsi="Times New Roman" w:cs="Times New Roman"/>
          <w:b/>
          <w:lang w:val="ro-RO"/>
        </w:rPr>
        <w:t>vrachierelor</w:t>
      </w:r>
      <w:bookmarkEnd w:id="1"/>
      <w:proofErr w:type="spellEnd"/>
    </w:p>
    <w:tbl>
      <w:tblPr>
        <w:tblStyle w:val="TableGrid"/>
        <w:tblW w:w="0" w:type="auto"/>
        <w:tblInd w:w="0" w:type="dxa"/>
        <w:tblLook w:val="04A0" w:firstRow="1" w:lastRow="0" w:firstColumn="1" w:lastColumn="0" w:noHBand="0" w:noVBand="1"/>
      </w:tblPr>
      <w:tblGrid>
        <w:gridCol w:w="9345"/>
      </w:tblGrid>
      <w:tr w:rsidR="00A042D0" w:rsidRPr="00703406" w14:paraId="02CCAB29"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2585BF6" w14:textId="77777777" w:rsidR="00A042D0" w:rsidRPr="002F7510" w:rsidRDefault="00A042D0">
            <w:pPr>
              <w:jc w:val="both"/>
              <w:rPr>
                <w:rFonts w:ascii="Times New Roman" w:hAnsi="Times New Roman" w:cs="Times New Roman"/>
                <w:b/>
                <w:lang w:val="ro-RO"/>
              </w:rPr>
            </w:pPr>
            <w:r w:rsidRPr="002F7510">
              <w:rPr>
                <w:rFonts w:ascii="Times New Roman" w:hAnsi="Times New Roman" w:cs="Times New Roman"/>
                <w:b/>
                <w:lang w:val="ro-RO"/>
              </w:rPr>
              <w:t>1. Denumirea autorului și, după caz, a participanților la elaborarea proiectului</w:t>
            </w:r>
          </w:p>
        </w:tc>
      </w:tr>
      <w:tr w:rsidR="00A042D0" w:rsidRPr="00703406" w14:paraId="2030FAF6"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00CEFF9E" w14:textId="6BFCA78B" w:rsidR="00A042D0" w:rsidRPr="002F7510" w:rsidRDefault="00A042D0" w:rsidP="00A30CFF">
            <w:pPr>
              <w:ind w:firstLine="600"/>
              <w:jc w:val="both"/>
              <w:rPr>
                <w:rFonts w:ascii="Times New Roman" w:hAnsi="Times New Roman" w:cs="Times New Roman"/>
                <w:lang w:val="ro-RO"/>
              </w:rPr>
            </w:pPr>
            <w:r w:rsidRPr="002F7510">
              <w:rPr>
                <w:rFonts w:ascii="Times New Roman" w:hAnsi="Times New Roman" w:cs="Times New Roman"/>
                <w:lang w:val="ro-RO"/>
              </w:rPr>
              <w:t>Ministerul Infrastructurii și Dezvoltării Regionale.</w:t>
            </w:r>
          </w:p>
        </w:tc>
      </w:tr>
      <w:tr w:rsidR="00A042D0" w:rsidRPr="00703406" w14:paraId="5103FD8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2188070" w14:textId="77777777" w:rsidR="00A042D0" w:rsidRPr="002F7510" w:rsidRDefault="00A042D0">
            <w:pPr>
              <w:jc w:val="both"/>
              <w:rPr>
                <w:rFonts w:ascii="Times New Roman" w:hAnsi="Times New Roman" w:cs="Times New Roman"/>
                <w:b/>
                <w:lang w:val="ro-RO"/>
              </w:rPr>
            </w:pPr>
            <w:r w:rsidRPr="002F7510">
              <w:rPr>
                <w:rFonts w:ascii="Times New Roman" w:hAnsi="Times New Roman" w:cs="Times New Roman"/>
                <w:b/>
                <w:lang w:val="ro-RO"/>
              </w:rPr>
              <w:t>2. Condițiile ce au impus elaborarea proiectului de act normativ și finalitățile urmărite</w:t>
            </w:r>
          </w:p>
        </w:tc>
      </w:tr>
      <w:tr w:rsidR="006E1842" w:rsidRPr="00703406" w14:paraId="0C07D73D" w14:textId="77777777" w:rsidTr="00A042D0">
        <w:tc>
          <w:tcPr>
            <w:tcW w:w="9345" w:type="dxa"/>
            <w:tcBorders>
              <w:top w:val="single" w:sz="4" w:space="0" w:color="auto"/>
              <w:left w:val="single" w:sz="4" w:space="0" w:color="auto"/>
              <w:bottom w:val="single" w:sz="4" w:space="0" w:color="auto"/>
              <w:right w:val="single" w:sz="4" w:space="0" w:color="auto"/>
            </w:tcBorders>
          </w:tcPr>
          <w:p w14:paraId="3359831E" w14:textId="686B05F0" w:rsidR="006E1842" w:rsidRPr="002F7510" w:rsidRDefault="006E1842" w:rsidP="006E1842">
            <w:pPr>
              <w:rPr>
                <w:rFonts w:ascii="Times New Roman" w:hAnsi="Times New Roman" w:cs="Times New Roman"/>
                <w:lang w:val="ro-RO"/>
              </w:rPr>
            </w:pPr>
            <w:r w:rsidRPr="002F7510">
              <w:rPr>
                <w:rFonts w:ascii="Times New Roman" w:hAnsi="Times New Roman" w:cs="Times New Roman"/>
                <w:lang w:val="ro-RO"/>
              </w:rPr>
              <w:t xml:space="preserve">2.1 Temeiul legal sau, </w:t>
            </w:r>
            <w:proofErr w:type="spellStart"/>
            <w:r w:rsidRPr="002F7510">
              <w:rPr>
                <w:rFonts w:ascii="Times New Roman" w:hAnsi="Times New Roman" w:cs="Times New Roman"/>
                <w:lang w:val="ro-RO"/>
              </w:rPr>
              <w:t>dupa</w:t>
            </w:r>
            <w:proofErr w:type="spellEnd"/>
            <w:r w:rsidRPr="002F7510">
              <w:rPr>
                <w:rFonts w:ascii="Times New Roman" w:hAnsi="Times New Roman" w:cs="Times New Roman"/>
                <w:lang w:val="ro-RO"/>
              </w:rPr>
              <w:t xml:space="preserve">̆ caz, sursa proiectului actului normativ </w:t>
            </w:r>
          </w:p>
        </w:tc>
      </w:tr>
      <w:tr w:rsidR="006E1842" w:rsidRPr="00703406" w14:paraId="03ED1FFE" w14:textId="77777777" w:rsidTr="00A042D0">
        <w:tc>
          <w:tcPr>
            <w:tcW w:w="9345" w:type="dxa"/>
            <w:tcBorders>
              <w:top w:val="single" w:sz="4" w:space="0" w:color="auto"/>
              <w:left w:val="single" w:sz="4" w:space="0" w:color="auto"/>
              <w:bottom w:val="single" w:sz="4" w:space="0" w:color="auto"/>
              <w:right w:val="single" w:sz="4" w:space="0" w:color="auto"/>
            </w:tcBorders>
          </w:tcPr>
          <w:p w14:paraId="5B2CEEA8" w14:textId="77777777" w:rsidR="00DB4CEB" w:rsidRDefault="00A03920" w:rsidP="008F4234">
            <w:pPr>
              <w:ind w:firstLine="600"/>
              <w:jc w:val="both"/>
              <w:rPr>
                <w:rFonts w:ascii="Times" w:hAnsi="Times"/>
                <w:lang w:val="ro-RO"/>
              </w:rPr>
            </w:pPr>
            <w:bookmarkStart w:id="2" w:name="_Hlk209708739"/>
            <w:r w:rsidRPr="004A02FA">
              <w:rPr>
                <w:rFonts w:ascii="Times New Roman" w:hAnsi="Times New Roman" w:cs="Times New Roman"/>
                <w:bCs/>
                <w:lang w:val="ro-RO"/>
              </w:rPr>
              <w:t xml:space="preserve">Proiectul este elaborat în </w:t>
            </w:r>
            <w:r w:rsidR="00481C13" w:rsidRPr="004A02FA">
              <w:rPr>
                <w:rFonts w:ascii="Times New Roman" w:hAnsi="Times New Roman" w:cs="Times New Roman"/>
                <w:bCs/>
                <w:lang w:val="ro-RO"/>
              </w:rPr>
              <w:t xml:space="preserve">temeiul </w:t>
            </w:r>
            <w:r w:rsidR="00307187" w:rsidRPr="004A02FA">
              <w:rPr>
                <w:rFonts w:ascii="Times" w:hAnsi="Times"/>
                <w:lang w:val="ro-RO"/>
              </w:rPr>
              <w:t xml:space="preserve">art. </w:t>
            </w:r>
            <w:r w:rsidR="00DB4CEB" w:rsidRPr="00DB4CEB">
              <w:rPr>
                <w:rFonts w:ascii="Times" w:hAnsi="Times"/>
                <w:lang w:val="ro-RO"/>
              </w:rPr>
              <w:t xml:space="preserve">81, 251 și Anexei XXVIII-D din Acordul de Asociere între Republica Moldova, pe de o parte, și Uniunea Europeană și Comunitatea Europeană a Energiei Atomice și statele membre ale acestora, pe de altă parte, semnat la Bruxelles la 27 iunie 2014, ratificat prin Legea nr. 112/2014 (Monitorul Oficial al Republicii Moldova, 2014, nr. 185-199, art. 442) și art. 2 din Legea nr. 185/2005 pentru aderarea Republicii Moldova la </w:t>
            </w:r>
            <w:proofErr w:type="spellStart"/>
            <w:r w:rsidR="00DB4CEB" w:rsidRPr="00DB4CEB">
              <w:rPr>
                <w:rFonts w:ascii="Times" w:hAnsi="Times"/>
                <w:lang w:val="ro-RO"/>
              </w:rPr>
              <w:t>Convenţia</w:t>
            </w:r>
            <w:proofErr w:type="spellEnd"/>
            <w:r w:rsidR="00DB4CEB" w:rsidRPr="00DB4CEB">
              <w:rPr>
                <w:rFonts w:ascii="Times" w:hAnsi="Times"/>
                <w:lang w:val="ro-RO"/>
              </w:rPr>
              <w:t xml:space="preserve"> </w:t>
            </w:r>
            <w:proofErr w:type="spellStart"/>
            <w:r w:rsidR="00DB4CEB" w:rsidRPr="00DB4CEB">
              <w:rPr>
                <w:rFonts w:ascii="Times" w:hAnsi="Times"/>
                <w:lang w:val="ro-RO"/>
              </w:rPr>
              <w:t>internaţională</w:t>
            </w:r>
            <w:proofErr w:type="spellEnd"/>
            <w:r w:rsidR="00DB4CEB" w:rsidRPr="00DB4CEB">
              <w:rPr>
                <w:rFonts w:ascii="Times" w:hAnsi="Times"/>
                <w:lang w:val="ro-RO"/>
              </w:rPr>
              <w:t xml:space="preserve"> privind ocrotirea </w:t>
            </w:r>
            <w:proofErr w:type="spellStart"/>
            <w:r w:rsidR="00DB4CEB" w:rsidRPr="00DB4CEB">
              <w:rPr>
                <w:rFonts w:ascii="Times" w:hAnsi="Times"/>
                <w:lang w:val="ro-RO"/>
              </w:rPr>
              <w:t>vieţii</w:t>
            </w:r>
            <w:proofErr w:type="spellEnd"/>
            <w:r w:rsidR="00DB4CEB" w:rsidRPr="00DB4CEB">
              <w:rPr>
                <w:rFonts w:ascii="Times" w:hAnsi="Times"/>
                <w:lang w:val="ro-RO"/>
              </w:rPr>
              <w:t xml:space="preserve"> umane pe mare, adoptată la Londra la 1 noiembrie 1974, şi la Protocolul la ea (SOLAS 74), adoptat la Londra la 11 noiembrie 1988 (Monitorul Oficial al Republicii Moldova, 2005, nr.107-109, art. 547)</w:t>
            </w:r>
            <w:r w:rsidR="00DB4CEB">
              <w:rPr>
                <w:rFonts w:ascii="Times" w:hAnsi="Times"/>
                <w:lang w:val="ro-RO"/>
              </w:rPr>
              <w:t>.</w:t>
            </w:r>
          </w:p>
          <w:p w14:paraId="57200F05" w14:textId="11CF935E" w:rsidR="001954AD" w:rsidRPr="008F4234" w:rsidRDefault="00DB4CEB" w:rsidP="009D78DC">
            <w:pPr>
              <w:ind w:firstLine="600"/>
              <w:jc w:val="both"/>
              <w:rPr>
                <w:rFonts w:ascii="Times New Roman" w:hAnsi="Times New Roman" w:cs="Times New Roman"/>
                <w:color w:val="000000" w:themeColor="text1"/>
                <w:lang w:val="ro-RO"/>
              </w:rPr>
            </w:pPr>
            <w:r>
              <w:rPr>
                <w:rFonts w:ascii="Times" w:hAnsi="Times" w:cs="Times New Roman"/>
                <w:color w:val="000000" w:themeColor="text1"/>
                <w:lang w:val="ro-RO"/>
              </w:rPr>
              <w:t xml:space="preserve">Totodată, proiectul este elaborat în conformitate </w:t>
            </w:r>
            <w:r w:rsidR="009D78DC">
              <w:rPr>
                <w:rFonts w:ascii="Times" w:hAnsi="Times" w:cs="Times New Roman"/>
                <w:color w:val="000000" w:themeColor="text1"/>
                <w:lang w:val="ro-RO"/>
              </w:rPr>
              <w:t>pct. 1</w:t>
            </w:r>
            <w:r w:rsidR="00765099">
              <w:rPr>
                <w:rFonts w:ascii="Times" w:hAnsi="Times" w:cs="Times New Roman"/>
                <w:color w:val="000000" w:themeColor="text1"/>
                <w:lang w:val="ro-RO"/>
              </w:rPr>
              <w:t>65</w:t>
            </w:r>
            <w:r w:rsidR="009D78DC">
              <w:rPr>
                <w:rFonts w:ascii="Times" w:hAnsi="Times" w:cs="Times New Roman"/>
                <w:color w:val="000000" w:themeColor="text1"/>
                <w:lang w:val="ro-RO"/>
              </w:rPr>
              <w:t xml:space="preserve"> din Capitolul 14 Clusterul 4 </w:t>
            </w:r>
            <w:r w:rsidR="009D78DC" w:rsidRPr="009D78DC">
              <w:rPr>
                <w:rFonts w:ascii="Times" w:hAnsi="Times" w:cs="Times New Roman"/>
                <w:color w:val="000000" w:themeColor="text1"/>
                <w:lang w:val="ro-RO"/>
              </w:rPr>
              <w:t xml:space="preserve">Programului </w:t>
            </w:r>
            <w:proofErr w:type="spellStart"/>
            <w:r w:rsidR="009D78DC" w:rsidRPr="009D78DC">
              <w:rPr>
                <w:rFonts w:ascii="Times" w:hAnsi="Times" w:cs="Times New Roman"/>
                <w:color w:val="000000" w:themeColor="text1"/>
                <w:lang w:val="ro-RO"/>
              </w:rPr>
              <w:t>naţional</w:t>
            </w:r>
            <w:proofErr w:type="spellEnd"/>
            <w:r w:rsidR="009D78DC" w:rsidRPr="009D78DC">
              <w:rPr>
                <w:rFonts w:ascii="Times" w:hAnsi="Times" w:cs="Times New Roman"/>
                <w:color w:val="000000" w:themeColor="text1"/>
                <w:lang w:val="ro-RO"/>
              </w:rPr>
              <w:t xml:space="preserve"> de aderare a Republicii Moldova</w:t>
            </w:r>
            <w:r w:rsidR="009D78DC">
              <w:rPr>
                <w:rFonts w:ascii="Times" w:hAnsi="Times" w:cs="Times New Roman"/>
                <w:color w:val="000000" w:themeColor="text1"/>
                <w:lang w:val="ro-RO"/>
              </w:rPr>
              <w:t xml:space="preserve"> </w:t>
            </w:r>
            <w:r w:rsidR="009D78DC" w:rsidRPr="009D78DC">
              <w:rPr>
                <w:rFonts w:ascii="Times" w:hAnsi="Times" w:cs="Times New Roman"/>
                <w:color w:val="000000" w:themeColor="text1"/>
                <w:lang w:val="ro-RO"/>
              </w:rPr>
              <w:t>la Uniunea Europeană pentru anii 2025-2029</w:t>
            </w:r>
            <w:r w:rsidR="009D78DC">
              <w:rPr>
                <w:rFonts w:ascii="Times" w:hAnsi="Times" w:cs="Times New Roman"/>
                <w:color w:val="000000" w:themeColor="text1"/>
                <w:lang w:val="ro-RO"/>
              </w:rPr>
              <w:t xml:space="preserve">, aprobat prin </w:t>
            </w:r>
            <w:proofErr w:type="spellStart"/>
            <w:r w:rsidR="009D78DC">
              <w:rPr>
                <w:rFonts w:ascii="Times" w:hAnsi="Times" w:cs="Times New Roman"/>
                <w:color w:val="000000" w:themeColor="text1"/>
                <w:lang w:val="ro-RO"/>
              </w:rPr>
              <w:t>Hotărîrea</w:t>
            </w:r>
            <w:proofErr w:type="spellEnd"/>
            <w:r w:rsidR="009D78DC">
              <w:rPr>
                <w:rFonts w:ascii="Times" w:hAnsi="Times" w:cs="Times New Roman"/>
                <w:color w:val="000000" w:themeColor="text1"/>
                <w:lang w:val="ro-RO"/>
              </w:rPr>
              <w:t xml:space="preserve"> Guvernului nr. 306/2025.</w:t>
            </w:r>
            <w:bookmarkEnd w:id="2"/>
          </w:p>
        </w:tc>
      </w:tr>
      <w:tr w:rsidR="006E1842" w:rsidRPr="00703406" w14:paraId="3D128F32" w14:textId="77777777" w:rsidTr="00A042D0">
        <w:tc>
          <w:tcPr>
            <w:tcW w:w="9345" w:type="dxa"/>
            <w:tcBorders>
              <w:top w:val="single" w:sz="4" w:space="0" w:color="auto"/>
              <w:left w:val="single" w:sz="4" w:space="0" w:color="auto"/>
              <w:bottom w:val="single" w:sz="4" w:space="0" w:color="auto"/>
              <w:right w:val="single" w:sz="4" w:space="0" w:color="auto"/>
            </w:tcBorders>
          </w:tcPr>
          <w:p w14:paraId="499A3C92" w14:textId="00B98E95" w:rsidR="006E1842" w:rsidRPr="002F7510" w:rsidRDefault="006E1842" w:rsidP="003C2681">
            <w:pPr>
              <w:jc w:val="both"/>
              <w:rPr>
                <w:rFonts w:ascii="Times New Roman" w:hAnsi="Times New Roman" w:cs="Times New Roman"/>
                <w:lang w:val="ro-RO"/>
              </w:rPr>
            </w:pPr>
            <w:r w:rsidRPr="002F7510">
              <w:rPr>
                <w:rFonts w:ascii="Times New Roman" w:hAnsi="Times New Roman" w:cs="Times New Roman"/>
                <w:lang w:val="ro-RO"/>
              </w:rPr>
              <w:t xml:space="preserve">2.2 Descrierea situației actuale </w:t>
            </w:r>
            <w:r w:rsidR="003D7AD6" w:rsidRPr="002F7510">
              <w:rPr>
                <w:rFonts w:ascii="Times New Roman" w:hAnsi="Times New Roman" w:cs="Times New Roman"/>
                <w:lang w:val="ro-RO"/>
              </w:rPr>
              <w:t>şi</w:t>
            </w:r>
            <w:r w:rsidRPr="002F7510">
              <w:rPr>
                <w:rFonts w:ascii="Times New Roman" w:hAnsi="Times New Roman" w:cs="Times New Roman"/>
                <w:lang w:val="ro-RO"/>
              </w:rPr>
              <w:t xml:space="preserve"> a problemelor care impun </w:t>
            </w:r>
            <w:r w:rsidR="003D7AD6" w:rsidRPr="002F7510">
              <w:rPr>
                <w:rFonts w:ascii="Times New Roman" w:hAnsi="Times New Roman" w:cs="Times New Roman"/>
                <w:lang w:val="ro-RO"/>
              </w:rPr>
              <w:t>intervenția</w:t>
            </w:r>
            <w:r w:rsidRPr="002F7510">
              <w:rPr>
                <w:rFonts w:ascii="Times New Roman" w:hAnsi="Times New Roman" w:cs="Times New Roman"/>
                <w:lang w:val="ro-RO"/>
              </w:rPr>
              <w:t xml:space="preserve">, inclusiv a cadrului normativ aplicabil </w:t>
            </w:r>
            <w:r w:rsidR="003D7AD6" w:rsidRPr="002F7510">
              <w:rPr>
                <w:rFonts w:ascii="Times New Roman" w:hAnsi="Times New Roman" w:cs="Times New Roman"/>
                <w:lang w:val="ro-RO"/>
              </w:rPr>
              <w:t>şi</w:t>
            </w:r>
            <w:r w:rsidRPr="002F7510">
              <w:rPr>
                <w:rFonts w:ascii="Times New Roman" w:hAnsi="Times New Roman" w:cs="Times New Roman"/>
                <w:lang w:val="ro-RO"/>
              </w:rPr>
              <w:t xml:space="preserve"> a </w:t>
            </w:r>
            <w:r w:rsidR="003D7AD6" w:rsidRPr="002F7510">
              <w:rPr>
                <w:rFonts w:ascii="Times New Roman" w:hAnsi="Times New Roman" w:cs="Times New Roman"/>
                <w:lang w:val="ro-RO"/>
              </w:rPr>
              <w:t>deficiențelor</w:t>
            </w:r>
            <w:r w:rsidRPr="002F7510">
              <w:rPr>
                <w:rFonts w:ascii="Times New Roman" w:hAnsi="Times New Roman" w:cs="Times New Roman"/>
                <w:lang w:val="ro-RO"/>
              </w:rPr>
              <w:t xml:space="preserve">/lacunelor normative </w:t>
            </w:r>
          </w:p>
        </w:tc>
      </w:tr>
      <w:tr w:rsidR="00A042D0" w:rsidRPr="00703406" w14:paraId="3C219398" w14:textId="77777777" w:rsidTr="006E1842">
        <w:trPr>
          <w:trHeight w:val="283"/>
        </w:trPr>
        <w:tc>
          <w:tcPr>
            <w:tcW w:w="9345" w:type="dxa"/>
            <w:tcBorders>
              <w:top w:val="single" w:sz="4" w:space="0" w:color="auto"/>
              <w:left w:val="single" w:sz="4" w:space="0" w:color="auto"/>
              <w:bottom w:val="single" w:sz="4" w:space="0" w:color="auto"/>
              <w:right w:val="single" w:sz="4" w:space="0" w:color="auto"/>
            </w:tcBorders>
            <w:hideMark/>
          </w:tcPr>
          <w:p w14:paraId="3632B4AC" w14:textId="77777777" w:rsidR="003D7AD6" w:rsidRDefault="009E6715" w:rsidP="009E6715">
            <w:pPr>
              <w:ind w:firstLine="600"/>
              <w:jc w:val="both"/>
              <w:rPr>
                <w:rFonts w:ascii="Times New Roman" w:hAnsi="Times New Roman" w:cs="Times New Roman"/>
                <w:lang w:val="ro-RO"/>
              </w:rPr>
            </w:pPr>
            <w:proofErr w:type="spellStart"/>
            <w:r>
              <w:rPr>
                <w:rFonts w:ascii="Times New Roman" w:hAnsi="Times New Roman" w:cs="Times New Roman"/>
                <w:lang w:val="ro-RO"/>
              </w:rPr>
              <w:t>A</w:t>
            </w:r>
            <w:r w:rsidR="002F3F4F">
              <w:rPr>
                <w:rFonts w:ascii="Times New Roman" w:hAnsi="Times New Roman" w:cs="Times New Roman"/>
                <w:lang w:val="ro-RO"/>
              </w:rPr>
              <w:t>vînd</w:t>
            </w:r>
            <w:proofErr w:type="spellEnd"/>
            <w:r w:rsidR="002F3F4F">
              <w:rPr>
                <w:rFonts w:ascii="Times New Roman" w:hAnsi="Times New Roman" w:cs="Times New Roman"/>
                <w:lang w:val="ro-RO"/>
              </w:rPr>
              <w:t xml:space="preserve"> în vedere angajamentele asumate în cadrul screening-ului bilateral dintre Republica Moldova și Uniunea Europeană, Moldova și-a asumat transpunerea și implementarea prevederilor Directivei 2001/96/CE a Parlamentului European și a Consiliului din 04 decembrie 2001 de stabilire a cerințelor și procedurilor armonizate pentru încărcarea și descărcarea în siguranță a </w:t>
            </w:r>
            <w:proofErr w:type="spellStart"/>
            <w:r w:rsidR="002F3F4F">
              <w:rPr>
                <w:rFonts w:ascii="Times New Roman" w:hAnsi="Times New Roman" w:cs="Times New Roman"/>
                <w:lang w:val="ro-RO"/>
              </w:rPr>
              <w:t>vrachierelor</w:t>
            </w:r>
            <w:proofErr w:type="spellEnd"/>
            <w:r w:rsidR="002F3F4F">
              <w:rPr>
                <w:rFonts w:ascii="Times New Roman" w:hAnsi="Times New Roman" w:cs="Times New Roman"/>
                <w:lang w:val="ro-RO"/>
              </w:rPr>
              <w:t xml:space="preserve">. </w:t>
            </w:r>
          </w:p>
          <w:p w14:paraId="7FB1DFD9" w14:textId="77777777" w:rsidR="009E6715" w:rsidRDefault="009E6715" w:rsidP="009E6715">
            <w:pPr>
              <w:ind w:firstLine="600"/>
              <w:jc w:val="both"/>
              <w:rPr>
                <w:rFonts w:ascii="Times New Roman" w:hAnsi="Times New Roman" w:cs="Times New Roman"/>
                <w:lang w:val="ro-RO"/>
              </w:rPr>
            </w:pPr>
            <w:r>
              <w:rPr>
                <w:rFonts w:ascii="Times New Roman" w:hAnsi="Times New Roman" w:cs="Times New Roman"/>
                <w:lang w:val="ro-RO"/>
              </w:rPr>
              <w:t xml:space="preserve">Astfel, a fost elaborat prezentul proiect al </w:t>
            </w:r>
            <w:proofErr w:type="spellStart"/>
            <w:r>
              <w:rPr>
                <w:rFonts w:ascii="Times New Roman" w:hAnsi="Times New Roman" w:cs="Times New Roman"/>
                <w:lang w:val="ro-RO"/>
              </w:rPr>
              <w:t>hotărîrii</w:t>
            </w:r>
            <w:proofErr w:type="spellEnd"/>
            <w:r>
              <w:rPr>
                <w:rFonts w:ascii="Times New Roman" w:hAnsi="Times New Roman" w:cs="Times New Roman"/>
                <w:lang w:val="ro-RO"/>
              </w:rPr>
              <w:t xml:space="preserve"> Guvernului </w:t>
            </w:r>
            <w:r w:rsidRPr="009E6715">
              <w:rPr>
                <w:rFonts w:ascii="Times New Roman" w:hAnsi="Times New Roman" w:cs="Times New Roman"/>
                <w:lang w:val="ro-RO"/>
              </w:rPr>
              <w:t xml:space="preserve">cu privire la aprobarea Cerințelor și procedurilor pentru încărcarea și descărcarea în siguranță a </w:t>
            </w:r>
            <w:proofErr w:type="spellStart"/>
            <w:r w:rsidRPr="009E6715">
              <w:rPr>
                <w:rFonts w:ascii="Times New Roman" w:hAnsi="Times New Roman" w:cs="Times New Roman"/>
                <w:lang w:val="ro-RO"/>
              </w:rPr>
              <w:t>vrachierelor</w:t>
            </w:r>
            <w:proofErr w:type="spellEnd"/>
            <w:r>
              <w:rPr>
                <w:rFonts w:ascii="Times New Roman" w:hAnsi="Times New Roman" w:cs="Times New Roman"/>
                <w:lang w:val="ro-RO"/>
              </w:rPr>
              <w:t>.</w:t>
            </w:r>
          </w:p>
          <w:p w14:paraId="1665D2AD" w14:textId="384880D5" w:rsidR="001E2051" w:rsidRDefault="007471FE" w:rsidP="001E2051">
            <w:pPr>
              <w:ind w:firstLine="600"/>
              <w:jc w:val="both"/>
              <w:rPr>
                <w:rFonts w:ascii="Times New Roman" w:hAnsi="Times New Roman" w:cs="Times New Roman"/>
                <w:lang w:val="ro-RO"/>
              </w:rPr>
            </w:pPr>
            <w:r>
              <w:rPr>
                <w:rFonts w:ascii="Times New Roman" w:hAnsi="Times New Roman" w:cs="Times New Roman"/>
                <w:lang w:val="ro-RO"/>
              </w:rPr>
              <w:t xml:space="preserve">Promovarea reglementărilor privind </w:t>
            </w:r>
            <w:r w:rsidR="007725D6">
              <w:rPr>
                <w:rFonts w:ascii="Times New Roman" w:hAnsi="Times New Roman" w:cs="Times New Roman"/>
                <w:lang w:val="ro-RO"/>
              </w:rPr>
              <w:t>siguranța operațiunilor</w:t>
            </w:r>
            <w:r>
              <w:rPr>
                <w:rFonts w:ascii="Times New Roman" w:hAnsi="Times New Roman" w:cs="Times New Roman"/>
                <w:lang w:val="ro-RO"/>
              </w:rPr>
              <w:t xml:space="preserve"> încărcării și descărcării </w:t>
            </w:r>
            <w:r w:rsidR="007725D6">
              <w:rPr>
                <w:rFonts w:ascii="Times New Roman" w:hAnsi="Times New Roman" w:cs="Times New Roman"/>
                <w:lang w:val="ro-RO"/>
              </w:rPr>
              <w:t xml:space="preserve">în siguranță a </w:t>
            </w:r>
            <w:proofErr w:type="spellStart"/>
            <w:r w:rsidR="007725D6">
              <w:rPr>
                <w:rFonts w:ascii="Times New Roman" w:hAnsi="Times New Roman" w:cs="Times New Roman"/>
                <w:lang w:val="ro-RO"/>
              </w:rPr>
              <w:t>vrachierelor</w:t>
            </w:r>
            <w:proofErr w:type="spellEnd"/>
            <w:r w:rsidR="00CD44F9">
              <w:rPr>
                <w:rFonts w:ascii="Times New Roman" w:hAnsi="Times New Roman" w:cs="Times New Roman"/>
                <w:lang w:val="ro-RO"/>
              </w:rPr>
              <w:t xml:space="preserve"> la nivelul statelor Uniunii Europene,</w:t>
            </w:r>
            <w:r w:rsidR="007725D6">
              <w:rPr>
                <w:rFonts w:ascii="Times New Roman" w:hAnsi="Times New Roman" w:cs="Times New Roman"/>
                <w:lang w:val="ro-RO"/>
              </w:rPr>
              <w:t xml:space="preserve"> </w:t>
            </w:r>
            <w:r w:rsidR="00CD44F9">
              <w:rPr>
                <w:rFonts w:ascii="Times New Roman" w:hAnsi="Times New Roman" w:cs="Times New Roman"/>
                <w:lang w:val="ro-RO"/>
              </w:rPr>
              <w:t>a fost efectuată în urma e</w:t>
            </w:r>
            <w:r w:rsidR="00CD44F9" w:rsidRPr="00CD44F9">
              <w:rPr>
                <w:rFonts w:ascii="Times New Roman" w:hAnsi="Times New Roman" w:cs="Times New Roman"/>
                <w:lang w:val="ro-RO"/>
              </w:rPr>
              <w:t>valu</w:t>
            </w:r>
            <w:r w:rsidR="00CD44F9">
              <w:rPr>
                <w:rFonts w:ascii="Times New Roman" w:hAnsi="Times New Roman" w:cs="Times New Roman"/>
                <w:lang w:val="ro-RO"/>
              </w:rPr>
              <w:t>ă</w:t>
            </w:r>
            <w:r w:rsidR="00CD44F9" w:rsidRPr="00CD44F9">
              <w:rPr>
                <w:rFonts w:ascii="Times New Roman" w:hAnsi="Times New Roman" w:cs="Times New Roman"/>
                <w:lang w:val="ro-RO"/>
              </w:rPr>
              <w:t>r</w:t>
            </w:r>
            <w:r w:rsidR="00CD44F9">
              <w:rPr>
                <w:rFonts w:ascii="Times New Roman" w:hAnsi="Times New Roman" w:cs="Times New Roman"/>
                <w:lang w:val="ro-RO"/>
              </w:rPr>
              <w:t>ii</w:t>
            </w:r>
            <w:r w:rsidR="00CD44F9" w:rsidRPr="00CD44F9">
              <w:rPr>
                <w:rFonts w:ascii="Times New Roman" w:hAnsi="Times New Roman" w:cs="Times New Roman"/>
                <w:lang w:val="ro-RO"/>
              </w:rPr>
              <w:t xml:space="preserve"> cauzelor accidentelor </w:t>
            </w:r>
            <w:proofErr w:type="spellStart"/>
            <w:r w:rsidR="00CD44F9" w:rsidRPr="00CD44F9">
              <w:rPr>
                <w:rFonts w:ascii="Times New Roman" w:hAnsi="Times New Roman" w:cs="Times New Roman"/>
                <w:lang w:val="ro-RO"/>
              </w:rPr>
              <w:t>vrachierelor</w:t>
            </w:r>
            <w:proofErr w:type="spellEnd"/>
            <w:r w:rsidR="00015152">
              <w:rPr>
                <w:rFonts w:ascii="Times New Roman" w:hAnsi="Times New Roman" w:cs="Times New Roman"/>
                <w:lang w:val="ro-RO"/>
              </w:rPr>
              <w:t xml:space="preserve">, care au fost comise </w:t>
            </w:r>
            <w:r w:rsidR="001E2051">
              <w:rPr>
                <w:rFonts w:ascii="Times New Roman" w:hAnsi="Times New Roman" w:cs="Times New Roman"/>
                <w:lang w:val="ro-RO"/>
              </w:rPr>
              <w:t>din</w:t>
            </w:r>
            <w:r w:rsidR="00F02179">
              <w:rPr>
                <w:rFonts w:ascii="Times New Roman" w:hAnsi="Times New Roman" w:cs="Times New Roman"/>
                <w:lang w:val="ro-RO"/>
              </w:rPr>
              <w:t xml:space="preserve"> motiv</w:t>
            </w:r>
            <w:r w:rsidR="001E2051">
              <w:rPr>
                <w:rFonts w:ascii="Times New Roman" w:hAnsi="Times New Roman" w:cs="Times New Roman"/>
                <w:lang w:val="ro-RO"/>
              </w:rPr>
              <w:t>ul</w:t>
            </w:r>
            <w:r w:rsidR="00F02179">
              <w:rPr>
                <w:rFonts w:ascii="Times New Roman" w:hAnsi="Times New Roman" w:cs="Times New Roman"/>
                <w:lang w:val="ro-RO"/>
              </w:rPr>
              <w:t xml:space="preserve"> de </w:t>
            </w:r>
            <w:r w:rsidR="00F02179" w:rsidRPr="00F02179">
              <w:rPr>
                <w:rFonts w:ascii="Times New Roman" w:hAnsi="Times New Roman" w:cs="Times New Roman"/>
                <w:lang w:val="ro-RO"/>
              </w:rPr>
              <w:t>suprasolicitarea structurii navei, fie datorită avariilor</w:t>
            </w:r>
            <w:r w:rsidR="00F02179">
              <w:rPr>
                <w:rFonts w:ascii="Times New Roman" w:hAnsi="Times New Roman" w:cs="Times New Roman"/>
                <w:lang w:val="ro-RO"/>
              </w:rPr>
              <w:t xml:space="preserve"> </w:t>
            </w:r>
            <w:r w:rsidR="00F02179" w:rsidRPr="00F02179">
              <w:rPr>
                <w:rFonts w:ascii="Times New Roman" w:hAnsi="Times New Roman" w:cs="Times New Roman"/>
                <w:lang w:val="ro-RO"/>
              </w:rPr>
              <w:t>mecanice ale elementelor de structură în calele de marfă.</w:t>
            </w:r>
            <w:r w:rsidR="001E2051">
              <w:rPr>
                <w:rFonts w:ascii="Times New Roman" w:hAnsi="Times New Roman" w:cs="Times New Roman"/>
                <w:lang w:val="ro-RO"/>
              </w:rPr>
              <w:t xml:space="preserve"> </w:t>
            </w:r>
          </w:p>
          <w:p w14:paraId="53741003" w14:textId="00B0280D" w:rsidR="001E2051" w:rsidRDefault="001E2051" w:rsidP="001E2051">
            <w:pPr>
              <w:ind w:firstLine="600"/>
              <w:jc w:val="both"/>
              <w:rPr>
                <w:rFonts w:ascii="Times New Roman" w:hAnsi="Times New Roman" w:cs="Times New Roman"/>
                <w:lang w:val="ro-RO"/>
              </w:rPr>
            </w:pPr>
            <w:r>
              <w:rPr>
                <w:rFonts w:ascii="Times New Roman" w:hAnsi="Times New Roman" w:cs="Times New Roman"/>
                <w:lang w:val="ro-RO"/>
              </w:rPr>
              <w:t xml:space="preserve">La nivel </w:t>
            </w:r>
            <w:r w:rsidRPr="001E2051">
              <w:rPr>
                <w:rFonts w:ascii="Times New Roman" w:hAnsi="Times New Roman" w:cs="Times New Roman"/>
                <w:lang w:val="ro-RO"/>
              </w:rPr>
              <w:t>internațional, Organizația Maritimă Internațională (OMI),</w:t>
            </w:r>
            <w:r>
              <w:rPr>
                <w:rFonts w:ascii="Times New Roman" w:hAnsi="Times New Roman" w:cs="Times New Roman"/>
                <w:lang w:val="ro-RO"/>
              </w:rPr>
              <w:t xml:space="preserve"> </w:t>
            </w:r>
            <w:r w:rsidRPr="001E2051">
              <w:rPr>
                <w:rFonts w:ascii="Times New Roman" w:hAnsi="Times New Roman" w:cs="Times New Roman"/>
                <w:lang w:val="ro-RO"/>
              </w:rPr>
              <w:t>prin diferite rezoluții ale adunării, adoptă recomandări privind</w:t>
            </w:r>
            <w:r>
              <w:rPr>
                <w:rFonts w:ascii="Times New Roman" w:hAnsi="Times New Roman" w:cs="Times New Roman"/>
                <w:lang w:val="ro-RO"/>
              </w:rPr>
              <w:t xml:space="preserve"> </w:t>
            </w:r>
            <w:r w:rsidRPr="001E2051">
              <w:rPr>
                <w:rFonts w:ascii="Times New Roman" w:hAnsi="Times New Roman" w:cs="Times New Roman"/>
                <w:lang w:val="ro-RO"/>
              </w:rPr>
              <w:t xml:space="preserve">siguranța </w:t>
            </w:r>
            <w:proofErr w:type="spellStart"/>
            <w:r w:rsidRPr="001E2051">
              <w:rPr>
                <w:rFonts w:ascii="Times New Roman" w:hAnsi="Times New Roman" w:cs="Times New Roman"/>
                <w:lang w:val="ro-RO"/>
              </w:rPr>
              <w:t>vrachierelor</w:t>
            </w:r>
            <w:proofErr w:type="spellEnd"/>
            <w:r w:rsidRPr="001E2051">
              <w:rPr>
                <w:rFonts w:ascii="Times New Roman" w:hAnsi="Times New Roman" w:cs="Times New Roman"/>
                <w:lang w:val="ro-RO"/>
              </w:rPr>
              <w:t>, care se referă, în general, la interfața</w:t>
            </w:r>
            <w:r>
              <w:rPr>
                <w:rFonts w:ascii="Times New Roman" w:hAnsi="Times New Roman" w:cs="Times New Roman"/>
                <w:lang w:val="ro-RO"/>
              </w:rPr>
              <w:t xml:space="preserve"> </w:t>
            </w:r>
            <w:r w:rsidRPr="001E2051">
              <w:rPr>
                <w:rFonts w:ascii="Times New Roman" w:hAnsi="Times New Roman" w:cs="Times New Roman"/>
                <w:lang w:val="ro-RO"/>
              </w:rPr>
              <w:t>navă/port și, în special, la operațiunile de încărcare și descărcare.</w:t>
            </w:r>
          </w:p>
          <w:p w14:paraId="10F2CC33" w14:textId="501734C5" w:rsidR="007471FE" w:rsidRDefault="001E2051" w:rsidP="001E2051">
            <w:pPr>
              <w:ind w:firstLine="600"/>
              <w:jc w:val="both"/>
              <w:rPr>
                <w:rFonts w:ascii="Times New Roman" w:hAnsi="Times New Roman" w:cs="Times New Roman"/>
                <w:lang w:val="ro-RO"/>
              </w:rPr>
            </w:pPr>
            <w:r w:rsidRPr="001E2051">
              <w:rPr>
                <w:rFonts w:ascii="Times New Roman" w:hAnsi="Times New Roman" w:cs="Times New Roman"/>
                <w:lang w:val="ro-RO"/>
              </w:rPr>
              <w:t>Prin Rezoluția Adunării A.862(20), OMI adoptă un Cod practic</w:t>
            </w:r>
            <w:r>
              <w:rPr>
                <w:rFonts w:ascii="Times New Roman" w:hAnsi="Times New Roman" w:cs="Times New Roman"/>
                <w:lang w:val="ro-RO"/>
              </w:rPr>
              <w:t xml:space="preserve"> </w:t>
            </w:r>
            <w:r w:rsidRPr="001E2051">
              <w:rPr>
                <w:rFonts w:ascii="Times New Roman" w:hAnsi="Times New Roman" w:cs="Times New Roman"/>
                <w:lang w:val="ro-RO"/>
              </w:rPr>
              <w:t xml:space="preserve">pentru încărcarea și descărcarea în siguranță a </w:t>
            </w:r>
            <w:proofErr w:type="spellStart"/>
            <w:r w:rsidRPr="001E2051">
              <w:rPr>
                <w:rFonts w:ascii="Times New Roman" w:hAnsi="Times New Roman" w:cs="Times New Roman"/>
                <w:lang w:val="ro-RO"/>
              </w:rPr>
              <w:t>vrachierelor</w:t>
            </w:r>
            <w:proofErr w:type="spellEnd"/>
            <w:r w:rsidRPr="001E2051">
              <w:rPr>
                <w:rFonts w:ascii="Times New Roman" w:hAnsi="Times New Roman" w:cs="Times New Roman"/>
                <w:lang w:val="ro-RO"/>
              </w:rPr>
              <w:t xml:space="preserve"> („BLU Code”) și a încurajat guvernele contractante să urgenteze</w:t>
            </w:r>
            <w:r>
              <w:rPr>
                <w:rFonts w:ascii="Times New Roman" w:hAnsi="Times New Roman" w:cs="Times New Roman"/>
                <w:lang w:val="ro-RO"/>
              </w:rPr>
              <w:t xml:space="preserve"> </w:t>
            </w:r>
            <w:r w:rsidRPr="001E2051">
              <w:rPr>
                <w:rFonts w:ascii="Times New Roman" w:hAnsi="Times New Roman" w:cs="Times New Roman"/>
                <w:lang w:val="ro-RO"/>
              </w:rPr>
              <w:t>punerea în aplicare a acestui Cod și să</w:t>
            </w:r>
            <w:r>
              <w:rPr>
                <w:rFonts w:ascii="Times New Roman" w:hAnsi="Times New Roman" w:cs="Times New Roman"/>
                <w:lang w:val="ro-RO"/>
              </w:rPr>
              <w:t xml:space="preserve"> </w:t>
            </w:r>
            <w:r w:rsidRPr="001E2051">
              <w:rPr>
                <w:rFonts w:ascii="Times New Roman" w:hAnsi="Times New Roman" w:cs="Times New Roman"/>
                <w:lang w:val="ro-RO"/>
              </w:rPr>
              <w:t>informeze OMI despre orice caz de neconformitate. În rezoluție,</w:t>
            </w:r>
            <w:r>
              <w:rPr>
                <w:rFonts w:ascii="Times New Roman" w:hAnsi="Times New Roman" w:cs="Times New Roman"/>
                <w:lang w:val="ro-RO"/>
              </w:rPr>
              <w:t xml:space="preserve"> </w:t>
            </w:r>
            <w:r w:rsidRPr="001E2051">
              <w:rPr>
                <w:rFonts w:ascii="Times New Roman" w:hAnsi="Times New Roman" w:cs="Times New Roman"/>
                <w:lang w:val="ro-RO"/>
              </w:rPr>
              <w:t>OMI a solicitat, printre altele, guvernelor contractante, pe ale</w:t>
            </w:r>
            <w:r>
              <w:rPr>
                <w:rFonts w:ascii="Times New Roman" w:hAnsi="Times New Roman" w:cs="Times New Roman"/>
                <w:lang w:val="ro-RO"/>
              </w:rPr>
              <w:t xml:space="preserve"> </w:t>
            </w:r>
            <w:r w:rsidRPr="001E2051">
              <w:rPr>
                <w:rFonts w:ascii="Times New Roman" w:hAnsi="Times New Roman" w:cs="Times New Roman"/>
                <w:lang w:val="ro-RO"/>
              </w:rPr>
              <w:t>căror teritorii există terminale de încărcare și descărcare a</w:t>
            </w:r>
            <w:r>
              <w:rPr>
                <w:rFonts w:ascii="Times New Roman" w:hAnsi="Times New Roman" w:cs="Times New Roman"/>
                <w:lang w:val="ro-RO"/>
              </w:rPr>
              <w:t xml:space="preserve"> </w:t>
            </w:r>
            <w:r w:rsidRPr="001E2051">
              <w:rPr>
                <w:rFonts w:ascii="Times New Roman" w:hAnsi="Times New Roman" w:cs="Times New Roman"/>
                <w:lang w:val="ro-RO"/>
              </w:rPr>
              <w:t>mărfurilor solide în vrac, să urgenteze adoptarea legislațiilor,</w:t>
            </w:r>
            <w:r>
              <w:rPr>
                <w:rFonts w:ascii="Times New Roman" w:hAnsi="Times New Roman" w:cs="Times New Roman"/>
                <w:lang w:val="ro-RO"/>
              </w:rPr>
              <w:t xml:space="preserve"> </w:t>
            </w:r>
            <w:r w:rsidRPr="001E2051">
              <w:rPr>
                <w:rFonts w:ascii="Times New Roman" w:hAnsi="Times New Roman" w:cs="Times New Roman"/>
                <w:lang w:val="ro-RO"/>
              </w:rPr>
              <w:t>astfel încât o serie de principii de bază, necesare pentru</w:t>
            </w:r>
            <w:r>
              <w:rPr>
                <w:rFonts w:ascii="Times New Roman" w:hAnsi="Times New Roman" w:cs="Times New Roman"/>
                <w:lang w:val="ro-RO"/>
              </w:rPr>
              <w:t xml:space="preserve"> </w:t>
            </w:r>
            <w:r w:rsidRPr="001E2051">
              <w:rPr>
                <w:rFonts w:ascii="Times New Roman" w:hAnsi="Times New Roman" w:cs="Times New Roman"/>
                <w:lang w:val="ro-RO"/>
              </w:rPr>
              <w:t>punerea în aplicare a acestui Cod, să poată fi transpuse în</w:t>
            </w:r>
            <w:r>
              <w:rPr>
                <w:rFonts w:ascii="Times New Roman" w:hAnsi="Times New Roman" w:cs="Times New Roman"/>
                <w:lang w:val="ro-RO"/>
              </w:rPr>
              <w:t xml:space="preserve"> </w:t>
            </w:r>
            <w:r w:rsidRPr="001E2051">
              <w:rPr>
                <w:rFonts w:ascii="Times New Roman" w:hAnsi="Times New Roman" w:cs="Times New Roman"/>
                <w:lang w:val="ro-RO"/>
              </w:rPr>
              <w:t>practică.</w:t>
            </w:r>
          </w:p>
          <w:p w14:paraId="1B3ADC49" w14:textId="22BDC7B3" w:rsidR="007471FE" w:rsidRPr="001954AD" w:rsidRDefault="00440CDD" w:rsidP="008D70A3">
            <w:pPr>
              <w:ind w:firstLine="600"/>
              <w:jc w:val="both"/>
              <w:rPr>
                <w:rFonts w:ascii="Times New Roman" w:hAnsi="Times New Roman" w:cs="Times New Roman"/>
                <w:lang w:val="ro-RO"/>
              </w:rPr>
            </w:pPr>
            <w:r w:rsidRPr="00440CDD">
              <w:rPr>
                <w:rFonts w:ascii="Times New Roman" w:hAnsi="Times New Roman" w:cs="Times New Roman"/>
                <w:lang w:val="ro-RO"/>
              </w:rPr>
              <w:t>Impactul operațiunilor de încărcare și descărcare asupra siguranței</w:t>
            </w:r>
            <w:r>
              <w:rPr>
                <w:rFonts w:ascii="Times New Roman" w:hAnsi="Times New Roman" w:cs="Times New Roman"/>
                <w:lang w:val="ro-RO"/>
              </w:rPr>
              <w:t xml:space="preserve"> </w:t>
            </w:r>
            <w:proofErr w:type="spellStart"/>
            <w:r w:rsidRPr="00440CDD">
              <w:rPr>
                <w:rFonts w:ascii="Times New Roman" w:hAnsi="Times New Roman" w:cs="Times New Roman"/>
                <w:lang w:val="ro-RO"/>
              </w:rPr>
              <w:t>vrachierelor</w:t>
            </w:r>
            <w:proofErr w:type="spellEnd"/>
            <w:r w:rsidRPr="00440CDD">
              <w:rPr>
                <w:rFonts w:ascii="Times New Roman" w:hAnsi="Times New Roman" w:cs="Times New Roman"/>
                <w:lang w:val="ro-RO"/>
              </w:rPr>
              <w:t xml:space="preserve"> are implicații transfrontaliere, având în vedere</w:t>
            </w:r>
            <w:r>
              <w:rPr>
                <w:rFonts w:ascii="Times New Roman" w:hAnsi="Times New Roman" w:cs="Times New Roman"/>
                <w:lang w:val="ro-RO"/>
              </w:rPr>
              <w:t xml:space="preserve"> </w:t>
            </w:r>
            <w:r w:rsidRPr="00440CDD">
              <w:rPr>
                <w:rFonts w:ascii="Times New Roman" w:hAnsi="Times New Roman" w:cs="Times New Roman"/>
                <w:lang w:val="ro-RO"/>
              </w:rPr>
              <w:t>caracterul global al comerțului cu mărfuri uscate în vrac. În</w:t>
            </w:r>
            <w:r>
              <w:rPr>
                <w:rFonts w:ascii="Times New Roman" w:hAnsi="Times New Roman" w:cs="Times New Roman"/>
                <w:lang w:val="ro-RO"/>
              </w:rPr>
              <w:t xml:space="preserve"> </w:t>
            </w:r>
            <w:r w:rsidRPr="00440CDD">
              <w:rPr>
                <w:rFonts w:ascii="Times New Roman" w:hAnsi="Times New Roman" w:cs="Times New Roman"/>
                <w:lang w:val="ro-RO"/>
              </w:rPr>
              <w:t>consecință, dezvoltarea acțiunilor pentru prevenirea naufragiilor</w:t>
            </w:r>
            <w:r>
              <w:rPr>
                <w:rFonts w:ascii="Times New Roman" w:hAnsi="Times New Roman" w:cs="Times New Roman"/>
                <w:lang w:val="ro-RO"/>
              </w:rPr>
              <w:t xml:space="preserve"> </w:t>
            </w:r>
            <w:proofErr w:type="spellStart"/>
            <w:r w:rsidRPr="00440CDD">
              <w:rPr>
                <w:rFonts w:ascii="Times New Roman" w:hAnsi="Times New Roman" w:cs="Times New Roman"/>
                <w:lang w:val="ro-RO"/>
              </w:rPr>
              <w:t>vrachierelor</w:t>
            </w:r>
            <w:proofErr w:type="spellEnd"/>
            <w:r w:rsidRPr="00440CDD">
              <w:rPr>
                <w:rFonts w:ascii="Times New Roman" w:hAnsi="Times New Roman" w:cs="Times New Roman"/>
                <w:lang w:val="ro-RO"/>
              </w:rPr>
              <w:t xml:space="preserve"> datorate practicilor necorespunzătoare de încărcare</w:t>
            </w:r>
            <w:r>
              <w:rPr>
                <w:rFonts w:ascii="Times New Roman" w:hAnsi="Times New Roman" w:cs="Times New Roman"/>
                <w:lang w:val="ro-RO"/>
              </w:rPr>
              <w:t xml:space="preserve"> </w:t>
            </w:r>
            <w:r w:rsidRPr="00440CDD">
              <w:rPr>
                <w:rFonts w:ascii="Times New Roman" w:hAnsi="Times New Roman" w:cs="Times New Roman"/>
                <w:lang w:val="ro-RO"/>
              </w:rPr>
              <w:t>și descărcare este cel mai bine realizată la nivel</w:t>
            </w:r>
            <w:r>
              <w:rPr>
                <w:rFonts w:ascii="Times New Roman" w:hAnsi="Times New Roman" w:cs="Times New Roman"/>
                <w:lang w:val="ro-RO"/>
              </w:rPr>
              <w:t>ul</w:t>
            </w:r>
            <w:r w:rsidRPr="00440CDD">
              <w:rPr>
                <w:rFonts w:ascii="Times New Roman" w:hAnsi="Times New Roman" w:cs="Times New Roman"/>
                <w:lang w:val="ro-RO"/>
              </w:rPr>
              <w:t xml:space="preserve"> </w:t>
            </w:r>
            <w:r>
              <w:rPr>
                <w:rFonts w:ascii="Times New Roman" w:hAnsi="Times New Roman" w:cs="Times New Roman"/>
                <w:lang w:val="ro-RO"/>
              </w:rPr>
              <w:t>statelor membrelor Uniunii Europene</w:t>
            </w:r>
            <w:r w:rsidRPr="00440CDD">
              <w:rPr>
                <w:rFonts w:ascii="Times New Roman" w:hAnsi="Times New Roman" w:cs="Times New Roman"/>
                <w:lang w:val="ro-RO"/>
              </w:rPr>
              <w:t>, prin</w:t>
            </w:r>
            <w:r>
              <w:rPr>
                <w:rFonts w:ascii="Times New Roman" w:hAnsi="Times New Roman" w:cs="Times New Roman"/>
                <w:lang w:val="ro-RO"/>
              </w:rPr>
              <w:t xml:space="preserve"> </w:t>
            </w:r>
            <w:r w:rsidRPr="00440CDD">
              <w:rPr>
                <w:rFonts w:ascii="Times New Roman" w:hAnsi="Times New Roman" w:cs="Times New Roman"/>
                <w:lang w:val="ro-RO"/>
              </w:rPr>
              <w:t>stabilirea cerințelor și procedurilor armonizate pentru aplicarea</w:t>
            </w:r>
            <w:r>
              <w:rPr>
                <w:rFonts w:ascii="Times New Roman" w:hAnsi="Times New Roman" w:cs="Times New Roman"/>
                <w:lang w:val="ro-RO"/>
              </w:rPr>
              <w:t xml:space="preserve"> </w:t>
            </w:r>
            <w:r w:rsidRPr="00440CDD">
              <w:rPr>
                <w:rFonts w:ascii="Times New Roman" w:hAnsi="Times New Roman" w:cs="Times New Roman"/>
                <w:lang w:val="ro-RO"/>
              </w:rPr>
              <w:t>recomandărilor OMI prevăzute în Rezoluția Adunării A.862(20)</w:t>
            </w:r>
            <w:r>
              <w:rPr>
                <w:rFonts w:ascii="Times New Roman" w:hAnsi="Times New Roman" w:cs="Times New Roman"/>
                <w:lang w:val="ro-RO"/>
              </w:rPr>
              <w:t>,</w:t>
            </w:r>
            <w:r w:rsidRPr="00440CDD">
              <w:rPr>
                <w:rFonts w:ascii="Times New Roman" w:hAnsi="Times New Roman" w:cs="Times New Roman"/>
                <w:lang w:val="ro-RO"/>
              </w:rPr>
              <w:t xml:space="preserve"> Codul BLU</w:t>
            </w:r>
            <w:r>
              <w:rPr>
                <w:rFonts w:ascii="Times New Roman" w:hAnsi="Times New Roman" w:cs="Times New Roman"/>
                <w:lang w:val="ro-RO"/>
              </w:rPr>
              <w:t xml:space="preserve"> și </w:t>
            </w:r>
            <w:r w:rsidRPr="00440CDD">
              <w:rPr>
                <w:rFonts w:ascii="Times New Roman" w:hAnsi="Times New Roman" w:cs="Times New Roman"/>
                <w:lang w:val="ro-RO"/>
              </w:rPr>
              <w:t>Directivei 2001/96/CE</w:t>
            </w:r>
            <w:r>
              <w:rPr>
                <w:rFonts w:ascii="Times New Roman" w:hAnsi="Times New Roman" w:cs="Times New Roman"/>
                <w:lang w:val="ro-RO"/>
              </w:rPr>
              <w:t>.</w:t>
            </w:r>
          </w:p>
        </w:tc>
      </w:tr>
      <w:tr w:rsidR="00A042D0" w:rsidRPr="00703406" w14:paraId="6AF2B9D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F27F519" w14:textId="11A58EB7" w:rsidR="00A042D0" w:rsidRPr="002F7510" w:rsidRDefault="00A042D0">
            <w:pPr>
              <w:jc w:val="both"/>
              <w:rPr>
                <w:rFonts w:ascii="Times New Roman" w:hAnsi="Times New Roman" w:cs="Times New Roman"/>
                <w:b/>
                <w:lang w:val="ro-RO"/>
              </w:rPr>
            </w:pPr>
            <w:r w:rsidRPr="002F7510">
              <w:rPr>
                <w:rFonts w:ascii="Times New Roman" w:hAnsi="Times New Roman"/>
                <w:b/>
                <w:lang w:val="ro-RO"/>
              </w:rPr>
              <w:t xml:space="preserve">3. </w:t>
            </w:r>
            <w:r w:rsidR="006E1842" w:rsidRPr="002F7510">
              <w:rPr>
                <w:rFonts w:ascii="Times New Roman" w:hAnsi="Times New Roman"/>
                <w:b/>
                <w:lang w:val="ro-RO"/>
              </w:rPr>
              <w:t>Obiectivele urmărite și soluțiile propuse</w:t>
            </w:r>
          </w:p>
        </w:tc>
      </w:tr>
      <w:tr w:rsidR="006E1842" w:rsidRPr="00703406" w14:paraId="0E0596DA" w14:textId="77777777" w:rsidTr="00A042D0">
        <w:tc>
          <w:tcPr>
            <w:tcW w:w="9345" w:type="dxa"/>
            <w:tcBorders>
              <w:top w:val="single" w:sz="4" w:space="0" w:color="auto"/>
              <w:left w:val="single" w:sz="4" w:space="0" w:color="auto"/>
              <w:bottom w:val="single" w:sz="4" w:space="0" w:color="auto"/>
              <w:right w:val="single" w:sz="4" w:space="0" w:color="auto"/>
            </w:tcBorders>
          </w:tcPr>
          <w:p w14:paraId="75425D63" w14:textId="3CA9AB03" w:rsidR="006E1842" w:rsidRPr="002F7510" w:rsidRDefault="006E1842">
            <w:pPr>
              <w:jc w:val="both"/>
              <w:rPr>
                <w:rFonts w:ascii="Times New Roman" w:hAnsi="Times New Roman"/>
                <w:bCs/>
                <w:lang w:val="ro-RO"/>
              </w:rPr>
            </w:pPr>
            <w:r w:rsidRPr="002F7510">
              <w:rPr>
                <w:rFonts w:ascii="Times New Roman" w:hAnsi="Times New Roman"/>
                <w:bCs/>
                <w:lang w:val="ro-RO"/>
              </w:rPr>
              <w:t>3.1 Principalele prevederi ale proiectului și evidențierea elementelor noi</w:t>
            </w:r>
          </w:p>
        </w:tc>
      </w:tr>
      <w:tr w:rsidR="006E1842" w:rsidRPr="00703406" w14:paraId="46FD28EF" w14:textId="77777777" w:rsidTr="00A042D0">
        <w:tc>
          <w:tcPr>
            <w:tcW w:w="9345" w:type="dxa"/>
            <w:tcBorders>
              <w:top w:val="single" w:sz="4" w:space="0" w:color="auto"/>
              <w:left w:val="single" w:sz="4" w:space="0" w:color="auto"/>
              <w:bottom w:val="single" w:sz="4" w:space="0" w:color="auto"/>
              <w:right w:val="single" w:sz="4" w:space="0" w:color="auto"/>
            </w:tcBorders>
          </w:tcPr>
          <w:p w14:paraId="3460655D" w14:textId="3F892DE0" w:rsidR="009203D5" w:rsidRDefault="008916C6" w:rsidP="005B260A">
            <w:pPr>
              <w:ind w:firstLine="600"/>
              <w:jc w:val="both"/>
              <w:rPr>
                <w:rFonts w:ascii="Times New Roman" w:hAnsi="Times New Roman"/>
                <w:bCs/>
                <w:lang w:val="ro-RO"/>
              </w:rPr>
            </w:pPr>
            <w:r>
              <w:rPr>
                <w:rFonts w:ascii="Times New Roman" w:hAnsi="Times New Roman"/>
                <w:bCs/>
                <w:lang w:val="ro-RO"/>
              </w:rPr>
              <w:t xml:space="preserve">Cerințele </w:t>
            </w:r>
            <w:r w:rsidRPr="008916C6">
              <w:rPr>
                <w:rFonts w:ascii="Times New Roman" w:hAnsi="Times New Roman"/>
                <w:bCs/>
                <w:lang w:val="ro-RO"/>
              </w:rPr>
              <w:t xml:space="preserve">și procedurile pentru încărcarea și descărcarea în siguranță a </w:t>
            </w:r>
            <w:proofErr w:type="spellStart"/>
            <w:r w:rsidRPr="008916C6">
              <w:rPr>
                <w:rFonts w:ascii="Times New Roman" w:hAnsi="Times New Roman"/>
                <w:bCs/>
                <w:lang w:val="ro-RO"/>
              </w:rPr>
              <w:t>vrachierelor</w:t>
            </w:r>
            <w:proofErr w:type="spellEnd"/>
            <w:r>
              <w:rPr>
                <w:rFonts w:ascii="Times New Roman" w:hAnsi="Times New Roman"/>
                <w:bCs/>
                <w:lang w:val="ro-RO"/>
              </w:rPr>
              <w:t xml:space="preserve"> </w:t>
            </w:r>
            <w:r w:rsidR="004401D6" w:rsidRPr="004401D6">
              <w:rPr>
                <w:rFonts w:ascii="Times New Roman" w:hAnsi="Times New Roman"/>
                <w:bCs/>
                <w:lang w:val="ro-RO"/>
              </w:rPr>
              <w:t>oferă cadrul pentru aplicarea obligatorie și uniformă</w:t>
            </w:r>
            <w:r w:rsidR="004401D6">
              <w:rPr>
                <w:rFonts w:ascii="Times New Roman" w:hAnsi="Times New Roman"/>
                <w:bCs/>
                <w:lang w:val="ro-RO"/>
              </w:rPr>
              <w:t xml:space="preserve"> a normelor privind </w:t>
            </w:r>
            <w:r w:rsidR="005B260A" w:rsidRPr="005B260A">
              <w:rPr>
                <w:rFonts w:ascii="Times New Roman" w:hAnsi="Times New Roman"/>
                <w:bCs/>
                <w:lang w:val="ro-RO"/>
              </w:rPr>
              <w:t xml:space="preserve">reducerea riscurilor pe care </w:t>
            </w:r>
            <w:r w:rsidR="005B260A" w:rsidRPr="005B260A">
              <w:rPr>
                <w:rFonts w:ascii="Times New Roman" w:hAnsi="Times New Roman"/>
                <w:bCs/>
                <w:lang w:val="ro-RO"/>
              </w:rPr>
              <w:lastRenderedPageBreak/>
              <w:t>le presupune încărcarea</w:t>
            </w:r>
            <w:r w:rsidR="005B260A">
              <w:rPr>
                <w:rFonts w:ascii="Times New Roman" w:hAnsi="Times New Roman"/>
                <w:bCs/>
                <w:lang w:val="ro-RO"/>
              </w:rPr>
              <w:t xml:space="preserve"> </w:t>
            </w:r>
            <w:r w:rsidR="005B260A" w:rsidRPr="005B260A">
              <w:rPr>
                <w:rFonts w:ascii="Times New Roman" w:hAnsi="Times New Roman"/>
                <w:bCs/>
                <w:lang w:val="ro-RO"/>
              </w:rPr>
              <w:t>și descărcarea necorespunzătoare la terminalele de mărfuri solide</w:t>
            </w:r>
            <w:r w:rsidR="005B260A">
              <w:rPr>
                <w:rFonts w:ascii="Times New Roman" w:hAnsi="Times New Roman"/>
                <w:bCs/>
                <w:lang w:val="ro-RO"/>
              </w:rPr>
              <w:t xml:space="preserve"> </w:t>
            </w:r>
            <w:r w:rsidR="005B260A" w:rsidRPr="005B260A">
              <w:rPr>
                <w:rFonts w:ascii="Times New Roman" w:hAnsi="Times New Roman"/>
                <w:bCs/>
                <w:lang w:val="ro-RO"/>
              </w:rPr>
              <w:t>în vrac. Această siguranță poate să fie realizată prin stabilirea</w:t>
            </w:r>
            <w:r w:rsidR="005B260A">
              <w:rPr>
                <w:rFonts w:ascii="Times New Roman" w:hAnsi="Times New Roman"/>
                <w:bCs/>
                <w:lang w:val="ro-RO"/>
              </w:rPr>
              <w:t xml:space="preserve"> </w:t>
            </w:r>
            <w:r w:rsidR="005B260A" w:rsidRPr="005B260A">
              <w:rPr>
                <w:rFonts w:ascii="Times New Roman" w:hAnsi="Times New Roman"/>
                <w:bCs/>
                <w:lang w:val="ro-RO"/>
              </w:rPr>
              <w:t>unor proceduri de cooperare și comunicare între</w:t>
            </w:r>
            <w:r w:rsidR="005B260A">
              <w:rPr>
                <w:rFonts w:ascii="Times New Roman" w:hAnsi="Times New Roman"/>
                <w:bCs/>
                <w:lang w:val="ro-RO"/>
              </w:rPr>
              <w:t xml:space="preserve"> </w:t>
            </w:r>
            <w:r w:rsidR="005B260A" w:rsidRPr="005B260A">
              <w:rPr>
                <w:rFonts w:ascii="Times New Roman" w:hAnsi="Times New Roman"/>
                <w:bCs/>
                <w:lang w:val="ro-RO"/>
              </w:rPr>
              <w:t>navă și terminal și prin stabilirea cerințelor de conformitate aplicabile</w:t>
            </w:r>
            <w:r w:rsidR="005B260A">
              <w:rPr>
                <w:rFonts w:ascii="Times New Roman" w:hAnsi="Times New Roman"/>
                <w:bCs/>
                <w:lang w:val="ro-RO"/>
              </w:rPr>
              <w:t xml:space="preserve"> </w:t>
            </w:r>
            <w:r w:rsidR="005B260A" w:rsidRPr="005B260A">
              <w:rPr>
                <w:rFonts w:ascii="Times New Roman" w:hAnsi="Times New Roman"/>
                <w:bCs/>
                <w:lang w:val="ro-RO"/>
              </w:rPr>
              <w:t>navelor și terminalelor.</w:t>
            </w:r>
          </w:p>
          <w:p w14:paraId="5618DCD7" w14:textId="668E857F" w:rsidR="00DD27C4" w:rsidRDefault="00DD27C4" w:rsidP="002320D4">
            <w:pPr>
              <w:ind w:firstLine="600"/>
              <w:jc w:val="both"/>
              <w:rPr>
                <w:rFonts w:ascii="Times New Roman" w:hAnsi="Times New Roman"/>
                <w:bCs/>
                <w:lang w:val="ro-RO"/>
              </w:rPr>
            </w:pPr>
            <w:r w:rsidRPr="00DD27C4">
              <w:rPr>
                <w:rFonts w:ascii="Times New Roman" w:hAnsi="Times New Roman"/>
                <w:bCs/>
                <w:lang w:val="ro-RO"/>
              </w:rPr>
              <w:t xml:space="preserve">Pentru a îmbunătăți siguranța </w:t>
            </w:r>
            <w:proofErr w:type="spellStart"/>
            <w:r w:rsidRPr="00DD27C4">
              <w:rPr>
                <w:rFonts w:ascii="Times New Roman" w:hAnsi="Times New Roman"/>
                <w:bCs/>
                <w:lang w:val="ro-RO"/>
              </w:rPr>
              <w:t>vrachierelor</w:t>
            </w:r>
            <w:proofErr w:type="spellEnd"/>
            <w:r w:rsidRPr="00DD27C4">
              <w:rPr>
                <w:rFonts w:ascii="Times New Roman" w:hAnsi="Times New Roman"/>
                <w:bCs/>
                <w:lang w:val="ro-RO"/>
              </w:rPr>
              <w:t xml:space="preserve"> și a evita denaturarea</w:t>
            </w:r>
            <w:r>
              <w:rPr>
                <w:rFonts w:ascii="Times New Roman" w:hAnsi="Times New Roman"/>
                <w:bCs/>
                <w:lang w:val="ro-RO"/>
              </w:rPr>
              <w:t xml:space="preserve"> </w:t>
            </w:r>
            <w:r w:rsidRPr="00DD27C4">
              <w:rPr>
                <w:rFonts w:ascii="Times New Roman" w:hAnsi="Times New Roman"/>
                <w:bCs/>
                <w:lang w:val="ro-RO"/>
              </w:rPr>
              <w:t xml:space="preserve">concurenței, procedurile armonizate și </w:t>
            </w:r>
            <w:r>
              <w:rPr>
                <w:rFonts w:ascii="Times New Roman" w:hAnsi="Times New Roman"/>
                <w:bCs/>
                <w:lang w:val="ro-RO"/>
              </w:rPr>
              <w:t xml:space="preserve">a </w:t>
            </w:r>
            <w:r w:rsidRPr="00DD27C4">
              <w:rPr>
                <w:rFonts w:ascii="Times New Roman" w:hAnsi="Times New Roman"/>
                <w:bCs/>
                <w:lang w:val="ro-RO"/>
              </w:rPr>
              <w:t>criteriil</w:t>
            </w:r>
            <w:r>
              <w:rPr>
                <w:rFonts w:ascii="Times New Roman" w:hAnsi="Times New Roman"/>
                <w:bCs/>
                <w:lang w:val="ro-RO"/>
              </w:rPr>
              <w:t>or</w:t>
            </w:r>
            <w:r w:rsidRPr="00DD27C4">
              <w:rPr>
                <w:rFonts w:ascii="Times New Roman" w:hAnsi="Times New Roman"/>
                <w:bCs/>
                <w:lang w:val="ro-RO"/>
              </w:rPr>
              <w:t xml:space="preserve"> de conformitate </w:t>
            </w:r>
            <w:r>
              <w:rPr>
                <w:rFonts w:ascii="Times New Roman" w:hAnsi="Times New Roman"/>
                <w:bCs/>
                <w:lang w:val="ro-RO"/>
              </w:rPr>
              <w:t>proiectul</w:t>
            </w:r>
            <w:r w:rsidRPr="00DD27C4">
              <w:rPr>
                <w:rFonts w:ascii="Times New Roman" w:hAnsi="Times New Roman"/>
                <w:bCs/>
                <w:lang w:val="ro-RO"/>
              </w:rPr>
              <w:t xml:space="preserve"> se aplic</w:t>
            </w:r>
            <w:r>
              <w:rPr>
                <w:rFonts w:ascii="Times New Roman" w:hAnsi="Times New Roman"/>
                <w:bCs/>
                <w:lang w:val="ro-RO"/>
              </w:rPr>
              <w:t>ă</w:t>
            </w:r>
            <w:r w:rsidRPr="00DD27C4">
              <w:rPr>
                <w:rFonts w:ascii="Times New Roman" w:hAnsi="Times New Roman"/>
                <w:bCs/>
                <w:lang w:val="ro-RO"/>
              </w:rPr>
              <w:t xml:space="preserve"> tuturor </w:t>
            </w:r>
            <w:proofErr w:type="spellStart"/>
            <w:r w:rsidRPr="00DD27C4">
              <w:rPr>
                <w:rFonts w:ascii="Times New Roman" w:hAnsi="Times New Roman"/>
                <w:bCs/>
                <w:lang w:val="ro-RO"/>
              </w:rPr>
              <w:t>vrachierelor</w:t>
            </w:r>
            <w:proofErr w:type="spellEnd"/>
            <w:r w:rsidRPr="00DD27C4">
              <w:rPr>
                <w:rFonts w:ascii="Times New Roman" w:hAnsi="Times New Roman"/>
                <w:bCs/>
                <w:lang w:val="ro-RO"/>
              </w:rPr>
              <w:t>, indiferent de pavilionul pe</w:t>
            </w:r>
            <w:r>
              <w:rPr>
                <w:rFonts w:ascii="Times New Roman" w:hAnsi="Times New Roman"/>
                <w:bCs/>
                <w:lang w:val="ro-RO"/>
              </w:rPr>
              <w:t xml:space="preserve"> </w:t>
            </w:r>
            <w:r w:rsidRPr="00DD27C4">
              <w:rPr>
                <w:rFonts w:ascii="Times New Roman" w:hAnsi="Times New Roman"/>
                <w:bCs/>
                <w:lang w:val="ro-RO"/>
              </w:rPr>
              <w:t>care acestea îl arborează</w:t>
            </w:r>
            <w:r>
              <w:rPr>
                <w:rFonts w:ascii="Times New Roman" w:hAnsi="Times New Roman"/>
                <w:bCs/>
                <w:lang w:val="ro-RO"/>
              </w:rPr>
              <w:t xml:space="preserve">. </w:t>
            </w:r>
            <w:proofErr w:type="spellStart"/>
            <w:r w:rsidR="008743AC" w:rsidRPr="008743AC">
              <w:rPr>
                <w:rFonts w:ascii="Times New Roman" w:hAnsi="Times New Roman"/>
                <w:bCs/>
                <w:lang w:val="ro-RO"/>
              </w:rPr>
              <w:t>Vrachierele</w:t>
            </w:r>
            <w:proofErr w:type="spellEnd"/>
            <w:r w:rsidR="008743AC" w:rsidRPr="008743AC">
              <w:rPr>
                <w:rFonts w:ascii="Times New Roman" w:hAnsi="Times New Roman"/>
                <w:bCs/>
                <w:lang w:val="ro-RO"/>
              </w:rPr>
              <w:t xml:space="preserve"> care acostează </w:t>
            </w:r>
            <w:r w:rsidR="008743AC">
              <w:rPr>
                <w:rFonts w:ascii="Times New Roman" w:hAnsi="Times New Roman"/>
                <w:bCs/>
                <w:lang w:val="ro-RO"/>
              </w:rPr>
              <w:t>în porturile din Republica Moldova</w:t>
            </w:r>
            <w:r w:rsidR="008743AC" w:rsidRPr="008743AC">
              <w:rPr>
                <w:rFonts w:ascii="Times New Roman" w:hAnsi="Times New Roman"/>
                <w:bCs/>
                <w:lang w:val="ro-RO"/>
              </w:rPr>
              <w:t xml:space="preserve"> pentru încărcarea și</w:t>
            </w:r>
            <w:r w:rsidR="008743AC">
              <w:rPr>
                <w:rFonts w:ascii="Times New Roman" w:hAnsi="Times New Roman"/>
                <w:bCs/>
                <w:lang w:val="ro-RO"/>
              </w:rPr>
              <w:t xml:space="preserve"> </w:t>
            </w:r>
            <w:r w:rsidR="008743AC" w:rsidRPr="008743AC">
              <w:rPr>
                <w:rFonts w:ascii="Times New Roman" w:hAnsi="Times New Roman"/>
                <w:bCs/>
                <w:lang w:val="ro-RO"/>
              </w:rPr>
              <w:t xml:space="preserve">descărcarea mărfurilor solide în vrac </w:t>
            </w:r>
            <w:r w:rsidR="008743AC">
              <w:rPr>
                <w:rFonts w:ascii="Times New Roman" w:hAnsi="Times New Roman"/>
                <w:bCs/>
                <w:lang w:val="ro-RO"/>
              </w:rPr>
              <w:t>vor</w:t>
            </w:r>
            <w:r w:rsidR="008743AC" w:rsidRPr="008743AC">
              <w:rPr>
                <w:rFonts w:ascii="Times New Roman" w:hAnsi="Times New Roman"/>
                <w:bCs/>
                <w:lang w:val="ro-RO"/>
              </w:rPr>
              <w:t xml:space="preserve"> trebui să fie apte pentru</w:t>
            </w:r>
            <w:r w:rsidR="002320D4">
              <w:rPr>
                <w:rFonts w:ascii="Times New Roman" w:hAnsi="Times New Roman"/>
                <w:bCs/>
                <w:lang w:val="ro-RO"/>
              </w:rPr>
              <w:t xml:space="preserve"> </w:t>
            </w:r>
            <w:r w:rsidR="008743AC" w:rsidRPr="008743AC">
              <w:rPr>
                <w:rFonts w:ascii="Times New Roman" w:hAnsi="Times New Roman"/>
                <w:bCs/>
                <w:lang w:val="ro-RO"/>
              </w:rPr>
              <w:t>aceste operațiuni. De asemenea, terminalele</w:t>
            </w:r>
            <w:r w:rsidR="002320D4">
              <w:rPr>
                <w:rFonts w:ascii="Times New Roman" w:hAnsi="Times New Roman"/>
                <w:bCs/>
                <w:lang w:val="ro-RO"/>
              </w:rPr>
              <w:t xml:space="preserve"> din porturi</w:t>
            </w:r>
            <w:r w:rsidR="008743AC" w:rsidRPr="008743AC">
              <w:rPr>
                <w:rFonts w:ascii="Times New Roman" w:hAnsi="Times New Roman"/>
                <w:bCs/>
                <w:lang w:val="ro-RO"/>
              </w:rPr>
              <w:t xml:space="preserve"> </w:t>
            </w:r>
            <w:r w:rsidR="002320D4">
              <w:rPr>
                <w:rFonts w:ascii="Times New Roman" w:hAnsi="Times New Roman"/>
                <w:bCs/>
                <w:lang w:val="ro-RO"/>
              </w:rPr>
              <w:t>vor</w:t>
            </w:r>
            <w:r w:rsidR="008743AC" w:rsidRPr="008743AC">
              <w:rPr>
                <w:rFonts w:ascii="Times New Roman" w:hAnsi="Times New Roman"/>
                <w:bCs/>
                <w:lang w:val="ro-RO"/>
              </w:rPr>
              <w:t xml:space="preserve"> trebui să fie apte</w:t>
            </w:r>
            <w:r w:rsidR="002320D4">
              <w:rPr>
                <w:rFonts w:ascii="Times New Roman" w:hAnsi="Times New Roman"/>
                <w:bCs/>
                <w:lang w:val="ro-RO"/>
              </w:rPr>
              <w:t xml:space="preserve"> </w:t>
            </w:r>
            <w:r w:rsidR="008743AC" w:rsidRPr="008743AC">
              <w:rPr>
                <w:rFonts w:ascii="Times New Roman" w:hAnsi="Times New Roman"/>
                <w:bCs/>
                <w:lang w:val="ro-RO"/>
              </w:rPr>
              <w:t xml:space="preserve">să primească pentru încărcare sau descărcare </w:t>
            </w:r>
            <w:proofErr w:type="spellStart"/>
            <w:r w:rsidR="008743AC" w:rsidRPr="008743AC">
              <w:rPr>
                <w:rFonts w:ascii="Times New Roman" w:hAnsi="Times New Roman"/>
                <w:bCs/>
                <w:lang w:val="ro-RO"/>
              </w:rPr>
              <w:t>vrachierele</w:t>
            </w:r>
            <w:proofErr w:type="spellEnd"/>
            <w:r w:rsidR="008743AC" w:rsidRPr="008743AC">
              <w:rPr>
                <w:rFonts w:ascii="Times New Roman" w:hAnsi="Times New Roman"/>
                <w:bCs/>
                <w:lang w:val="ro-RO"/>
              </w:rPr>
              <w:t xml:space="preserve"> care</w:t>
            </w:r>
            <w:r w:rsidR="002320D4">
              <w:rPr>
                <w:rFonts w:ascii="Times New Roman" w:hAnsi="Times New Roman"/>
                <w:bCs/>
                <w:lang w:val="ro-RO"/>
              </w:rPr>
              <w:t xml:space="preserve"> </w:t>
            </w:r>
            <w:r w:rsidR="008743AC" w:rsidRPr="008743AC">
              <w:rPr>
                <w:rFonts w:ascii="Times New Roman" w:hAnsi="Times New Roman"/>
                <w:bCs/>
                <w:lang w:val="ro-RO"/>
              </w:rPr>
              <w:t>acostează. În aceste scopuri, în</w:t>
            </w:r>
            <w:r w:rsidR="002320D4">
              <w:rPr>
                <w:rFonts w:ascii="Times New Roman" w:hAnsi="Times New Roman"/>
                <w:bCs/>
                <w:lang w:val="ro-RO"/>
              </w:rPr>
              <w:t xml:space="preserve"> proiect au fost transpuse prevederile</w:t>
            </w:r>
            <w:r w:rsidR="008743AC" w:rsidRPr="008743AC">
              <w:rPr>
                <w:rFonts w:ascii="Times New Roman" w:hAnsi="Times New Roman"/>
                <w:bCs/>
                <w:lang w:val="ro-RO"/>
              </w:rPr>
              <w:t xml:space="preserve"> Codul</w:t>
            </w:r>
            <w:r w:rsidR="002320D4">
              <w:rPr>
                <w:rFonts w:ascii="Times New Roman" w:hAnsi="Times New Roman"/>
                <w:bCs/>
                <w:lang w:val="ro-RO"/>
              </w:rPr>
              <w:t>ui</w:t>
            </w:r>
            <w:r w:rsidR="008743AC" w:rsidRPr="008743AC">
              <w:rPr>
                <w:rFonts w:ascii="Times New Roman" w:hAnsi="Times New Roman"/>
                <w:bCs/>
                <w:lang w:val="ro-RO"/>
              </w:rPr>
              <w:t xml:space="preserve"> BLU</w:t>
            </w:r>
            <w:r w:rsidR="002320D4">
              <w:rPr>
                <w:rFonts w:ascii="Times New Roman" w:hAnsi="Times New Roman"/>
                <w:bCs/>
                <w:lang w:val="ro-RO"/>
              </w:rPr>
              <w:t>.</w:t>
            </w:r>
          </w:p>
          <w:p w14:paraId="6932A8BB" w14:textId="6ED4F965" w:rsidR="008C16C8" w:rsidRPr="00DD27C4" w:rsidRDefault="009B634C" w:rsidP="0096134D">
            <w:pPr>
              <w:ind w:firstLine="600"/>
              <w:jc w:val="both"/>
              <w:rPr>
                <w:rFonts w:ascii="Times New Roman" w:hAnsi="Times New Roman"/>
                <w:bCs/>
                <w:lang w:val="ro-RO"/>
              </w:rPr>
            </w:pPr>
            <w:r w:rsidRPr="00E2525A">
              <w:rPr>
                <w:rFonts w:ascii="Times New Roman" w:hAnsi="Times New Roman"/>
                <w:bCs/>
                <w:lang w:val="ro-RO"/>
              </w:rPr>
              <w:t>R</w:t>
            </w:r>
            <w:r w:rsidR="0096134D" w:rsidRPr="00E2525A">
              <w:rPr>
                <w:rFonts w:ascii="Times New Roman" w:hAnsi="Times New Roman"/>
                <w:bCs/>
                <w:lang w:val="ro-RO"/>
              </w:rPr>
              <w:t>eprezentan</w:t>
            </w:r>
            <w:r w:rsidR="004B3012" w:rsidRPr="00E2525A">
              <w:rPr>
                <w:rFonts w:ascii="Times New Roman" w:hAnsi="Times New Roman"/>
                <w:bCs/>
                <w:lang w:val="ro-RO"/>
              </w:rPr>
              <w:t>ții</w:t>
            </w:r>
            <w:r w:rsidRPr="00E2525A">
              <w:rPr>
                <w:rFonts w:ascii="Times New Roman" w:hAnsi="Times New Roman"/>
                <w:bCs/>
                <w:lang w:val="ro-RO"/>
              </w:rPr>
              <w:t xml:space="preserve"> terminal</w:t>
            </w:r>
            <w:r w:rsidR="004B3012" w:rsidRPr="00E2525A">
              <w:rPr>
                <w:rFonts w:ascii="Times New Roman" w:hAnsi="Times New Roman"/>
                <w:bCs/>
                <w:lang w:val="ro-RO"/>
              </w:rPr>
              <w:t>elor</w:t>
            </w:r>
            <w:r w:rsidR="0096134D">
              <w:rPr>
                <w:rFonts w:ascii="Times New Roman" w:hAnsi="Times New Roman"/>
                <w:bCs/>
                <w:lang w:val="ro-RO"/>
              </w:rPr>
              <w:t xml:space="preserve"> </w:t>
            </w:r>
            <w:r>
              <w:rPr>
                <w:rFonts w:ascii="Times New Roman" w:hAnsi="Times New Roman"/>
                <w:bCs/>
                <w:lang w:val="ro-RO"/>
              </w:rPr>
              <w:t>v</w:t>
            </w:r>
            <w:r w:rsidR="004B3012">
              <w:rPr>
                <w:rFonts w:ascii="Times New Roman" w:hAnsi="Times New Roman"/>
                <w:bCs/>
                <w:lang w:val="ro-RO"/>
              </w:rPr>
              <w:t>or</w:t>
            </w:r>
            <w:r>
              <w:rPr>
                <w:rFonts w:ascii="Times New Roman" w:hAnsi="Times New Roman"/>
                <w:bCs/>
                <w:lang w:val="ro-RO"/>
              </w:rPr>
              <w:t xml:space="preserve"> trebui să</w:t>
            </w:r>
            <w:r w:rsidR="0096134D">
              <w:rPr>
                <w:rFonts w:ascii="Times New Roman" w:hAnsi="Times New Roman"/>
                <w:bCs/>
                <w:lang w:val="ro-RO"/>
              </w:rPr>
              <w:t xml:space="preserve"> </w:t>
            </w:r>
            <w:r w:rsidR="0096134D" w:rsidRPr="0096134D">
              <w:rPr>
                <w:rFonts w:ascii="Times New Roman" w:hAnsi="Times New Roman"/>
                <w:bCs/>
                <w:lang w:val="ro-RO"/>
              </w:rPr>
              <w:t>cooper</w:t>
            </w:r>
            <w:r>
              <w:rPr>
                <w:rFonts w:ascii="Times New Roman" w:hAnsi="Times New Roman"/>
                <w:bCs/>
                <w:lang w:val="ro-RO"/>
              </w:rPr>
              <w:t>eze</w:t>
            </w:r>
            <w:r w:rsidR="0096134D" w:rsidRPr="0096134D">
              <w:rPr>
                <w:rFonts w:ascii="Times New Roman" w:hAnsi="Times New Roman"/>
                <w:bCs/>
                <w:lang w:val="ro-RO"/>
              </w:rPr>
              <w:t xml:space="preserve"> și</w:t>
            </w:r>
            <w:r>
              <w:rPr>
                <w:rFonts w:ascii="Times New Roman" w:hAnsi="Times New Roman"/>
                <w:bCs/>
                <w:lang w:val="ro-RO"/>
              </w:rPr>
              <w:t xml:space="preserve"> să</w:t>
            </w:r>
            <w:r w:rsidR="0096134D" w:rsidRPr="0096134D">
              <w:rPr>
                <w:rFonts w:ascii="Times New Roman" w:hAnsi="Times New Roman"/>
                <w:bCs/>
                <w:lang w:val="ro-RO"/>
              </w:rPr>
              <w:t xml:space="preserve"> comunic</w:t>
            </w:r>
            <w:r>
              <w:rPr>
                <w:rFonts w:ascii="Times New Roman" w:hAnsi="Times New Roman"/>
                <w:bCs/>
                <w:lang w:val="ro-RO"/>
              </w:rPr>
              <w:t>e</w:t>
            </w:r>
            <w:r w:rsidR="0096134D" w:rsidRPr="0096134D">
              <w:rPr>
                <w:rFonts w:ascii="Times New Roman" w:hAnsi="Times New Roman"/>
                <w:bCs/>
                <w:lang w:val="ro-RO"/>
              </w:rPr>
              <w:t xml:space="preserve"> cu comandantul navei</w:t>
            </w:r>
            <w:r w:rsidR="0096134D">
              <w:rPr>
                <w:rFonts w:ascii="Times New Roman" w:hAnsi="Times New Roman"/>
                <w:bCs/>
                <w:lang w:val="ro-RO"/>
              </w:rPr>
              <w:t xml:space="preserve"> </w:t>
            </w:r>
            <w:r w:rsidR="0096134D" w:rsidRPr="0096134D">
              <w:rPr>
                <w:rFonts w:ascii="Times New Roman" w:hAnsi="Times New Roman"/>
                <w:bCs/>
                <w:lang w:val="ro-RO"/>
              </w:rPr>
              <w:t>privind aspectele referitoare la încărcarea și descărcarea mărfurilor</w:t>
            </w:r>
            <w:r w:rsidR="0096134D">
              <w:rPr>
                <w:rFonts w:ascii="Times New Roman" w:hAnsi="Times New Roman"/>
                <w:bCs/>
                <w:lang w:val="ro-RO"/>
              </w:rPr>
              <w:t xml:space="preserve"> </w:t>
            </w:r>
            <w:r w:rsidR="0096134D" w:rsidRPr="0096134D">
              <w:rPr>
                <w:rFonts w:ascii="Times New Roman" w:hAnsi="Times New Roman"/>
                <w:bCs/>
                <w:lang w:val="ro-RO"/>
              </w:rPr>
              <w:t>solide în vrac</w:t>
            </w:r>
            <w:r w:rsidR="0096134D">
              <w:rPr>
                <w:rFonts w:ascii="Times New Roman" w:hAnsi="Times New Roman"/>
                <w:bCs/>
                <w:lang w:val="ro-RO"/>
              </w:rPr>
              <w:t xml:space="preserve"> </w:t>
            </w:r>
            <w:r w:rsidR="0096134D" w:rsidRPr="0096134D">
              <w:rPr>
                <w:rFonts w:ascii="Times New Roman" w:hAnsi="Times New Roman"/>
                <w:bCs/>
                <w:lang w:val="ro-RO"/>
              </w:rPr>
              <w:t>și să pună la dispoziția</w:t>
            </w:r>
            <w:r w:rsidR="0096134D">
              <w:rPr>
                <w:rFonts w:ascii="Times New Roman" w:hAnsi="Times New Roman"/>
                <w:bCs/>
                <w:lang w:val="ro-RO"/>
              </w:rPr>
              <w:t xml:space="preserve"> </w:t>
            </w:r>
            <w:r w:rsidR="0096134D" w:rsidRPr="0096134D">
              <w:rPr>
                <w:rFonts w:ascii="Times New Roman" w:hAnsi="Times New Roman"/>
                <w:bCs/>
                <w:lang w:val="ro-RO"/>
              </w:rPr>
              <w:t>comandanților manuale indicând cerințele terminalului și ale portului</w:t>
            </w:r>
            <w:r>
              <w:rPr>
                <w:rFonts w:ascii="Times New Roman" w:hAnsi="Times New Roman"/>
                <w:bCs/>
                <w:lang w:val="ro-RO"/>
              </w:rPr>
              <w:t>.</w:t>
            </w:r>
          </w:p>
          <w:p w14:paraId="43838D70" w14:textId="77777777" w:rsidR="009E6715" w:rsidRDefault="006F1053" w:rsidP="006F1053">
            <w:pPr>
              <w:ind w:firstLine="600"/>
              <w:jc w:val="both"/>
              <w:rPr>
                <w:rFonts w:ascii="Times New Roman" w:hAnsi="Times New Roman"/>
                <w:bCs/>
                <w:lang w:val="ro-RO"/>
              </w:rPr>
            </w:pPr>
            <w:r>
              <w:rPr>
                <w:rFonts w:ascii="Times New Roman" w:hAnsi="Times New Roman"/>
                <w:bCs/>
                <w:lang w:val="ro-RO"/>
              </w:rPr>
              <w:t xml:space="preserve">Totodată, terminalele vor trebui să elaboreze, aplice și să mențină un </w:t>
            </w:r>
            <w:r w:rsidRPr="006F1053">
              <w:rPr>
                <w:rFonts w:ascii="Times New Roman" w:hAnsi="Times New Roman"/>
                <w:bCs/>
                <w:lang w:val="ro-RO"/>
              </w:rPr>
              <w:t>sistem de management al</w:t>
            </w:r>
            <w:r>
              <w:rPr>
                <w:rFonts w:ascii="Times New Roman" w:hAnsi="Times New Roman"/>
                <w:bCs/>
                <w:lang w:val="ro-RO"/>
              </w:rPr>
              <w:t xml:space="preserve"> </w:t>
            </w:r>
            <w:r w:rsidRPr="006F1053">
              <w:rPr>
                <w:rFonts w:ascii="Times New Roman" w:hAnsi="Times New Roman"/>
                <w:bCs/>
                <w:lang w:val="ro-RO"/>
              </w:rPr>
              <w:t>calității</w:t>
            </w:r>
            <w:r>
              <w:rPr>
                <w:rFonts w:ascii="Times New Roman" w:hAnsi="Times New Roman"/>
                <w:bCs/>
                <w:lang w:val="ro-RO"/>
              </w:rPr>
              <w:t xml:space="preserve">, care va fi o garanție </w:t>
            </w:r>
            <w:r w:rsidRPr="006F1053">
              <w:rPr>
                <w:rFonts w:ascii="Times New Roman" w:hAnsi="Times New Roman"/>
                <w:bCs/>
                <w:lang w:val="ro-RO"/>
              </w:rPr>
              <w:t>a faptului că procedurile de</w:t>
            </w:r>
            <w:r>
              <w:rPr>
                <w:rFonts w:ascii="Times New Roman" w:hAnsi="Times New Roman"/>
                <w:bCs/>
                <w:lang w:val="ro-RO"/>
              </w:rPr>
              <w:t xml:space="preserve"> </w:t>
            </w:r>
            <w:r w:rsidRPr="006F1053">
              <w:rPr>
                <w:rFonts w:ascii="Times New Roman" w:hAnsi="Times New Roman"/>
                <w:bCs/>
                <w:lang w:val="ro-RO"/>
              </w:rPr>
              <w:t>cooperare și comunicare și operațiunile actuale de încărcare și</w:t>
            </w:r>
            <w:r>
              <w:rPr>
                <w:rFonts w:ascii="Times New Roman" w:hAnsi="Times New Roman"/>
                <w:bCs/>
                <w:lang w:val="ro-RO"/>
              </w:rPr>
              <w:t xml:space="preserve"> </w:t>
            </w:r>
            <w:r w:rsidRPr="006F1053">
              <w:rPr>
                <w:rFonts w:ascii="Times New Roman" w:hAnsi="Times New Roman"/>
                <w:bCs/>
                <w:lang w:val="ro-RO"/>
              </w:rPr>
              <w:t>descărcare la terminal sunt planificate și executate în conformitate</w:t>
            </w:r>
            <w:r>
              <w:rPr>
                <w:rFonts w:ascii="Times New Roman" w:hAnsi="Times New Roman"/>
                <w:bCs/>
                <w:lang w:val="ro-RO"/>
              </w:rPr>
              <w:t xml:space="preserve"> </w:t>
            </w:r>
            <w:r w:rsidRPr="006F1053">
              <w:rPr>
                <w:rFonts w:ascii="Times New Roman" w:hAnsi="Times New Roman"/>
                <w:bCs/>
                <w:lang w:val="ro-RO"/>
              </w:rPr>
              <w:t>cu cadrul armonizat, care este recunoscut pe plan internațional și care</w:t>
            </w:r>
            <w:r>
              <w:rPr>
                <w:rFonts w:ascii="Times New Roman" w:hAnsi="Times New Roman"/>
                <w:bCs/>
                <w:lang w:val="ro-RO"/>
              </w:rPr>
              <w:t xml:space="preserve"> </w:t>
            </w:r>
            <w:r w:rsidRPr="006F1053">
              <w:rPr>
                <w:rFonts w:ascii="Times New Roman" w:hAnsi="Times New Roman"/>
                <w:bCs/>
                <w:lang w:val="ro-RO"/>
              </w:rPr>
              <w:t>poate face obiectul unui audit. Dată fiind recunoașterea sa internațională,</w:t>
            </w:r>
            <w:r>
              <w:rPr>
                <w:rFonts w:ascii="Times New Roman" w:hAnsi="Times New Roman"/>
                <w:bCs/>
                <w:lang w:val="ro-RO"/>
              </w:rPr>
              <w:t xml:space="preserve"> </w:t>
            </w:r>
            <w:r w:rsidRPr="006F1053">
              <w:rPr>
                <w:rFonts w:ascii="Times New Roman" w:hAnsi="Times New Roman"/>
                <w:bCs/>
                <w:lang w:val="ro-RO"/>
              </w:rPr>
              <w:t>sistemul de management al calității trebuie să fie compatibil</w:t>
            </w:r>
            <w:r>
              <w:rPr>
                <w:rFonts w:ascii="Times New Roman" w:hAnsi="Times New Roman"/>
                <w:bCs/>
                <w:lang w:val="ro-RO"/>
              </w:rPr>
              <w:t xml:space="preserve"> </w:t>
            </w:r>
            <w:r w:rsidRPr="006F1053">
              <w:rPr>
                <w:rFonts w:ascii="Times New Roman" w:hAnsi="Times New Roman"/>
                <w:bCs/>
                <w:lang w:val="ro-RO"/>
              </w:rPr>
              <w:t>cu seriile ISO 9000 ale standardelor adoptate de Organizația Internațională</w:t>
            </w:r>
            <w:r>
              <w:rPr>
                <w:rFonts w:ascii="Times New Roman" w:hAnsi="Times New Roman"/>
                <w:bCs/>
                <w:lang w:val="ro-RO"/>
              </w:rPr>
              <w:t xml:space="preserve"> </w:t>
            </w:r>
            <w:r w:rsidRPr="006F1053">
              <w:rPr>
                <w:rFonts w:ascii="Times New Roman" w:hAnsi="Times New Roman"/>
                <w:bCs/>
                <w:lang w:val="ro-RO"/>
              </w:rPr>
              <w:t>de Standardizare.</w:t>
            </w:r>
            <w:r>
              <w:rPr>
                <w:rFonts w:ascii="Times New Roman" w:hAnsi="Times New Roman"/>
                <w:bCs/>
                <w:lang w:val="ro-RO"/>
              </w:rPr>
              <w:t xml:space="preserve"> </w:t>
            </w:r>
          </w:p>
          <w:p w14:paraId="224DED14" w14:textId="684C3E85" w:rsidR="00E2525A" w:rsidRDefault="00720D87" w:rsidP="00EB3F16">
            <w:pPr>
              <w:ind w:firstLine="600"/>
              <w:jc w:val="both"/>
              <w:rPr>
                <w:rFonts w:ascii="Times New Roman" w:hAnsi="Times New Roman"/>
                <w:bCs/>
                <w:lang w:val="ro-RO"/>
              </w:rPr>
            </w:pPr>
            <w:r>
              <w:rPr>
                <w:rFonts w:ascii="Times New Roman" w:hAnsi="Times New Roman"/>
                <w:bCs/>
                <w:lang w:val="ro-RO"/>
              </w:rPr>
              <w:t xml:space="preserve">Proiectul intervine inclusiv cu norme privind </w:t>
            </w:r>
            <w:r w:rsidRPr="00720D87">
              <w:rPr>
                <w:rFonts w:ascii="Times New Roman" w:hAnsi="Times New Roman"/>
                <w:bCs/>
                <w:lang w:val="ro-RO"/>
              </w:rPr>
              <w:t>stabili</w:t>
            </w:r>
            <w:r>
              <w:rPr>
                <w:rFonts w:ascii="Times New Roman" w:hAnsi="Times New Roman"/>
                <w:bCs/>
                <w:lang w:val="ro-RO"/>
              </w:rPr>
              <w:t>rea</w:t>
            </w:r>
            <w:r w:rsidRPr="00720D87">
              <w:rPr>
                <w:rFonts w:ascii="Times New Roman" w:hAnsi="Times New Roman"/>
                <w:bCs/>
                <w:lang w:val="ro-RO"/>
              </w:rPr>
              <w:t xml:space="preserve"> responsabilitățil</w:t>
            </w:r>
            <w:r>
              <w:rPr>
                <w:rFonts w:ascii="Times New Roman" w:hAnsi="Times New Roman"/>
                <w:bCs/>
                <w:lang w:val="ro-RO"/>
              </w:rPr>
              <w:t>or</w:t>
            </w:r>
            <w:r w:rsidRPr="00720D87">
              <w:rPr>
                <w:rFonts w:ascii="Times New Roman" w:hAnsi="Times New Roman"/>
                <w:bCs/>
                <w:lang w:val="ro-RO"/>
              </w:rPr>
              <w:t xml:space="preserve"> comandantului și ale reprezentantulu</w:t>
            </w:r>
            <w:r w:rsidR="003C472F">
              <w:rPr>
                <w:rFonts w:ascii="Times New Roman" w:hAnsi="Times New Roman"/>
                <w:bCs/>
                <w:lang w:val="ro-RO"/>
              </w:rPr>
              <w:t>i</w:t>
            </w:r>
            <w:r>
              <w:rPr>
                <w:rFonts w:ascii="Times New Roman" w:hAnsi="Times New Roman"/>
                <w:bCs/>
                <w:lang w:val="ro-RO"/>
              </w:rPr>
              <w:t xml:space="preserve"> </w:t>
            </w:r>
            <w:r w:rsidRPr="00720D87">
              <w:rPr>
                <w:rFonts w:ascii="Times New Roman" w:hAnsi="Times New Roman"/>
                <w:bCs/>
                <w:lang w:val="ro-RO"/>
              </w:rPr>
              <w:t>terminalului</w:t>
            </w:r>
            <w:r>
              <w:rPr>
                <w:rFonts w:ascii="Times New Roman" w:hAnsi="Times New Roman"/>
                <w:bCs/>
                <w:lang w:val="ro-RO"/>
              </w:rPr>
              <w:t xml:space="preserve">, pentru a </w:t>
            </w:r>
            <w:r w:rsidRPr="00720D87">
              <w:rPr>
                <w:rFonts w:ascii="Times New Roman" w:hAnsi="Times New Roman"/>
                <w:bCs/>
                <w:lang w:val="ro-RO"/>
              </w:rPr>
              <w:t>garanta că operațiunile de încărcare și descărcare sunt</w:t>
            </w:r>
            <w:r>
              <w:rPr>
                <w:rFonts w:ascii="Times New Roman" w:hAnsi="Times New Roman"/>
                <w:bCs/>
                <w:lang w:val="ro-RO"/>
              </w:rPr>
              <w:t xml:space="preserve"> </w:t>
            </w:r>
            <w:r w:rsidRPr="00720D87">
              <w:rPr>
                <w:rFonts w:ascii="Times New Roman" w:hAnsi="Times New Roman"/>
                <w:bCs/>
                <w:lang w:val="ro-RO"/>
              </w:rPr>
              <w:t>pregătite cu atenție, convenite și conduse în așa fel încât să se</w:t>
            </w:r>
            <w:r>
              <w:rPr>
                <w:rFonts w:ascii="Times New Roman" w:hAnsi="Times New Roman"/>
                <w:bCs/>
                <w:lang w:val="ro-RO"/>
              </w:rPr>
              <w:t xml:space="preserve"> </w:t>
            </w:r>
            <w:r w:rsidRPr="00720D87">
              <w:rPr>
                <w:rFonts w:ascii="Times New Roman" w:hAnsi="Times New Roman"/>
                <w:bCs/>
                <w:lang w:val="ro-RO"/>
              </w:rPr>
              <w:t>evite punerea în pericol a siguranței navei sau echipajului</w:t>
            </w:r>
            <w:r>
              <w:rPr>
                <w:rFonts w:ascii="Times New Roman" w:hAnsi="Times New Roman"/>
                <w:bCs/>
                <w:lang w:val="ro-RO"/>
              </w:rPr>
              <w:t xml:space="preserve">. </w:t>
            </w:r>
            <w:r w:rsidR="00EB3F16" w:rsidRPr="00EB3F16">
              <w:rPr>
                <w:rFonts w:ascii="Times New Roman" w:hAnsi="Times New Roman"/>
                <w:bCs/>
                <w:lang w:val="ro-RO"/>
              </w:rPr>
              <w:t>În acest sens, dispoziții relevante pot fi întâlnite în</w:t>
            </w:r>
            <w:r w:rsidR="00EB3F16">
              <w:rPr>
                <w:rFonts w:ascii="Times New Roman" w:hAnsi="Times New Roman"/>
                <w:bCs/>
                <w:lang w:val="ro-RO"/>
              </w:rPr>
              <w:t xml:space="preserve"> </w:t>
            </w:r>
            <w:r w:rsidR="00EB3F16" w:rsidRPr="00EB3F16">
              <w:rPr>
                <w:rFonts w:ascii="Times New Roman" w:hAnsi="Times New Roman"/>
                <w:bCs/>
                <w:lang w:val="ro-RO"/>
              </w:rPr>
              <w:t>Convenția internațională din 1974 pentru ocrotirea vieții omenești</w:t>
            </w:r>
            <w:r w:rsidR="00EB3F16">
              <w:rPr>
                <w:rFonts w:ascii="Times New Roman" w:hAnsi="Times New Roman"/>
                <w:bCs/>
                <w:lang w:val="ro-RO"/>
              </w:rPr>
              <w:t xml:space="preserve"> </w:t>
            </w:r>
            <w:r w:rsidR="00EB3F16" w:rsidRPr="00EB3F16">
              <w:rPr>
                <w:rFonts w:ascii="Times New Roman" w:hAnsi="Times New Roman"/>
                <w:bCs/>
                <w:lang w:val="ro-RO"/>
              </w:rPr>
              <w:t>pe mare (Convenția SOLAS 1974)</w:t>
            </w:r>
            <w:r w:rsidR="00EB3F16">
              <w:rPr>
                <w:rFonts w:ascii="Times New Roman" w:hAnsi="Times New Roman"/>
                <w:bCs/>
                <w:lang w:val="ro-RO"/>
              </w:rPr>
              <w:t xml:space="preserve">, la care Republica Moldova este parte. </w:t>
            </w:r>
          </w:p>
          <w:p w14:paraId="602BD403" w14:textId="77777777" w:rsidR="00270381" w:rsidRDefault="004D2F5F" w:rsidP="00F43AF9">
            <w:pPr>
              <w:ind w:firstLine="600"/>
              <w:jc w:val="both"/>
              <w:rPr>
                <w:rFonts w:ascii="Times New Roman" w:hAnsi="Times New Roman"/>
                <w:bCs/>
                <w:lang w:val="ro-RO"/>
              </w:rPr>
            </w:pPr>
            <w:r>
              <w:rPr>
                <w:rFonts w:ascii="Times New Roman" w:hAnsi="Times New Roman"/>
                <w:bCs/>
                <w:lang w:val="ro-RO"/>
              </w:rPr>
              <w:t xml:space="preserve">În cazul avariilor </w:t>
            </w:r>
            <w:r w:rsidRPr="004D2F5F">
              <w:rPr>
                <w:rFonts w:ascii="Times New Roman" w:hAnsi="Times New Roman"/>
                <w:bCs/>
                <w:lang w:val="ro-RO"/>
              </w:rPr>
              <w:t>suferite de nave în timpul operațiunilor de încărcare sau</w:t>
            </w:r>
            <w:r>
              <w:rPr>
                <w:rFonts w:ascii="Times New Roman" w:hAnsi="Times New Roman"/>
                <w:bCs/>
                <w:lang w:val="ro-RO"/>
              </w:rPr>
              <w:t xml:space="preserve"> </w:t>
            </w:r>
            <w:r w:rsidRPr="004D2F5F">
              <w:rPr>
                <w:rFonts w:ascii="Times New Roman" w:hAnsi="Times New Roman"/>
                <w:bCs/>
                <w:lang w:val="ro-RO"/>
              </w:rPr>
              <w:t>descărcare</w:t>
            </w:r>
            <w:r>
              <w:rPr>
                <w:rFonts w:ascii="Times New Roman" w:hAnsi="Times New Roman"/>
                <w:bCs/>
                <w:lang w:val="ro-RO"/>
              </w:rPr>
              <w:t xml:space="preserve">, acestea va trebui să fie raportate </w:t>
            </w:r>
            <w:r w:rsidRPr="004D2F5F">
              <w:rPr>
                <w:rFonts w:ascii="Times New Roman" w:hAnsi="Times New Roman"/>
                <w:bCs/>
                <w:lang w:val="ro-RO"/>
              </w:rPr>
              <w:t>organismelor corespunzătoare, cum ar fi societățile</w:t>
            </w:r>
            <w:r>
              <w:rPr>
                <w:rFonts w:ascii="Times New Roman" w:hAnsi="Times New Roman"/>
                <w:bCs/>
                <w:lang w:val="ro-RO"/>
              </w:rPr>
              <w:t xml:space="preserve"> </w:t>
            </w:r>
            <w:r w:rsidRPr="004D2F5F">
              <w:rPr>
                <w:rFonts w:ascii="Times New Roman" w:hAnsi="Times New Roman"/>
                <w:bCs/>
                <w:lang w:val="ro-RO"/>
              </w:rPr>
              <w:t>de clasificare relevante, și pentru a le repara, dacă este cazul.</w:t>
            </w:r>
            <w:r w:rsidR="00F43AF9">
              <w:rPr>
                <w:rFonts w:ascii="Times New Roman" w:hAnsi="Times New Roman"/>
                <w:bCs/>
                <w:lang w:val="ro-RO"/>
              </w:rPr>
              <w:t xml:space="preserve"> </w:t>
            </w:r>
            <w:r w:rsidR="00F43AF9" w:rsidRPr="00F43AF9">
              <w:rPr>
                <w:rFonts w:ascii="Times New Roman" w:hAnsi="Times New Roman"/>
                <w:bCs/>
                <w:lang w:val="ro-RO"/>
              </w:rPr>
              <w:t>În cazul în care o astfel de avarie ar putea să prejudicieze</w:t>
            </w:r>
            <w:r w:rsidR="00F43AF9">
              <w:rPr>
                <w:rFonts w:ascii="Times New Roman" w:hAnsi="Times New Roman"/>
                <w:bCs/>
                <w:lang w:val="ro-RO"/>
              </w:rPr>
              <w:t xml:space="preserve"> </w:t>
            </w:r>
            <w:r w:rsidR="00F43AF9" w:rsidRPr="00F43AF9">
              <w:rPr>
                <w:rFonts w:ascii="Times New Roman" w:hAnsi="Times New Roman"/>
                <w:bCs/>
                <w:lang w:val="ro-RO"/>
              </w:rPr>
              <w:t>siguranța sau navigabilitatea navei, decizia privind necesitatea și</w:t>
            </w:r>
            <w:r w:rsidR="00F43AF9">
              <w:rPr>
                <w:rFonts w:ascii="Times New Roman" w:hAnsi="Times New Roman"/>
                <w:bCs/>
                <w:lang w:val="ro-RO"/>
              </w:rPr>
              <w:t xml:space="preserve"> </w:t>
            </w:r>
            <w:r w:rsidR="00F43AF9" w:rsidRPr="00F43AF9">
              <w:rPr>
                <w:rFonts w:ascii="Times New Roman" w:hAnsi="Times New Roman"/>
                <w:bCs/>
                <w:lang w:val="ro-RO"/>
              </w:rPr>
              <w:t xml:space="preserve">urgența reparațiilor </w:t>
            </w:r>
            <w:r w:rsidR="00F43AF9">
              <w:rPr>
                <w:rFonts w:ascii="Times New Roman" w:hAnsi="Times New Roman"/>
                <w:bCs/>
                <w:lang w:val="ro-RO"/>
              </w:rPr>
              <w:t xml:space="preserve">va </w:t>
            </w:r>
            <w:r w:rsidR="00F43AF9" w:rsidRPr="00F43AF9">
              <w:rPr>
                <w:rFonts w:ascii="Times New Roman" w:hAnsi="Times New Roman"/>
                <w:bCs/>
                <w:lang w:val="ro-RO"/>
              </w:rPr>
              <w:t xml:space="preserve">trebui să fie luată de către </w:t>
            </w:r>
            <w:r w:rsidR="00F43AF9">
              <w:rPr>
                <w:rFonts w:ascii="Times New Roman" w:hAnsi="Times New Roman"/>
                <w:bCs/>
                <w:lang w:val="ro-RO"/>
              </w:rPr>
              <w:t>Agenția Navală</w:t>
            </w:r>
            <w:r w:rsidR="00F43AF9" w:rsidRPr="00F43AF9">
              <w:rPr>
                <w:rFonts w:ascii="Times New Roman" w:hAnsi="Times New Roman"/>
                <w:bCs/>
                <w:lang w:val="ro-RO"/>
              </w:rPr>
              <w:t>, în consultare cu administrația</w:t>
            </w:r>
            <w:r w:rsidR="00F43AF9">
              <w:rPr>
                <w:rFonts w:ascii="Times New Roman" w:hAnsi="Times New Roman"/>
                <w:bCs/>
                <w:lang w:val="ro-RO"/>
              </w:rPr>
              <w:t xml:space="preserve"> </w:t>
            </w:r>
            <w:r w:rsidR="00F43AF9" w:rsidRPr="00F43AF9">
              <w:rPr>
                <w:rFonts w:ascii="Times New Roman" w:hAnsi="Times New Roman"/>
                <w:bCs/>
                <w:lang w:val="ro-RO"/>
              </w:rPr>
              <w:t>statului al cărui pavilion îl arborează nava.</w:t>
            </w:r>
          </w:p>
          <w:p w14:paraId="464E5AC6" w14:textId="78AD42CF" w:rsidR="00EC6BFD" w:rsidRPr="004B3012" w:rsidRDefault="00EC6BFD" w:rsidP="00EC6BFD">
            <w:pPr>
              <w:ind w:firstLine="600"/>
              <w:jc w:val="both"/>
              <w:rPr>
                <w:rFonts w:ascii="Times New Roman" w:hAnsi="Times New Roman"/>
                <w:bCs/>
                <w:lang w:val="ro-RO"/>
              </w:rPr>
            </w:pPr>
            <w:r w:rsidRPr="00EC6BFD">
              <w:rPr>
                <w:rFonts w:ascii="Times New Roman" w:hAnsi="Times New Roman"/>
                <w:bCs/>
                <w:lang w:val="ro-RO"/>
              </w:rPr>
              <w:t>În Rezoluția Adunării OMI A.797(19) din 23 noiembrie 1995</w:t>
            </w:r>
            <w:r>
              <w:rPr>
                <w:rFonts w:ascii="Times New Roman" w:hAnsi="Times New Roman"/>
                <w:bCs/>
                <w:lang w:val="ro-RO"/>
              </w:rPr>
              <w:t xml:space="preserve"> </w:t>
            </w:r>
            <w:r w:rsidRPr="00EC6BFD">
              <w:rPr>
                <w:rFonts w:ascii="Times New Roman" w:hAnsi="Times New Roman"/>
                <w:bCs/>
                <w:lang w:val="ro-RO"/>
              </w:rPr>
              <w:t>privind siguranța navelor care transportă mărfuri solide în vrac</w:t>
            </w:r>
            <w:r>
              <w:rPr>
                <w:rFonts w:ascii="Times New Roman" w:hAnsi="Times New Roman"/>
                <w:bCs/>
                <w:lang w:val="ro-RO"/>
              </w:rPr>
              <w:t xml:space="preserve"> </w:t>
            </w:r>
            <w:r w:rsidRPr="00EC6BFD">
              <w:rPr>
                <w:rFonts w:ascii="Times New Roman" w:hAnsi="Times New Roman"/>
                <w:bCs/>
                <w:lang w:val="ro-RO"/>
              </w:rPr>
              <w:t>se solicită ca autoritățile statului portului să depună confirmarea</w:t>
            </w:r>
            <w:r>
              <w:rPr>
                <w:rFonts w:ascii="Times New Roman" w:hAnsi="Times New Roman"/>
                <w:bCs/>
                <w:lang w:val="ro-RO"/>
              </w:rPr>
              <w:t xml:space="preserve"> </w:t>
            </w:r>
            <w:r w:rsidRPr="00EC6BFD">
              <w:rPr>
                <w:rFonts w:ascii="Times New Roman" w:hAnsi="Times New Roman"/>
                <w:bCs/>
                <w:lang w:val="ro-RO"/>
              </w:rPr>
              <w:t>că terminalele de încărcare și descărcare pentru mărfurile solide</w:t>
            </w:r>
            <w:r>
              <w:rPr>
                <w:rFonts w:ascii="Times New Roman" w:hAnsi="Times New Roman"/>
                <w:bCs/>
                <w:lang w:val="ro-RO"/>
              </w:rPr>
              <w:t xml:space="preserve"> </w:t>
            </w:r>
            <w:r w:rsidRPr="00EC6BFD">
              <w:rPr>
                <w:rFonts w:ascii="Times New Roman" w:hAnsi="Times New Roman"/>
                <w:bCs/>
                <w:lang w:val="ro-RO"/>
              </w:rPr>
              <w:t>în vrac respectă Codurile și recomandările OMI privind</w:t>
            </w:r>
            <w:r>
              <w:rPr>
                <w:rFonts w:ascii="Times New Roman" w:hAnsi="Times New Roman"/>
                <w:bCs/>
                <w:lang w:val="ro-RO"/>
              </w:rPr>
              <w:t xml:space="preserve"> </w:t>
            </w:r>
            <w:r w:rsidRPr="00EC6BFD">
              <w:rPr>
                <w:rFonts w:ascii="Times New Roman" w:hAnsi="Times New Roman"/>
                <w:bCs/>
                <w:lang w:val="ro-RO"/>
              </w:rPr>
              <w:t>cooperarea navă/terminal</w:t>
            </w:r>
            <w:r>
              <w:rPr>
                <w:rFonts w:ascii="Times New Roman" w:hAnsi="Times New Roman"/>
                <w:bCs/>
                <w:lang w:val="ro-RO"/>
              </w:rPr>
              <w:t xml:space="preserve">. Aprobarea proiectului în cauză va fi un </w:t>
            </w:r>
            <w:r w:rsidRPr="00EC6BFD">
              <w:rPr>
                <w:rFonts w:ascii="Times New Roman" w:hAnsi="Times New Roman"/>
                <w:bCs/>
                <w:lang w:val="ro-RO"/>
              </w:rPr>
              <w:t>răspuns la această solicitare</w:t>
            </w:r>
            <w:r>
              <w:rPr>
                <w:rFonts w:ascii="Times New Roman" w:hAnsi="Times New Roman"/>
                <w:bCs/>
                <w:lang w:val="ro-RO"/>
              </w:rPr>
              <w:t xml:space="preserve"> </w:t>
            </w:r>
            <w:r w:rsidRPr="00EC6BFD">
              <w:rPr>
                <w:rFonts w:ascii="Times New Roman" w:hAnsi="Times New Roman"/>
                <w:bCs/>
                <w:lang w:val="ro-RO"/>
              </w:rPr>
              <w:t>și un semnal clar transmis comunității maritime internaționale</w:t>
            </w:r>
            <w:r>
              <w:rPr>
                <w:rFonts w:ascii="Times New Roman" w:hAnsi="Times New Roman"/>
                <w:bCs/>
                <w:lang w:val="ro-RO"/>
              </w:rPr>
              <w:t xml:space="preserve"> </w:t>
            </w:r>
            <w:r w:rsidRPr="00EC6BFD">
              <w:rPr>
                <w:rFonts w:ascii="Times New Roman" w:hAnsi="Times New Roman"/>
                <w:bCs/>
                <w:lang w:val="ro-RO"/>
              </w:rPr>
              <w:t>în legătură cu eforturile</w:t>
            </w:r>
            <w:r>
              <w:rPr>
                <w:rFonts w:ascii="Times New Roman" w:hAnsi="Times New Roman"/>
                <w:bCs/>
                <w:lang w:val="ro-RO"/>
              </w:rPr>
              <w:t xml:space="preserve"> </w:t>
            </w:r>
            <w:r w:rsidRPr="00EC6BFD">
              <w:rPr>
                <w:rFonts w:ascii="Times New Roman" w:hAnsi="Times New Roman"/>
                <w:bCs/>
                <w:lang w:val="ro-RO"/>
              </w:rPr>
              <w:t>întreprinse la nivel internațional pentru a întări siguranța încărcării</w:t>
            </w:r>
            <w:r>
              <w:rPr>
                <w:rFonts w:ascii="Times New Roman" w:hAnsi="Times New Roman"/>
                <w:bCs/>
                <w:lang w:val="ro-RO"/>
              </w:rPr>
              <w:t xml:space="preserve"> </w:t>
            </w:r>
            <w:r w:rsidRPr="00EC6BFD">
              <w:rPr>
                <w:rFonts w:ascii="Times New Roman" w:hAnsi="Times New Roman"/>
                <w:bCs/>
                <w:lang w:val="ro-RO"/>
              </w:rPr>
              <w:t xml:space="preserve">și descărcării </w:t>
            </w:r>
            <w:proofErr w:type="spellStart"/>
            <w:r w:rsidRPr="00EC6BFD">
              <w:rPr>
                <w:rFonts w:ascii="Times New Roman" w:hAnsi="Times New Roman"/>
                <w:bCs/>
                <w:lang w:val="ro-RO"/>
              </w:rPr>
              <w:t>vrachierelor</w:t>
            </w:r>
            <w:proofErr w:type="spellEnd"/>
            <w:r w:rsidRPr="00EC6BFD">
              <w:rPr>
                <w:rFonts w:ascii="Times New Roman" w:hAnsi="Times New Roman"/>
                <w:bCs/>
                <w:lang w:val="ro-RO"/>
              </w:rPr>
              <w:t>.</w:t>
            </w:r>
          </w:p>
        </w:tc>
      </w:tr>
      <w:tr w:rsidR="006E1842" w:rsidRPr="00703406" w14:paraId="330A3260" w14:textId="77777777" w:rsidTr="00A042D0">
        <w:tc>
          <w:tcPr>
            <w:tcW w:w="9345" w:type="dxa"/>
            <w:tcBorders>
              <w:top w:val="single" w:sz="4" w:space="0" w:color="auto"/>
              <w:left w:val="single" w:sz="4" w:space="0" w:color="auto"/>
              <w:bottom w:val="single" w:sz="4" w:space="0" w:color="auto"/>
              <w:right w:val="single" w:sz="4" w:space="0" w:color="auto"/>
            </w:tcBorders>
          </w:tcPr>
          <w:p w14:paraId="2F56E133" w14:textId="1785435D" w:rsidR="006E1842" w:rsidRPr="002F7510" w:rsidRDefault="00A645C8">
            <w:pPr>
              <w:jc w:val="both"/>
              <w:rPr>
                <w:rFonts w:ascii="Times New Roman" w:hAnsi="Times New Roman"/>
                <w:bCs/>
                <w:lang w:val="ro-RO"/>
              </w:rPr>
            </w:pPr>
            <w:r w:rsidRPr="002F7510">
              <w:rPr>
                <w:rFonts w:ascii="Times New Roman" w:hAnsi="Times New Roman"/>
                <w:bCs/>
                <w:lang w:val="ro-RO"/>
              </w:rPr>
              <w:lastRenderedPageBreak/>
              <w:t>3.2 Opțiunile alternative analizate și motivele pentru care acestea nu au fost luate în considerare</w:t>
            </w:r>
          </w:p>
        </w:tc>
      </w:tr>
      <w:tr w:rsidR="00A042D0" w:rsidRPr="00703406" w14:paraId="5E35B88A"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08EFE2B6" w14:textId="77777777" w:rsidR="000F1D3A" w:rsidRDefault="00CD0982" w:rsidP="00EC6BFD">
            <w:pPr>
              <w:ind w:firstLine="600"/>
              <w:jc w:val="both"/>
              <w:rPr>
                <w:rFonts w:ascii="Times New Roman" w:hAnsi="Times New Roman" w:cs="Times New Roman"/>
                <w:lang w:val="ro-RO" w:eastAsia="en-GB"/>
              </w:rPr>
            </w:pPr>
            <w:r>
              <w:rPr>
                <w:rFonts w:ascii="Times New Roman" w:hAnsi="Times New Roman" w:cs="Times New Roman"/>
                <w:lang w:val="ro-RO" w:eastAsia="en-GB"/>
              </w:rPr>
              <w:t xml:space="preserve">Păstrarea statului quo poate fi argumentată de un număr mic de accidente sau incidente cu participarea </w:t>
            </w:r>
            <w:proofErr w:type="spellStart"/>
            <w:r>
              <w:rPr>
                <w:rFonts w:ascii="Times New Roman" w:hAnsi="Times New Roman" w:cs="Times New Roman"/>
                <w:lang w:val="ro-RO" w:eastAsia="en-GB"/>
              </w:rPr>
              <w:t>vrachierelor</w:t>
            </w:r>
            <w:proofErr w:type="spellEnd"/>
            <w:r>
              <w:rPr>
                <w:rFonts w:ascii="Times New Roman" w:hAnsi="Times New Roman" w:cs="Times New Roman"/>
                <w:lang w:val="ro-RO" w:eastAsia="en-GB"/>
              </w:rPr>
              <w:t xml:space="preserve"> notificate în porturile Republicii Moldova.</w:t>
            </w:r>
          </w:p>
          <w:p w14:paraId="7B4D407B" w14:textId="6A715D71" w:rsidR="002F7A95" w:rsidRDefault="009F55F4" w:rsidP="00EC6BFD">
            <w:pPr>
              <w:ind w:firstLine="600"/>
              <w:jc w:val="both"/>
              <w:rPr>
                <w:rFonts w:ascii="Times New Roman" w:hAnsi="Times New Roman" w:cs="Times New Roman"/>
                <w:lang w:val="ro-RO" w:eastAsia="en-GB"/>
              </w:rPr>
            </w:pPr>
            <w:r>
              <w:rPr>
                <w:rFonts w:ascii="Times New Roman" w:hAnsi="Times New Roman" w:cs="Times New Roman"/>
                <w:lang w:val="ro-RO" w:eastAsia="en-GB"/>
              </w:rPr>
              <w:t xml:space="preserve">Însă, această opțiune nu este una viabilă </w:t>
            </w:r>
            <w:r w:rsidR="002F7A95">
              <w:rPr>
                <w:rFonts w:ascii="Times New Roman" w:hAnsi="Times New Roman" w:cs="Times New Roman"/>
                <w:lang w:val="ro-RO" w:eastAsia="en-GB"/>
              </w:rPr>
              <w:t xml:space="preserve">și sigură, din motiv că în lipsa unor norme speciale de înăsprire a modului de încărcare și descărcare a </w:t>
            </w:r>
            <w:proofErr w:type="spellStart"/>
            <w:r w:rsidR="002F7A95">
              <w:rPr>
                <w:rFonts w:ascii="Times New Roman" w:hAnsi="Times New Roman" w:cs="Times New Roman"/>
                <w:lang w:val="ro-RO" w:eastAsia="en-GB"/>
              </w:rPr>
              <w:t>vrachierelor</w:t>
            </w:r>
            <w:proofErr w:type="spellEnd"/>
            <w:r w:rsidR="002F7A95">
              <w:rPr>
                <w:rFonts w:ascii="Times New Roman" w:hAnsi="Times New Roman" w:cs="Times New Roman"/>
                <w:lang w:val="ro-RO" w:eastAsia="en-GB"/>
              </w:rPr>
              <w:t xml:space="preserve">, pot avea loc accidente și incidente, care pot genera decese. În același timp, orice </w:t>
            </w:r>
            <w:r w:rsidR="00303166">
              <w:rPr>
                <w:rFonts w:ascii="Times New Roman" w:hAnsi="Times New Roman" w:cs="Times New Roman"/>
                <w:lang w:val="ro-RO" w:eastAsia="en-GB"/>
              </w:rPr>
              <w:t xml:space="preserve">avarie în port, poate avea impact negativ asupra mediului înconjurător. </w:t>
            </w:r>
          </w:p>
          <w:p w14:paraId="7CD04D63" w14:textId="33AABFC4" w:rsidR="009F55F4" w:rsidRPr="000F1D3A" w:rsidRDefault="009D36CD" w:rsidP="00EC6BFD">
            <w:pPr>
              <w:ind w:firstLine="600"/>
              <w:jc w:val="both"/>
              <w:rPr>
                <w:rFonts w:ascii="Times New Roman" w:hAnsi="Times New Roman" w:cs="Times New Roman"/>
                <w:lang w:val="ro-RO" w:eastAsia="en-GB"/>
              </w:rPr>
            </w:pPr>
            <w:r>
              <w:rPr>
                <w:rFonts w:ascii="Times New Roman" w:hAnsi="Times New Roman" w:cs="Times New Roman"/>
                <w:lang w:val="ro-RO" w:eastAsia="en-GB"/>
              </w:rPr>
              <w:t xml:space="preserve">Drept urmare, o astfel de alternativă nu poate fi luată în considerare. </w:t>
            </w:r>
            <w:r w:rsidR="009F55F4">
              <w:rPr>
                <w:rFonts w:ascii="Times New Roman" w:hAnsi="Times New Roman" w:cs="Times New Roman"/>
                <w:lang w:val="ro-RO" w:eastAsia="en-GB"/>
              </w:rPr>
              <w:t xml:space="preserve"> </w:t>
            </w:r>
          </w:p>
        </w:tc>
      </w:tr>
      <w:tr w:rsidR="00A042D0" w:rsidRPr="002F7510" w14:paraId="590DE986"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DF55D6C" w14:textId="524E557F" w:rsidR="00A042D0" w:rsidRPr="002F7510" w:rsidRDefault="00A042D0">
            <w:pPr>
              <w:jc w:val="both"/>
              <w:rPr>
                <w:rFonts w:ascii="Times New Roman" w:hAnsi="Times New Roman" w:cs="Times New Roman"/>
                <w:b/>
                <w:lang w:val="ro-RO"/>
              </w:rPr>
            </w:pPr>
            <w:r w:rsidRPr="002F7510">
              <w:rPr>
                <w:rFonts w:ascii="Times New Roman" w:hAnsi="Times New Roman"/>
                <w:b/>
                <w:lang w:val="ro-RO"/>
              </w:rPr>
              <w:t xml:space="preserve">4. </w:t>
            </w:r>
            <w:r w:rsidR="00693385" w:rsidRPr="002F7510">
              <w:rPr>
                <w:rFonts w:ascii="Times New Roman" w:hAnsi="Times New Roman"/>
                <w:b/>
                <w:lang w:val="ro-RO"/>
              </w:rPr>
              <w:t xml:space="preserve">Analiza impactului de reglementare </w:t>
            </w:r>
          </w:p>
        </w:tc>
      </w:tr>
      <w:tr w:rsidR="00693385" w:rsidRPr="002F7510" w14:paraId="2E65BE6E" w14:textId="77777777" w:rsidTr="00A042D0">
        <w:tc>
          <w:tcPr>
            <w:tcW w:w="9345" w:type="dxa"/>
            <w:tcBorders>
              <w:top w:val="single" w:sz="4" w:space="0" w:color="auto"/>
              <w:left w:val="single" w:sz="4" w:space="0" w:color="auto"/>
              <w:bottom w:val="single" w:sz="4" w:space="0" w:color="auto"/>
              <w:right w:val="single" w:sz="4" w:space="0" w:color="auto"/>
            </w:tcBorders>
          </w:tcPr>
          <w:p w14:paraId="19856AFA" w14:textId="576B4639" w:rsidR="00693385" w:rsidRPr="002F7510" w:rsidRDefault="00693385">
            <w:pPr>
              <w:jc w:val="both"/>
              <w:rPr>
                <w:rFonts w:ascii="Times New Roman" w:hAnsi="Times New Roman"/>
                <w:bCs/>
                <w:lang w:val="ro-RO"/>
              </w:rPr>
            </w:pPr>
            <w:r w:rsidRPr="002F7510">
              <w:rPr>
                <w:rFonts w:ascii="Times New Roman" w:hAnsi="Times New Roman"/>
                <w:bCs/>
                <w:lang w:val="ro-RO"/>
              </w:rPr>
              <w:t>4.1 Impactul asupra sectorului public</w:t>
            </w:r>
          </w:p>
        </w:tc>
      </w:tr>
      <w:tr w:rsidR="00693385" w:rsidRPr="00703406" w14:paraId="5D8CCA27" w14:textId="77777777" w:rsidTr="00A042D0">
        <w:tc>
          <w:tcPr>
            <w:tcW w:w="9345" w:type="dxa"/>
            <w:tcBorders>
              <w:top w:val="single" w:sz="4" w:space="0" w:color="auto"/>
              <w:left w:val="single" w:sz="4" w:space="0" w:color="auto"/>
              <w:bottom w:val="single" w:sz="4" w:space="0" w:color="auto"/>
              <w:right w:val="single" w:sz="4" w:space="0" w:color="auto"/>
            </w:tcBorders>
          </w:tcPr>
          <w:p w14:paraId="1B210A17" w14:textId="1F8738BC" w:rsidR="00963216" w:rsidRPr="00EE59D9" w:rsidRDefault="008E2401" w:rsidP="00EE59D9">
            <w:pPr>
              <w:ind w:firstLine="600"/>
              <w:jc w:val="both"/>
              <w:rPr>
                <w:rFonts w:ascii="Times New Roman" w:hAnsi="Times New Roman"/>
                <w:bCs/>
                <w:lang w:val="ro-MD"/>
              </w:rPr>
            </w:pPr>
            <w:r>
              <w:rPr>
                <w:rFonts w:ascii="Times New Roman" w:hAnsi="Times New Roman"/>
                <w:bCs/>
                <w:lang w:val="ro-MD"/>
              </w:rPr>
              <w:t>Proiectul</w:t>
            </w:r>
            <w:r w:rsidR="001526F6">
              <w:rPr>
                <w:rFonts w:ascii="Times New Roman" w:hAnsi="Times New Roman"/>
                <w:bCs/>
                <w:lang w:val="ro-MD"/>
              </w:rPr>
              <w:t xml:space="preserve"> are un impact pozitiv asupra sectorului public</w:t>
            </w:r>
            <w:r w:rsidR="008B6A6B">
              <w:rPr>
                <w:rFonts w:ascii="Times New Roman" w:hAnsi="Times New Roman"/>
                <w:bCs/>
                <w:lang w:val="ro-MD"/>
              </w:rPr>
              <w:t xml:space="preserve"> prin</w:t>
            </w:r>
            <w:r w:rsidR="0076509F">
              <w:rPr>
                <w:rFonts w:ascii="Times New Roman" w:hAnsi="Times New Roman"/>
                <w:bCs/>
                <w:lang w:val="ro-MD"/>
              </w:rPr>
              <w:t xml:space="preserve"> </w:t>
            </w:r>
            <w:r w:rsidR="008B6A6B" w:rsidRPr="008B6A6B">
              <w:rPr>
                <w:rFonts w:ascii="Times New Roman" w:hAnsi="Times New Roman"/>
                <w:bCs/>
                <w:lang w:val="ro-MD"/>
              </w:rPr>
              <w:t xml:space="preserve">creșterea siguranței în transportul </w:t>
            </w:r>
            <w:r w:rsidR="00EE59D9">
              <w:rPr>
                <w:rFonts w:ascii="Times New Roman" w:hAnsi="Times New Roman"/>
                <w:bCs/>
                <w:lang w:val="ro-MD"/>
              </w:rPr>
              <w:t>naval</w:t>
            </w:r>
            <w:r w:rsidR="008B6A6B" w:rsidRPr="008B6A6B">
              <w:rPr>
                <w:rFonts w:ascii="Times New Roman" w:hAnsi="Times New Roman"/>
                <w:bCs/>
                <w:lang w:val="ro-MD"/>
              </w:rPr>
              <w:t>, cu efecte pozitive asupra mediului, a sănătății publice și a economiei.</w:t>
            </w:r>
          </w:p>
        </w:tc>
      </w:tr>
      <w:tr w:rsidR="00693385" w:rsidRPr="00703406" w14:paraId="3CD8410C" w14:textId="77777777" w:rsidTr="00A042D0">
        <w:tc>
          <w:tcPr>
            <w:tcW w:w="9345" w:type="dxa"/>
            <w:tcBorders>
              <w:top w:val="single" w:sz="4" w:space="0" w:color="auto"/>
              <w:left w:val="single" w:sz="4" w:space="0" w:color="auto"/>
              <w:bottom w:val="single" w:sz="4" w:space="0" w:color="auto"/>
              <w:right w:val="single" w:sz="4" w:space="0" w:color="auto"/>
            </w:tcBorders>
          </w:tcPr>
          <w:p w14:paraId="545786B9" w14:textId="03BB057A" w:rsidR="00693385" w:rsidRPr="002F7510" w:rsidRDefault="00693385">
            <w:pPr>
              <w:jc w:val="both"/>
              <w:rPr>
                <w:rFonts w:ascii="Times New Roman" w:hAnsi="Times New Roman"/>
                <w:bCs/>
                <w:lang w:val="ro-RO"/>
              </w:rPr>
            </w:pPr>
            <w:r w:rsidRPr="002F7510">
              <w:rPr>
                <w:rFonts w:ascii="Times New Roman" w:hAnsi="Times New Roman"/>
                <w:bCs/>
                <w:lang w:val="ro-RO"/>
              </w:rPr>
              <w:lastRenderedPageBreak/>
              <w:t xml:space="preserve">4.2 </w:t>
            </w:r>
            <w:r w:rsidR="008D2121" w:rsidRPr="002F7510">
              <w:rPr>
                <w:rFonts w:ascii="Times New Roman" w:hAnsi="Times New Roman"/>
                <w:bCs/>
                <w:lang w:val="ro-RO"/>
              </w:rPr>
              <w:t>Impactul financiar și argumentarea costurilor estimative</w:t>
            </w:r>
          </w:p>
        </w:tc>
      </w:tr>
      <w:tr w:rsidR="00693385" w:rsidRPr="00703406" w14:paraId="261BE0D6" w14:textId="77777777" w:rsidTr="00A042D0">
        <w:tc>
          <w:tcPr>
            <w:tcW w:w="9345" w:type="dxa"/>
            <w:tcBorders>
              <w:top w:val="single" w:sz="4" w:space="0" w:color="auto"/>
              <w:left w:val="single" w:sz="4" w:space="0" w:color="auto"/>
              <w:bottom w:val="single" w:sz="4" w:space="0" w:color="auto"/>
              <w:right w:val="single" w:sz="4" w:space="0" w:color="auto"/>
            </w:tcBorders>
          </w:tcPr>
          <w:p w14:paraId="07997B4D" w14:textId="2C22C505" w:rsidR="008B6A6B" w:rsidRPr="00417C9E" w:rsidRDefault="00F75EAA" w:rsidP="00EE59D9">
            <w:pPr>
              <w:ind w:firstLine="600"/>
              <w:jc w:val="both"/>
              <w:rPr>
                <w:rFonts w:ascii="Times New Roman" w:hAnsi="Times New Roman"/>
                <w:bCs/>
                <w:lang w:val="ro-RO"/>
              </w:rPr>
            </w:pPr>
            <w:r>
              <w:rPr>
                <w:rFonts w:ascii="Times New Roman" w:hAnsi="Times New Roman"/>
                <w:bCs/>
                <w:lang w:val="ro-RO"/>
              </w:rPr>
              <w:t xml:space="preserve">Proiectul nu </w:t>
            </w:r>
            <w:r w:rsidR="00DE2072">
              <w:rPr>
                <w:rFonts w:ascii="Times New Roman" w:hAnsi="Times New Roman"/>
                <w:bCs/>
                <w:lang w:val="ro-RO"/>
              </w:rPr>
              <w:t xml:space="preserve">prevede cheltuieli din bugetul de stat. </w:t>
            </w:r>
          </w:p>
        </w:tc>
      </w:tr>
      <w:tr w:rsidR="003077A4" w:rsidRPr="003077A4" w14:paraId="5203F552" w14:textId="77777777" w:rsidTr="00A042D0">
        <w:tc>
          <w:tcPr>
            <w:tcW w:w="9345" w:type="dxa"/>
            <w:tcBorders>
              <w:top w:val="single" w:sz="4" w:space="0" w:color="auto"/>
              <w:left w:val="single" w:sz="4" w:space="0" w:color="auto"/>
              <w:bottom w:val="single" w:sz="4" w:space="0" w:color="auto"/>
              <w:right w:val="single" w:sz="4" w:space="0" w:color="auto"/>
            </w:tcBorders>
          </w:tcPr>
          <w:p w14:paraId="3D005D31" w14:textId="4F30DA69" w:rsidR="003077A4" w:rsidRPr="00262381" w:rsidRDefault="003077A4" w:rsidP="003077A4">
            <w:pPr>
              <w:jc w:val="both"/>
              <w:rPr>
                <w:rFonts w:ascii="Times New Roman" w:hAnsi="Times New Roman"/>
                <w:bCs/>
                <w:lang w:val="ro-RO"/>
              </w:rPr>
            </w:pPr>
            <w:r>
              <w:rPr>
                <w:rFonts w:ascii="Times New Roman" w:hAnsi="Times New Roman"/>
                <w:bCs/>
                <w:lang w:val="ro-RO"/>
              </w:rPr>
              <w:t>4.3 Impactul asupra sectorului privat</w:t>
            </w:r>
          </w:p>
        </w:tc>
      </w:tr>
      <w:tr w:rsidR="003077A4" w:rsidRPr="00703406" w14:paraId="6713028E" w14:textId="77777777" w:rsidTr="00A042D0">
        <w:tc>
          <w:tcPr>
            <w:tcW w:w="9345" w:type="dxa"/>
            <w:tcBorders>
              <w:top w:val="single" w:sz="4" w:space="0" w:color="auto"/>
              <w:left w:val="single" w:sz="4" w:space="0" w:color="auto"/>
              <w:bottom w:val="single" w:sz="4" w:space="0" w:color="auto"/>
              <w:right w:val="single" w:sz="4" w:space="0" w:color="auto"/>
            </w:tcBorders>
          </w:tcPr>
          <w:p w14:paraId="0C748291" w14:textId="1BEF775F" w:rsidR="008B6A6B" w:rsidRDefault="008B6A6B" w:rsidP="00E2035A">
            <w:pPr>
              <w:ind w:firstLine="600"/>
              <w:jc w:val="both"/>
              <w:rPr>
                <w:rFonts w:ascii="Times New Roman" w:hAnsi="Times New Roman" w:cs="Times New Roman"/>
                <w:bCs/>
                <w:lang w:val="ro-RO"/>
              </w:rPr>
            </w:pPr>
            <w:r w:rsidRPr="008B6A6B">
              <w:rPr>
                <w:rFonts w:ascii="Times New Roman" w:hAnsi="Times New Roman" w:cs="Times New Roman"/>
                <w:bCs/>
                <w:lang w:val="ro-RO"/>
              </w:rPr>
              <w:t>Creșterea siguranței operațiunilor portuare aduce beneficii economice</w:t>
            </w:r>
            <w:r w:rsidR="00A401F7">
              <w:rPr>
                <w:rFonts w:ascii="Times New Roman" w:hAnsi="Times New Roman" w:cs="Times New Roman"/>
                <w:bCs/>
                <w:lang w:val="ro-RO"/>
              </w:rPr>
              <w:t xml:space="preserve"> mediului de afaceri</w:t>
            </w:r>
            <w:r w:rsidRPr="008B6A6B">
              <w:rPr>
                <w:rFonts w:ascii="Times New Roman" w:hAnsi="Times New Roman" w:cs="Times New Roman"/>
                <w:bCs/>
                <w:lang w:val="ro-RO"/>
              </w:rPr>
              <w:t xml:space="preserve">. </w:t>
            </w:r>
          </w:p>
          <w:p w14:paraId="49D40D67" w14:textId="0E643C78" w:rsidR="000F1D3A" w:rsidRPr="00E2035A" w:rsidRDefault="008B6A6B" w:rsidP="00E2035A">
            <w:pPr>
              <w:ind w:firstLine="600"/>
              <w:jc w:val="both"/>
              <w:rPr>
                <w:rFonts w:ascii="Times New Roman" w:hAnsi="Times New Roman" w:cs="Times New Roman"/>
                <w:bCs/>
                <w:lang w:val="ro-RO"/>
              </w:rPr>
            </w:pPr>
            <w:r w:rsidRPr="008B6A6B">
              <w:rPr>
                <w:rFonts w:ascii="Times New Roman" w:hAnsi="Times New Roman" w:cs="Times New Roman"/>
                <w:bCs/>
                <w:lang w:val="ro-RO"/>
              </w:rPr>
              <w:t xml:space="preserve">Riscurile reduse de accidente înseamnă costuri mai mici </w:t>
            </w:r>
            <w:r w:rsidR="00A401F7">
              <w:rPr>
                <w:rFonts w:ascii="Times New Roman" w:hAnsi="Times New Roman" w:cs="Times New Roman"/>
                <w:bCs/>
                <w:lang w:val="ro-RO"/>
              </w:rPr>
              <w:t>la</w:t>
            </w:r>
            <w:r w:rsidRPr="008B6A6B">
              <w:rPr>
                <w:rFonts w:ascii="Times New Roman" w:hAnsi="Times New Roman" w:cs="Times New Roman"/>
                <w:bCs/>
                <w:lang w:val="ro-RO"/>
              </w:rPr>
              <w:t xml:space="preserve"> asigurări și diminuarea daunelor aduse navelor și infrastructurii portuare. De asemenea, procedurile armonizate facilitează comerțul internațional, asigurând că operațiunile se desfășoară eficient și în conformitate cu aceleași standarde în porturile din U</w:t>
            </w:r>
            <w:r>
              <w:rPr>
                <w:rFonts w:ascii="Times New Roman" w:hAnsi="Times New Roman" w:cs="Times New Roman"/>
                <w:bCs/>
                <w:lang w:val="ro-RO"/>
              </w:rPr>
              <w:t xml:space="preserve">niunea </w:t>
            </w:r>
            <w:r w:rsidRPr="008B6A6B">
              <w:rPr>
                <w:rFonts w:ascii="Times New Roman" w:hAnsi="Times New Roman" w:cs="Times New Roman"/>
                <w:bCs/>
                <w:lang w:val="ro-RO"/>
              </w:rPr>
              <w:t>E</w:t>
            </w:r>
            <w:r>
              <w:rPr>
                <w:rFonts w:ascii="Times New Roman" w:hAnsi="Times New Roman" w:cs="Times New Roman"/>
                <w:bCs/>
                <w:lang w:val="ro-RO"/>
              </w:rPr>
              <w:t>uropeană</w:t>
            </w:r>
            <w:r w:rsidRPr="008B6A6B">
              <w:rPr>
                <w:rFonts w:ascii="Times New Roman" w:hAnsi="Times New Roman" w:cs="Times New Roman"/>
                <w:bCs/>
                <w:lang w:val="ro-RO"/>
              </w:rPr>
              <w:t>.</w:t>
            </w:r>
          </w:p>
        </w:tc>
      </w:tr>
      <w:tr w:rsidR="00693385" w:rsidRPr="002F7510" w14:paraId="2D07226B" w14:textId="77777777" w:rsidTr="00A042D0">
        <w:tc>
          <w:tcPr>
            <w:tcW w:w="9345" w:type="dxa"/>
            <w:tcBorders>
              <w:top w:val="single" w:sz="4" w:space="0" w:color="auto"/>
              <w:left w:val="single" w:sz="4" w:space="0" w:color="auto"/>
              <w:bottom w:val="single" w:sz="4" w:space="0" w:color="auto"/>
              <w:right w:val="single" w:sz="4" w:space="0" w:color="auto"/>
            </w:tcBorders>
          </w:tcPr>
          <w:p w14:paraId="437CFD1D" w14:textId="16C662CF" w:rsidR="00693385" w:rsidRPr="002F7510" w:rsidRDefault="008D2121">
            <w:pPr>
              <w:jc w:val="both"/>
              <w:rPr>
                <w:rFonts w:ascii="Times New Roman" w:hAnsi="Times New Roman"/>
                <w:bCs/>
                <w:lang w:val="ro-RO"/>
              </w:rPr>
            </w:pPr>
            <w:r w:rsidRPr="002F7510">
              <w:rPr>
                <w:rFonts w:ascii="Times New Roman" w:hAnsi="Times New Roman"/>
                <w:bCs/>
                <w:lang w:val="ro-RO"/>
              </w:rPr>
              <w:t>4.</w:t>
            </w:r>
            <w:r w:rsidR="003077A4">
              <w:rPr>
                <w:rFonts w:ascii="Times New Roman" w:hAnsi="Times New Roman"/>
                <w:bCs/>
                <w:lang w:val="ro-RO"/>
              </w:rPr>
              <w:t>4</w:t>
            </w:r>
            <w:r w:rsidRPr="002F7510">
              <w:rPr>
                <w:rFonts w:ascii="Times New Roman" w:hAnsi="Times New Roman"/>
                <w:bCs/>
                <w:lang w:val="ro-RO"/>
              </w:rPr>
              <w:t xml:space="preserve"> </w:t>
            </w:r>
            <w:r w:rsidR="00390640" w:rsidRPr="002F7510">
              <w:rPr>
                <w:rFonts w:ascii="Times New Roman" w:hAnsi="Times New Roman"/>
                <w:bCs/>
                <w:lang w:val="ro-RO"/>
              </w:rPr>
              <w:t>Impactul social</w:t>
            </w:r>
          </w:p>
        </w:tc>
      </w:tr>
      <w:tr w:rsidR="00693385" w:rsidRPr="00703406" w14:paraId="0AD9378A" w14:textId="77777777" w:rsidTr="00A042D0">
        <w:tc>
          <w:tcPr>
            <w:tcW w:w="9345" w:type="dxa"/>
            <w:tcBorders>
              <w:top w:val="single" w:sz="4" w:space="0" w:color="auto"/>
              <w:left w:val="single" w:sz="4" w:space="0" w:color="auto"/>
              <w:bottom w:val="single" w:sz="4" w:space="0" w:color="auto"/>
              <w:right w:val="single" w:sz="4" w:space="0" w:color="auto"/>
            </w:tcBorders>
          </w:tcPr>
          <w:p w14:paraId="77FB81BC" w14:textId="77777777" w:rsidR="002831AE" w:rsidRDefault="008B6A6B" w:rsidP="002831AE">
            <w:pPr>
              <w:ind w:firstLine="567"/>
              <w:jc w:val="both"/>
              <w:rPr>
                <w:rFonts w:ascii="Times New Roman" w:hAnsi="Times New Roman" w:cs="Times New Roman"/>
                <w:lang w:val="ro-RO" w:eastAsia="en-GB"/>
              </w:rPr>
            </w:pPr>
            <w:r w:rsidRPr="008B6A6B">
              <w:rPr>
                <w:rFonts w:ascii="Times New Roman" w:hAnsi="Times New Roman" w:cs="Times New Roman"/>
                <w:lang w:val="ro-RO" w:eastAsia="en-GB"/>
              </w:rPr>
              <w:t>Implementarea proiectului va avea impact pozitiv asupra siguranței și sănătății muncitorilor implicați în operațiunile de încărcare și descărcare a navelor. Prin impunerea unor reguli stricte și a unei coordonări mai bune între comandantul navei și reprezentanții terminalelor portuare, riscurile de accidente la locul de muncă sunt diminuate, asigurând un mediu de lucru mai sigur.</w:t>
            </w:r>
          </w:p>
          <w:p w14:paraId="3A19CCF9" w14:textId="7D2DB549" w:rsidR="00824679" w:rsidRPr="002831AE" w:rsidRDefault="00824679" w:rsidP="002831AE">
            <w:pPr>
              <w:ind w:firstLine="567"/>
              <w:jc w:val="both"/>
              <w:rPr>
                <w:rFonts w:ascii="Times New Roman" w:hAnsi="Times New Roman" w:cs="Times New Roman"/>
                <w:lang w:val="ro-RO" w:eastAsia="en-GB"/>
              </w:rPr>
            </w:pPr>
            <w:r w:rsidRPr="00824679">
              <w:rPr>
                <w:rFonts w:ascii="Times New Roman" w:hAnsi="Times New Roman" w:cs="Times New Roman"/>
                <w:lang w:val="ro-RO" w:eastAsia="en-GB"/>
              </w:rPr>
              <w:t>Prin stabilirea unor proceduri clare și a unor standarde</w:t>
            </w:r>
            <w:r>
              <w:rPr>
                <w:rFonts w:ascii="Times New Roman" w:hAnsi="Times New Roman" w:cs="Times New Roman"/>
                <w:lang w:val="ro-RO" w:eastAsia="en-GB"/>
              </w:rPr>
              <w:t xml:space="preserve"> după cum sunt definite în textul proiectului actului normativ</w:t>
            </w:r>
            <w:r w:rsidRPr="00824679">
              <w:rPr>
                <w:rFonts w:ascii="Times New Roman" w:hAnsi="Times New Roman" w:cs="Times New Roman"/>
                <w:lang w:val="ro-RO" w:eastAsia="en-GB"/>
              </w:rPr>
              <w:t xml:space="preserve">, </w:t>
            </w:r>
            <w:r>
              <w:rPr>
                <w:rFonts w:ascii="Times New Roman" w:hAnsi="Times New Roman" w:cs="Times New Roman"/>
                <w:lang w:val="ro-RO" w:eastAsia="en-GB"/>
              </w:rPr>
              <w:t>acesta</w:t>
            </w:r>
            <w:r w:rsidRPr="00824679">
              <w:rPr>
                <w:rFonts w:ascii="Times New Roman" w:hAnsi="Times New Roman" w:cs="Times New Roman"/>
                <w:lang w:val="ro-RO" w:eastAsia="en-GB"/>
              </w:rPr>
              <w:t xml:space="preserve"> contribuie la prevenirea pierderilor de vieți omenești și a daunelor materiale.</w:t>
            </w:r>
          </w:p>
        </w:tc>
      </w:tr>
      <w:tr w:rsidR="00693385" w:rsidRPr="00703406" w14:paraId="42414324" w14:textId="77777777" w:rsidTr="00A042D0">
        <w:tc>
          <w:tcPr>
            <w:tcW w:w="9345" w:type="dxa"/>
            <w:tcBorders>
              <w:top w:val="single" w:sz="4" w:space="0" w:color="auto"/>
              <w:left w:val="single" w:sz="4" w:space="0" w:color="auto"/>
              <w:bottom w:val="single" w:sz="4" w:space="0" w:color="auto"/>
              <w:right w:val="single" w:sz="4" w:space="0" w:color="auto"/>
            </w:tcBorders>
          </w:tcPr>
          <w:p w14:paraId="55D75E16" w14:textId="4AEB1A61" w:rsidR="00693385" w:rsidRPr="002F7510" w:rsidRDefault="00390640">
            <w:pPr>
              <w:jc w:val="both"/>
              <w:rPr>
                <w:rFonts w:ascii="Times New Roman" w:hAnsi="Times New Roman"/>
                <w:bCs/>
                <w:lang w:val="ro-RO"/>
              </w:rPr>
            </w:pPr>
            <w:r w:rsidRPr="002F7510">
              <w:rPr>
                <w:rFonts w:ascii="Times New Roman" w:hAnsi="Times New Roman"/>
                <w:bCs/>
                <w:lang w:val="ro-RO"/>
              </w:rPr>
              <w:t>4.4.1 Impactul asupra datelor cu caracter personal</w:t>
            </w:r>
          </w:p>
        </w:tc>
      </w:tr>
      <w:tr w:rsidR="00693385" w:rsidRPr="00703406" w14:paraId="22ACC73E" w14:textId="77777777" w:rsidTr="00A042D0">
        <w:tc>
          <w:tcPr>
            <w:tcW w:w="9345" w:type="dxa"/>
            <w:tcBorders>
              <w:top w:val="single" w:sz="4" w:space="0" w:color="auto"/>
              <w:left w:val="single" w:sz="4" w:space="0" w:color="auto"/>
              <w:bottom w:val="single" w:sz="4" w:space="0" w:color="auto"/>
              <w:right w:val="single" w:sz="4" w:space="0" w:color="auto"/>
            </w:tcBorders>
          </w:tcPr>
          <w:p w14:paraId="55185CCB" w14:textId="461606D8" w:rsidR="00693385" w:rsidRPr="002F7510" w:rsidRDefault="00291EA7" w:rsidP="00A30CFF">
            <w:pPr>
              <w:ind w:firstLine="600"/>
              <w:jc w:val="both"/>
              <w:rPr>
                <w:rFonts w:ascii="Times New Roman" w:hAnsi="Times New Roman"/>
                <w:b/>
                <w:lang w:val="ro-RO"/>
              </w:rPr>
            </w:pPr>
            <w:r w:rsidRPr="00291EA7">
              <w:rPr>
                <w:rFonts w:ascii="Times New Roman" w:hAnsi="Times New Roman"/>
                <w:bCs/>
                <w:lang w:val="ro-RO"/>
              </w:rPr>
              <w:t xml:space="preserve">Proiectul nu are impact asupra datelor cu caracter personal. </w:t>
            </w:r>
          </w:p>
        </w:tc>
      </w:tr>
      <w:tr w:rsidR="00693385" w:rsidRPr="00703406" w14:paraId="0E126E22" w14:textId="77777777" w:rsidTr="00A042D0">
        <w:tc>
          <w:tcPr>
            <w:tcW w:w="9345" w:type="dxa"/>
            <w:tcBorders>
              <w:top w:val="single" w:sz="4" w:space="0" w:color="auto"/>
              <w:left w:val="single" w:sz="4" w:space="0" w:color="auto"/>
              <w:bottom w:val="single" w:sz="4" w:space="0" w:color="auto"/>
              <w:right w:val="single" w:sz="4" w:space="0" w:color="auto"/>
            </w:tcBorders>
          </w:tcPr>
          <w:p w14:paraId="78EF440C" w14:textId="385FDBE6" w:rsidR="00693385" w:rsidRPr="002F7510" w:rsidRDefault="00390640">
            <w:pPr>
              <w:jc w:val="both"/>
              <w:rPr>
                <w:rFonts w:ascii="Times New Roman" w:hAnsi="Times New Roman"/>
                <w:bCs/>
                <w:lang w:val="ro-RO"/>
              </w:rPr>
            </w:pPr>
            <w:r w:rsidRPr="002F7510">
              <w:rPr>
                <w:rFonts w:ascii="Times New Roman" w:hAnsi="Times New Roman"/>
                <w:bCs/>
                <w:lang w:val="ro-RO"/>
              </w:rPr>
              <w:t>4.4.2 Impactul asupra echității și egalității de gen</w:t>
            </w:r>
          </w:p>
        </w:tc>
      </w:tr>
      <w:tr w:rsidR="00693385" w:rsidRPr="00703406" w14:paraId="0A9B966D" w14:textId="77777777" w:rsidTr="00A042D0">
        <w:tc>
          <w:tcPr>
            <w:tcW w:w="9345" w:type="dxa"/>
            <w:tcBorders>
              <w:top w:val="single" w:sz="4" w:space="0" w:color="auto"/>
              <w:left w:val="single" w:sz="4" w:space="0" w:color="auto"/>
              <w:bottom w:val="single" w:sz="4" w:space="0" w:color="auto"/>
              <w:right w:val="single" w:sz="4" w:space="0" w:color="auto"/>
            </w:tcBorders>
          </w:tcPr>
          <w:p w14:paraId="4F0EECB4" w14:textId="7D65F968" w:rsidR="00693385" w:rsidRPr="00B9535F" w:rsidRDefault="00B9535F" w:rsidP="00A30CFF">
            <w:pPr>
              <w:ind w:firstLine="600"/>
              <w:jc w:val="both"/>
              <w:rPr>
                <w:rFonts w:ascii="Times New Roman" w:hAnsi="Times New Roman"/>
                <w:bCs/>
                <w:lang w:val="ro-RO"/>
              </w:rPr>
            </w:pPr>
            <w:r w:rsidRPr="00B9535F">
              <w:rPr>
                <w:rFonts w:ascii="Times New Roman" w:hAnsi="Times New Roman"/>
                <w:bCs/>
                <w:lang w:val="ro-RO"/>
              </w:rPr>
              <w:t xml:space="preserve">Proiectul nu are impact asupra </w:t>
            </w:r>
            <w:r w:rsidR="00091B58">
              <w:rPr>
                <w:rFonts w:ascii="Times New Roman" w:hAnsi="Times New Roman"/>
                <w:bCs/>
                <w:lang w:val="ro-RO"/>
              </w:rPr>
              <w:t xml:space="preserve">echității </w:t>
            </w:r>
            <w:r w:rsidRPr="00B9535F">
              <w:rPr>
                <w:rFonts w:ascii="Times New Roman" w:hAnsi="Times New Roman"/>
                <w:bCs/>
                <w:lang w:val="ro-RO"/>
              </w:rPr>
              <w:t>și egalității de gen.</w:t>
            </w:r>
          </w:p>
        </w:tc>
      </w:tr>
      <w:tr w:rsidR="00693385" w:rsidRPr="002F7510" w14:paraId="215C3338" w14:textId="77777777" w:rsidTr="00A042D0">
        <w:tc>
          <w:tcPr>
            <w:tcW w:w="9345" w:type="dxa"/>
            <w:tcBorders>
              <w:top w:val="single" w:sz="4" w:space="0" w:color="auto"/>
              <w:left w:val="single" w:sz="4" w:space="0" w:color="auto"/>
              <w:bottom w:val="single" w:sz="4" w:space="0" w:color="auto"/>
              <w:right w:val="single" w:sz="4" w:space="0" w:color="auto"/>
            </w:tcBorders>
          </w:tcPr>
          <w:p w14:paraId="612346B3" w14:textId="74B27482" w:rsidR="00693385" w:rsidRPr="002F7510" w:rsidRDefault="00390640">
            <w:pPr>
              <w:jc w:val="both"/>
              <w:rPr>
                <w:rFonts w:ascii="Times New Roman" w:hAnsi="Times New Roman"/>
                <w:bCs/>
                <w:lang w:val="ro-RO"/>
              </w:rPr>
            </w:pPr>
            <w:r w:rsidRPr="002F7510">
              <w:rPr>
                <w:rFonts w:ascii="Times New Roman" w:hAnsi="Times New Roman"/>
                <w:bCs/>
                <w:lang w:val="ro-RO"/>
              </w:rPr>
              <w:t>4.</w:t>
            </w:r>
            <w:r w:rsidR="001F6711" w:rsidRPr="002F7510">
              <w:rPr>
                <w:rFonts w:ascii="Times New Roman" w:hAnsi="Times New Roman"/>
                <w:bCs/>
                <w:lang w:val="ro-RO"/>
              </w:rPr>
              <w:t>5 Impactul asupra mediului</w:t>
            </w:r>
          </w:p>
        </w:tc>
      </w:tr>
      <w:tr w:rsidR="00507E6A" w:rsidRPr="00703406" w14:paraId="6388E32E" w14:textId="77777777" w:rsidTr="00A042D0">
        <w:tc>
          <w:tcPr>
            <w:tcW w:w="9345" w:type="dxa"/>
            <w:tcBorders>
              <w:top w:val="single" w:sz="4" w:space="0" w:color="auto"/>
              <w:left w:val="single" w:sz="4" w:space="0" w:color="auto"/>
              <w:bottom w:val="single" w:sz="4" w:space="0" w:color="auto"/>
              <w:right w:val="single" w:sz="4" w:space="0" w:color="auto"/>
            </w:tcBorders>
          </w:tcPr>
          <w:p w14:paraId="0F95090D" w14:textId="305F00E0" w:rsidR="00F303D6" w:rsidRPr="002831AE" w:rsidRDefault="008B076F" w:rsidP="002831AE">
            <w:pPr>
              <w:ind w:firstLine="567"/>
              <w:jc w:val="both"/>
              <w:rPr>
                <w:rFonts w:ascii="Times New Roman" w:hAnsi="Times New Roman" w:cs="Times New Roman"/>
                <w:lang w:val="ro-RO" w:eastAsia="en-GB"/>
              </w:rPr>
            </w:pPr>
            <w:r w:rsidRPr="008B076F">
              <w:rPr>
                <w:rFonts w:ascii="Times New Roman" w:hAnsi="Times New Roman" w:cs="Times New Roman"/>
                <w:lang w:val="ro-RO" w:eastAsia="en-GB"/>
              </w:rPr>
              <w:t xml:space="preserve">Implementarea </w:t>
            </w:r>
            <w:r>
              <w:rPr>
                <w:rFonts w:ascii="Times New Roman" w:hAnsi="Times New Roman" w:cs="Times New Roman"/>
                <w:lang w:val="ro-RO" w:eastAsia="en-GB"/>
              </w:rPr>
              <w:t>proiectului</w:t>
            </w:r>
            <w:r w:rsidRPr="008B076F">
              <w:rPr>
                <w:rFonts w:ascii="Times New Roman" w:hAnsi="Times New Roman" w:cs="Times New Roman"/>
                <w:lang w:val="ro-RO" w:eastAsia="en-GB"/>
              </w:rPr>
              <w:t xml:space="preserve"> </w:t>
            </w:r>
            <w:r>
              <w:rPr>
                <w:rFonts w:ascii="Times New Roman" w:hAnsi="Times New Roman" w:cs="Times New Roman"/>
                <w:lang w:val="ro-RO" w:eastAsia="en-GB"/>
              </w:rPr>
              <w:t>va</w:t>
            </w:r>
            <w:r w:rsidRPr="008B076F">
              <w:rPr>
                <w:rFonts w:ascii="Times New Roman" w:hAnsi="Times New Roman" w:cs="Times New Roman"/>
                <w:lang w:val="ro-RO" w:eastAsia="en-GB"/>
              </w:rPr>
              <w:t xml:space="preserve"> reduce riscuril</w:t>
            </w:r>
            <w:r>
              <w:rPr>
                <w:rFonts w:ascii="Times New Roman" w:hAnsi="Times New Roman" w:cs="Times New Roman"/>
                <w:lang w:val="ro-RO" w:eastAsia="en-GB"/>
              </w:rPr>
              <w:t>e</w:t>
            </w:r>
            <w:r w:rsidRPr="008B076F">
              <w:rPr>
                <w:rFonts w:ascii="Times New Roman" w:hAnsi="Times New Roman" w:cs="Times New Roman"/>
                <w:lang w:val="ro-RO" w:eastAsia="en-GB"/>
              </w:rPr>
              <w:t xml:space="preserve"> de accidente în timpul operațiunilor portuare, cum ar fi prăbușirea structurilor navelor din cauza încărcării sau descărcării neuniforme a mărfurilor vrac. Mai mult, o încărcare și descărcare mai sigură reduce riscul de poluare a mediului marin, prevenind scurgerile de mărfuri periculoase sau de combustibil în cazul unui accident.</w:t>
            </w:r>
          </w:p>
        </w:tc>
      </w:tr>
      <w:tr w:rsidR="00507E6A" w:rsidRPr="00703406" w14:paraId="1DBD25E7" w14:textId="77777777" w:rsidTr="00A042D0">
        <w:tc>
          <w:tcPr>
            <w:tcW w:w="9345" w:type="dxa"/>
            <w:tcBorders>
              <w:top w:val="single" w:sz="4" w:space="0" w:color="auto"/>
              <w:left w:val="single" w:sz="4" w:space="0" w:color="auto"/>
              <w:bottom w:val="single" w:sz="4" w:space="0" w:color="auto"/>
              <w:right w:val="single" w:sz="4" w:space="0" w:color="auto"/>
            </w:tcBorders>
          </w:tcPr>
          <w:p w14:paraId="74989C9D" w14:textId="43F8EB2B" w:rsidR="00507E6A" w:rsidRPr="002F7510" w:rsidRDefault="00507E6A">
            <w:pPr>
              <w:jc w:val="both"/>
              <w:rPr>
                <w:rFonts w:ascii="Times New Roman" w:hAnsi="Times New Roman"/>
                <w:bCs/>
                <w:lang w:val="ro-RO"/>
              </w:rPr>
            </w:pPr>
            <w:r w:rsidRPr="002F7510">
              <w:rPr>
                <w:rFonts w:ascii="Times New Roman" w:hAnsi="Times New Roman"/>
                <w:bCs/>
                <w:lang w:val="ro-RO"/>
              </w:rPr>
              <w:t xml:space="preserve">4.6 </w:t>
            </w:r>
            <w:r w:rsidR="00230612" w:rsidRPr="002F7510">
              <w:rPr>
                <w:rFonts w:ascii="Times New Roman" w:hAnsi="Times New Roman"/>
                <w:bCs/>
                <w:lang w:val="ro-RO"/>
              </w:rPr>
              <w:t>Alte impacturi și informații relevante</w:t>
            </w:r>
          </w:p>
        </w:tc>
      </w:tr>
      <w:tr w:rsidR="00A042D0" w:rsidRPr="00507E2D" w14:paraId="71883D6F"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50AFC91" w14:textId="676C22A9" w:rsidR="005679A3" w:rsidRPr="0099014A" w:rsidRDefault="0099014A" w:rsidP="00A30CFF">
            <w:pPr>
              <w:ind w:firstLine="600"/>
              <w:jc w:val="both"/>
              <w:rPr>
                <w:rFonts w:ascii="Times" w:hAnsi="Times"/>
                <w:color w:val="000000" w:themeColor="text1"/>
                <w:sz w:val="28"/>
                <w:szCs w:val="28"/>
                <w:lang w:val="ro-RO"/>
              </w:rPr>
            </w:pPr>
            <w:r w:rsidRPr="0099014A">
              <w:rPr>
                <w:rFonts w:ascii="Times" w:hAnsi="Times"/>
                <w:color w:val="000000" w:themeColor="text1"/>
                <w:sz w:val="28"/>
                <w:szCs w:val="28"/>
                <w:lang w:val="ro-RO"/>
              </w:rPr>
              <w:t>-</w:t>
            </w:r>
          </w:p>
        </w:tc>
      </w:tr>
      <w:tr w:rsidR="00A042D0" w:rsidRPr="00703406" w14:paraId="165F3250"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2A9C7B5" w14:textId="3734035F" w:rsidR="00A042D0" w:rsidRPr="002F7510" w:rsidRDefault="00A042D0">
            <w:pPr>
              <w:jc w:val="both"/>
              <w:rPr>
                <w:rFonts w:ascii="Times New Roman" w:hAnsi="Times New Roman" w:cs="Times New Roman"/>
                <w:b/>
                <w:lang w:val="ro-RO"/>
              </w:rPr>
            </w:pPr>
            <w:r w:rsidRPr="002F7510">
              <w:rPr>
                <w:rFonts w:ascii="Times New Roman" w:hAnsi="Times New Roman"/>
                <w:b/>
                <w:lang w:val="ro-RO"/>
              </w:rPr>
              <w:t xml:space="preserve">5. </w:t>
            </w:r>
            <w:r w:rsidR="002F232D" w:rsidRPr="002F7510">
              <w:rPr>
                <w:rFonts w:ascii="Times New Roman" w:hAnsi="Times New Roman"/>
                <w:b/>
                <w:lang w:val="ro-RO"/>
              </w:rPr>
              <w:t>Compatibilitatea proiectului actului normativ cu legislația UE</w:t>
            </w:r>
          </w:p>
        </w:tc>
      </w:tr>
      <w:tr w:rsidR="002F232D" w:rsidRPr="00703406" w14:paraId="2B7E90F3" w14:textId="77777777" w:rsidTr="00A042D0">
        <w:tc>
          <w:tcPr>
            <w:tcW w:w="9345" w:type="dxa"/>
            <w:tcBorders>
              <w:top w:val="single" w:sz="4" w:space="0" w:color="auto"/>
              <w:left w:val="single" w:sz="4" w:space="0" w:color="auto"/>
              <w:bottom w:val="single" w:sz="4" w:space="0" w:color="auto"/>
              <w:right w:val="single" w:sz="4" w:space="0" w:color="auto"/>
            </w:tcBorders>
          </w:tcPr>
          <w:p w14:paraId="672C59D1" w14:textId="62A460A0" w:rsidR="002F232D" w:rsidRPr="002F7510" w:rsidRDefault="002F232D">
            <w:pPr>
              <w:jc w:val="both"/>
              <w:rPr>
                <w:rFonts w:ascii="Times New Roman" w:hAnsi="Times New Roman"/>
                <w:bCs/>
                <w:lang w:val="ro-RO"/>
              </w:rPr>
            </w:pPr>
            <w:r w:rsidRPr="002F7510">
              <w:rPr>
                <w:rFonts w:ascii="Times New Roman" w:hAnsi="Times New Roman"/>
                <w:bCs/>
                <w:lang w:val="ro-RO"/>
              </w:rPr>
              <w:t>5.1 Măsuri normative necesare pentru transpunerea actelor juridice ale UE în legislația națională</w:t>
            </w:r>
          </w:p>
        </w:tc>
      </w:tr>
      <w:tr w:rsidR="002F232D" w:rsidRPr="00703406" w14:paraId="1E2E8B3A" w14:textId="77777777" w:rsidTr="00A042D0">
        <w:tc>
          <w:tcPr>
            <w:tcW w:w="9345" w:type="dxa"/>
            <w:tcBorders>
              <w:top w:val="single" w:sz="4" w:space="0" w:color="auto"/>
              <w:left w:val="single" w:sz="4" w:space="0" w:color="auto"/>
              <w:bottom w:val="single" w:sz="4" w:space="0" w:color="auto"/>
              <w:right w:val="single" w:sz="4" w:space="0" w:color="auto"/>
            </w:tcBorders>
          </w:tcPr>
          <w:p w14:paraId="52DDB326" w14:textId="5E676563" w:rsidR="00177CB1" w:rsidRPr="0099014A" w:rsidRDefault="00517E71" w:rsidP="00517E71">
            <w:pPr>
              <w:ind w:firstLine="600"/>
              <w:jc w:val="both"/>
              <w:rPr>
                <w:rFonts w:ascii="Times New Roman" w:hAnsi="Times New Roman"/>
                <w:bCs/>
                <w:lang w:val="ro-RO"/>
              </w:rPr>
            </w:pPr>
            <w:r>
              <w:rPr>
                <w:rFonts w:ascii="Times New Roman" w:hAnsi="Times New Roman"/>
                <w:bCs/>
                <w:lang w:val="ro-RO"/>
              </w:rPr>
              <w:t xml:space="preserve">Proiectul prevede transpunerea </w:t>
            </w:r>
            <w:r w:rsidRPr="00517E71">
              <w:rPr>
                <w:rFonts w:ascii="Times New Roman" w:hAnsi="Times New Roman"/>
                <w:bCs/>
                <w:lang w:val="ro-RO"/>
              </w:rPr>
              <w:t xml:space="preserve">Directivei 2001/96/CE a Parlamentului European și a Consiliului din 04 decembrie 2001 de stabilire a cerințelor și procedurilor armonizate pentru încărcarea și descărcarea în siguranță a </w:t>
            </w:r>
            <w:proofErr w:type="spellStart"/>
            <w:r w:rsidRPr="00517E71">
              <w:rPr>
                <w:rFonts w:ascii="Times New Roman" w:hAnsi="Times New Roman"/>
                <w:bCs/>
                <w:lang w:val="ro-RO"/>
              </w:rPr>
              <w:t>vrachierelor</w:t>
            </w:r>
            <w:proofErr w:type="spellEnd"/>
            <w:r>
              <w:rPr>
                <w:rFonts w:ascii="Times New Roman" w:hAnsi="Times New Roman"/>
                <w:bCs/>
                <w:lang w:val="ro-RO"/>
              </w:rPr>
              <w:t>.</w:t>
            </w:r>
          </w:p>
        </w:tc>
      </w:tr>
      <w:tr w:rsidR="002F232D" w:rsidRPr="00703406" w14:paraId="2322FCE7" w14:textId="77777777" w:rsidTr="00A042D0">
        <w:tc>
          <w:tcPr>
            <w:tcW w:w="9345" w:type="dxa"/>
            <w:tcBorders>
              <w:top w:val="single" w:sz="4" w:space="0" w:color="auto"/>
              <w:left w:val="single" w:sz="4" w:space="0" w:color="auto"/>
              <w:bottom w:val="single" w:sz="4" w:space="0" w:color="auto"/>
              <w:right w:val="single" w:sz="4" w:space="0" w:color="auto"/>
            </w:tcBorders>
          </w:tcPr>
          <w:p w14:paraId="67898E3F" w14:textId="252A6F09" w:rsidR="002F232D" w:rsidRPr="002F7510" w:rsidRDefault="002F232D">
            <w:pPr>
              <w:jc w:val="both"/>
              <w:rPr>
                <w:rFonts w:ascii="Times New Roman" w:hAnsi="Times New Roman"/>
                <w:bCs/>
                <w:lang w:val="ro-RO"/>
              </w:rPr>
            </w:pPr>
            <w:r w:rsidRPr="002F7510">
              <w:rPr>
                <w:rFonts w:ascii="Times New Roman" w:hAnsi="Times New Roman"/>
                <w:bCs/>
                <w:lang w:val="ro-RO"/>
              </w:rPr>
              <w:t>5.2</w:t>
            </w:r>
            <w:r w:rsidR="00B936BD" w:rsidRPr="002F7510">
              <w:rPr>
                <w:rFonts w:ascii="Times New Roman" w:hAnsi="Times New Roman"/>
                <w:bCs/>
                <w:lang w:val="ro-RO"/>
              </w:rPr>
              <w:t xml:space="preserve"> Măsuri normative care urmăresc crearea cadrului juridic intern necesar pentru implementarea legislației UE</w:t>
            </w:r>
          </w:p>
        </w:tc>
      </w:tr>
      <w:tr w:rsidR="00A042D0" w:rsidRPr="008916C6" w14:paraId="4690B2E5"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5D19EC72" w14:textId="13F7B98B" w:rsidR="00D61573" w:rsidRPr="009D0FDC" w:rsidRDefault="00517E71" w:rsidP="009D0FDC">
            <w:pPr>
              <w:ind w:firstLine="600"/>
              <w:jc w:val="both"/>
              <w:rPr>
                <w:rFonts w:ascii="Times New Roman" w:hAnsi="Times New Roman" w:cs="Times New Roman"/>
                <w:lang w:val="ro-RO"/>
              </w:rPr>
            </w:pPr>
            <w:r>
              <w:rPr>
                <w:rFonts w:ascii="Times New Roman" w:hAnsi="Times New Roman" w:cs="Times New Roman"/>
                <w:lang w:val="ro-RO"/>
              </w:rPr>
              <w:t>-</w:t>
            </w:r>
          </w:p>
        </w:tc>
      </w:tr>
      <w:tr w:rsidR="00A042D0" w:rsidRPr="00703406" w14:paraId="066730C3"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82BE118" w14:textId="10B701E9" w:rsidR="00A042D0" w:rsidRPr="002F7510" w:rsidRDefault="00A042D0">
            <w:pPr>
              <w:tabs>
                <w:tab w:val="left" w:pos="884"/>
                <w:tab w:val="left" w:pos="1196"/>
              </w:tabs>
              <w:jc w:val="both"/>
              <w:rPr>
                <w:rFonts w:ascii="Times New Roman" w:hAnsi="Times New Roman" w:cs="Times New Roman"/>
                <w:lang w:val="ro-RO"/>
              </w:rPr>
            </w:pPr>
            <w:r w:rsidRPr="002F7510">
              <w:rPr>
                <w:rFonts w:ascii="Times New Roman" w:hAnsi="Times New Roman"/>
                <w:b/>
                <w:lang w:val="ro-RO"/>
              </w:rPr>
              <w:t xml:space="preserve">6. </w:t>
            </w:r>
            <w:r w:rsidR="000E261E" w:rsidRPr="002F7510">
              <w:rPr>
                <w:rFonts w:ascii="Times New Roman" w:hAnsi="Times New Roman"/>
                <w:b/>
                <w:lang w:val="ro-RO"/>
              </w:rPr>
              <w:t>Avizarea şi consultarea publică a proiectului</w:t>
            </w:r>
          </w:p>
        </w:tc>
      </w:tr>
      <w:tr w:rsidR="00A042D0" w:rsidRPr="00703406" w14:paraId="360D156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C82A0DC" w14:textId="6ECD9AC6" w:rsidR="00AC16ED" w:rsidRDefault="00AC16ED" w:rsidP="00AC16ED">
            <w:pPr>
              <w:tabs>
                <w:tab w:val="left" w:pos="884"/>
                <w:tab w:val="left" w:pos="1196"/>
              </w:tabs>
              <w:ind w:firstLine="591"/>
              <w:jc w:val="both"/>
              <w:rPr>
                <w:rFonts w:ascii="Times New Roman" w:hAnsi="Times New Roman"/>
                <w:color w:val="000000" w:themeColor="text1"/>
                <w:lang w:val="ro-RO"/>
              </w:rPr>
            </w:pPr>
            <w:r w:rsidRPr="00B85137">
              <w:rPr>
                <w:rFonts w:ascii="Times New Roman" w:hAnsi="Times New Roman"/>
                <w:color w:val="000000" w:themeColor="text1"/>
                <w:lang w:val="ro-RO"/>
              </w:rPr>
              <w:t>Anunțul privind inițierea procesului de elaborare a proiectului actului normativ</w:t>
            </w:r>
            <w:r>
              <w:rPr>
                <w:rFonts w:ascii="Times New Roman" w:hAnsi="Times New Roman"/>
                <w:color w:val="000000" w:themeColor="text1"/>
                <w:lang w:val="ro-RO"/>
              </w:rPr>
              <w:t xml:space="preserve"> </w:t>
            </w:r>
            <w:r w:rsidRPr="00B85137">
              <w:rPr>
                <w:rFonts w:ascii="Times New Roman" w:hAnsi="Times New Roman"/>
                <w:color w:val="000000" w:themeColor="text1"/>
                <w:lang w:val="ro-RO"/>
              </w:rPr>
              <w:t xml:space="preserve">a fost plasat pe pagina web a Ministerului Infrastructurii și Dezvoltării Regionale </w:t>
            </w:r>
            <w:r w:rsidRPr="00C03CEA">
              <w:rPr>
                <w:rFonts w:ascii="Times New Roman" w:hAnsi="Times New Roman" w:cs="Times New Roman"/>
                <w:color w:val="000000" w:themeColor="text1"/>
                <w:lang w:val="ro-RO"/>
              </w:rPr>
              <w:t>(</w:t>
            </w:r>
            <w:hyperlink r:id="rId7" w:history="1">
              <w:r w:rsidR="00703406" w:rsidRPr="00703406">
                <w:rPr>
                  <w:rStyle w:val="Hyperlink"/>
                  <w:rFonts w:ascii="Times New Roman" w:hAnsi="Times New Roman" w:cs="Times New Roman"/>
                  <w:lang w:val="ro-MD"/>
                </w:rPr>
                <w:t>https://particip.gov.md/ro/document/stages/*/15223</w:t>
              </w:r>
            </w:hyperlink>
            <w:r w:rsidRPr="00C03CEA">
              <w:rPr>
                <w:rFonts w:ascii="Times New Roman" w:hAnsi="Times New Roman" w:cs="Times New Roman"/>
                <w:color w:val="000000" w:themeColor="text1"/>
                <w:lang w:val="ro-RO"/>
              </w:rPr>
              <w:t>)</w:t>
            </w:r>
            <w:r w:rsidR="003F1CD6" w:rsidRPr="00C03CEA">
              <w:rPr>
                <w:rFonts w:ascii="Times New Roman" w:hAnsi="Times New Roman" w:cs="Times New Roman"/>
                <w:color w:val="000000" w:themeColor="text1"/>
                <w:lang w:val="ro-RO"/>
              </w:rPr>
              <w:t>.</w:t>
            </w:r>
          </w:p>
          <w:p w14:paraId="2A61E5B3" w14:textId="78305237" w:rsidR="00AC16ED" w:rsidRDefault="00AC16ED" w:rsidP="00AC16ED">
            <w:pPr>
              <w:tabs>
                <w:tab w:val="left" w:pos="884"/>
                <w:tab w:val="left" w:pos="1196"/>
              </w:tabs>
              <w:ind w:firstLine="591"/>
              <w:jc w:val="both"/>
              <w:rPr>
                <w:rFonts w:ascii="Times New Roman" w:hAnsi="Times New Roman"/>
                <w:lang w:val="ro-RO"/>
              </w:rPr>
            </w:pPr>
            <w:r w:rsidRPr="0042082B">
              <w:rPr>
                <w:rFonts w:ascii="Times New Roman" w:hAnsi="Times New Roman"/>
                <w:color w:val="000000" w:themeColor="text1"/>
                <w:lang w:val="ro-RO"/>
              </w:rPr>
              <w:t xml:space="preserve">Proiectul </w:t>
            </w:r>
            <w:r>
              <w:rPr>
                <w:rFonts w:ascii="Times New Roman" w:hAnsi="Times New Roman"/>
                <w:color w:val="000000" w:themeColor="text1"/>
                <w:lang w:val="ro-RO"/>
              </w:rPr>
              <w:t>urmează a fi</w:t>
            </w:r>
            <w:r w:rsidRPr="0042082B">
              <w:rPr>
                <w:rFonts w:ascii="Times New Roman" w:hAnsi="Times New Roman"/>
                <w:color w:val="000000" w:themeColor="text1"/>
                <w:lang w:val="ro-RO"/>
              </w:rPr>
              <w:t xml:space="preserve"> supus </w:t>
            </w:r>
            <w:r w:rsidR="002D7676">
              <w:rPr>
                <w:rFonts w:ascii="Times New Roman" w:hAnsi="Times New Roman"/>
                <w:color w:val="000000" w:themeColor="text1"/>
                <w:lang w:val="ro-RO"/>
              </w:rPr>
              <w:t>procesului de avizare</w:t>
            </w:r>
            <w:r w:rsidRPr="0042082B">
              <w:rPr>
                <w:rFonts w:ascii="Times New Roman" w:hAnsi="Times New Roman"/>
                <w:color w:val="000000" w:themeColor="text1"/>
                <w:lang w:val="ro-RO"/>
              </w:rPr>
              <w:t xml:space="preserve">, conform </w:t>
            </w:r>
            <w:r>
              <w:rPr>
                <w:rFonts w:ascii="Times New Roman" w:hAnsi="Times New Roman"/>
                <w:color w:val="000000" w:themeColor="text1"/>
                <w:lang w:val="ro-RO"/>
              </w:rPr>
              <w:t>prevederilor</w:t>
            </w:r>
            <w:r w:rsidRPr="0042082B">
              <w:rPr>
                <w:rFonts w:ascii="Times New Roman" w:hAnsi="Times New Roman"/>
                <w:color w:val="000000" w:themeColor="text1"/>
                <w:lang w:val="ro-RO"/>
              </w:rPr>
              <w:t xml:space="preserve"> Leg</w:t>
            </w:r>
            <w:r>
              <w:rPr>
                <w:rFonts w:ascii="Times New Roman" w:hAnsi="Times New Roman"/>
                <w:color w:val="000000" w:themeColor="text1"/>
                <w:lang w:val="ro-RO"/>
              </w:rPr>
              <w:t>ii nr.</w:t>
            </w:r>
            <w:r w:rsidRPr="0042082B">
              <w:rPr>
                <w:rFonts w:ascii="Times New Roman" w:hAnsi="Times New Roman"/>
                <w:color w:val="000000" w:themeColor="text1"/>
                <w:lang w:val="ro-RO"/>
              </w:rPr>
              <w:t xml:space="preserve"> 100/2017 cu privire la actele normative și </w:t>
            </w:r>
            <w:r>
              <w:rPr>
                <w:rFonts w:ascii="Times New Roman" w:hAnsi="Times New Roman"/>
                <w:color w:val="000000" w:themeColor="text1"/>
                <w:lang w:val="ro-RO"/>
              </w:rPr>
              <w:t>v</w:t>
            </w:r>
            <w:r w:rsidRPr="0042082B">
              <w:rPr>
                <w:rFonts w:ascii="Times New Roman" w:hAnsi="Times New Roman"/>
                <w:color w:val="000000" w:themeColor="text1"/>
                <w:lang w:val="ro-RO"/>
              </w:rPr>
              <w:t>a f</w:t>
            </w:r>
            <w:r>
              <w:rPr>
                <w:rFonts w:ascii="Times New Roman" w:hAnsi="Times New Roman"/>
                <w:color w:val="000000" w:themeColor="text1"/>
                <w:lang w:val="ro-RO"/>
              </w:rPr>
              <w:t>i</w:t>
            </w:r>
            <w:r w:rsidRPr="0042082B">
              <w:rPr>
                <w:rFonts w:ascii="Times New Roman" w:hAnsi="Times New Roman"/>
                <w:color w:val="000000" w:themeColor="text1"/>
                <w:lang w:val="ro-RO"/>
              </w:rPr>
              <w:t xml:space="preserve"> plasat pe paginile web www.midr.gov.md și</w:t>
            </w:r>
            <w:r>
              <w:rPr>
                <w:rFonts w:ascii="Times New Roman" w:hAnsi="Times New Roman"/>
                <w:color w:val="000000" w:themeColor="text1"/>
                <w:lang w:val="ro-RO"/>
              </w:rPr>
              <w:t xml:space="preserve"> </w:t>
            </w:r>
            <w:hyperlink r:id="rId8" w:history="1">
              <w:r w:rsidRPr="00AE0A66">
                <w:rPr>
                  <w:rStyle w:val="Hyperlink"/>
                  <w:rFonts w:ascii="Times New Roman" w:hAnsi="Times New Roman" w:cs="Times New Roman"/>
                  <w:color w:val="auto"/>
                  <w:u w:val="none"/>
                  <w:lang w:val="ro-RO"/>
                </w:rPr>
                <w:t>p</w:t>
              </w:r>
              <w:r w:rsidRPr="001954AD">
                <w:rPr>
                  <w:rStyle w:val="Hyperlink"/>
                  <w:rFonts w:ascii="Times New Roman" w:hAnsi="Times New Roman" w:cs="Times New Roman"/>
                  <w:color w:val="auto"/>
                  <w:u w:val="none"/>
                  <w:lang w:val="ro-RO"/>
                </w:rPr>
                <w:t>articip.gov.md</w:t>
              </w:r>
            </w:hyperlink>
            <w:r w:rsidRPr="00AE0A66">
              <w:rPr>
                <w:rFonts w:ascii="Times New Roman" w:hAnsi="Times New Roman"/>
                <w:lang w:val="ro-RO"/>
              </w:rPr>
              <w:t xml:space="preserve"> </w:t>
            </w:r>
            <w:r w:rsidR="002D7676">
              <w:rPr>
                <w:rFonts w:ascii="Times New Roman" w:hAnsi="Times New Roman"/>
                <w:lang w:val="ro-RO"/>
              </w:rPr>
              <w:t xml:space="preserve">pentru consultări publice. </w:t>
            </w:r>
          </w:p>
          <w:p w14:paraId="08B5CC56" w14:textId="59CA48C5" w:rsidR="00AC16ED" w:rsidRDefault="00AC16ED" w:rsidP="00AC16ED">
            <w:pPr>
              <w:tabs>
                <w:tab w:val="left" w:pos="884"/>
                <w:tab w:val="left" w:pos="1196"/>
              </w:tabs>
              <w:ind w:firstLine="591"/>
              <w:jc w:val="both"/>
              <w:rPr>
                <w:rFonts w:ascii="Times New Roman" w:hAnsi="Times New Roman"/>
                <w:lang w:val="ro-RO"/>
              </w:rPr>
            </w:pPr>
            <w:r>
              <w:rPr>
                <w:rFonts w:ascii="Times New Roman" w:hAnsi="Times New Roman"/>
                <w:lang w:val="ro-RO"/>
              </w:rPr>
              <w:t>Proiectul urmează a fi avizat de următoarel</w:t>
            </w:r>
            <w:r w:rsidR="00091B58">
              <w:rPr>
                <w:rFonts w:ascii="Times New Roman" w:hAnsi="Times New Roman"/>
                <w:lang w:val="ro-RO"/>
              </w:rPr>
              <w:t>e</w:t>
            </w:r>
            <w:r>
              <w:rPr>
                <w:rFonts w:ascii="Times New Roman" w:hAnsi="Times New Roman"/>
                <w:lang w:val="ro-RO"/>
              </w:rPr>
              <w:t xml:space="preserve"> instituții:</w:t>
            </w:r>
          </w:p>
          <w:p w14:paraId="77C17425" w14:textId="02AD061F" w:rsidR="00AC16ED" w:rsidRDefault="00AC16ED" w:rsidP="00A30CFF">
            <w:pPr>
              <w:tabs>
                <w:tab w:val="left" w:pos="884"/>
                <w:tab w:val="left" w:pos="1196"/>
              </w:tabs>
              <w:ind w:firstLine="600"/>
              <w:jc w:val="both"/>
              <w:rPr>
                <w:rFonts w:ascii="Times New Roman" w:hAnsi="Times New Roman"/>
                <w:lang w:val="ro-RO"/>
              </w:rPr>
            </w:pPr>
            <w:r>
              <w:rPr>
                <w:rFonts w:ascii="Times New Roman" w:hAnsi="Times New Roman"/>
                <w:lang w:val="ro-RO"/>
              </w:rPr>
              <w:t>-</w:t>
            </w:r>
            <w:r w:rsidR="00781B88">
              <w:rPr>
                <w:rFonts w:ascii="Times New Roman" w:hAnsi="Times New Roman"/>
                <w:lang w:val="ro-RO"/>
              </w:rPr>
              <w:t xml:space="preserve"> Ministerul Finanțelor</w:t>
            </w:r>
            <w:r>
              <w:rPr>
                <w:rFonts w:ascii="Times New Roman" w:hAnsi="Times New Roman"/>
                <w:lang w:val="ro-RO"/>
              </w:rPr>
              <w:t>;</w:t>
            </w:r>
          </w:p>
          <w:p w14:paraId="652CA5B5" w14:textId="4056920C" w:rsidR="00AC16ED" w:rsidRDefault="00AC16ED" w:rsidP="00A30CFF">
            <w:pPr>
              <w:tabs>
                <w:tab w:val="left" w:pos="884"/>
                <w:tab w:val="left" w:pos="1196"/>
              </w:tabs>
              <w:ind w:firstLine="600"/>
              <w:jc w:val="both"/>
              <w:rPr>
                <w:rFonts w:ascii="Times New Roman" w:hAnsi="Times New Roman"/>
                <w:lang w:val="ro-RO"/>
              </w:rPr>
            </w:pPr>
            <w:r>
              <w:rPr>
                <w:rFonts w:ascii="Times New Roman" w:hAnsi="Times New Roman"/>
                <w:lang w:val="ro-RO"/>
              </w:rPr>
              <w:t xml:space="preserve">- </w:t>
            </w:r>
            <w:r w:rsidRPr="003A2095">
              <w:rPr>
                <w:rFonts w:ascii="Times New Roman" w:hAnsi="Times New Roman"/>
                <w:lang w:val="ro-RO"/>
              </w:rPr>
              <w:t>Ministerul Dezvoltării Economice și Digitalizării</w:t>
            </w:r>
            <w:r>
              <w:rPr>
                <w:rFonts w:ascii="Times New Roman" w:hAnsi="Times New Roman"/>
                <w:lang w:val="ro-RO"/>
              </w:rPr>
              <w:t>;</w:t>
            </w:r>
          </w:p>
          <w:p w14:paraId="542DA017" w14:textId="64D0BF26" w:rsidR="00091B58" w:rsidRDefault="00091B58" w:rsidP="00A30CFF">
            <w:pPr>
              <w:tabs>
                <w:tab w:val="left" w:pos="884"/>
                <w:tab w:val="left" w:pos="1196"/>
              </w:tabs>
              <w:ind w:firstLine="600"/>
              <w:jc w:val="both"/>
              <w:rPr>
                <w:rFonts w:ascii="Times New Roman" w:hAnsi="Times New Roman"/>
                <w:lang w:val="ro-RO"/>
              </w:rPr>
            </w:pPr>
            <w:r>
              <w:rPr>
                <w:rFonts w:ascii="Times New Roman" w:hAnsi="Times New Roman"/>
                <w:lang w:val="ro-RO"/>
              </w:rPr>
              <w:t>- Ministerul Mediului;</w:t>
            </w:r>
          </w:p>
          <w:p w14:paraId="1D10C601" w14:textId="4A649942" w:rsidR="006544E0" w:rsidRDefault="006544E0" w:rsidP="00A30CFF">
            <w:pPr>
              <w:tabs>
                <w:tab w:val="left" w:pos="884"/>
                <w:tab w:val="left" w:pos="1196"/>
              </w:tabs>
              <w:ind w:firstLine="600"/>
              <w:jc w:val="both"/>
              <w:rPr>
                <w:rFonts w:ascii="Times New Roman" w:hAnsi="Times New Roman"/>
                <w:lang w:val="ro-RO"/>
              </w:rPr>
            </w:pPr>
            <w:r>
              <w:rPr>
                <w:rFonts w:ascii="Times New Roman" w:hAnsi="Times New Roman"/>
                <w:lang w:val="ro-RO"/>
              </w:rPr>
              <w:t>- Ministerul Muncii și Protecției Sociale;</w:t>
            </w:r>
          </w:p>
          <w:p w14:paraId="28A17FC3" w14:textId="4E0817E9" w:rsidR="006544E0" w:rsidRDefault="006544E0" w:rsidP="00A30CFF">
            <w:pPr>
              <w:tabs>
                <w:tab w:val="left" w:pos="884"/>
                <w:tab w:val="left" w:pos="1196"/>
              </w:tabs>
              <w:ind w:firstLine="600"/>
              <w:jc w:val="both"/>
              <w:rPr>
                <w:rFonts w:ascii="Times New Roman" w:hAnsi="Times New Roman"/>
                <w:lang w:val="ro-RO"/>
              </w:rPr>
            </w:pPr>
            <w:r>
              <w:rPr>
                <w:rFonts w:ascii="Times New Roman" w:hAnsi="Times New Roman"/>
                <w:lang w:val="ro-RO"/>
              </w:rPr>
              <w:t xml:space="preserve">- </w:t>
            </w:r>
            <w:r w:rsidR="00517E71">
              <w:rPr>
                <w:rFonts w:ascii="Times New Roman" w:hAnsi="Times New Roman"/>
                <w:lang w:val="ro-RO"/>
              </w:rPr>
              <w:t>Ministerul Sănătății</w:t>
            </w:r>
            <w:r>
              <w:rPr>
                <w:rFonts w:ascii="Times New Roman" w:hAnsi="Times New Roman"/>
                <w:lang w:val="ro-RO"/>
              </w:rPr>
              <w:t>;</w:t>
            </w:r>
          </w:p>
          <w:p w14:paraId="2350E68E" w14:textId="29D5EC84" w:rsidR="006544E0" w:rsidRDefault="006544E0" w:rsidP="00A30CFF">
            <w:pPr>
              <w:tabs>
                <w:tab w:val="left" w:pos="884"/>
                <w:tab w:val="left" w:pos="1196"/>
              </w:tabs>
              <w:ind w:firstLine="600"/>
              <w:jc w:val="both"/>
              <w:rPr>
                <w:rFonts w:ascii="Times New Roman" w:hAnsi="Times New Roman"/>
                <w:lang w:val="ro-RO"/>
              </w:rPr>
            </w:pPr>
            <w:r>
              <w:rPr>
                <w:rFonts w:ascii="Times New Roman" w:hAnsi="Times New Roman"/>
                <w:lang w:val="ro-RO"/>
              </w:rPr>
              <w:t>- Centrul de Armonizare a Legislației;</w:t>
            </w:r>
          </w:p>
          <w:p w14:paraId="0C19F510" w14:textId="333B9289" w:rsidR="00091B58" w:rsidRDefault="00091B58" w:rsidP="00A30CFF">
            <w:pPr>
              <w:tabs>
                <w:tab w:val="left" w:pos="884"/>
                <w:tab w:val="left" w:pos="1196"/>
              </w:tabs>
              <w:ind w:firstLine="600"/>
              <w:jc w:val="both"/>
              <w:rPr>
                <w:rFonts w:ascii="Times New Roman" w:hAnsi="Times New Roman"/>
                <w:lang w:val="ro-RO"/>
              </w:rPr>
            </w:pPr>
            <w:r>
              <w:rPr>
                <w:rFonts w:ascii="Times New Roman" w:hAnsi="Times New Roman"/>
                <w:lang w:val="ro-RO"/>
              </w:rPr>
              <w:lastRenderedPageBreak/>
              <w:t>- Biroul de Investigare a Accidentelor și Incidentelor în Transporturi</w:t>
            </w:r>
            <w:r w:rsidR="00216836">
              <w:rPr>
                <w:rFonts w:ascii="Times New Roman" w:hAnsi="Times New Roman"/>
                <w:lang w:val="ro-RO"/>
              </w:rPr>
              <w:t>.</w:t>
            </w:r>
          </w:p>
          <w:p w14:paraId="7FA4E067" w14:textId="66C0758D" w:rsidR="007B29E4" w:rsidRDefault="007B29E4" w:rsidP="007B29E4">
            <w:pPr>
              <w:tabs>
                <w:tab w:val="left" w:pos="884"/>
                <w:tab w:val="left" w:pos="1196"/>
              </w:tabs>
              <w:ind w:firstLine="600"/>
              <w:jc w:val="both"/>
              <w:rPr>
                <w:rFonts w:ascii="Times New Roman" w:hAnsi="Times New Roman"/>
                <w:lang w:val="ro-RO"/>
              </w:rPr>
            </w:pPr>
            <w:r w:rsidRPr="007B29E4">
              <w:rPr>
                <w:rFonts w:ascii="Times New Roman" w:hAnsi="Times New Roman"/>
                <w:lang w:val="ro-RO"/>
              </w:rPr>
              <w:t>După definitivarea proiectului în urma procesului de avizare, proiectul de</w:t>
            </w:r>
            <w:r>
              <w:rPr>
                <w:rFonts w:ascii="Times New Roman" w:hAnsi="Times New Roman"/>
                <w:lang w:val="ro-RO"/>
              </w:rPr>
              <w:t xml:space="preserve"> </w:t>
            </w:r>
            <w:r w:rsidRPr="007B29E4">
              <w:rPr>
                <w:rFonts w:ascii="Times New Roman" w:hAnsi="Times New Roman"/>
                <w:lang w:val="ro-RO"/>
              </w:rPr>
              <w:t xml:space="preserve">act normativ va fi remis spre expertizare </w:t>
            </w:r>
            <w:r w:rsidR="00656A48">
              <w:rPr>
                <w:rFonts w:ascii="Times New Roman" w:hAnsi="Times New Roman"/>
                <w:lang w:val="ro-RO"/>
              </w:rPr>
              <w:t>c</w:t>
            </w:r>
            <w:proofErr w:type="spellStart"/>
            <w:r w:rsidR="00656A48">
              <w:rPr>
                <w:rFonts w:ascii="Times New Roman" w:hAnsi="Times New Roman"/>
                <w:lang w:val="ro-MD"/>
              </w:rPr>
              <w:t>ătre</w:t>
            </w:r>
            <w:proofErr w:type="spellEnd"/>
            <w:r w:rsidRPr="007B29E4">
              <w:rPr>
                <w:rFonts w:ascii="Times New Roman" w:hAnsi="Times New Roman"/>
                <w:lang w:val="ro-RO"/>
              </w:rPr>
              <w:t>:</w:t>
            </w:r>
          </w:p>
          <w:p w14:paraId="79B28E7C" w14:textId="77777777" w:rsidR="00B32271" w:rsidRDefault="00B32271" w:rsidP="00A30CFF">
            <w:pPr>
              <w:tabs>
                <w:tab w:val="left" w:pos="884"/>
                <w:tab w:val="left" w:pos="1196"/>
              </w:tabs>
              <w:ind w:firstLine="600"/>
              <w:jc w:val="both"/>
              <w:rPr>
                <w:rFonts w:ascii="Times New Roman" w:hAnsi="Times New Roman"/>
                <w:lang w:val="ro-RO"/>
              </w:rPr>
            </w:pPr>
            <w:r>
              <w:rPr>
                <w:rFonts w:ascii="Times New Roman" w:hAnsi="Times New Roman"/>
                <w:lang w:val="ro-RO"/>
              </w:rPr>
              <w:t>- Centrul Național Anticorupție;</w:t>
            </w:r>
          </w:p>
          <w:p w14:paraId="3FC6508D" w14:textId="5486EC61" w:rsidR="00097CDC" w:rsidRPr="00AC16ED" w:rsidRDefault="00B32271" w:rsidP="00342C46">
            <w:pPr>
              <w:tabs>
                <w:tab w:val="left" w:pos="884"/>
                <w:tab w:val="left" w:pos="1196"/>
              </w:tabs>
              <w:ind w:firstLine="600"/>
              <w:jc w:val="both"/>
              <w:rPr>
                <w:rFonts w:ascii="Times New Roman" w:hAnsi="Times New Roman"/>
                <w:lang w:val="ro-RO"/>
              </w:rPr>
            </w:pPr>
            <w:r>
              <w:rPr>
                <w:rFonts w:ascii="Times New Roman" w:hAnsi="Times New Roman"/>
                <w:lang w:val="ro-RO"/>
              </w:rPr>
              <w:t xml:space="preserve">- Ministerul Justiției. </w:t>
            </w:r>
          </w:p>
        </w:tc>
      </w:tr>
      <w:tr w:rsidR="00A042D0" w:rsidRPr="002F7510" w14:paraId="6A22215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EFAE4A4" w14:textId="694E54A9" w:rsidR="00A042D0" w:rsidRPr="002F7510" w:rsidRDefault="00A042D0">
            <w:pPr>
              <w:tabs>
                <w:tab w:val="left" w:pos="884"/>
                <w:tab w:val="left" w:pos="1196"/>
              </w:tabs>
              <w:jc w:val="both"/>
              <w:rPr>
                <w:rFonts w:ascii="Times New Roman" w:hAnsi="Times New Roman"/>
                <w:b/>
                <w:lang w:val="ro-RO"/>
              </w:rPr>
            </w:pPr>
            <w:r w:rsidRPr="002F7510">
              <w:rPr>
                <w:rFonts w:ascii="Times New Roman" w:hAnsi="Times New Roman"/>
                <w:b/>
                <w:lang w:val="ro-RO"/>
              </w:rPr>
              <w:lastRenderedPageBreak/>
              <w:t xml:space="preserve">7. </w:t>
            </w:r>
            <w:r w:rsidR="000E261E" w:rsidRPr="002F7510">
              <w:rPr>
                <w:rFonts w:ascii="Times New Roman" w:hAnsi="Times New Roman"/>
                <w:b/>
                <w:lang w:val="ro-RO"/>
              </w:rPr>
              <w:t>Concluziile expertizelor</w:t>
            </w:r>
          </w:p>
        </w:tc>
      </w:tr>
      <w:tr w:rsidR="00A042D0" w:rsidRPr="00703406" w14:paraId="343E252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B526D76" w14:textId="3E93965C" w:rsidR="00F33BDE" w:rsidRPr="002F7510" w:rsidRDefault="00B32271" w:rsidP="00A30CFF">
            <w:pPr>
              <w:tabs>
                <w:tab w:val="left" w:pos="884"/>
                <w:tab w:val="left" w:pos="1196"/>
              </w:tabs>
              <w:ind w:firstLine="600"/>
              <w:jc w:val="both"/>
              <w:rPr>
                <w:rFonts w:ascii="Times New Roman" w:hAnsi="Times New Roman"/>
                <w:lang w:val="ro-RO"/>
              </w:rPr>
            </w:pPr>
            <w:r>
              <w:rPr>
                <w:rFonts w:ascii="Times New Roman" w:hAnsi="Times New Roman"/>
                <w:lang w:val="ro-RO"/>
              </w:rPr>
              <w:t xml:space="preserve">Proiectul </w:t>
            </w:r>
            <w:r w:rsidR="00FE4F39">
              <w:rPr>
                <w:rFonts w:ascii="Times New Roman" w:hAnsi="Times New Roman"/>
                <w:lang w:val="ro-RO"/>
              </w:rPr>
              <w:t>v</w:t>
            </w:r>
            <w:r>
              <w:rPr>
                <w:rFonts w:ascii="Times New Roman" w:hAnsi="Times New Roman"/>
                <w:lang w:val="ro-RO"/>
              </w:rPr>
              <w:t xml:space="preserve">a fi supus expertizei </w:t>
            </w:r>
            <w:r w:rsidR="00FE4F39">
              <w:rPr>
                <w:rFonts w:ascii="Times New Roman" w:hAnsi="Times New Roman"/>
                <w:lang w:val="ro-RO"/>
              </w:rPr>
              <w:t>juridice</w:t>
            </w:r>
            <w:r>
              <w:rPr>
                <w:rFonts w:ascii="Times New Roman" w:hAnsi="Times New Roman"/>
                <w:lang w:val="ro-RO"/>
              </w:rPr>
              <w:t xml:space="preserve"> și expertizei anticorupție. </w:t>
            </w:r>
          </w:p>
        </w:tc>
      </w:tr>
      <w:tr w:rsidR="00A042D0" w:rsidRPr="00703406" w14:paraId="3931ABF5"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F24287A" w14:textId="65AF31DF" w:rsidR="00A042D0" w:rsidRPr="002F7510" w:rsidRDefault="00A042D0">
            <w:pPr>
              <w:tabs>
                <w:tab w:val="left" w:pos="884"/>
                <w:tab w:val="left" w:pos="1196"/>
              </w:tabs>
              <w:jc w:val="both"/>
              <w:rPr>
                <w:rFonts w:ascii="Times New Roman" w:hAnsi="Times New Roman"/>
                <w:b/>
                <w:lang w:val="ro-RO"/>
              </w:rPr>
            </w:pPr>
            <w:r w:rsidRPr="002F7510">
              <w:rPr>
                <w:rFonts w:ascii="Times New Roman" w:hAnsi="Times New Roman"/>
                <w:b/>
                <w:bCs/>
                <w:lang w:val="ro-RO"/>
              </w:rPr>
              <w:t>8.</w:t>
            </w:r>
            <w:r w:rsidRPr="002F7510">
              <w:rPr>
                <w:rFonts w:ascii="Times New Roman" w:hAnsi="Times New Roman"/>
                <w:bCs/>
                <w:lang w:val="ro-RO"/>
              </w:rPr>
              <w:t xml:space="preserve"> </w:t>
            </w:r>
            <w:r w:rsidR="000A5151" w:rsidRPr="002F7510">
              <w:rPr>
                <w:rFonts w:ascii="Times New Roman" w:hAnsi="Times New Roman"/>
                <w:b/>
                <w:lang w:val="ro-RO"/>
              </w:rPr>
              <w:t>Modul de încorporare a actului în cadrul normativ existent</w:t>
            </w:r>
          </w:p>
        </w:tc>
      </w:tr>
      <w:tr w:rsidR="00A042D0" w:rsidRPr="00703406" w14:paraId="00A45972"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19EB576" w14:textId="6E6556F0" w:rsidR="00530B2E" w:rsidRPr="002F7510" w:rsidRDefault="00B32271" w:rsidP="00A30CFF">
            <w:pPr>
              <w:tabs>
                <w:tab w:val="left" w:pos="884"/>
                <w:tab w:val="left" w:pos="1196"/>
              </w:tabs>
              <w:ind w:firstLine="600"/>
              <w:jc w:val="both"/>
              <w:rPr>
                <w:rFonts w:ascii="Times New Roman" w:hAnsi="Times New Roman"/>
                <w:lang w:val="ro-RO"/>
              </w:rPr>
            </w:pPr>
            <w:r>
              <w:rPr>
                <w:rFonts w:ascii="Times New Roman" w:hAnsi="Times New Roman"/>
                <w:lang w:val="ro-RO"/>
              </w:rPr>
              <w:t>În urma aprobării proiectului nu va trebui de modificat cadrul normativ secundar.</w:t>
            </w:r>
          </w:p>
        </w:tc>
      </w:tr>
      <w:tr w:rsidR="00A042D0" w:rsidRPr="00703406" w14:paraId="1E0AEA0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C081B45" w14:textId="5613E555" w:rsidR="00A042D0" w:rsidRPr="002F7510" w:rsidRDefault="00A042D0">
            <w:pPr>
              <w:tabs>
                <w:tab w:val="left" w:pos="884"/>
                <w:tab w:val="left" w:pos="1196"/>
              </w:tabs>
              <w:jc w:val="both"/>
              <w:rPr>
                <w:rFonts w:ascii="Times New Roman" w:hAnsi="Times New Roman"/>
                <w:b/>
                <w:lang w:val="ro-RO"/>
              </w:rPr>
            </w:pPr>
            <w:r w:rsidRPr="002F7510">
              <w:rPr>
                <w:rFonts w:ascii="Times New Roman" w:hAnsi="Times New Roman"/>
                <w:b/>
                <w:lang w:val="ro-RO"/>
              </w:rPr>
              <w:t xml:space="preserve">9. </w:t>
            </w:r>
            <w:r w:rsidR="006F3622" w:rsidRPr="002F7510">
              <w:rPr>
                <w:rFonts w:ascii="Times New Roman" w:hAnsi="Times New Roman"/>
                <w:b/>
                <w:lang w:val="ro-RO"/>
              </w:rPr>
              <w:t>Măsurile necesare pentru implementarea prevederilor proiectului actului normativ</w:t>
            </w:r>
          </w:p>
        </w:tc>
      </w:tr>
      <w:tr w:rsidR="00A042D0" w:rsidRPr="00703406" w14:paraId="3AE4C62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3C0EA2F" w14:textId="3B433650" w:rsidR="006433B5" w:rsidRPr="002F7510" w:rsidRDefault="00DB249A" w:rsidP="006433B5">
            <w:pPr>
              <w:pStyle w:val="NormalWeb"/>
              <w:spacing w:before="100" w:beforeAutospacing="1" w:after="100" w:afterAutospacing="1"/>
              <w:ind w:firstLine="600"/>
              <w:contextualSpacing/>
              <w:rPr>
                <w:rFonts w:eastAsia="Times New Roman"/>
              </w:rPr>
            </w:pPr>
            <w:r>
              <w:rPr>
                <w:rFonts w:eastAsia="Times New Roman"/>
              </w:rPr>
              <w:t xml:space="preserve">Nu este necesar de aprobat acte normative suplimentare în vederea </w:t>
            </w:r>
            <w:r w:rsidR="00091B58">
              <w:rPr>
                <w:rFonts w:eastAsia="Times New Roman"/>
              </w:rPr>
              <w:t>punerii în aplicare a</w:t>
            </w:r>
            <w:r>
              <w:rPr>
                <w:rFonts w:eastAsia="Times New Roman"/>
              </w:rPr>
              <w:t xml:space="preserve"> proiectului. </w:t>
            </w:r>
            <w:r w:rsidR="006433B5">
              <w:rPr>
                <w:rFonts w:eastAsia="Times New Roman"/>
              </w:rPr>
              <w:t xml:space="preserve"> </w:t>
            </w:r>
          </w:p>
        </w:tc>
      </w:tr>
    </w:tbl>
    <w:p w14:paraId="52CBB4F1" w14:textId="77777777" w:rsidR="00754DD6" w:rsidRPr="002F7510" w:rsidRDefault="00754DD6" w:rsidP="00A042D0">
      <w:pPr>
        <w:rPr>
          <w:rFonts w:ascii="Times New Roman" w:hAnsi="Times New Roman" w:cs="Times New Roman"/>
          <w:sz w:val="28"/>
          <w:szCs w:val="28"/>
          <w:lang w:val="ro-RO"/>
        </w:rPr>
      </w:pPr>
    </w:p>
    <w:p w14:paraId="735B11E0" w14:textId="52E295EA" w:rsidR="008C2CA2" w:rsidRPr="00B30D38" w:rsidRDefault="00A7194A">
      <w:pPr>
        <w:rPr>
          <w:rFonts w:ascii="Times New Roman" w:hAnsi="Times New Roman" w:cs="Times New Roman"/>
          <w:b/>
          <w:sz w:val="28"/>
          <w:szCs w:val="28"/>
          <w:lang w:val="ro-RO"/>
        </w:rPr>
      </w:pPr>
      <w:r w:rsidRPr="002F7510">
        <w:rPr>
          <w:rFonts w:ascii="Times New Roman" w:hAnsi="Times New Roman" w:cs="Times New Roman"/>
          <w:b/>
          <w:sz w:val="28"/>
          <w:szCs w:val="28"/>
          <w:lang w:val="ro-RO"/>
        </w:rPr>
        <w:t xml:space="preserve">     </w:t>
      </w:r>
      <w:r w:rsidR="00A042D0" w:rsidRPr="002F7510">
        <w:rPr>
          <w:rFonts w:ascii="Times New Roman" w:hAnsi="Times New Roman" w:cs="Times New Roman"/>
          <w:b/>
          <w:sz w:val="28"/>
          <w:szCs w:val="28"/>
          <w:lang w:val="ro-RO"/>
        </w:rPr>
        <w:t xml:space="preserve">Secretar </w:t>
      </w:r>
      <w:r w:rsidR="0019462C" w:rsidRPr="002F7510">
        <w:rPr>
          <w:rFonts w:ascii="Times New Roman" w:hAnsi="Times New Roman" w:cs="Times New Roman"/>
          <w:b/>
          <w:sz w:val="28"/>
          <w:szCs w:val="28"/>
          <w:lang w:val="ro-RO"/>
        </w:rPr>
        <w:t>general</w:t>
      </w:r>
      <w:r w:rsidRPr="002F7510">
        <w:rPr>
          <w:rFonts w:ascii="Times New Roman" w:hAnsi="Times New Roman" w:cs="Times New Roman"/>
          <w:b/>
          <w:sz w:val="28"/>
          <w:szCs w:val="28"/>
          <w:lang w:val="ro-RO"/>
        </w:rPr>
        <w:t xml:space="preserve"> al ministerului</w:t>
      </w:r>
      <w:r w:rsidR="0019462C" w:rsidRPr="002F7510">
        <w:rPr>
          <w:rFonts w:ascii="Times New Roman" w:hAnsi="Times New Roman" w:cs="Times New Roman"/>
          <w:b/>
          <w:sz w:val="28"/>
          <w:szCs w:val="28"/>
          <w:lang w:val="ro-RO"/>
        </w:rPr>
        <w:tab/>
      </w:r>
      <w:r w:rsidR="0019462C" w:rsidRPr="002F7510">
        <w:rPr>
          <w:rFonts w:ascii="Times New Roman" w:hAnsi="Times New Roman" w:cs="Times New Roman"/>
          <w:b/>
          <w:sz w:val="28"/>
          <w:szCs w:val="28"/>
          <w:lang w:val="ro-RO"/>
        </w:rPr>
        <w:tab/>
      </w:r>
      <w:r w:rsidR="0019462C" w:rsidRPr="002F7510">
        <w:rPr>
          <w:rFonts w:ascii="Times New Roman" w:hAnsi="Times New Roman" w:cs="Times New Roman"/>
          <w:b/>
          <w:sz w:val="28"/>
          <w:szCs w:val="28"/>
          <w:lang w:val="ro-RO"/>
        </w:rPr>
        <w:tab/>
      </w:r>
      <w:r w:rsidR="0019462C" w:rsidRPr="002F7510">
        <w:rPr>
          <w:rFonts w:ascii="Times New Roman" w:hAnsi="Times New Roman" w:cs="Times New Roman"/>
          <w:b/>
          <w:sz w:val="28"/>
          <w:szCs w:val="28"/>
          <w:lang w:val="ro-RO"/>
        </w:rPr>
        <w:tab/>
      </w:r>
      <w:r w:rsidR="00B1080A" w:rsidRPr="002F7510">
        <w:rPr>
          <w:rFonts w:ascii="Times New Roman" w:hAnsi="Times New Roman" w:cs="Times New Roman"/>
          <w:b/>
          <w:sz w:val="28"/>
          <w:szCs w:val="28"/>
          <w:lang w:val="ro-RO"/>
        </w:rPr>
        <w:t>Angela ȚURCANU</w:t>
      </w:r>
    </w:p>
    <w:sectPr w:rsidR="008C2CA2" w:rsidRPr="00B30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B638" w14:textId="77777777" w:rsidR="00E80258" w:rsidRDefault="00E80258" w:rsidP="003676D9">
      <w:r>
        <w:separator/>
      </w:r>
    </w:p>
  </w:endnote>
  <w:endnote w:type="continuationSeparator" w:id="0">
    <w:p w14:paraId="000CA712" w14:textId="77777777" w:rsidR="00E80258" w:rsidRDefault="00E80258" w:rsidP="0036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3F45" w14:textId="77777777" w:rsidR="00E80258" w:rsidRDefault="00E80258" w:rsidP="003676D9">
      <w:r>
        <w:separator/>
      </w:r>
    </w:p>
  </w:footnote>
  <w:footnote w:type="continuationSeparator" w:id="0">
    <w:p w14:paraId="614C802F" w14:textId="77777777" w:rsidR="00E80258" w:rsidRDefault="00E80258" w:rsidP="00367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4F6"/>
    <w:multiLevelType w:val="multilevel"/>
    <w:tmpl w:val="6E6C95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A180EE4"/>
    <w:multiLevelType w:val="multilevel"/>
    <w:tmpl w:val="DA3CE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928166">
    <w:abstractNumId w:val="0"/>
  </w:num>
  <w:num w:numId="2" w16cid:durableId="68382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E6E"/>
    <w:rsid w:val="00006A4B"/>
    <w:rsid w:val="00010F5C"/>
    <w:rsid w:val="00011AFB"/>
    <w:rsid w:val="00015152"/>
    <w:rsid w:val="000218FB"/>
    <w:rsid w:val="00025FF7"/>
    <w:rsid w:val="000314FA"/>
    <w:rsid w:val="00032DC1"/>
    <w:rsid w:val="000335FD"/>
    <w:rsid w:val="00040132"/>
    <w:rsid w:val="000430C3"/>
    <w:rsid w:val="00043D02"/>
    <w:rsid w:val="00045AC0"/>
    <w:rsid w:val="0005241F"/>
    <w:rsid w:val="00063175"/>
    <w:rsid w:val="0006357C"/>
    <w:rsid w:val="00065EAF"/>
    <w:rsid w:val="000759A4"/>
    <w:rsid w:val="00077B63"/>
    <w:rsid w:val="00080C64"/>
    <w:rsid w:val="00084C84"/>
    <w:rsid w:val="0008572C"/>
    <w:rsid w:val="00085D60"/>
    <w:rsid w:val="00086022"/>
    <w:rsid w:val="00091B58"/>
    <w:rsid w:val="00092B2B"/>
    <w:rsid w:val="0009301E"/>
    <w:rsid w:val="000972EE"/>
    <w:rsid w:val="00097CDC"/>
    <w:rsid w:val="000A40FF"/>
    <w:rsid w:val="000A5151"/>
    <w:rsid w:val="000A6ED3"/>
    <w:rsid w:val="000A74C8"/>
    <w:rsid w:val="000A761B"/>
    <w:rsid w:val="000B3565"/>
    <w:rsid w:val="000C2AD5"/>
    <w:rsid w:val="000D2AE3"/>
    <w:rsid w:val="000E261E"/>
    <w:rsid w:val="000E2C3E"/>
    <w:rsid w:val="000E2F92"/>
    <w:rsid w:val="000E3A1C"/>
    <w:rsid w:val="000E699B"/>
    <w:rsid w:val="000E6C70"/>
    <w:rsid w:val="000E7A9B"/>
    <w:rsid w:val="000F06D2"/>
    <w:rsid w:val="000F1031"/>
    <w:rsid w:val="000F1A6C"/>
    <w:rsid w:val="000F1D3A"/>
    <w:rsid w:val="001000B6"/>
    <w:rsid w:val="00103B14"/>
    <w:rsid w:val="00111873"/>
    <w:rsid w:val="00114B66"/>
    <w:rsid w:val="00116D0B"/>
    <w:rsid w:val="001235C6"/>
    <w:rsid w:val="00125EEF"/>
    <w:rsid w:val="001309D5"/>
    <w:rsid w:val="00134F95"/>
    <w:rsid w:val="001358DE"/>
    <w:rsid w:val="00142C28"/>
    <w:rsid w:val="00147D5C"/>
    <w:rsid w:val="00150414"/>
    <w:rsid w:val="00151E52"/>
    <w:rsid w:val="001526F6"/>
    <w:rsid w:val="0015482E"/>
    <w:rsid w:val="00156652"/>
    <w:rsid w:val="00156D80"/>
    <w:rsid w:val="0016051E"/>
    <w:rsid w:val="00164199"/>
    <w:rsid w:val="001749F6"/>
    <w:rsid w:val="00177CB1"/>
    <w:rsid w:val="00180881"/>
    <w:rsid w:val="0019205E"/>
    <w:rsid w:val="0019423D"/>
    <w:rsid w:val="0019462C"/>
    <w:rsid w:val="00194BE8"/>
    <w:rsid w:val="001954AD"/>
    <w:rsid w:val="0019661A"/>
    <w:rsid w:val="00197256"/>
    <w:rsid w:val="001B263C"/>
    <w:rsid w:val="001B4264"/>
    <w:rsid w:val="001B6BDF"/>
    <w:rsid w:val="001C1AE7"/>
    <w:rsid w:val="001C28EB"/>
    <w:rsid w:val="001C502D"/>
    <w:rsid w:val="001C58C2"/>
    <w:rsid w:val="001D28CF"/>
    <w:rsid w:val="001D3C7E"/>
    <w:rsid w:val="001D5000"/>
    <w:rsid w:val="001D5049"/>
    <w:rsid w:val="001D7ECF"/>
    <w:rsid w:val="001E0220"/>
    <w:rsid w:val="001E085C"/>
    <w:rsid w:val="001E2051"/>
    <w:rsid w:val="001E2353"/>
    <w:rsid w:val="001F6047"/>
    <w:rsid w:val="001F6711"/>
    <w:rsid w:val="00200689"/>
    <w:rsid w:val="00200D91"/>
    <w:rsid w:val="00201162"/>
    <w:rsid w:val="002022D4"/>
    <w:rsid w:val="0021357C"/>
    <w:rsid w:val="00213D30"/>
    <w:rsid w:val="00214EE8"/>
    <w:rsid w:val="00216836"/>
    <w:rsid w:val="002175AD"/>
    <w:rsid w:val="00230612"/>
    <w:rsid w:val="002320D4"/>
    <w:rsid w:val="00232D70"/>
    <w:rsid w:val="00233B1B"/>
    <w:rsid w:val="00233C7F"/>
    <w:rsid w:val="002359E3"/>
    <w:rsid w:val="00235C00"/>
    <w:rsid w:val="00237E97"/>
    <w:rsid w:val="00241EA7"/>
    <w:rsid w:val="00247BF4"/>
    <w:rsid w:val="002510C1"/>
    <w:rsid w:val="00251DA3"/>
    <w:rsid w:val="00252591"/>
    <w:rsid w:val="002538C1"/>
    <w:rsid w:val="002569C9"/>
    <w:rsid w:val="00260063"/>
    <w:rsid w:val="00260FC4"/>
    <w:rsid w:val="002620DC"/>
    <w:rsid w:val="00262381"/>
    <w:rsid w:val="002663A2"/>
    <w:rsid w:val="002678C4"/>
    <w:rsid w:val="00270381"/>
    <w:rsid w:val="00275C9B"/>
    <w:rsid w:val="002831AE"/>
    <w:rsid w:val="002913E9"/>
    <w:rsid w:val="00291EA7"/>
    <w:rsid w:val="002957A9"/>
    <w:rsid w:val="002A312A"/>
    <w:rsid w:val="002A48A9"/>
    <w:rsid w:val="002B261A"/>
    <w:rsid w:val="002B6E47"/>
    <w:rsid w:val="002C0D59"/>
    <w:rsid w:val="002C1C46"/>
    <w:rsid w:val="002C54C6"/>
    <w:rsid w:val="002D3199"/>
    <w:rsid w:val="002D69CE"/>
    <w:rsid w:val="002D7676"/>
    <w:rsid w:val="002E38D0"/>
    <w:rsid w:val="002F232D"/>
    <w:rsid w:val="002F25F0"/>
    <w:rsid w:val="002F3F4F"/>
    <w:rsid w:val="002F5644"/>
    <w:rsid w:val="002F61CE"/>
    <w:rsid w:val="002F6484"/>
    <w:rsid w:val="002F7510"/>
    <w:rsid w:val="002F7A95"/>
    <w:rsid w:val="0030254D"/>
    <w:rsid w:val="00303166"/>
    <w:rsid w:val="00303B01"/>
    <w:rsid w:val="0030712F"/>
    <w:rsid w:val="00307187"/>
    <w:rsid w:val="003077A4"/>
    <w:rsid w:val="00312459"/>
    <w:rsid w:val="00317F24"/>
    <w:rsid w:val="0032434A"/>
    <w:rsid w:val="0032722F"/>
    <w:rsid w:val="00330A93"/>
    <w:rsid w:val="00330FE3"/>
    <w:rsid w:val="00333A89"/>
    <w:rsid w:val="0033623A"/>
    <w:rsid w:val="00342C46"/>
    <w:rsid w:val="00347AB6"/>
    <w:rsid w:val="0035597C"/>
    <w:rsid w:val="00356C1E"/>
    <w:rsid w:val="003602AE"/>
    <w:rsid w:val="003676D9"/>
    <w:rsid w:val="00374989"/>
    <w:rsid w:val="00375E6E"/>
    <w:rsid w:val="00383AD3"/>
    <w:rsid w:val="00383C49"/>
    <w:rsid w:val="003841F1"/>
    <w:rsid w:val="00387F73"/>
    <w:rsid w:val="003902F5"/>
    <w:rsid w:val="00390640"/>
    <w:rsid w:val="00394A94"/>
    <w:rsid w:val="003962E1"/>
    <w:rsid w:val="003A1EB0"/>
    <w:rsid w:val="003A1FE8"/>
    <w:rsid w:val="003A2095"/>
    <w:rsid w:val="003A338D"/>
    <w:rsid w:val="003B25BC"/>
    <w:rsid w:val="003B3AC1"/>
    <w:rsid w:val="003C246F"/>
    <w:rsid w:val="003C2681"/>
    <w:rsid w:val="003C472F"/>
    <w:rsid w:val="003C4FD8"/>
    <w:rsid w:val="003C5E9C"/>
    <w:rsid w:val="003D0180"/>
    <w:rsid w:val="003D2B96"/>
    <w:rsid w:val="003D4FB3"/>
    <w:rsid w:val="003D73F3"/>
    <w:rsid w:val="003D7AD6"/>
    <w:rsid w:val="003E1C17"/>
    <w:rsid w:val="003E691E"/>
    <w:rsid w:val="003F1CD6"/>
    <w:rsid w:val="00401D29"/>
    <w:rsid w:val="00404620"/>
    <w:rsid w:val="00405280"/>
    <w:rsid w:val="0040753D"/>
    <w:rsid w:val="00407A07"/>
    <w:rsid w:val="00412F46"/>
    <w:rsid w:val="004137CC"/>
    <w:rsid w:val="004139C5"/>
    <w:rsid w:val="00417C9E"/>
    <w:rsid w:val="00420948"/>
    <w:rsid w:val="00421F73"/>
    <w:rsid w:val="0042578D"/>
    <w:rsid w:val="00432301"/>
    <w:rsid w:val="004324F7"/>
    <w:rsid w:val="00434480"/>
    <w:rsid w:val="00437210"/>
    <w:rsid w:val="004401D6"/>
    <w:rsid w:val="00440CDD"/>
    <w:rsid w:val="00441E37"/>
    <w:rsid w:val="00443D12"/>
    <w:rsid w:val="00446E7A"/>
    <w:rsid w:val="004527D1"/>
    <w:rsid w:val="00453EA7"/>
    <w:rsid w:val="00455648"/>
    <w:rsid w:val="00455BD2"/>
    <w:rsid w:val="00455C98"/>
    <w:rsid w:val="00463AE3"/>
    <w:rsid w:val="00465F60"/>
    <w:rsid w:val="0047003D"/>
    <w:rsid w:val="00470CE4"/>
    <w:rsid w:val="00481C13"/>
    <w:rsid w:val="00483547"/>
    <w:rsid w:val="0048424D"/>
    <w:rsid w:val="0049049E"/>
    <w:rsid w:val="004A0292"/>
    <w:rsid w:val="004A02FA"/>
    <w:rsid w:val="004A7E72"/>
    <w:rsid w:val="004B3012"/>
    <w:rsid w:val="004B46D4"/>
    <w:rsid w:val="004B5119"/>
    <w:rsid w:val="004B559E"/>
    <w:rsid w:val="004C1433"/>
    <w:rsid w:val="004C320A"/>
    <w:rsid w:val="004C7C86"/>
    <w:rsid w:val="004D0637"/>
    <w:rsid w:val="004D0E8F"/>
    <w:rsid w:val="004D2F5F"/>
    <w:rsid w:val="004D56B2"/>
    <w:rsid w:val="004E0CB8"/>
    <w:rsid w:val="004E2C41"/>
    <w:rsid w:val="004E3A58"/>
    <w:rsid w:val="004E3FAA"/>
    <w:rsid w:val="004E5A42"/>
    <w:rsid w:val="004F19EE"/>
    <w:rsid w:val="004F1A9A"/>
    <w:rsid w:val="004F36FB"/>
    <w:rsid w:val="004F4CE5"/>
    <w:rsid w:val="004F77CA"/>
    <w:rsid w:val="00500B7A"/>
    <w:rsid w:val="00505D06"/>
    <w:rsid w:val="00507E2D"/>
    <w:rsid w:val="00507E6A"/>
    <w:rsid w:val="005107BB"/>
    <w:rsid w:val="005147C6"/>
    <w:rsid w:val="00515675"/>
    <w:rsid w:val="00517E71"/>
    <w:rsid w:val="0052031F"/>
    <w:rsid w:val="00522A5D"/>
    <w:rsid w:val="00530B2E"/>
    <w:rsid w:val="00532AD2"/>
    <w:rsid w:val="005334F6"/>
    <w:rsid w:val="00534614"/>
    <w:rsid w:val="00543226"/>
    <w:rsid w:val="0054600C"/>
    <w:rsid w:val="00554B37"/>
    <w:rsid w:val="00556D8B"/>
    <w:rsid w:val="00564877"/>
    <w:rsid w:val="005679A3"/>
    <w:rsid w:val="00590B90"/>
    <w:rsid w:val="005932CF"/>
    <w:rsid w:val="00594507"/>
    <w:rsid w:val="005A3D97"/>
    <w:rsid w:val="005B260A"/>
    <w:rsid w:val="005B4F44"/>
    <w:rsid w:val="005B728B"/>
    <w:rsid w:val="005B7AAB"/>
    <w:rsid w:val="005B7B1A"/>
    <w:rsid w:val="005C2B14"/>
    <w:rsid w:val="005C55E4"/>
    <w:rsid w:val="005C782C"/>
    <w:rsid w:val="005D0DE8"/>
    <w:rsid w:val="005D29A6"/>
    <w:rsid w:val="005D2D90"/>
    <w:rsid w:val="005D5E2B"/>
    <w:rsid w:val="005E34E1"/>
    <w:rsid w:val="005F0284"/>
    <w:rsid w:val="005F052E"/>
    <w:rsid w:val="005F1AD1"/>
    <w:rsid w:val="005F42EA"/>
    <w:rsid w:val="005F5E8A"/>
    <w:rsid w:val="005F658F"/>
    <w:rsid w:val="0060174E"/>
    <w:rsid w:val="00606AE4"/>
    <w:rsid w:val="00610DAA"/>
    <w:rsid w:val="00611CD5"/>
    <w:rsid w:val="00613ED9"/>
    <w:rsid w:val="00620117"/>
    <w:rsid w:val="00621144"/>
    <w:rsid w:val="00622E39"/>
    <w:rsid w:val="0062566A"/>
    <w:rsid w:val="00627DD8"/>
    <w:rsid w:val="00632C51"/>
    <w:rsid w:val="006376D1"/>
    <w:rsid w:val="006433B5"/>
    <w:rsid w:val="0064449B"/>
    <w:rsid w:val="0064756C"/>
    <w:rsid w:val="0065230A"/>
    <w:rsid w:val="006544E0"/>
    <w:rsid w:val="00656A48"/>
    <w:rsid w:val="0066239F"/>
    <w:rsid w:val="00662921"/>
    <w:rsid w:val="00662C87"/>
    <w:rsid w:val="006631AA"/>
    <w:rsid w:val="00663EC5"/>
    <w:rsid w:val="0066404E"/>
    <w:rsid w:val="00670A9F"/>
    <w:rsid w:val="00672480"/>
    <w:rsid w:val="006730DB"/>
    <w:rsid w:val="00676235"/>
    <w:rsid w:val="006777A2"/>
    <w:rsid w:val="00681110"/>
    <w:rsid w:val="006857AC"/>
    <w:rsid w:val="0068718C"/>
    <w:rsid w:val="00693385"/>
    <w:rsid w:val="0069457B"/>
    <w:rsid w:val="006964B8"/>
    <w:rsid w:val="006A25BF"/>
    <w:rsid w:val="006A3434"/>
    <w:rsid w:val="006B1B31"/>
    <w:rsid w:val="006B38A3"/>
    <w:rsid w:val="006B3A6E"/>
    <w:rsid w:val="006B4EB3"/>
    <w:rsid w:val="006B7E41"/>
    <w:rsid w:val="006C073D"/>
    <w:rsid w:val="006C1F97"/>
    <w:rsid w:val="006C414A"/>
    <w:rsid w:val="006C5AD4"/>
    <w:rsid w:val="006C67EC"/>
    <w:rsid w:val="006D36E5"/>
    <w:rsid w:val="006D394F"/>
    <w:rsid w:val="006D72B6"/>
    <w:rsid w:val="006E0DA4"/>
    <w:rsid w:val="006E1842"/>
    <w:rsid w:val="006E26B9"/>
    <w:rsid w:val="006E3CC7"/>
    <w:rsid w:val="006E63E1"/>
    <w:rsid w:val="006E6491"/>
    <w:rsid w:val="006F1053"/>
    <w:rsid w:val="006F3622"/>
    <w:rsid w:val="006F59A0"/>
    <w:rsid w:val="007022FF"/>
    <w:rsid w:val="00702A4B"/>
    <w:rsid w:val="00703406"/>
    <w:rsid w:val="0070740E"/>
    <w:rsid w:val="00710D4C"/>
    <w:rsid w:val="00711016"/>
    <w:rsid w:val="0071291E"/>
    <w:rsid w:val="007135B6"/>
    <w:rsid w:val="00720D87"/>
    <w:rsid w:val="00721DE7"/>
    <w:rsid w:val="00722A46"/>
    <w:rsid w:val="0072402B"/>
    <w:rsid w:val="00724403"/>
    <w:rsid w:val="00725241"/>
    <w:rsid w:val="007261E6"/>
    <w:rsid w:val="00726A2B"/>
    <w:rsid w:val="00731D8A"/>
    <w:rsid w:val="007324AC"/>
    <w:rsid w:val="00734DC3"/>
    <w:rsid w:val="007367FA"/>
    <w:rsid w:val="00740189"/>
    <w:rsid w:val="007408ED"/>
    <w:rsid w:val="00740DC2"/>
    <w:rsid w:val="007422B6"/>
    <w:rsid w:val="00743B14"/>
    <w:rsid w:val="007471FE"/>
    <w:rsid w:val="00750379"/>
    <w:rsid w:val="00750C92"/>
    <w:rsid w:val="00752DD5"/>
    <w:rsid w:val="00754DD6"/>
    <w:rsid w:val="007611A7"/>
    <w:rsid w:val="00761BF8"/>
    <w:rsid w:val="00765099"/>
    <w:rsid w:val="0076509F"/>
    <w:rsid w:val="007725D6"/>
    <w:rsid w:val="00780078"/>
    <w:rsid w:val="00781B88"/>
    <w:rsid w:val="007834DA"/>
    <w:rsid w:val="007859EF"/>
    <w:rsid w:val="00785BD9"/>
    <w:rsid w:val="00785FF6"/>
    <w:rsid w:val="00786253"/>
    <w:rsid w:val="00786992"/>
    <w:rsid w:val="00787B4C"/>
    <w:rsid w:val="00787C3A"/>
    <w:rsid w:val="007901DF"/>
    <w:rsid w:val="0079208F"/>
    <w:rsid w:val="00794905"/>
    <w:rsid w:val="00797009"/>
    <w:rsid w:val="007A16BE"/>
    <w:rsid w:val="007A30E5"/>
    <w:rsid w:val="007A52F7"/>
    <w:rsid w:val="007A580E"/>
    <w:rsid w:val="007A59FA"/>
    <w:rsid w:val="007B0B74"/>
    <w:rsid w:val="007B29E4"/>
    <w:rsid w:val="007B3476"/>
    <w:rsid w:val="007B4B60"/>
    <w:rsid w:val="007B6A22"/>
    <w:rsid w:val="007B7C7F"/>
    <w:rsid w:val="007C16A9"/>
    <w:rsid w:val="007C3CAD"/>
    <w:rsid w:val="007C56EB"/>
    <w:rsid w:val="007C708E"/>
    <w:rsid w:val="007D46CC"/>
    <w:rsid w:val="007D5828"/>
    <w:rsid w:val="007D59D7"/>
    <w:rsid w:val="007D7519"/>
    <w:rsid w:val="007E0717"/>
    <w:rsid w:val="007E17E5"/>
    <w:rsid w:val="007E49FC"/>
    <w:rsid w:val="007E79FD"/>
    <w:rsid w:val="007F2808"/>
    <w:rsid w:val="007F2F91"/>
    <w:rsid w:val="007F4056"/>
    <w:rsid w:val="007F53CB"/>
    <w:rsid w:val="007F6437"/>
    <w:rsid w:val="008110B4"/>
    <w:rsid w:val="00811AD2"/>
    <w:rsid w:val="0081564A"/>
    <w:rsid w:val="00815E1C"/>
    <w:rsid w:val="00817304"/>
    <w:rsid w:val="0082292B"/>
    <w:rsid w:val="00824679"/>
    <w:rsid w:val="00825313"/>
    <w:rsid w:val="00827505"/>
    <w:rsid w:val="00827751"/>
    <w:rsid w:val="00830A59"/>
    <w:rsid w:val="00835F8F"/>
    <w:rsid w:val="00837159"/>
    <w:rsid w:val="0083747E"/>
    <w:rsid w:val="00850086"/>
    <w:rsid w:val="0085185C"/>
    <w:rsid w:val="00854C7A"/>
    <w:rsid w:val="00856426"/>
    <w:rsid w:val="00857DDE"/>
    <w:rsid w:val="00860AAB"/>
    <w:rsid w:val="00860F8F"/>
    <w:rsid w:val="008650B9"/>
    <w:rsid w:val="00870E8E"/>
    <w:rsid w:val="00872021"/>
    <w:rsid w:val="00872D82"/>
    <w:rsid w:val="008743AC"/>
    <w:rsid w:val="00877C31"/>
    <w:rsid w:val="00886C1D"/>
    <w:rsid w:val="008902FB"/>
    <w:rsid w:val="008906BB"/>
    <w:rsid w:val="008916C6"/>
    <w:rsid w:val="00892112"/>
    <w:rsid w:val="008947B2"/>
    <w:rsid w:val="008948EB"/>
    <w:rsid w:val="00895D73"/>
    <w:rsid w:val="00896AB9"/>
    <w:rsid w:val="00897688"/>
    <w:rsid w:val="00897879"/>
    <w:rsid w:val="008A2AC9"/>
    <w:rsid w:val="008A68EC"/>
    <w:rsid w:val="008B076F"/>
    <w:rsid w:val="008B5FE5"/>
    <w:rsid w:val="008B6A6B"/>
    <w:rsid w:val="008C16C8"/>
    <w:rsid w:val="008C2CA2"/>
    <w:rsid w:val="008C5AAB"/>
    <w:rsid w:val="008C6AE6"/>
    <w:rsid w:val="008C6B3A"/>
    <w:rsid w:val="008C7D37"/>
    <w:rsid w:val="008D05B0"/>
    <w:rsid w:val="008D2121"/>
    <w:rsid w:val="008D29E7"/>
    <w:rsid w:val="008D70A3"/>
    <w:rsid w:val="008E2401"/>
    <w:rsid w:val="008E3D19"/>
    <w:rsid w:val="008E6862"/>
    <w:rsid w:val="008E6A95"/>
    <w:rsid w:val="008F4234"/>
    <w:rsid w:val="008F4782"/>
    <w:rsid w:val="008F4BE5"/>
    <w:rsid w:val="008F7D37"/>
    <w:rsid w:val="0090122C"/>
    <w:rsid w:val="009028F6"/>
    <w:rsid w:val="0090495C"/>
    <w:rsid w:val="009054BB"/>
    <w:rsid w:val="00910D14"/>
    <w:rsid w:val="009125EA"/>
    <w:rsid w:val="00914EA2"/>
    <w:rsid w:val="0091513E"/>
    <w:rsid w:val="009171A6"/>
    <w:rsid w:val="00917BA7"/>
    <w:rsid w:val="009203D5"/>
    <w:rsid w:val="009206D3"/>
    <w:rsid w:val="00936AF5"/>
    <w:rsid w:val="0094425F"/>
    <w:rsid w:val="009515B5"/>
    <w:rsid w:val="009550CF"/>
    <w:rsid w:val="0096134D"/>
    <w:rsid w:val="00963216"/>
    <w:rsid w:val="0096399C"/>
    <w:rsid w:val="00971E1F"/>
    <w:rsid w:val="00975256"/>
    <w:rsid w:val="00976B73"/>
    <w:rsid w:val="00984A26"/>
    <w:rsid w:val="0098719F"/>
    <w:rsid w:val="00987B89"/>
    <w:rsid w:val="0099014A"/>
    <w:rsid w:val="009938FD"/>
    <w:rsid w:val="009957E7"/>
    <w:rsid w:val="00995809"/>
    <w:rsid w:val="00995D50"/>
    <w:rsid w:val="009A038A"/>
    <w:rsid w:val="009A1F53"/>
    <w:rsid w:val="009A2845"/>
    <w:rsid w:val="009B09CB"/>
    <w:rsid w:val="009B09E6"/>
    <w:rsid w:val="009B3233"/>
    <w:rsid w:val="009B4044"/>
    <w:rsid w:val="009B5445"/>
    <w:rsid w:val="009B634C"/>
    <w:rsid w:val="009C3FB7"/>
    <w:rsid w:val="009C4A96"/>
    <w:rsid w:val="009C6D71"/>
    <w:rsid w:val="009D0FDC"/>
    <w:rsid w:val="009D2B37"/>
    <w:rsid w:val="009D36CD"/>
    <w:rsid w:val="009D3C18"/>
    <w:rsid w:val="009D6296"/>
    <w:rsid w:val="009D68C8"/>
    <w:rsid w:val="009D6D95"/>
    <w:rsid w:val="009D7422"/>
    <w:rsid w:val="009D78DC"/>
    <w:rsid w:val="009E2754"/>
    <w:rsid w:val="009E33C2"/>
    <w:rsid w:val="009E4E69"/>
    <w:rsid w:val="009E5D62"/>
    <w:rsid w:val="009E6715"/>
    <w:rsid w:val="009F4BD4"/>
    <w:rsid w:val="009F55F4"/>
    <w:rsid w:val="00A03920"/>
    <w:rsid w:val="00A042D0"/>
    <w:rsid w:val="00A07B8E"/>
    <w:rsid w:val="00A16BE2"/>
    <w:rsid w:val="00A203ED"/>
    <w:rsid w:val="00A23E5D"/>
    <w:rsid w:val="00A27598"/>
    <w:rsid w:val="00A30CFF"/>
    <w:rsid w:val="00A3257E"/>
    <w:rsid w:val="00A35963"/>
    <w:rsid w:val="00A35D89"/>
    <w:rsid w:val="00A401F7"/>
    <w:rsid w:val="00A419E9"/>
    <w:rsid w:val="00A43059"/>
    <w:rsid w:val="00A44278"/>
    <w:rsid w:val="00A4556D"/>
    <w:rsid w:val="00A4770E"/>
    <w:rsid w:val="00A54E8B"/>
    <w:rsid w:val="00A60620"/>
    <w:rsid w:val="00A61A7E"/>
    <w:rsid w:val="00A63D6C"/>
    <w:rsid w:val="00A645C8"/>
    <w:rsid w:val="00A7194A"/>
    <w:rsid w:val="00A80CD6"/>
    <w:rsid w:val="00A8426E"/>
    <w:rsid w:val="00A84FE2"/>
    <w:rsid w:val="00A9006E"/>
    <w:rsid w:val="00A938FC"/>
    <w:rsid w:val="00A93A50"/>
    <w:rsid w:val="00A9429D"/>
    <w:rsid w:val="00AA0180"/>
    <w:rsid w:val="00AA1AB8"/>
    <w:rsid w:val="00AA25CA"/>
    <w:rsid w:val="00AA4497"/>
    <w:rsid w:val="00AA489D"/>
    <w:rsid w:val="00AA7D2A"/>
    <w:rsid w:val="00AA7D2C"/>
    <w:rsid w:val="00AB0707"/>
    <w:rsid w:val="00AB545C"/>
    <w:rsid w:val="00AC1264"/>
    <w:rsid w:val="00AC16ED"/>
    <w:rsid w:val="00AD0918"/>
    <w:rsid w:val="00AD1F46"/>
    <w:rsid w:val="00AD5918"/>
    <w:rsid w:val="00AE0A66"/>
    <w:rsid w:val="00AE124D"/>
    <w:rsid w:val="00AF00E5"/>
    <w:rsid w:val="00AF2D32"/>
    <w:rsid w:val="00B01E30"/>
    <w:rsid w:val="00B1080A"/>
    <w:rsid w:val="00B10B5E"/>
    <w:rsid w:val="00B1336F"/>
    <w:rsid w:val="00B155A7"/>
    <w:rsid w:val="00B1627B"/>
    <w:rsid w:val="00B16E5E"/>
    <w:rsid w:val="00B174EC"/>
    <w:rsid w:val="00B30D38"/>
    <w:rsid w:val="00B31BCE"/>
    <w:rsid w:val="00B32271"/>
    <w:rsid w:val="00B344C4"/>
    <w:rsid w:val="00B348CA"/>
    <w:rsid w:val="00B34C56"/>
    <w:rsid w:val="00B37B27"/>
    <w:rsid w:val="00B41442"/>
    <w:rsid w:val="00B43CFB"/>
    <w:rsid w:val="00B45037"/>
    <w:rsid w:val="00B45117"/>
    <w:rsid w:val="00B54782"/>
    <w:rsid w:val="00B60CD9"/>
    <w:rsid w:val="00B61E83"/>
    <w:rsid w:val="00B64981"/>
    <w:rsid w:val="00B7298C"/>
    <w:rsid w:val="00B73DDD"/>
    <w:rsid w:val="00B744CC"/>
    <w:rsid w:val="00B761C7"/>
    <w:rsid w:val="00B77921"/>
    <w:rsid w:val="00B80B45"/>
    <w:rsid w:val="00B85137"/>
    <w:rsid w:val="00B90FBE"/>
    <w:rsid w:val="00B936BD"/>
    <w:rsid w:val="00B9535F"/>
    <w:rsid w:val="00BA2726"/>
    <w:rsid w:val="00BC0586"/>
    <w:rsid w:val="00BC19BC"/>
    <w:rsid w:val="00BC1CBF"/>
    <w:rsid w:val="00BC346C"/>
    <w:rsid w:val="00BC3750"/>
    <w:rsid w:val="00BC5DF0"/>
    <w:rsid w:val="00BC76CC"/>
    <w:rsid w:val="00BD2A2F"/>
    <w:rsid w:val="00BF16D5"/>
    <w:rsid w:val="00BF359E"/>
    <w:rsid w:val="00C00A96"/>
    <w:rsid w:val="00C0162E"/>
    <w:rsid w:val="00C03CEA"/>
    <w:rsid w:val="00C11E27"/>
    <w:rsid w:val="00C141D4"/>
    <w:rsid w:val="00C23905"/>
    <w:rsid w:val="00C30429"/>
    <w:rsid w:val="00C32B34"/>
    <w:rsid w:val="00C34134"/>
    <w:rsid w:val="00C344A7"/>
    <w:rsid w:val="00C353D6"/>
    <w:rsid w:val="00C448EB"/>
    <w:rsid w:val="00C47617"/>
    <w:rsid w:val="00C51794"/>
    <w:rsid w:val="00C5187E"/>
    <w:rsid w:val="00C553A2"/>
    <w:rsid w:val="00C61755"/>
    <w:rsid w:val="00C6520A"/>
    <w:rsid w:val="00C67138"/>
    <w:rsid w:val="00C72821"/>
    <w:rsid w:val="00C72CB1"/>
    <w:rsid w:val="00C73F52"/>
    <w:rsid w:val="00C76C64"/>
    <w:rsid w:val="00C77DA4"/>
    <w:rsid w:val="00C808CC"/>
    <w:rsid w:val="00C83478"/>
    <w:rsid w:val="00C8536D"/>
    <w:rsid w:val="00C85702"/>
    <w:rsid w:val="00C85B67"/>
    <w:rsid w:val="00C8681C"/>
    <w:rsid w:val="00C9629B"/>
    <w:rsid w:val="00CA1E13"/>
    <w:rsid w:val="00CA25FD"/>
    <w:rsid w:val="00CA4A13"/>
    <w:rsid w:val="00CA4DE2"/>
    <w:rsid w:val="00CA74AF"/>
    <w:rsid w:val="00CB1945"/>
    <w:rsid w:val="00CB3C10"/>
    <w:rsid w:val="00CB4066"/>
    <w:rsid w:val="00CC30D6"/>
    <w:rsid w:val="00CC62F3"/>
    <w:rsid w:val="00CC6A06"/>
    <w:rsid w:val="00CD0262"/>
    <w:rsid w:val="00CD0982"/>
    <w:rsid w:val="00CD241E"/>
    <w:rsid w:val="00CD44F9"/>
    <w:rsid w:val="00CD4A0C"/>
    <w:rsid w:val="00CE615F"/>
    <w:rsid w:val="00CF0E7E"/>
    <w:rsid w:val="00CF2844"/>
    <w:rsid w:val="00CF4342"/>
    <w:rsid w:val="00CF69E0"/>
    <w:rsid w:val="00D04EA9"/>
    <w:rsid w:val="00D05EA1"/>
    <w:rsid w:val="00D06C42"/>
    <w:rsid w:val="00D11042"/>
    <w:rsid w:val="00D12CB4"/>
    <w:rsid w:val="00D13148"/>
    <w:rsid w:val="00D167A1"/>
    <w:rsid w:val="00D2144D"/>
    <w:rsid w:val="00D258DA"/>
    <w:rsid w:val="00D30E0E"/>
    <w:rsid w:val="00D3190B"/>
    <w:rsid w:val="00D324D3"/>
    <w:rsid w:val="00D418EA"/>
    <w:rsid w:val="00D42ECD"/>
    <w:rsid w:val="00D43A25"/>
    <w:rsid w:val="00D4730B"/>
    <w:rsid w:val="00D52501"/>
    <w:rsid w:val="00D53AF2"/>
    <w:rsid w:val="00D61573"/>
    <w:rsid w:val="00D62A5F"/>
    <w:rsid w:val="00D63DBA"/>
    <w:rsid w:val="00D6677E"/>
    <w:rsid w:val="00D714FA"/>
    <w:rsid w:val="00D73072"/>
    <w:rsid w:val="00D74242"/>
    <w:rsid w:val="00D81760"/>
    <w:rsid w:val="00D91023"/>
    <w:rsid w:val="00D911B8"/>
    <w:rsid w:val="00D91497"/>
    <w:rsid w:val="00DA1371"/>
    <w:rsid w:val="00DA253F"/>
    <w:rsid w:val="00DA5E66"/>
    <w:rsid w:val="00DB0B88"/>
    <w:rsid w:val="00DB0E30"/>
    <w:rsid w:val="00DB249A"/>
    <w:rsid w:val="00DB4CEB"/>
    <w:rsid w:val="00DB7636"/>
    <w:rsid w:val="00DB76B6"/>
    <w:rsid w:val="00DB7E26"/>
    <w:rsid w:val="00DC1E84"/>
    <w:rsid w:val="00DC27E5"/>
    <w:rsid w:val="00DC2E42"/>
    <w:rsid w:val="00DD27C4"/>
    <w:rsid w:val="00DE2072"/>
    <w:rsid w:val="00DE6005"/>
    <w:rsid w:val="00DE62BB"/>
    <w:rsid w:val="00DF3819"/>
    <w:rsid w:val="00DF58BF"/>
    <w:rsid w:val="00DF69C1"/>
    <w:rsid w:val="00E00205"/>
    <w:rsid w:val="00E00CA7"/>
    <w:rsid w:val="00E02448"/>
    <w:rsid w:val="00E10563"/>
    <w:rsid w:val="00E152C3"/>
    <w:rsid w:val="00E17F52"/>
    <w:rsid w:val="00E20219"/>
    <w:rsid w:val="00E2035A"/>
    <w:rsid w:val="00E2525A"/>
    <w:rsid w:val="00E2744C"/>
    <w:rsid w:val="00E274B4"/>
    <w:rsid w:val="00E33709"/>
    <w:rsid w:val="00E36EC7"/>
    <w:rsid w:val="00E4255F"/>
    <w:rsid w:val="00E430D6"/>
    <w:rsid w:val="00E51754"/>
    <w:rsid w:val="00E54846"/>
    <w:rsid w:val="00E6198A"/>
    <w:rsid w:val="00E6628C"/>
    <w:rsid w:val="00E66EB3"/>
    <w:rsid w:val="00E71E88"/>
    <w:rsid w:val="00E74DDA"/>
    <w:rsid w:val="00E772FD"/>
    <w:rsid w:val="00E80258"/>
    <w:rsid w:val="00E8331C"/>
    <w:rsid w:val="00E8388D"/>
    <w:rsid w:val="00E90DB3"/>
    <w:rsid w:val="00E92167"/>
    <w:rsid w:val="00E921B9"/>
    <w:rsid w:val="00E965B8"/>
    <w:rsid w:val="00E96856"/>
    <w:rsid w:val="00EA4199"/>
    <w:rsid w:val="00EA581E"/>
    <w:rsid w:val="00EA5921"/>
    <w:rsid w:val="00EB35B8"/>
    <w:rsid w:val="00EB3F16"/>
    <w:rsid w:val="00EB6797"/>
    <w:rsid w:val="00EB7D6E"/>
    <w:rsid w:val="00EC0B80"/>
    <w:rsid w:val="00EC13DD"/>
    <w:rsid w:val="00EC6786"/>
    <w:rsid w:val="00EC6BFD"/>
    <w:rsid w:val="00ED101C"/>
    <w:rsid w:val="00ED5916"/>
    <w:rsid w:val="00EE0A7B"/>
    <w:rsid w:val="00EE2CE4"/>
    <w:rsid w:val="00EE59D9"/>
    <w:rsid w:val="00EE76C5"/>
    <w:rsid w:val="00EF2B6A"/>
    <w:rsid w:val="00EF6CC9"/>
    <w:rsid w:val="00EF7E43"/>
    <w:rsid w:val="00F02179"/>
    <w:rsid w:val="00F14C25"/>
    <w:rsid w:val="00F215EE"/>
    <w:rsid w:val="00F23BB2"/>
    <w:rsid w:val="00F2455F"/>
    <w:rsid w:val="00F256B4"/>
    <w:rsid w:val="00F26973"/>
    <w:rsid w:val="00F303D6"/>
    <w:rsid w:val="00F3088E"/>
    <w:rsid w:val="00F32CE3"/>
    <w:rsid w:val="00F33BDE"/>
    <w:rsid w:val="00F364FF"/>
    <w:rsid w:val="00F36DD6"/>
    <w:rsid w:val="00F43AF9"/>
    <w:rsid w:val="00F442E1"/>
    <w:rsid w:val="00F462A4"/>
    <w:rsid w:val="00F618F1"/>
    <w:rsid w:val="00F6353C"/>
    <w:rsid w:val="00F64650"/>
    <w:rsid w:val="00F66761"/>
    <w:rsid w:val="00F7203D"/>
    <w:rsid w:val="00F73E26"/>
    <w:rsid w:val="00F74101"/>
    <w:rsid w:val="00F7585D"/>
    <w:rsid w:val="00F75EAA"/>
    <w:rsid w:val="00F93920"/>
    <w:rsid w:val="00FA0FAC"/>
    <w:rsid w:val="00FA533A"/>
    <w:rsid w:val="00FA780C"/>
    <w:rsid w:val="00FB13DF"/>
    <w:rsid w:val="00FB289F"/>
    <w:rsid w:val="00FB4338"/>
    <w:rsid w:val="00FB5E2A"/>
    <w:rsid w:val="00FB69B0"/>
    <w:rsid w:val="00FC3044"/>
    <w:rsid w:val="00FC369F"/>
    <w:rsid w:val="00FC450C"/>
    <w:rsid w:val="00FC4B07"/>
    <w:rsid w:val="00FC5A79"/>
    <w:rsid w:val="00FC75A5"/>
    <w:rsid w:val="00FD3FEA"/>
    <w:rsid w:val="00FE1B57"/>
    <w:rsid w:val="00FE36D6"/>
    <w:rsid w:val="00FE4F39"/>
    <w:rsid w:val="00FF02DB"/>
    <w:rsid w:val="00FF6D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1611"/>
  <w15:chartTrackingRefBased/>
  <w15:docId w15:val="{D769460A-129C-491C-8171-6748A8B5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D0"/>
    <w:pPr>
      <w:spacing w:after="0" w:line="240" w:lineRule="auto"/>
    </w:pPr>
    <w:rPr>
      <w:rFonts w:eastAsiaTheme="minorEastAsia"/>
      <w:sz w:val="24"/>
      <w:szCs w:val="24"/>
      <w:lang w:val="ru-RU" w:eastAsia="ru-RU"/>
    </w:rPr>
  </w:style>
  <w:style w:type="paragraph" w:styleId="Heading4">
    <w:name w:val="heading 4"/>
    <w:basedOn w:val="Normal"/>
    <w:link w:val="Heading4Char"/>
    <w:uiPriority w:val="9"/>
    <w:qFormat/>
    <w:rsid w:val="000F1D3A"/>
    <w:pPr>
      <w:spacing w:before="100" w:beforeAutospacing="1" w:after="100" w:afterAutospacing="1"/>
      <w:outlineLvl w:val="3"/>
    </w:pPr>
    <w:rPr>
      <w:rFonts w:ascii="Times New Roman" w:eastAsia="Times New Roman" w:hAnsi="Times New Roman" w:cs="Times New Roman"/>
      <w:b/>
      <w:bCs/>
      <w:lang w:val="ru-M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2D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648"/>
    <w:rPr>
      <w:color w:val="0563C1" w:themeColor="hyperlink"/>
      <w:u w:val="single"/>
    </w:rPr>
  </w:style>
  <w:style w:type="paragraph" w:styleId="BalloonText">
    <w:name w:val="Balloon Text"/>
    <w:basedOn w:val="Normal"/>
    <w:link w:val="BalloonTextChar"/>
    <w:uiPriority w:val="99"/>
    <w:semiHidden/>
    <w:unhideWhenUsed/>
    <w:rsid w:val="00754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DD6"/>
    <w:rPr>
      <w:rFonts w:ascii="Segoe UI" w:eastAsiaTheme="minorEastAsia" w:hAnsi="Segoe UI" w:cs="Segoe UI"/>
      <w:sz w:val="18"/>
      <w:szCs w:val="18"/>
      <w:lang w:val="ru-RU" w:eastAsia="ru-RU"/>
    </w:rPr>
  </w:style>
  <w:style w:type="character" w:styleId="UnresolvedMention">
    <w:name w:val="Unresolved Mention"/>
    <w:basedOn w:val="DefaultParagraphFont"/>
    <w:uiPriority w:val="99"/>
    <w:semiHidden/>
    <w:unhideWhenUsed/>
    <w:rsid w:val="002510C1"/>
    <w:rPr>
      <w:color w:val="605E5C"/>
      <w:shd w:val="clear" w:color="auto" w:fill="E1DFDD"/>
    </w:rPr>
  </w:style>
  <w:style w:type="paragraph" w:styleId="ListParagraph">
    <w:name w:val="List Paragraph"/>
    <w:basedOn w:val="Normal"/>
    <w:uiPriority w:val="34"/>
    <w:qFormat/>
    <w:rsid w:val="0079208F"/>
    <w:pPr>
      <w:ind w:left="720"/>
      <w:contextualSpacing/>
    </w:pPr>
  </w:style>
  <w:style w:type="paragraph" w:styleId="NormalWeb">
    <w:name w:val="Normal (Web)"/>
    <w:basedOn w:val="Normal"/>
    <w:uiPriority w:val="99"/>
    <w:unhideWhenUsed/>
    <w:rsid w:val="005679A3"/>
    <w:pPr>
      <w:ind w:firstLine="567"/>
      <w:jc w:val="both"/>
    </w:pPr>
    <w:rPr>
      <w:rFonts w:ascii="Times New Roman" w:hAnsi="Times New Roman" w:cs="Times New Roman"/>
      <w:lang w:val="ro-RO" w:eastAsia="ro-RO"/>
    </w:rPr>
  </w:style>
  <w:style w:type="paragraph" w:styleId="FootnoteText">
    <w:name w:val="footnote text"/>
    <w:basedOn w:val="Normal"/>
    <w:link w:val="FootnoteTextChar"/>
    <w:uiPriority w:val="99"/>
    <w:semiHidden/>
    <w:unhideWhenUsed/>
    <w:rsid w:val="003676D9"/>
    <w:rPr>
      <w:rFonts w:ascii="Calibri" w:eastAsia="Calibri" w:hAnsi="Calibri" w:cs="Times New Roman"/>
      <w:sz w:val="20"/>
      <w:szCs w:val="20"/>
      <w:lang w:val="en-US" w:eastAsia="en-US"/>
    </w:rPr>
  </w:style>
  <w:style w:type="character" w:customStyle="1" w:styleId="FootnoteTextChar">
    <w:name w:val="Footnote Text Char"/>
    <w:basedOn w:val="DefaultParagraphFont"/>
    <w:link w:val="FootnoteText"/>
    <w:uiPriority w:val="99"/>
    <w:semiHidden/>
    <w:rsid w:val="003676D9"/>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3676D9"/>
    <w:rPr>
      <w:vertAlign w:val="superscript"/>
    </w:rPr>
  </w:style>
  <w:style w:type="character" w:customStyle="1" w:styleId="Heading4Char">
    <w:name w:val="Heading 4 Char"/>
    <w:basedOn w:val="DefaultParagraphFont"/>
    <w:link w:val="Heading4"/>
    <w:uiPriority w:val="9"/>
    <w:rsid w:val="000F1D3A"/>
    <w:rPr>
      <w:rFonts w:ascii="Times New Roman" w:eastAsia="Times New Roman" w:hAnsi="Times New Roman" w:cs="Times New Roman"/>
      <w:b/>
      <w:bCs/>
      <w:sz w:val="24"/>
      <w:szCs w:val="24"/>
      <w:lang w:val="ru-MD" w:eastAsia="ru-RU"/>
    </w:rPr>
  </w:style>
  <w:style w:type="character" w:styleId="Strong">
    <w:name w:val="Strong"/>
    <w:basedOn w:val="DefaultParagraphFont"/>
    <w:uiPriority w:val="22"/>
    <w:qFormat/>
    <w:rsid w:val="000F1D3A"/>
    <w:rPr>
      <w:b/>
      <w:bCs/>
    </w:rPr>
  </w:style>
  <w:style w:type="character" w:customStyle="1" w:styleId="apple-converted-space">
    <w:name w:val="apple-converted-space"/>
    <w:basedOn w:val="DefaultParagraphFont"/>
    <w:rsid w:val="000F1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8667">
      <w:bodyDiv w:val="1"/>
      <w:marLeft w:val="0"/>
      <w:marRight w:val="0"/>
      <w:marTop w:val="0"/>
      <w:marBottom w:val="0"/>
      <w:divBdr>
        <w:top w:val="none" w:sz="0" w:space="0" w:color="auto"/>
        <w:left w:val="none" w:sz="0" w:space="0" w:color="auto"/>
        <w:bottom w:val="none" w:sz="0" w:space="0" w:color="auto"/>
        <w:right w:val="none" w:sz="0" w:space="0" w:color="auto"/>
      </w:divBdr>
    </w:div>
    <w:div w:id="421337291">
      <w:bodyDiv w:val="1"/>
      <w:marLeft w:val="0"/>
      <w:marRight w:val="0"/>
      <w:marTop w:val="0"/>
      <w:marBottom w:val="0"/>
      <w:divBdr>
        <w:top w:val="none" w:sz="0" w:space="0" w:color="auto"/>
        <w:left w:val="none" w:sz="0" w:space="0" w:color="auto"/>
        <w:bottom w:val="none" w:sz="0" w:space="0" w:color="auto"/>
        <w:right w:val="none" w:sz="0" w:space="0" w:color="auto"/>
      </w:divBdr>
    </w:div>
    <w:div w:id="841089987">
      <w:bodyDiv w:val="1"/>
      <w:marLeft w:val="0"/>
      <w:marRight w:val="0"/>
      <w:marTop w:val="0"/>
      <w:marBottom w:val="0"/>
      <w:divBdr>
        <w:top w:val="none" w:sz="0" w:space="0" w:color="auto"/>
        <w:left w:val="none" w:sz="0" w:space="0" w:color="auto"/>
        <w:bottom w:val="none" w:sz="0" w:space="0" w:color="auto"/>
        <w:right w:val="none" w:sz="0" w:space="0" w:color="auto"/>
      </w:divBdr>
      <w:divsChild>
        <w:div w:id="2145149790">
          <w:marLeft w:val="0"/>
          <w:marRight w:val="0"/>
          <w:marTop w:val="0"/>
          <w:marBottom w:val="0"/>
          <w:divBdr>
            <w:top w:val="none" w:sz="0" w:space="0" w:color="auto"/>
            <w:left w:val="none" w:sz="0" w:space="0" w:color="auto"/>
            <w:bottom w:val="none" w:sz="0" w:space="0" w:color="auto"/>
            <w:right w:val="none" w:sz="0" w:space="0" w:color="auto"/>
          </w:divBdr>
          <w:divsChild>
            <w:div w:id="2107457137">
              <w:marLeft w:val="0"/>
              <w:marRight w:val="0"/>
              <w:marTop w:val="0"/>
              <w:marBottom w:val="0"/>
              <w:divBdr>
                <w:top w:val="none" w:sz="0" w:space="0" w:color="auto"/>
                <w:left w:val="none" w:sz="0" w:space="0" w:color="auto"/>
                <w:bottom w:val="none" w:sz="0" w:space="0" w:color="auto"/>
                <w:right w:val="none" w:sz="0" w:space="0" w:color="auto"/>
              </w:divBdr>
              <w:divsChild>
                <w:div w:id="2095936096">
                  <w:marLeft w:val="0"/>
                  <w:marRight w:val="0"/>
                  <w:marTop w:val="0"/>
                  <w:marBottom w:val="0"/>
                  <w:divBdr>
                    <w:top w:val="none" w:sz="0" w:space="0" w:color="auto"/>
                    <w:left w:val="none" w:sz="0" w:space="0" w:color="auto"/>
                    <w:bottom w:val="none" w:sz="0" w:space="0" w:color="auto"/>
                    <w:right w:val="none" w:sz="0" w:space="0" w:color="auto"/>
                  </w:divBdr>
                  <w:divsChild>
                    <w:div w:id="978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13849">
      <w:bodyDiv w:val="1"/>
      <w:marLeft w:val="0"/>
      <w:marRight w:val="0"/>
      <w:marTop w:val="0"/>
      <w:marBottom w:val="0"/>
      <w:divBdr>
        <w:top w:val="none" w:sz="0" w:space="0" w:color="auto"/>
        <w:left w:val="none" w:sz="0" w:space="0" w:color="auto"/>
        <w:bottom w:val="none" w:sz="0" w:space="0" w:color="auto"/>
        <w:right w:val="none" w:sz="0" w:space="0" w:color="auto"/>
      </w:divBdr>
      <w:divsChild>
        <w:div w:id="1994016745">
          <w:marLeft w:val="0"/>
          <w:marRight w:val="0"/>
          <w:marTop w:val="0"/>
          <w:marBottom w:val="0"/>
          <w:divBdr>
            <w:top w:val="none" w:sz="0" w:space="0" w:color="auto"/>
            <w:left w:val="none" w:sz="0" w:space="0" w:color="auto"/>
            <w:bottom w:val="none" w:sz="0" w:space="0" w:color="auto"/>
            <w:right w:val="none" w:sz="0" w:space="0" w:color="auto"/>
          </w:divBdr>
          <w:divsChild>
            <w:div w:id="1082918645">
              <w:marLeft w:val="0"/>
              <w:marRight w:val="0"/>
              <w:marTop w:val="0"/>
              <w:marBottom w:val="0"/>
              <w:divBdr>
                <w:top w:val="none" w:sz="0" w:space="0" w:color="auto"/>
                <w:left w:val="none" w:sz="0" w:space="0" w:color="auto"/>
                <w:bottom w:val="none" w:sz="0" w:space="0" w:color="auto"/>
                <w:right w:val="none" w:sz="0" w:space="0" w:color="auto"/>
              </w:divBdr>
              <w:divsChild>
                <w:div w:id="435902822">
                  <w:marLeft w:val="0"/>
                  <w:marRight w:val="0"/>
                  <w:marTop w:val="0"/>
                  <w:marBottom w:val="0"/>
                  <w:divBdr>
                    <w:top w:val="none" w:sz="0" w:space="0" w:color="auto"/>
                    <w:left w:val="none" w:sz="0" w:space="0" w:color="auto"/>
                    <w:bottom w:val="none" w:sz="0" w:space="0" w:color="auto"/>
                    <w:right w:val="none" w:sz="0" w:space="0" w:color="auto"/>
                  </w:divBdr>
                  <w:divsChild>
                    <w:div w:id="4257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035459">
      <w:bodyDiv w:val="1"/>
      <w:marLeft w:val="0"/>
      <w:marRight w:val="0"/>
      <w:marTop w:val="0"/>
      <w:marBottom w:val="0"/>
      <w:divBdr>
        <w:top w:val="none" w:sz="0" w:space="0" w:color="auto"/>
        <w:left w:val="none" w:sz="0" w:space="0" w:color="auto"/>
        <w:bottom w:val="none" w:sz="0" w:space="0" w:color="auto"/>
        <w:right w:val="none" w:sz="0" w:space="0" w:color="auto"/>
      </w:divBdr>
      <w:divsChild>
        <w:div w:id="1379206846">
          <w:marLeft w:val="0"/>
          <w:marRight w:val="0"/>
          <w:marTop w:val="0"/>
          <w:marBottom w:val="0"/>
          <w:divBdr>
            <w:top w:val="none" w:sz="0" w:space="0" w:color="auto"/>
            <w:left w:val="none" w:sz="0" w:space="0" w:color="auto"/>
            <w:bottom w:val="none" w:sz="0" w:space="0" w:color="auto"/>
            <w:right w:val="none" w:sz="0" w:space="0" w:color="auto"/>
          </w:divBdr>
          <w:divsChild>
            <w:div w:id="548612201">
              <w:marLeft w:val="0"/>
              <w:marRight w:val="0"/>
              <w:marTop w:val="0"/>
              <w:marBottom w:val="0"/>
              <w:divBdr>
                <w:top w:val="none" w:sz="0" w:space="0" w:color="auto"/>
                <w:left w:val="none" w:sz="0" w:space="0" w:color="auto"/>
                <w:bottom w:val="none" w:sz="0" w:space="0" w:color="auto"/>
                <w:right w:val="none" w:sz="0" w:space="0" w:color="auto"/>
              </w:divBdr>
              <w:divsChild>
                <w:div w:id="2317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cu-privire-la-consultarea-publica-si-avizarea-a-proiectului-hotararii-guvernului-privind-modificarea-hotararii-guvernului-nr5462019-pentru-aprobarea-regulamentului-privind-modul-de-amenajare-si-exploatare-a-cheiurilor-temporare-si-edificiilor-aferente-pe-caile-navigabile-interne-ale-republicii-moldova-si-a-altor-acte-normative-pentru-relansarea-navigatiei-interne-pe-raurile-prut-si-nistru/11217" TargetMode="External"/><Relationship Id="rId3" Type="http://schemas.openxmlformats.org/officeDocument/2006/relationships/settings" Target="settings.xml"/><Relationship Id="rId7" Type="http://schemas.openxmlformats.org/officeDocument/2006/relationships/hyperlink" Target="https://particip.gov.md/ro/document/stages/*/152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7640</TotalTime>
  <Pages>1</Pages>
  <Words>1913</Words>
  <Characters>11102</Characters>
  <Application>Microsoft Office Word</Application>
  <DocSecurity>0</DocSecurity>
  <Lines>92</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User</cp:lastModifiedBy>
  <cp:revision>791</cp:revision>
  <cp:lastPrinted>2022-01-27T12:09:00Z</cp:lastPrinted>
  <dcterms:created xsi:type="dcterms:W3CDTF">2022-01-26T13:26:00Z</dcterms:created>
  <dcterms:modified xsi:type="dcterms:W3CDTF">2025-09-26T13:12:00Z</dcterms:modified>
</cp:coreProperties>
</file>