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0B" w:rsidRPr="004B33B6" w:rsidRDefault="0087020B" w:rsidP="0087020B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4B33B6">
        <w:rPr>
          <w:i/>
          <w:color w:val="000000" w:themeColor="text1"/>
          <w:sz w:val="28"/>
          <w:szCs w:val="28"/>
          <w:lang w:val="ro-MD"/>
        </w:rPr>
        <w:t>Proiect</w:t>
      </w:r>
    </w:p>
    <w:p w:rsidR="0087020B" w:rsidRPr="004B33B6" w:rsidRDefault="0087020B" w:rsidP="0087020B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1"/>
        <w:ind w:right="567"/>
        <w:rPr>
          <w:b/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:rsidR="0087020B" w:rsidRPr="004B33B6" w:rsidRDefault="0087020B" w:rsidP="0087020B">
      <w:pPr>
        <w:ind w:right="567"/>
        <w:jc w:val="center"/>
        <w:rPr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2"/>
        <w:ind w:right="567"/>
        <w:rPr>
          <w:b/>
          <w:color w:val="000000" w:themeColor="text1"/>
          <w:szCs w:val="28"/>
          <w:lang w:val="ro-MD"/>
        </w:rPr>
      </w:pPr>
      <w:r w:rsidRPr="004B33B6">
        <w:rPr>
          <w:b/>
          <w:color w:val="000000" w:themeColor="text1"/>
          <w:szCs w:val="28"/>
          <w:lang w:val="ro-MD"/>
        </w:rPr>
        <w:t>H O T Ă R Â R E nr.____</w:t>
      </w:r>
    </w:p>
    <w:p w:rsidR="0087020B" w:rsidRPr="004B33B6" w:rsidRDefault="0087020B" w:rsidP="0087020B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din ____________ 2025</w:t>
      </w:r>
    </w:p>
    <w:p w:rsidR="0087020B" w:rsidRPr="004B33B6" w:rsidRDefault="0087020B" w:rsidP="0087020B">
      <w:pPr>
        <w:ind w:right="567"/>
        <w:rPr>
          <w:color w:val="000000" w:themeColor="text1"/>
          <w:sz w:val="28"/>
          <w:szCs w:val="28"/>
          <w:lang w:val="ro-MD" w:eastAsia="en-US"/>
        </w:rPr>
      </w:pPr>
    </w:p>
    <w:p w:rsidR="0087020B" w:rsidRPr="004B33B6" w:rsidRDefault="0087020B" w:rsidP="0087020B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 xml:space="preserve">cu privire la </w:t>
      </w:r>
      <w:r w:rsidR="004073FE" w:rsidRPr="004B33B6">
        <w:rPr>
          <w:b/>
          <w:color w:val="000000" w:themeColor="text1"/>
          <w:sz w:val="28"/>
          <w:szCs w:val="28"/>
          <w:lang w:val="ro-MD"/>
        </w:rPr>
        <w:t xml:space="preserve">acordul de schimbare a destinației unor bunuri din </w:t>
      </w:r>
      <w:bookmarkStart w:id="0" w:name="_GoBack"/>
      <w:bookmarkEnd w:id="0"/>
      <w:r w:rsidR="004073FE" w:rsidRPr="004B33B6">
        <w:rPr>
          <w:b/>
          <w:color w:val="000000" w:themeColor="text1"/>
          <w:sz w:val="28"/>
          <w:szCs w:val="28"/>
          <w:lang w:val="ro-MD"/>
        </w:rPr>
        <w:t xml:space="preserve">proprietatea statului, </w:t>
      </w:r>
      <w:r w:rsidRPr="004B33B6">
        <w:rPr>
          <w:b/>
          <w:color w:val="000000" w:themeColor="text1"/>
          <w:sz w:val="28"/>
          <w:szCs w:val="28"/>
          <w:lang w:val="ro-MD"/>
        </w:rPr>
        <w:t xml:space="preserve">transmiterea unor bunuri imobile </w:t>
      </w:r>
    </w:p>
    <w:p w:rsidR="0087020B" w:rsidRPr="004B33B6" w:rsidRDefault="0087020B" w:rsidP="0087020B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și modificarea unor hotărâri ale Guvernului</w:t>
      </w:r>
    </w:p>
    <w:p w:rsidR="0087020B" w:rsidRPr="004B33B6" w:rsidRDefault="0087020B" w:rsidP="0087020B">
      <w:pPr>
        <w:ind w:right="567"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EA1378">
      <w:pPr>
        <w:ind w:right="284" w:firstLine="567"/>
        <w:jc w:val="both"/>
        <w:rPr>
          <w:color w:val="000000" w:themeColor="text1"/>
          <w:sz w:val="28"/>
          <w:szCs w:val="28"/>
          <w:shd w:val="clear" w:color="auto" w:fill="FFFFFF"/>
          <w:lang w:val="ro-MD"/>
        </w:rPr>
      </w:pPr>
      <w:r w:rsidRPr="004B33B6">
        <w:rPr>
          <w:color w:val="000000" w:themeColor="text1"/>
          <w:sz w:val="28"/>
          <w:szCs w:val="28"/>
          <w:shd w:val="clear" w:color="auto" w:fill="FFFFFF"/>
          <w:lang w:val="ro-MD"/>
        </w:rPr>
        <w:t>În temeiul art. 8 alin. (2) din Legea nr.523/1999 cu privire la proprietatea publică a unităților administrativ-teritoriale (Monitorul Oficial al Republicii Moldova, 1999, nr. 124-125, art.611), cu modificările ulterioare, art. 6 alin. (1) lit. a) și art.14 alin. (1) lit. b) din Legea privind administrarea și deetatizarea proprietății publice nr.121/2007 (Monitorul Oficial al Republicii Moldova, 2007, nr. 90-93, art.401), cu modificările ulterioare</w:t>
      </w:r>
      <w:r w:rsidR="00896EF2" w:rsidRPr="004B33B6">
        <w:rPr>
          <w:color w:val="000000" w:themeColor="text1"/>
          <w:sz w:val="28"/>
          <w:szCs w:val="28"/>
          <w:shd w:val="clear" w:color="auto" w:fill="FFFFFF"/>
          <w:lang w:val="ro-MD"/>
        </w:rPr>
        <w:t>, art. 146 alin. (4) din Codul educației al Republicii Moldova nr. 152/2014 (Monitorul Oficial al Republicii Moldova, 2014, nr. 319-324, art. 634), cu modificările ulterioare</w:t>
      </w:r>
      <w:r w:rsidRPr="004B33B6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și al art. 16 alin. (1) din Codul funciar nr. 22/2024 (Monitorul Oficial al Republicii Moldova, 2024, nr. 93-95, art. 137), cu modificările ulterioare, Guvernul HOTĂRĂŞTE:</w:t>
      </w:r>
    </w:p>
    <w:p w:rsidR="0087020B" w:rsidRPr="004B33B6" w:rsidRDefault="0087020B" w:rsidP="00EA1378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color w:val="000000" w:themeColor="text1"/>
          <w:sz w:val="28"/>
          <w:szCs w:val="28"/>
          <w:lang w:val="ro-MD"/>
        </w:rPr>
      </w:pPr>
    </w:p>
    <w:p w:rsidR="00896EF2" w:rsidRPr="004B33B6" w:rsidRDefault="00896EF2" w:rsidP="00A435F0">
      <w:pPr>
        <w:shd w:val="clear" w:color="auto" w:fill="FFFFFF"/>
        <w:ind w:right="284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1.</w:t>
      </w:r>
      <w:r w:rsidRPr="004B33B6">
        <w:rPr>
          <w:color w:val="000000" w:themeColor="text1"/>
          <w:sz w:val="28"/>
          <w:szCs w:val="28"/>
          <w:lang w:val="ro-MD"/>
        </w:rPr>
        <w:t xml:space="preserve"> Se acceptă schimbarea destinației urm</w:t>
      </w:r>
      <w:r w:rsidR="006C539F" w:rsidRPr="004B33B6">
        <w:rPr>
          <w:color w:val="000000" w:themeColor="text1"/>
          <w:sz w:val="28"/>
          <w:szCs w:val="28"/>
          <w:lang w:val="ro-MD"/>
        </w:rPr>
        <w:t>ătoarelor bunuri, proprietate a statului</w:t>
      </w:r>
      <w:r w:rsidRPr="004B33B6">
        <w:rPr>
          <w:color w:val="000000" w:themeColor="text1"/>
          <w:sz w:val="28"/>
          <w:szCs w:val="28"/>
          <w:lang w:val="ro-MD"/>
        </w:rPr>
        <w:t>, ca urmare a constatării lipsei necesității de utilizare a acestora în domeniul educației:</w:t>
      </w:r>
    </w:p>
    <w:p w:rsidR="00896EF2" w:rsidRPr="004B33B6" w:rsidRDefault="00896EF2" w:rsidP="00A435F0">
      <w:pPr>
        <w:shd w:val="clear" w:color="auto" w:fill="FFFFFF"/>
        <w:ind w:right="284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 xml:space="preserve">1.1. construcția cu numărul cadastral </w:t>
      </w:r>
      <w:r w:rsidR="003C6603" w:rsidRPr="004B33B6">
        <w:rPr>
          <w:color w:val="000000" w:themeColor="text1"/>
          <w:sz w:val="28"/>
          <w:szCs w:val="28"/>
          <w:lang w:val="ro-MD"/>
        </w:rPr>
        <w:t>9201110377.04</w:t>
      </w:r>
      <w:r w:rsidR="006C539F" w:rsidRPr="004B33B6">
        <w:rPr>
          <w:color w:val="000000" w:themeColor="text1"/>
          <w:sz w:val="28"/>
          <w:szCs w:val="28"/>
          <w:lang w:val="ro-MD"/>
        </w:rPr>
        <w:t xml:space="preserve"> </w:t>
      </w:r>
      <w:r w:rsidRPr="004B33B6">
        <w:rPr>
          <w:color w:val="000000" w:themeColor="text1"/>
          <w:sz w:val="28"/>
          <w:szCs w:val="28"/>
          <w:lang w:val="ro-MD"/>
        </w:rPr>
        <w:t>(</w:t>
      </w:r>
      <w:r w:rsidR="003C6603" w:rsidRPr="004B33B6">
        <w:rPr>
          <w:color w:val="000000" w:themeColor="text1"/>
          <w:sz w:val="28"/>
          <w:szCs w:val="28"/>
          <w:lang w:val="ro-MD"/>
        </w:rPr>
        <w:t>c</w:t>
      </w:r>
      <w:r w:rsidR="006C539F" w:rsidRPr="004B33B6">
        <w:rPr>
          <w:color w:val="000000" w:themeColor="text1"/>
          <w:sz w:val="28"/>
          <w:szCs w:val="28"/>
          <w:lang w:val="ro-MD"/>
        </w:rPr>
        <w:t>ăminul</w:t>
      </w:r>
      <w:r w:rsidR="00DF57F0" w:rsidRPr="004B33B6">
        <w:rPr>
          <w:color w:val="000000" w:themeColor="text1"/>
          <w:sz w:val="28"/>
          <w:szCs w:val="28"/>
          <w:lang w:val="ro-MD"/>
        </w:rPr>
        <w:t xml:space="preserve"> nr.1</w:t>
      </w:r>
      <w:r w:rsidRPr="004B33B6">
        <w:rPr>
          <w:color w:val="000000" w:themeColor="text1"/>
          <w:sz w:val="28"/>
          <w:szCs w:val="28"/>
          <w:lang w:val="ro-MD"/>
        </w:rPr>
        <w:t xml:space="preserve">) și </w:t>
      </w:r>
      <w:r w:rsidR="00DF57F0" w:rsidRPr="004B33B6">
        <w:rPr>
          <w:color w:val="000000" w:themeColor="text1"/>
          <w:sz w:val="28"/>
          <w:szCs w:val="28"/>
          <w:lang w:val="ro-MD"/>
        </w:rPr>
        <w:t>construcția c</w:t>
      </w:r>
      <w:r w:rsidR="003C6603" w:rsidRPr="004B33B6">
        <w:rPr>
          <w:color w:val="000000" w:themeColor="text1"/>
          <w:sz w:val="28"/>
          <w:szCs w:val="28"/>
          <w:lang w:val="ro-MD"/>
        </w:rPr>
        <w:t>u nr. cadastral 9201110377.03 (c</w:t>
      </w:r>
      <w:r w:rsidR="00DF57F0" w:rsidRPr="004B33B6">
        <w:rPr>
          <w:color w:val="000000" w:themeColor="text1"/>
          <w:sz w:val="28"/>
          <w:szCs w:val="28"/>
          <w:lang w:val="ro-MD"/>
        </w:rPr>
        <w:t>ăminul nr. 2) din gestiunea Școlii Profesionale din Ungheni</w:t>
      </w:r>
      <w:r w:rsidRPr="004B33B6">
        <w:rPr>
          <w:color w:val="000000" w:themeColor="text1"/>
          <w:sz w:val="28"/>
          <w:szCs w:val="28"/>
          <w:lang w:val="ro-MD"/>
        </w:rPr>
        <w:t xml:space="preserve">, amplasate în </w:t>
      </w:r>
      <w:r w:rsidR="003A7137" w:rsidRPr="004B33B6">
        <w:rPr>
          <w:color w:val="000000" w:themeColor="text1"/>
          <w:sz w:val="28"/>
          <w:szCs w:val="28"/>
          <w:lang w:val="ro-MD"/>
        </w:rPr>
        <w:t>mun. Ungheni, str. Ștefan cel Mare, 137</w:t>
      </w:r>
      <w:r w:rsidRPr="004B33B6">
        <w:rPr>
          <w:color w:val="000000" w:themeColor="text1"/>
          <w:sz w:val="28"/>
          <w:szCs w:val="28"/>
          <w:lang w:val="ro-MD"/>
        </w:rPr>
        <w:t>;</w:t>
      </w:r>
    </w:p>
    <w:p w:rsidR="003A7137" w:rsidRPr="004B33B6" w:rsidRDefault="003A7137" w:rsidP="00A435F0">
      <w:pPr>
        <w:shd w:val="clear" w:color="auto" w:fill="FFFFFF"/>
        <w:ind w:right="284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 xml:space="preserve">1.2. construcția cu numărul cadastral </w:t>
      </w:r>
      <w:r w:rsidR="00313FFA" w:rsidRPr="004B33B6">
        <w:rPr>
          <w:color w:val="000000" w:themeColor="text1"/>
          <w:sz w:val="28"/>
          <w:szCs w:val="28"/>
          <w:lang w:val="ro-MD"/>
        </w:rPr>
        <w:t>9201104232.04</w:t>
      </w:r>
      <w:r w:rsidR="003C6603" w:rsidRPr="004B33B6">
        <w:rPr>
          <w:color w:val="000000" w:themeColor="text1"/>
          <w:sz w:val="28"/>
          <w:szCs w:val="28"/>
          <w:lang w:val="ro-MD"/>
        </w:rPr>
        <w:t xml:space="preserve"> (c</w:t>
      </w:r>
      <w:r w:rsidRPr="004B33B6">
        <w:rPr>
          <w:color w:val="000000" w:themeColor="text1"/>
          <w:sz w:val="28"/>
          <w:szCs w:val="28"/>
          <w:lang w:val="ro-MD"/>
        </w:rPr>
        <w:t>ăminul</w:t>
      </w:r>
      <w:r w:rsidR="00313FFA" w:rsidRPr="004B33B6">
        <w:rPr>
          <w:color w:val="000000" w:themeColor="text1"/>
          <w:sz w:val="28"/>
          <w:szCs w:val="28"/>
          <w:lang w:val="ro-MD"/>
        </w:rPr>
        <w:t xml:space="preserve"> nr.3</w:t>
      </w:r>
      <w:r w:rsidRPr="004B33B6">
        <w:rPr>
          <w:color w:val="000000" w:themeColor="text1"/>
          <w:sz w:val="28"/>
          <w:szCs w:val="28"/>
          <w:lang w:val="ro-MD"/>
        </w:rPr>
        <w:t xml:space="preserve">) din gestiunea </w:t>
      </w:r>
      <w:r w:rsidR="00313FFA" w:rsidRPr="004B33B6">
        <w:rPr>
          <w:color w:val="000000" w:themeColor="text1"/>
          <w:sz w:val="28"/>
          <w:szCs w:val="28"/>
          <w:lang w:val="ro-MD"/>
        </w:rPr>
        <w:t>Colegiului Agroindustrial</w:t>
      </w:r>
      <w:r w:rsidRPr="004B33B6">
        <w:rPr>
          <w:color w:val="000000" w:themeColor="text1"/>
          <w:sz w:val="28"/>
          <w:szCs w:val="28"/>
          <w:lang w:val="ro-MD"/>
        </w:rPr>
        <w:t xml:space="preserve"> din Ungheni, amplasate în mun. Ungheni, </w:t>
      </w:r>
      <w:r w:rsidR="00313FFA" w:rsidRPr="004B33B6">
        <w:rPr>
          <w:color w:val="000000" w:themeColor="text1"/>
          <w:sz w:val="28"/>
          <w:szCs w:val="28"/>
          <w:lang w:val="ro-MD"/>
        </w:rPr>
        <w:t>str. Decebal, 38</w:t>
      </w:r>
      <w:r w:rsidRPr="004B33B6">
        <w:rPr>
          <w:color w:val="000000" w:themeColor="text1"/>
          <w:sz w:val="28"/>
          <w:szCs w:val="28"/>
          <w:lang w:val="ro-MD"/>
        </w:rPr>
        <w:t>;</w:t>
      </w:r>
    </w:p>
    <w:p w:rsidR="00896EF2" w:rsidRPr="004B33B6" w:rsidRDefault="003A7137" w:rsidP="00A435F0">
      <w:pPr>
        <w:shd w:val="clear" w:color="auto" w:fill="FFFFFF"/>
        <w:ind w:right="284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1.3</w:t>
      </w:r>
      <w:r w:rsidR="00896EF2" w:rsidRPr="004B33B6">
        <w:rPr>
          <w:color w:val="000000" w:themeColor="text1"/>
          <w:sz w:val="28"/>
          <w:szCs w:val="28"/>
          <w:lang w:val="ro-MD"/>
        </w:rPr>
        <w:t xml:space="preserve">. construcția cu numărul cadastral </w:t>
      </w:r>
      <w:r w:rsidR="00EB116E" w:rsidRPr="004B33B6">
        <w:rPr>
          <w:color w:val="000000" w:themeColor="text1"/>
          <w:sz w:val="28"/>
          <w:szCs w:val="28"/>
          <w:lang w:val="ro-MD"/>
        </w:rPr>
        <w:t>8901215034.04</w:t>
      </w:r>
      <w:r w:rsidR="00313FFA" w:rsidRPr="004B33B6">
        <w:rPr>
          <w:color w:val="000000" w:themeColor="text1"/>
          <w:sz w:val="28"/>
          <w:szCs w:val="28"/>
          <w:lang w:val="ro-MD"/>
        </w:rPr>
        <w:t xml:space="preserve"> </w:t>
      </w:r>
      <w:r w:rsidR="00896EF2" w:rsidRPr="004B33B6">
        <w:rPr>
          <w:color w:val="000000" w:themeColor="text1"/>
          <w:sz w:val="28"/>
          <w:szCs w:val="28"/>
          <w:lang w:val="ro-MD"/>
        </w:rPr>
        <w:t>(</w:t>
      </w:r>
      <w:r w:rsidR="003C6603" w:rsidRPr="004B33B6">
        <w:rPr>
          <w:color w:val="000000" w:themeColor="text1"/>
          <w:sz w:val="28"/>
          <w:szCs w:val="28"/>
          <w:lang w:val="ro-MD"/>
        </w:rPr>
        <w:t>c</w:t>
      </w:r>
      <w:r w:rsidR="00EB116E" w:rsidRPr="004B33B6">
        <w:rPr>
          <w:color w:val="000000" w:themeColor="text1"/>
          <w:sz w:val="28"/>
          <w:szCs w:val="28"/>
          <w:lang w:val="ro-MD"/>
        </w:rPr>
        <w:t>ăminul nr. 3</w:t>
      </w:r>
      <w:r w:rsidR="00896EF2" w:rsidRPr="004B33B6">
        <w:rPr>
          <w:color w:val="000000" w:themeColor="text1"/>
          <w:sz w:val="28"/>
          <w:szCs w:val="28"/>
          <w:lang w:val="ro-MD"/>
        </w:rPr>
        <w:t>)</w:t>
      </w:r>
      <w:r w:rsidR="004A13C3" w:rsidRPr="004B33B6">
        <w:rPr>
          <w:color w:val="000000" w:themeColor="text1"/>
          <w:sz w:val="28"/>
          <w:szCs w:val="28"/>
          <w:lang w:val="ro-MD"/>
        </w:rPr>
        <w:t xml:space="preserve"> din gestiunea Școlii Profesionale din Orhei</w:t>
      </w:r>
      <w:r w:rsidR="00896EF2" w:rsidRPr="004B33B6">
        <w:rPr>
          <w:color w:val="000000" w:themeColor="text1"/>
          <w:sz w:val="28"/>
          <w:szCs w:val="28"/>
          <w:lang w:val="ro-MD"/>
        </w:rPr>
        <w:t xml:space="preserve">, amplasate în </w:t>
      </w:r>
      <w:r w:rsidR="004A13C3" w:rsidRPr="004B33B6">
        <w:rPr>
          <w:color w:val="000000" w:themeColor="text1"/>
          <w:sz w:val="28"/>
          <w:szCs w:val="28"/>
          <w:lang w:val="ro-MD"/>
        </w:rPr>
        <w:t xml:space="preserve">or. Telenești, str. Ștefan cel Mare </w:t>
      </w:r>
      <w:r w:rsidR="003C2EBC" w:rsidRPr="004B33B6">
        <w:rPr>
          <w:color w:val="000000" w:themeColor="text1"/>
          <w:sz w:val="28"/>
          <w:szCs w:val="28"/>
          <w:lang w:val="ro-MD"/>
        </w:rPr>
        <w:t xml:space="preserve">și </w:t>
      </w:r>
      <w:r w:rsidR="004A13C3" w:rsidRPr="004B33B6">
        <w:rPr>
          <w:color w:val="000000" w:themeColor="text1"/>
          <w:sz w:val="28"/>
          <w:szCs w:val="28"/>
          <w:lang w:val="ro-MD"/>
        </w:rPr>
        <w:t>Sfînt, 39</w:t>
      </w:r>
      <w:r w:rsidR="00896EF2" w:rsidRPr="004B33B6">
        <w:rPr>
          <w:color w:val="000000" w:themeColor="text1"/>
          <w:sz w:val="28"/>
          <w:szCs w:val="28"/>
          <w:lang w:val="ro-MD"/>
        </w:rPr>
        <w:t>.</w:t>
      </w:r>
    </w:p>
    <w:p w:rsidR="0087020B" w:rsidRPr="004B33B6" w:rsidRDefault="00DA07AC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2</w:t>
      </w:r>
      <w:r w:rsidR="0087020B" w:rsidRPr="004B33B6">
        <w:rPr>
          <w:b/>
          <w:color w:val="000000" w:themeColor="text1"/>
          <w:sz w:val="28"/>
          <w:szCs w:val="28"/>
          <w:lang w:val="ro-MD"/>
        </w:rPr>
        <w:t>.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Se transmit, cu titlu gratuit,</w:t>
      </w:r>
      <w:r w:rsidR="004836D7" w:rsidRPr="004B33B6">
        <w:rPr>
          <w:color w:val="000000" w:themeColor="text1"/>
          <w:sz w:val="28"/>
          <w:szCs w:val="28"/>
          <w:lang w:val="ro-MD"/>
        </w:rPr>
        <w:t xml:space="preserve"> cu acordul Consiliului municipiului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Ungheni, r-nul Ungheni, din proprietatea statului, administrarea Ministerului Educației și Cercetării (gestiunea Instituției Publice Școala Profesională din Ungheni și gestiunea Instituției Publice Colegiul Agroindustrial din Ungheni) în proprietatea municipiului Ungheni, r-nul Ungheni, bunurile </w:t>
      </w:r>
      <w:r w:rsidRPr="004B33B6">
        <w:rPr>
          <w:color w:val="000000" w:themeColor="text1"/>
          <w:sz w:val="28"/>
          <w:szCs w:val="28"/>
          <w:lang w:val="ro-MD"/>
        </w:rPr>
        <w:t>imobile menționate în anexa nr.1</w:t>
      </w:r>
      <w:r w:rsidR="0087020B" w:rsidRPr="004B33B6">
        <w:rPr>
          <w:color w:val="000000" w:themeColor="text1"/>
          <w:sz w:val="28"/>
          <w:szCs w:val="28"/>
          <w:lang w:val="ro-MD"/>
        </w:rPr>
        <w:t>.</w:t>
      </w:r>
    </w:p>
    <w:p w:rsidR="0087020B" w:rsidRPr="004B33B6" w:rsidRDefault="00DA07AC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3</w:t>
      </w:r>
      <w:r w:rsidR="0087020B" w:rsidRPr="004B33B6">
        <w:rPr>
          <w:b/>
          <w:color w:val="000000" w:themeColor="text1"/>
          <w:sz w:val="28"/>
          <w:szCs w:val="28"/>
          <w:lang w:val="ro-MD"/>
        </w:rPr>
        <w:t>.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Se transmite, cu titlu gratuit, cu acordul Consiliului raional Telenești, din proprietatea statului, administrarea Ministerului Educației și Cercetării (gestiunea Instituției Publice Școala Profesională din Orhei), în proprietatea raionului Telenești construcția cu nr. cadastral </w:t>
      </w:r>
      <w:r w:rsidR="00EB116E" w:rsidRPr="004B33B6">
        <w:rPr>
          <w:color w:val="000000" w:themeColor="text1"/>
          <w:sz w:val="28"/>
          <w:szCs w:val="28"/>
          <w:lang w:val="ro-MD"/>
        </w:rPr>
        <w:t>8901215034.04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și suprafața de 684 m</w:t>
      </w:r>
      <w:r w:rsidR="0087020B" w:rsidRPr="004B33B6">
        <w:rPr>
          <w:color w:val="000000" w:themeColor="text1"/>
          <w:sz w:val="28"/>
          <w:szCs w:val="28"/>
          <w:vertAlign w:val="superscript"/>
          <w:lang w:val="ro-MD"/>
        </w:rPr>
        <w:t>2</w:t>
      </w:r>
      <w:r w:rsidR="0087020B" w:rsidRPr="004B33B6">
        <w:rPr>
          <w:color w:val="000000" w:themeColor="text1"/>
          <w:sz w:val="28"/>
          <w:szCs w:val="28"/>
          <w:lang w:val="ro-MD"/>
        </w:rPr>
        <w:t>, amplasată în r-nul Telenești, or. Telenești, str. Ștefan cel Mare Sfînt, 39.</w:t>
      </w:r>
    </w:p>
    <w:p w:rsidR="00DA07AC" w:rsidRPr="004B33B6" w:rsidRDefault="00DA07AC" w:rsidP="00DA07AC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4.</w:t>
      </w:r>
      <w:r w:rsidRPr="004B33B6">
        <w:rPr>
          <w:color w:val="000000" w:themeColor="text1"/>
          <w:sz w:val="28"/>
          <w:szCs w:val="28"/>
          <w:lang w:val="ro-MD"/>
        </w:rPr>
        <w:t xml:space="preserve"> Se transmit, cu titlu gratuit, cu acordul Consiliului orașului Biruința, r-nul Sîngerei, din proprietatea statului, administrarea Ministerului Educației și Cercetării (gestiunea Instituției Publice Centrul de Excelență Servicii și Prelucrarea </w:t>
      </w:r>
      <w:r w:rsidRPr="004B33B6">
        <w:rPr>
          <w:color w:val="000000" w:themeColor="text1"/>
          <w:sz w:val="28"/>
          <w:szCs w:val="28"/>
          <w:lang w:val="ro-MD"/>
        </w:rPr>
        <w:lastRenderedPageBreak/>
        <w:t>Alimentelor), în proprietatea orașului Biruința, r-nul Sîngerei pentru valorificare, fără a fi modificat scopul educațional, bunurile imobile menționate în anexa nr.2.</w:t>
      </w:r>
    </w:p>
    <w:p w:rsidR="00DA07AC" w:rsidRPr="004B33B6" w:rsidRDefault="00DA07AC" w:rsidP="00DA07AC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 xml:space="preserve">5. </w:t>
      </w:r>
      <w:r w:rsidRPr="004B33B6">
        <w:rPr>
          <w:color w:val="000000" w:themeColor="text1"/>
          <w:sz w:val="28"/>
          <w:szCs w:val="28"/>
          <w:lang w:val="ro-MD"/>
        </w:rPr>
        <w:t>Se transmite, cu titlu gratuit, cu acordul Consiliului orașului Biruința, r-nul Sîngerei, din proprietatea statului, administrarea Agenția Proprietății Publice, în proprietatea orașului Biruința, r-nul Sîngerei, fără a fi modificat scopul educațional, terenul cu nr. cadastral 7402103056 și suprafața de 1,8719 ha, amplasat în r-nul Sîngerei, or. Sîngerei str. Independenței.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6</w:t>
      </w:r>
      <w:r w:rsidR="0087020B" w:rsidRPr="004B33B6">
        <w:rPr>
          <w:color w:val="000000" w:themeColor="text1"/>
          <w:sz w:val="28"/>
          <w:szCs w:val="28"/>
          <w:lang w:val="ro-MD"/>
        </w:rPr>
        <w:t>. Ministerul Educației și Cercetări și Agenția Proprietății Publice vor institui în comun cu Primarul Orașului Biruința, r-nul Sîngerei, comisia de transmitere a bunurilor prevăzute la punctul 1 și punctul 2 și vor asigura, în termen de 30 de zile, transmiterea bunurilor în conformitate cu prevederile Regulamentului cu privire la modul de transmitere a bunurilor proprietate publică, aprobat prin Hotărârea Guvernului nr.901/2015.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7</w:t>
      </w:r>
      <w:r w:rsidR="0087020B" w:rsidRPr="004B33B6">
        <w:rPr>
          <w:b/>
          <w:color w:val="000000" w:themeColor="text1"/>
          <w:sz w:val="28"/>
          <w:szCs w:val="28"/>
          <w:lang w:val="ro-MD"/>
        </w:rPr>
        <w:t>.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Ministerul Educației și Cercetări va institui: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7</w:t>
      </w:r>
      <w:r w:rsidR="0087020B" w:rsidRPr="004B33B6">
        <w:rPr>
          <w:color w:val="000000" w:themeColor="text1"/>
          <w:sz w:val="28"/>
          <w:szCs w:val="28"/>
          <w:lang w:val="ro-MD"/>
        </w:rPr>
        <w:t>.</w:t>
      </w:r>
      <w:r w:rsidR="004836D7" w:rsidRPr="004B33B6">
        <w:rPr>
          <w:color w:val="000000" w:themeColor="text1"/>
          <w:sz w:val="28"/>
          <w:szCs w:val="28"/>
          <w:lang w:val="ro-MD"/>
        </w:rPr>
        <w:t>1. de comun cu Primarul municipiului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Ungheni, comisia de transmitere a bunurilor imobile prevăzute la punctul 3 și va asigura, în termen de 30 de zile, transmiterea bunurilor, în conformitate cu prevederile Regulamentului cu privire la modul de transmitere a bunurilor proprietate publică, aprobat prin Hotărârea Guvernului nr.901/2015;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7</w:t>
      </w:r>
      <w:r w:rsidR="0087020B" w:rsidRPr="004B33B6">
        <w:rPr>
          <w:color w:val="000000" w:themeColor="text1"/>
          <w:sz w:val="28"/>
          <w:szCs w:val="28"/>
          <w:lang w:val="ro-MD"/>
        </w:rPr>
        <w:t>.2. de comun cu Primarul Orașului Telenești, comisia de transmitere a bunului imobil prevăzut la punctul 4 și va asigura, în termen de 30 de zile, transmiterea bunului, în conformitate cu prevederile Regulamentului cu privire la modul de transmitere a bunurilor proprietate publică, aprobat prin Hotărârea Guvernului nr.901/2015.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8</w:t>
      </w:r>
      <w:r w:rsidR="0087020B" w:rsidRPr="004B33B6">
        <w:rPr>
          <w:b/>
          <w:color w:val="000000" w:themeColor="text1"/>
          <w:sz w:val="28"/>
          <w:szCs w:val="28"/>
          <w:lang w:val="ro-MD"/>
        </w:rPr>
        <w:t>.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În anexa nr.22</w:t>
      </w:r>
      <w:r w:rsidR="0087020B" w:rsidRPr="004B33B6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la Hotărârea Guvernului nr.351/2005 cu privire la aprobarea listelor bunurilor imobile proprietate publică a statului și la transmiterea unor bunuri imobile (Monitorul Oficial al Republicii Moldova, 2005, nr. 129-131 art. 1072), cu modificările ulterioare: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8</w:t>
      </w:r>
      <w:r w:rsidR="0087020B" w:rsidRPr="004B33B6">
        <w:rPr>
          <w:color w:val="000000" w:themeColor="text1"/>
          <w:sz w:val="28"/>
          <w:szCs w:val="28"/>
          <w:lang w:val="ro-MD"/>
        </w:rPr>
        <w:t>.1. poziția 75 se exclude;</w:t>
      </w:r>
    </w:p>
    <w:p w:rsidR="0087020B" w:rsidRPr="004B33B6" w:rsidRDefault="00D93757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8</w:t>
      </w:r>
      <w:r w:rsidR="0087020B" w:rsidRPr="004B33B6">
        <w:rPr>
          <w:color w:val="000000" w:themeColor="text1"/>
          <w:sz w:val="28"/>
          <w:szCs w:val="28"/>
          <w:lang w:val="ro-MD"/>
        </w:rPr>
        <w:t>.2. poziția 81 va avea următorul cuprins: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827"/>
        <w:gridCol w:w="1701"/>
        <w:gridCol w:w="1134"/>
        <w:gridCol w:w="1843"/>
      </w:tblGrid>
      <w:tr w:rsidR="004B33B6" w:rsidRPr="004B33B6" w:rsidTr="002F5297">
        <w:trPr>
          <w:trHeight w:val="542"/>
        </w:trPr>
        <w:tc>
          <w:tcPr>
            <w:tcW w:w="738" w:type="dxa"/>
            <w:vMerge w:val="restart"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81.</w:t>
            </w: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 pentru învățământ și educație (nr. cadastral 9201110377.01)</w:t>
            </w:r>
          </w:p>
        </w:tc>
        <w:tc>
          <w:tcPr>
            <w:tcW w:w="1701" w:type="dxa"/>
            <w:vMerge w:val="restart"/>
          </w:tcPr>
          <w:p w:rsidR="0087020B" w:rsidRPr="004B33B6" w:rsidRDefault="004836D7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R-nul Ungheni, mun</w:t>
            </w:r>
            <w:r w:rsidR="0087020B" w:rsidRPr="004B33B6">
              <w:rPr>
                <w:color w:val="000000" w:themeColor="text1"/>
                <w:lang w:val="ro-MD"/>
              </w:rPr>
              <w:t>. Ungheni, str. Ștefan cel Mare, 137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2743,3/1</w:t>
            </w:r>
          </w:p>
        </w:tc>
        <w:tc>
          <w:tcPr>
            <w:tcW w:w="1843" w:type="dxa"/>
            <w:vMerge w:val="restart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Instituția Publică Școala Profesională din Ungheni</w:t>
            </w:r>
          </w:p>
        </w:tc>
      </w:tr>
      <w:tr w:rsidR="004B33B6" w:rsidRPr="004B33B6" w:rsidTr="002F5297">
        <w:trPr>
          <w:trHeight w:val="552"/>
        </w:trPr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Construcție, (nr. cadastral 9201110377.02)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711,0/1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2F5297">
        <w:trPr>
          <w:trHeight w:val="552"/>
        </w:trPr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Construcție, (nr. cadastral 9201110377.05)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1246,3/5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87020B" w:rsidRPr="004B33B6" w:rsidTr="002F5297">
        <w:trPr>
          <w:trHeight w:val="552"/>
        </w:trPr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Căminul nr. 3, (nr. cadastral 9201110377.06)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640,0/1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</w:tbl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</w:p>
    <w:p w:rsidR="0087020B" w:rsidRPr="004B33B6" w:rsidRDefault="00EA0128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8</w:t>
      </w:r>
      <w:r w:rsidR="0087020B" w:rsidRPr="004B33B6">
        <w:rPr>
          <w:color w:val="000000" w:themeColor="text1"/>
          <w:sz w:val="28"/>
          <w:szCs w:val="28"/>
          <w:lang w:val="ro-MD"/>
        </w:rPr>
        <w:t>.3. poziția 86</w:t>
      </w:r>
      <w:r w:rsidR="0087020B" w:rsidRPr="004B33B6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va avea următorul cuprins: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827"/>
        <w:gridCol w:w="1701"/>
        <w:gridCol w:w="1134"/>
        <w:gridCol w:w="1843"/>
      </w:tblGrid>
      <w:tr w:rsidR="004B33B6" w:rsidRPr="004B33B6" w:rsidTr="002F5297">
        <w:tc>
          <w:tcPr>
            <w:tcW w:w="738" w:type="dxa"/>
            <w:vMerge w:val="restart"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86</w:t>
            </w:r>
            <w:r w:rsidRPr="004B33B6">
              <w:rPr>
                <w:color w:val="000000" w:themeColor="text1"/>
                <w:vertAlign w:val="superscript"/>
                <w:lang w:val="ro-MD"/>
              </w:rPr>
              <w:t>1</w:t>
            </w:r>
            <w:r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 pentru învățământ (nr. cadastral 9201104232.01)</w:t>
            </w:r>
          </w:p>
        </w:tc>
        <w:tc>
          <w:tcPr>
            <w:tcW w:w="1701" w:type="dxa"/>
            <w:vMerge w:val="restart"/>
          </w:tcPr>
          <w:p w:rsidR="0087020B" w:rsidRPr="004B33B6" w:rsidRDefault="002F5297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r-nul Ungheni, mun</w:t>
            </w:r>
            <w:r w:rsidR="0087020B" w:rsidRPr="004B33B6">
              <w:rPr>
                <w:color w:val="000000" w:themeColor="text1"/>
                <w:lang w:val="ro-MD"/>
              </w:rPr>
              <w:t>. Ungheni, str. Decebal, 38</w:t>
            </w: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3327/4</w:t>
            </w:r>
          </w:p>
        </w:tc>
        <w:tc>
          <w:tcPr>
            <w:tcW w:w="1843" w:type="dxa"/>
            <w:vMerge w:val="restart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Colegiul Agroindustrial din Ungheni</w:t>
            </w:r>
          </w:p>
        </w:tc>
      </w:tr>
      <w:tr w:rsidR="004B33B6" w:rsidRPr="004B33B6" w:rsidTr="002F5297">
        <w:trPr>
          <w:trHeight w:val="562"/>
        </w:trPr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 (nr. cadastral 9201104232.02)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 562,9/5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2F5297"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Șură (nr. cadastral 9201104232.05)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513,6/1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2F5297"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Șură (nr. cadastral 9201104232.06)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120/1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2F5297"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Garaj (nr. cadastral 9201104232.07)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314,4/1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87020B" w:rsidRPr="004B33B6" w:rsidTr="002F5297">
        <w:tc>
          <w:tcPr>
            <w:tcW w:w="738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7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Șură (nr. cadastral 9201104232.08)</w:t>
            </w:r>
          </w:p>
        </w:tc>
        <w:tc>
          <w:tcPr>
            <w:tcW w:w="1701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13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58,5/1</w:t>
            </w:r>
          </w:p>
        </w:tc>
        <w:tc>
          <w:tcPr>
            <w:tcW w:w="1843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</w:tbl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ro-MD"/>
        </w:rPr>
      </w:pPr>
    </w:p>
    <w:p w:rsidR="0087020B" w:rsidRPr="004B33B6" w:rsidRDefault="00EA0128" w:rsidP="0087020B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color w:val="000000" w:themeColor="text1"/>
          <w:sz w:val="28"/>
          <w:szCs w:val="28"/>
          <w:lang w:val="ro-MD"/>
        </w:rPr>
        <w:t>8</w:t>
      </w:r>
      <w:r w:rsidR="0087020B" w:rsidRPr="004B33B6">
        <w:rPr>
          <w:color w:val="000000" w:themeColor="text1"/>
          <w:sz w:val="28"/>
          <w:szCs w:val="28"/>
          <w:lang w:val="ro-MD"/>
        </w:rPr>
        <w:t>.4. poziția 109 va avea următorul cuprins: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821"/>
        <w:gridCol w:w="1558"/>
        <w:gridCol w:w="1284"/>
        <w:gridCol w:w="1842"/>
      </w:tblGrid>
      <w:tr w:rsidR="004B33B6" w:rsidRPr="004B33B6" w:rsidTr="00BE4431">
        <w:tc>
          <w:tcPr>
            <w:tcW w:w="737" w:type="dxa"/>
            <w:vMerge w:val="restart"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109.</w:t>
            </w: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Construcție pentru învățămînt și educație (nr. cadastral 8901215034.01)</w:t>
            </w:r>
          </w:p>
        </w:tc>
        <w:tc>
          <w:tcPr>
            <w:tcW w:w="1558" w:type="dxa"/>
            <w:vMerge w:val="restart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r-nul Telenești, or. Telenești, str. Ștefan cel Mare, 39</w:t>
            </w: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2596,9/4-2</w:t>
            </w:r>
          </w:p>
        </w:tc>
        <w:tc>
          <w:tcPr>
            <w:tcW w:w="1842" w:type="dxa"/>
            <w:vMerge w:val="restart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Instituția Publică Școala Profesională din Orhei</w:t>
            </w: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Căminul nr.1 (nr. cadastral 8901215034.02)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684/5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Căminul nr.2 (nr. cadastral 8901215034.03)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684/5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Atelier (nr. cadastral 8901215034.05)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1384,7/2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Garaj (nr. cadastral 8901215034.06)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398,3/1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Cazangerie (nr. cadastral 8901215034.07)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237,2/1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Stație electrică (nr. cadastral 8901215034.08)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33/1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Tir (nr. cadastral 8901215034.09)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67/1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  <w:tr w:rsidR="004B33B6" w:rsidRPr="004B33B6" w:rsidTr="00BE4431">
        <w:tc>
          <w:tcPr>
            <w:tcW w:w="737" w:type="dxa"/>
            <w:vMerge/>
          </w:tcPr>
          <w:p w:rsidR="0087020B" w:rsidRPr="004B33B6" w:rsidRDefault="0087020B" w:rsidP="00BE4431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</w:p>
        </w:tc>
        <w:tc>
          <w:tcPr>
            <w:tcW w:w="3821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WC (nr. cadastral 8901215034.10)</w:t>
            </w:r>
          </w:p>
        </w:tc>
        <w:tc>
          <w:tcPr>
            <w:tcW w:w="1558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1284" w:type="dxa"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45,8/1</w:t>
            </w:r>
          </w:p>
        </w:tc>
        <w:tc>
          <w:tcPr>
            <w:tcW w:w="1842" w:type="dxa"/>
            <w:vMerge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</w:tr>
    </w:tbl>
    <w:p w:rsidR="0087020B" w:rsidRPr="004B33B6" w:rsidRDefault="00EA0128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9</w:t>
      </w:r>
      <w:r w:rsidR="0087020B" w:rsidRPr="004B33B6">
        <w:rPr>
          <w:b/>
          <w:color w:val="000000" w:themeColor="text1"/>
          <w:sz w:val="28"/>
          <w:szCs w:val="28"/>
          <w:lang w:val="ro-MD"/>
        </w:rPr>
        <w:t>.</w:t>
      </w:r>
      <w:r w:rsidR="0087020B" w:rsidRPr="004B33B6">
        <w:rPr>
          <w:color w:val="000000" w:themeColor="text1"/>
          <w:sz w:val="28"/>
          <w:szCs w:val="28"/>
          <w:lang w:val="ro-MD"/>
        </w:rPr>
        <w:t xml:space="preserve"> </w:t>
      </w:r>
      <w:r w:rsidR="0087020B" w:rsidRPr="004B33B6">
        <w:rPr>
          <w:rFonts w:eastAsia="Arial Unicode MS"/>
          <w:color w:val="000000" w:themeColor="text1"/>
          <w:sz w:val="28"/>
          <w:szCs w:val="28"/>
          <w:lang w:val="ro-MD"/>
        </w:rPr>
        <w:t>În Anexa nr. 1 la Hotărârea de Guvern nr. 161/2019 cu privire la aprobarea listei terenurilor proprietate publică a statului (Monitorul Oficial al Republicii Moldova, 2019, Nr. 108-110 art. 215), poziția 727 se exclude.</w:t>
      </w:r>
    </w:p>
    <w:p w:rsidR="0087020B" w:rsidRPr="004B33B6" w:rsidRDefault="00EA0128" w:rsidP="0087020B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4B33B6">
        <w:rPr>
          <w:b/>
          <w:color w:val="000000" w:themeColor="text1"/>
          <w:sz w:val="28"/>
          <w:szCs w:val="28"/>
          <w:lang w:val="ro-MD"/>
        </w:rPr>
        <w:t>10</w:t>
      </w:r>
      <w:r w:rsidR="0087020B" w:rsidRPr="004B33B6">
        <w:rPr>
          <w:color w:val="000000" w:themeColor="text1"/>
          <w:sz w:val="28"/>
          <w:szCs w:val="28"/>
          <w:lang w:val="ro-MD"/>
        </w:rPr>
        <w:t>. Prezenta Hotărâre intră în vigoare la data publicării în Monitorul Oficial al Republicii Moldova.</w:t>
      </w: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PRIM-MINISTRUL</w:t>
      </w: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4B33B6">
        <w:rPr>
          <w:color w:val="000000" w:themeColor="text1"/>
          <w:sz w:val="28"/>
          <w:szCs w:val="28"/>
          <w:lang w:val="ro-MD"/>
        </w:rPr>
        <w:tab/>
      </w:r>
      <w:r w:rsidRPr="004B33B6">
        <w:rPr>
          <w:color w:val="000000" w:themeColor="text1"/>
          <w:sz w:val="28"/>
          <w:szCs w:val="28"/>
          <w:lang w:val="ro-MD"/>
        </w:rPr>
        <w:tab/>
      </w:r>
      <w:r w:rsidRPr="004B33B6">
        <w:rPr>
          <w:color w:val="000000" w:themeColor="text1"/>
          <w:sz w:val="28"/>
          <w:szCs w:val="28"/>
          <w:lang w:val="ro-MD"/>
        </w:rPr>
        <w:tab/>
        <w:t xml:space="preserve">           </w:t>
      </w: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Dorin RECEAN</w:t>
      </w: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Contrasemnează:</w:t>
      </w:r>
    </w:p>
    <w:p w:rsidR="0087020B" w:rsidRPr="004B33B6" w:rsidRDefault="0087020B" w:rsidP="0087020B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Ministrul Educației și Cercetării</w:t>
      </w: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  <w:t xml:space="preserve">Dan </w:t>
      </w:r>
      <w:r w:rsidRPr="004B33B6">
        <w:rPr>
          <w:b/>
          <w:color w:val="000000" w:themeColor="text1"/>
          <w:sz w:val="28"/>
          <w:szCs w:val="28"/>
          <w:lang w:val="ro-MD"/>
        </w:rPr>
        <w:t>Perciun</w:t>
      </w:r>
    </w:p>
    <w:p w:rsidR="0087020B" w:rsidRPr="004B33B6" w:rsidRDefault="0087020B" w:rsidP="0087020B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  <w:br w:type="page"/>
      </w:r>
    </w:p>
    <w:p w:rsidR="00EF7DB5" w:rsidRPr="004B33B6" w:rsidRDefault="00EF7DB5" w:rsidP="00EF7DB5">
      <w:pPr>
        <w:ind w:left="4962"/>
        <w:jc w:val="both"/>
        <w:rPr>
          <w:rStyle w:val="a5"/>
          <w:rFonts w:eastAsia="Arial Unicode MS"/>
          <w:b w:val="0"/>
          <w:i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i/>
          <w:color w:val="000000" w:themeColor="text1"/>
          <w:lang w:val="ro-MD"/>
        </w:rPr>
        <w:lastRenderedPageBreak/>
        <w:t>Anexa nr.1</w:t>
      </w:r>
    </w:p>
    <w:p w:rsidR="00EF7DB5" w:rsidRPr="004B33B6" w:rsidRDefault="00EF7DB5" w:rsidP="00EF7DB5">
      <w:pPr>
        <w:ind w:left="4962"/>
        <w:jc w:val="both"/>
        <w:rPr>
          <w:i/>
          <w:color w:val="000000" w:themeColor="text1"/>
          <w:lang w:val="ro-MD"/>
        </w:rPr>
      </w:pPr>
      <w:r w:rsidRPr="004B33B6">
        <w:rPr>
          <w:rStyle w:val="a5"/>
          <w:rFonts w:eastAsia="Arial Unicode MS"/>
          <w:i/>
          <w:color w:val="000000" w:themeColor="text1"/>
          <w:lang w:val="ro-MD"/>
        </w:rPr>
        <w:t>la</w:t>
      </w:r>
      <w:r w:rsidRPr="004B33B6">
        <w:rPr>
          <w:i/>
          <w:color w:val="000000" w:themeColor="text1"/>
          <w:lang w:val="ro-MD"/>
        </w:rPr>
        <w:t xml:space="preserve"> Hotărârea Guvernului nr_____/________</w:t>
      </w:r>
    </w:p>
    <w:p w:rsidR="00EF7DB5" w:rsidRPr="004B33B6" w:rsidRDefault="00EF7DB5" w:rsidP="00EF7DB5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EF7DB5" w:rsidRPr="004B33B6" w:rsidRDefault="00EF7DB5" w:rsidP="00EF7DB5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EF7DB5" w:rsidRPr="004B33B6" w:rsidRDefault="00EF7DB5" w:rsidP="00EF7DB5">
      <w:pPr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lang w:val="ro-MD" w:eastAsia="zh-CN"/>
        </w:rPr>
        <w:t>LISTA</w:t>
      </w:r>
    </w:p>
    <w:p w:rsidR="00EF7DB5" w:rsidRPr="004B33B6" w:rsidRDefault="00EF7DB5" w:rsidP="00EF7DB5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lang w:val="ro-MD" w:eastAsia="zh-CN"/>
        </w:rPr>
        <w:t xml:space="preserve">bunurilor imobile care se transmit din proprietatea statului (administrarea Ministerului Educației și Cercetării, gestiunea Școlii Profesionale din Ungheni și gestiunea Colegiului Agroindustrial din Ungheni) în proprietatea </w:t>
      </w:r>
    </w:p>
    <w:p w:rsidR="00EF7DB5" w:rsidRPr="004B33B6" w:rsidRDefault="00EF7DB5" w:rsidP="00EF7DB5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lang w:val="ro-MD" w:eastAsia="zh-CN"/>
        </w:rPr>
        <w:t>municipiului Ungheni</w:t>
      </w:r>
    </w:p>
    <w:p w:rsidR="00EF7DB5" w:rsidRPr="004B33B6" w:rsidRDefault="00EF7DB5" w:rsidP="00EF7DB5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2268"/>
        <w:gridCol w:w="2126"/>
        <w:gridCol w:w="1418"/>
      </w:tblGrid>
      <w:tr w:rsidR="004B33B6" w:rsidRPr="004B33B6" w:rsidTr="00B242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Nr. 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Suprafața (ha, m.p.)</w:t>
            </w:r>
          </w:p>
        </w:tc>
      </w:tr>
      <w:tr w:rsidR="004B33B6" w:rsidRPr="004B33B6" w:rsidTr="00B242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Căminul nr.2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jc w:val="center"/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R-nul Ungheni, mun. Ungheni, str. Ștefan cel Mare, 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9201110377.03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 xml:space="preserve">729,3 m.p. </w:t>
            </w:r>
          </w:p>
        </w:tc>
      </w:tr>
      <w:tr w:rsidR="004B33B6" w:rsidRPr="004B33B6" w:rsidTr="00B242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Căminul nr.1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9201110377.04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739,0 m.p.</w:t>
            </w:r>
          </w:p>
        </w:tc>
      </w:tr>
      <w:tr w:rsidR="004B33B6" w:rsidRPr="004B33B6" w:rsidTr="00B242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Căminul nr.3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jc w:val="center"/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R-nul Ungheni, mun. Ungheni, str. Decebal,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5" w:rsidRPr="004B33B6" w:rsidRDefault="00EF7DB5" w:rsidP="00B24265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9201104232.04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DB5" w:rsidRPr="004B33B6" w:rsidRDefault="00EF7DB5" w:rsidP="00B24265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 xml:space="preserve">569,0 m.p. </w:t>
            </w:r>
          </w:p>
        </w:tc>
      </w:tr>
    </w:tbl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0267BE" w:rsidRPr="004B33B6" w:rsidRDefault="000267BE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EF7DB5" w:rsidRPr="004B33B6" w:rsidRDefault="00EF7DB5" w:rsidP="0087020B">
      <w:pPr>
        <w:ind w:left="4962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EF7DB5" w:rsidP="0087020B">
      <w:pPr>
        <w:ind w:left="4962"/>
        <w:jc w:val="both"/>
        <w:rPr>
          <w:rStyle w:val="a5"/>
          <w:rFonts w:eastAsia="Arial Unicode MS"/>
          <w:b w:val="0"/>
          <w:i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i/>
          <w:color w:val="000000" w:themeColor="text1"/>
          <w:lang w:val="ro-MD"/>
        </w:rPr>
        <w:lastRenderedPageBreak/>
        <w:t>Anexa nr.2</w:t>
      </w:r>
    </w:p>
    <w:p w:rsidR="0087020B" w:rsidRPr="004B33B6" w:rsidRDefault="0087020B" w:rsidP="0087020B">
      <w:pPr>
        <w:ind w:left="4962"/>
        <w:jc w:val="both"/>
        <w:rPr>
          <w:i/>
          <w:color w:val="000000" w:themeColor="text1"/>
          <w:lang w:val="ro-MD"/>
        </w:rPr>
      </w:pPr>
      <w:r w:rsidRPr="004B33B6">
        <w:rPr>
          <w:rStyle w:val="a5"/>
          <w:rFonts w:eastAsia="Arial Unicode MS"/>
          <w:i/>
          <w:color w:val="000000" w:themeColor="text1"/>
          <w:lang w:val="ro-MD"/>
        </w:rPr>
        <w:t>la</w:t>
      </w:r>
      <w:r w:rsidRPr="004B33B6">
        <w:rPr>
          <w:i/>
          <w:color w:val="000000" w:themeColor="text1"/>
          <w:lang w:val="ro-MD"/>
        </w:rPr>
        <w:t xml:space="preserve"> Hotărârea Guvernului nr_____/________</w:t>
      </w:r>
    </w:p>
    <w:p w:rsidR="0087020B" w:rsidRPr="004B33B6" w:rsidRDefault="0087020B" w:rsidP="0087020B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87020B" w:rsidRPr="004B33B6" w:rsidRDefault="0087020B" w:rsidP="0087020B">
      <w:pPr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lang w:val="ro-MD" w:eastAsia="zh-CN"/>
        </w:rPr>
        <w:t>LISTA</w:t>
      </w:r>
    </w:p>
    <w:p w:rsidR="0087020B" w:rsidRPr="004B33B6" w:rsidRDefault="0087020B" w:rsidP="0087020B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4B33B6">
        <w:rPr>
          <w:rStyle w:val="a5"/>
          <w:rFonts w:eastAsia="Arial Unicode MS"/>
          <w:color w:val="000000" w:themeColor="text1"/>
          <w:lang w:val="ro-MD" w:eastAsia="zh-CN"/>
        </w:rPr>
        <w:t>bunurilor imobile care se transmit din proprietatea statului (administrarea Ministerului Educației și Cercetării și gestiunea Centrului de Excelență în Servicii și Prelucrarea Alimentelor din Bălți) în proprietatea Orașului Biruința, r-nul Sîngerei</w:t>
      </w:r>
    </w:p>
    <w:p w:rsidR="0087020B" w:rsidRPr="004B33B6" w:rsidRDefault="0087020B" w:rsidP="0087020B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701"/>
        <w:gridCol w:w="2126"/>
        <w:gridCol w:w="1418"/>
      </w:tblGrid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Nr. cadastal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Suprafața (ha, m.p.)</w:t>
            </w:r>
          </w:p>
        </w:tc>
      </w:tr>
      <w:tr w:rsidR="004B33B6" w:rsidRPr="004B33B6" w:rsidTr="00944D4C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jc w:val="center"/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r-nul Sîngerei, or. Biruința, str. Independenței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4C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 xml:space="preserve">499,4 m.p. 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944D4C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2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Sală de sport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254,9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944D4C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3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Cantină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458,7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944D4C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4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458,2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5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Atelier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597,1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Cămin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474,5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Cămin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669,2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8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Garaj, Depozit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244,9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9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 w:eastAsia="en-US"/>
              </w:rPr>
            </w:pPr>
            <w:r w:rsidRPr="004B33B6">
              <w:rPr>
                <w:color w:val="000000" w:themeColor="text1"/>
                <w:lang w:val="ro-MD"/>
              </w:rPr>
              <w:t>Centrală Termică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Fără nr.cadastral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41,8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10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Tir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Fără nr.cadastral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125,0 m.p.</w:t>
            </w:r>
          </w:p>
        </w:tc>
      </w:tr>
      <w:tr w:rsidR="004B33B6" w:rsidRPr="004B33B6" w:rsidTr="00BE4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944D4C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11</w:t>
            </w:r>
            <w:r w:rsidR="0087020B" w:rsidRPr="004B33B6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WC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7402103056.09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B" w:rsidRPr="004B33B6" w:rsidRDefault="0087020B" w:rsidP="00BE4431">
            <w:pPr>
              <w:rPr>
                <w:color w:val="000000" w:themeColor="text1"/>
                <w:lang w:val="ro-MD"/>
              </w:rPr>
            </w:pPr>
            <w:r w:rsidRPr="004B33B6">
              <w:rPr>
                <w:color w:val="000000" w:themeColor="text1"/>
                <w:lang w:val="ro-MD"/>
              </w:rPr>
              <w:t>23,9 m.p.</w:t>
            </w:r>
          </w:p>
        </w:tc>
      </w:tr>
    </w:tbl>
    <w:p w:rsidR="0087020B" w:rsidRPr="004B33B6" w:rsidRDefault="0087020B" w:rsidP="0087020B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87020B" w:rsidRPr="004B33B6" w:rsidRDefault="0087020B" w:rsidP="0087020B">
      <w:pPr>
        <w:ind w:left="5387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ind w:left="5387"/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jc w:val="both"/>
        <w:rPr>
          <w:rStyle w:val="a5"/>
          <w:rFonts w:eastAsia="Arial Unicode MS"/>
          <w:i/>
          <w:color w:val="000000" w:themeColor="text1"/>
          <w:lang w:val="ro-MD"/>
        </w:rPr>
      </w:pPr>
    </w:p>
    <w:p w:rsidR="0087020B" w:rsidRPr="004B33B6" w:rsidRDefault="0087020B" w:rsidP="0087020B">
      <w:pPr>
        <w:rPr>
          <w:color w:val="000000" w:themeColor="text1"/>
          <w:sz w:val="28"/>
          <w:szCs w:val="28"/>
          <w:lang w:val="ro-MD"/>
        </w:rPr>
      </w:pPr>
    </w:p>
    <w:p w:rsidR="00E107CD" w:rsidRPr="004B33B6" w:rsidRDefault="00E107CD">
      <w:pPr>
        <w:rPr>
          <w:color w:val="000000" w:themeColor="text1"/>
          <w:lang w:val="ro-MD"/>
        </w:rPr>
      </w:pPr>
    </w:p>
    <w:sectPr w:rsidR="00E107CD" w:rsidRPr="004B33B6" w:rsidSect="00531FF1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9"/>
    <w:rsid w:val="000267BE"/>
    <w:rsid w:val="002F5297"/>
    <w:rsid w:val="00313FFA"/>
    <w:rsid w:val="00381849"/>
    <w:rsid w:val="003A0486"/>
    <w:rsid w:val="003A7137"/>
    <w:rsid w:val="003C2EBC"/>
    <w:rsid w:val="003C6603"/>
    <w:rsid w:val="004073FE"/>
    <w:rsid w:val="0046242B"/>
    <w:rsid w:val="004836D7"/>
    <w:rsid w:val="004A13C3"/>
    <w:rsid w:val="004B33B6"/>
    <w:rsid w:val="004E3A50"/>
    <w:rsid w:val="006C539F"/>
    <w:rsid w:val="0072069D"/>
    <w:rsid w:val="0087020B"/>
    <w:rsid w:val="00896EF2"/>
    <w:rsid w:val="00944D4C"/>
    <w:rsid w:val="00A169F6"/>
    <w:rsid w:val="00A435F0"/>
    <w:rsid w:val="00B71169"/>
    <w:rsid w:val="00D4682F"/>
    <w:rsid w:val="00D93757"/>
    <w:rsid w:val="00DA07AC"/>
    <w:rsid w:val="00DF57F0"/>
    <w:rsid w:val="00E107CD"/>
    <w:rsid w:val="00EA0128"/>
    <w:rsid w:val="00EA1378"/>
    <w:rsid w:val="00EB116E"/>
    <w:rsid w:val="00ED0D25"/>
    <w:rsid w:val="00ED2F9F"/>
    <w:rsid w:val="00E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C469C-AD7C-4C0D-8505-A783D0E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20B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87020B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3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20B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87020B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87020B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87020B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87020B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ListParagraph1">
    <w:name w:val="List Paragraph1"/>
    <w:basedOn w:val="a"/>
    <w:qFormat/>
    <w:rsid w:val="0087020B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073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2025-09-17T19:28:00Z</dcterms:created>
  <dcterms:modified xsi:type="dcterms:W3CDTF">2025-09-18T13:14:00Z</dcterms:modified>
</cp:coreProperties>
</file>