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82F48" w:rsidRDefault="00C82F48">
      <w:pPr>
        <w:jc w:val="right"/>
      </w:pPr>
      <w:bookmarkStart w:id="0" w:name="_GoBack"/>
      <w:bookmarkEnd w:id="0"/>
      <w:r>
        <w:rPr>
          <w:rStyle w:val="FontStyle28"/>
          <w:b w:val="0"/>
          <w:sz w:val="28"/>
          <w:szCs w:val="22"/>
          <w:lang w:eastAsia="ro-RO"/>
        </w:rPr>
        <w:t>Ministerul Finanțelor</w:t>
      </w:r>
    </w:p>
    <w:p w:rsidR="00C82F48" w:rsidRDefault="00C82F48"/>
    <w:p w:rsidR="00C82F48" w:rsidRPr="00B27684" w:rsidRDefault="00C82F48">
      <w:pPr>
        <w:pStyle w:val="14"/>
        <w:jc w:val="center"/>
        <w:rPr>
          <w:lang w:val="en-US"/>
        </w:rPr>
      </w:pPr>
    </w:p>
    <w:p w:rsidR="00C82F48" w:rsidRPr="00B27684" w:rsidRDefault="00C82F48">
      <w:pPr>
        <w:pStyle w:val="14"/>
        <w:jc w:val="center"/>
        <w:rPr>
          <w:lang w:val="en-US"/>
        </w:rPr>
      </w:pPr>
    </w:p>
    <w:p w:rsidR="00C82F48" w:rsidRPr="00B27684" w:rsidRDefault="00C82F48">
      <w:pPr>
        <w:pStyle w:val="14"/>
        <w:jc w:val="center"/>
        <w:rPr>
          <w:lang w:val="en-US"/>
        </w:rPr>
      </w:pPr>
    </w:p>
    <w:p w:rsidR="00C82F48" w:rsidRPr="00F9422D" w:rsidRDefault="00C82F48">
      <w:pPr>
        <w:pStyle w:val="14"/>
        <w:ind w:firstLine="0"/>
        <w:jc w:val="center"/>
        <w:rPr>
          <w:lang w:val="en-US"/>
        </w:rPr>
      </w:pPr>
      <w:r w:rsidRPr="00F9422D">
        <w:rPr>
          <w:rStyle w:val="FontStyle28"/>
          <w:color w:val="171717"/>
          <w:sz w:val="36"/>
          <w:szCs w:val="36"/>
          <w:lang w:val="ro-RO" w:eastAsia="ro-RO"/>
        </w:rPr>
        <w:t>Raportul</w:t>
      </w:r>
      <w:r w:rsidR="00112089">
        <w:rPr>
          <w:rStyle w:val="FontStyle28"/>
          <w:color w:val="171717"/>
          <w:sz w:val="36"/>
          <w:szCs w:val="36"/>
          <w:lang w:val="ro-RO" w:eastAsia="ro-RO"/>
        </w:rPr>
        <w:t xml:space="preserve"> semianual</w:t>
      </w:r>
    </w:p>
    <w:p w:rsidR="00C82F48" w:rsidRPr="00B27684" w:rsidRDefault="00C82F48">
      <w:pPr>
        <w:pStyle w:val="14"/>
        <w:jc w:val="center"/>
        <w:rPr>
          <w:lang w:val="en-US"/>
        </w:rPr>
      </w:pPr>
    </w:p>
    <w:p w:rsidR="00C82F48" w:rsidRPr="00B27684" w:rsidRDefault="00C82F48">
      <w:pPr>
        <w:pStyle w:val="14"/>
        <w:ind w:firstLine="0"/>
        <w:jc w:val="center"/>
        <w:rPr>
          <w:lang w:val="en-US"/>
        </w:rPr>
      </w:pPr>
      <w:r>
        <w:rPr>
          <w:rFonts w:ascii="Times New Roman" w:hAnsi="Times New Roman" w:cs="Times New Roman"/>
          <w:color w:val="171717"/>
          <w:sz w:val="36"/>
          <w:szCs w:val="36"/>
          <w:lang w:val="ro-RO" w:eastAsia="ro-RO"/>
        </w:rPr>
        <w:t xml:space="preserve">privind executarea bugetului public național </w:t>
      </w:r>
    </w:p>
    <w:p w:rsidR="00C82F48" w:rsidRPr="00B27684" w:rsidRDefault="00C82F48">
      <w:pPr>
        <w:pStyle w:val="14"/>
        <w:ind w:firstLine="0"/>
        <w:jc w:val="center"/>
        <w:rPr>
          <w:lang w:val="en-US"/>
        </w:rPr>
      </w:pPr>
      <w:r>
        <w:rPr>
          <w:rFonts w:ascii="Times New Roman" w:hAnsi="Times New Roman" w:cs="Times New Roman"/>
          <w:color w:val="171717"/>
          <w:sz w:val="36"/>
          <w:szCs w:val="36"/>
          <w:lang w:val="ro-RO" w:eastAsia="ro-RO"/>
        </w:rPr>
        <w:t xml:space="preserve">și a componentelor acestuia </w:t>
      </w:r>
    </w:p>
    <w:p w:rsidR="00C82F48" w:rsidRDefault="00A71246">
      <w:pPr>
        <w:pStyle w:val="14"/>
        <w:ind w:firstLine="0"/>
        <w:jc w:val="center"/>
        <w:rPr>
          <w:rFonts w:ascii="Times New Roman" w:hAnsi="Times New Roman" w:cs="Times New Roman"/>
          <w:color w:val="171717"/>
          <w:sz w:val="36"/>
          <w:szCs w:val="36"/>
          <w:lang w:val="ro-RO" w:eastAsia="ro-RO"/>
        </w:rPr>
      </w:pPr>
      <w:r>
        <w:rPr>
          <w:rFonts w:ascii="Times New Roman" w:hAnsi="Times New Roman" w:cs="Times New Roman"/>
          <w:color w:val="171717"/>
          <w:sz w:val="36"/>
          <w:szCs w:val="36"/>
          <w:lang w:val="ro-RO" w:eastAsia="ro-RO"/>
        </w:rPr>
        <w:t>pe</w:t>
      </w:r>
      <w:r w:rsidR="00C82F48">
        <w:rPr>
          <w:rFonts w:ascii="Times New Roman" w:hAnsi="Times New Roman" w:cs="Times New Roman"/>
          <w:color w:val="171717"/>
          <w:sz w:val="36"/>
          <w:szCs w:val="36"/>
          <w:lang w:val="ro-RO" w:eastAsia="ro-RO"/>
        </w:rPr>
        <w:t xml:space="preserve"> anul 202</w:t>
      </w:r>
      <w:r w:rsidR="00CB17AB">
        <w:rPr>
          <w:rFonts w:ascii="Times New Roman" w:hAnsi="Times New Roman" w:cs="Times New Roman"/>
          <w:color w:val="171717"/>
          <w:sz w:val="36"/>
          <w:szCs w:val="36"/>
          <w:lang w:val="ro-RO" w:eastAsia="ro-RO"/>
        </w:rPr>
        <w:t>5</w:t>
      </w:r>
    </w:p>
    <w:p w:rsidR="00CB17AB" w:rsidRPr="00CB17AB" w:rsidRDefault="00CB17AB" w:rsidP="00CB17AB">
      <w:pPr>
        <w:rPr>
          <w:lang w:eastAsia="ro-RO"/>
        </w:rPr>
      </w:pPr>
    </w:p>
    <w:p w:rsidR="00C82F48" w:rsidRDefault="00C82F48">
      <w:pPr>
        <w:rPr>
          <w:rFonts w:ascii="Times New Roman" w:hAnsi="Times New Roman"/>
          <w:color w:val="171717"/>
          <w:sz w:val="36"/>
          <w:szCs w:val="36"/>
          <w:lang w:eastAsia="ro-RO"/>
        </w:rPr>
      </w:pPr>
    </w:p>
    <w:p w:rsidR="00C82F48" w:rsidRDefault="00C82F48">
      <w:pPr>
        <w:spacing w:after="200" w:line="276" w:lineRule="auto"/>
        <w:rPr>
          <w:rFonts w:cs="Calibri"/>
          <w:lang w:eastAsia="ro-RO"/>
        </w:rPr>
      </w:pPr>
    </w:p>
    <w:p w:rsidR="00C82F48" w:rsidRDefault="00C82F48">
      <w:pPr>
        <w:pStyle w:val="Heading1"/>
      </w:pPr>
    </w:p>
    <w:p w:rsidR="00C82F48" w:rsidRDefault="00C82F48"/>
    <w:p w:rsidR="00C82F48" w:rsidRDefault="00C82F48">
      <w:pPr>
        <w:rPr>
          <w:rFonts w:cs="Calibri"/>
          <w:lang w:eastAsia="ro-RO"/>
        </w:rPr>
      </w:pPr>
    </w:p>
    <w:p w:rsidR="00C82F48" w:rsidRDefault="00C82F48">
      <w:pPr>
        <w:rPr>
          <w:rFonts w:cs="Calibri"/>
          <w:lang w:eastAsia="ro-RO"/>
        </w:rPr>
      </w:pPr>
    </w:p>
    <w:p w:rsidR="00C82F48" w:rsidRDefault="00C82F48">
      <w:pPr>
        <w:rPr>
          <w:rFonts w:cs="Calibri"/>
          <w:lang w:eastAsia="ro-RO"/>
        </w:rPr>
      </w:pPr>
    </w:p>
    <w:p w:rsidR="00C82F48" w:rsidRDefault="00C82F48">
      <w:pPr>
        <w:rPr>
          <w:rFonts w:cs="Calibri"/>
          <w:lang w:eastAsia="ro-RO"/>
        </w:rPr>
      </w:pPr>
    </w:p>
    <w:p w:rsidR="00C82F48" w:rsidRDefault="00C82F48">
      <w:pPr>
        <w:rPr>
          <w:rFonts w:cs="Calibri"/>
          <w:lang w:eastAsia="ro-RO"/>
        </w:rPr>
      </w:pPr>
    </w:p>
    <w:p w:rsidR="00C82F48" w:rsidRDefault="00C82F48">
      <w:pPr>
        <w:rPr>
          <w:rFonts w:cs="Calibri"/>
          <w:lang w:eastAsia="ro-RO"/>
        </w:rPr>
      </w:pPr>
    </w:p>
    <w:p w:rsidR="00C82F48" w:rsidRDefault="00C82F48">
      <w:pPr>
        <w:rPr>
          <w:rFonts w:cs="Calibri"/>
          <w:lang w:eastAsia="ro-RO"/>
        </w:rPr>
      </w:pPr>
    </w:p>
    <w:p w:rsidR="00C82F48" w:rsidRDefault="00C82F48">
      <w:pPr>
        <w:rPr>
          <w:rFonts w:cs="Calibri"/>
          <w:lang w:eastAsia="ro-RO"/>
        </w:rPr>
      </w:pPr>
    </w:p>
    <w:p w:rsidR="00C82F48" w:rsidRDefault="00C82F48">
      <w:pPr>
        <w:rPr>
          <w:rFonts w:cs="Calibri"/>
          <w:lang w:eastAsia="ro-RO"/>
        </w:rPr>
      </w:pPr>
    </w:p>
    <w:p w:rsidR="00C82F48" w:rsidRDefault="00C82F48">
      <w:pPr>
        <w:rPr>
          <w:rFonts w:cs="Calibri"/>
          <w:lang w:eastAsia="ro-RO"/>
        </w:rPr>
      </w:pPr>
    </w:p>
    <w:p w:rsidR="00C82F48" w:rsidRDefault="00C82F48">
      <w:pPr>
        <w:rPr>
          <w:rFonts w:cs="Calibri"/>
          <w:lang w:eastAsia="ro-RO"/>
        </w:rPr>
      </w:pPr>
    </w:p>
    <w:p w:rsidR="00C82F48" w:rsidRDefault="00687C71">
      <w:pPr>
        <w:spacing w:after="200" w:line="276" w:lineRule="auto"/>
        <w:jc w:val="center"/>
      </w:pPr>
      <w:r>
        <w:rPr>
          <w:rStyle w:val="FontStyle28"/>
          <w:color w:val="171717"/>
          <w:sz w:val="28"/>
          <w:szCs w:val="22"/>
          <w:lang w:eastAsia="ro-RO"/>
        </w:rPr>
        <w:t>202</w:t>
      </w:r>
      <w:r w:rsidR="00CB17AB">
        <w:rPr>
          <w:rStyle w:val="FontStyle28"/>
          <w:color w:val="171717"/>
          <w:sz w:val="28"/>
          <w:szCs w:val="22"/>
          <w:lang w:eastAsia="ro-RO"/>
        </w:rPr>
        <w:t>5</w:t>
      </w:r>
    </w:p>
    <w:p w:rsidR="00C82F48" w:rsidRDefault="00C82F48">
      <w:pPr>
        <w:spacing w:after="200" w:line="276" w:lineRule="auto"/>
        <w:jc w:val="center"/>
      </w:pPr>
      <w:r>
        <w:rPr>
          <w:rStyle w:val="FontStyle28"/>
          <w:color w:val="171717"/>
          <w:sz w:val="28"/>
          <w:szCs w:val="22"/>
          <w:lang w:eastAsia="ro-RO"/>
        </w:rPr>
        <w:t>Chișinău</w:t>
      </w:r>
    </w:p>
    <w:p w:rsidR="00C82F48" w:rsidRDefault="00C82F48">
      <w:pPr>
        <w:pageBreakBefore/>
        <w:spacing w:after="200" w:line="276" w:lineRule="auto"/>
      </w:pPr>
    </w:p>
    <w:p w:rsidR="00C82F48" w:rsidRDefault="00C82F48">
      <w:pPr>
        <w:pStyle w:val="15"/>
        <w:jc w:val="center"/>
      </w:pPr>
      <w:r>
        <w:rPr>
          <w:rFonts w:ascii="Times New Roman" w:hAnsi="Times New Roman"/>
          <w:color w:val="171717"/>
          <w:sz w:val="32"/>
          <w:szCs w:val="22"/>
          <w:lang w:val="ro-RO"/>
        </w:rPr>
        <w:t>Cuprins</w:t>
      </w:r>
    </w:p>
    <w:p w:rsidR="00C82F48" w:rsidRDefault="00C82F48">
      <w:pPr>
        <w:rPr>
          <w:rFonts w:ascii="Times New Roman" w:hAnsi="Times New Roman"/>
          <w:color w:val="171717"/>
          <w:sz w:val="32"/>
        </w:rPr>
      </w:pPr>
    </w:p>
    <w:p w:rsidR="00AB1921" w:rsidRPr="006E17A7" w:rsidRDefault="00C82F48">
      <w:pPr>
        <w:pStyle w:val="TOC1"/>
        <w:rPr>
          <w:rFonts w:cs="Times New Roman"/>
          <w:b w:val="0"/>
          <w:bCs w:val="0"/>
          <w:noProof/>
          <w:sz w:val="22"/>
          <w:szCs w:val="22"/>
          <w:lang w:val="ru-RU" w:eastAsia="ru-RU"/>
        </w:rPr>
      </w:pPr>
      <w:r>
        <w:fldChar w:fldCharType="begin"/>
      </w:r>
      <w:r>
        <w:instrText xml:space="preserve"> TOC \o "1-1" \h \z \u </w:instrText>
      </w:r>
      <w:r>
        <w:fldChar w:fldCharType="separate"/>
      </w:r>
      <w:hyperlink w:anchor="_Toc175311667" w:history="1">
        <w:r w:rsidR="00AB1921" w:rsidRPr="004429C4">
          <w:rPr>
            <w:rStyle w:val="Hyperlink"/>
            <w:rFonts w:ascii="Times New Roman" w:hAnsi="Times New Roman"/>
            <w:noProof/>
          </w:rPr>
          <w:t>Introducere</w:t>
        </w:r>
        <w:r w:rsidR="00AB1921">
          <w:rPr>
            <w:noProof/>
            <w:webHidden/>
          </w:rPr>
          <w:tab/>
        </w:r>
        <w:r w:rsidR="00AB1921">
          <w:rPr>
            <w:noProof/>
            <w:webHidden/>
          </w:rPr>
          <w:fldChar w:fldCharType="begin"/>
        </w:r>
        <w:r w:rsidR="00AB1921">
          <w:rPr>
            <w:noProof/>
            <w:webHidden/>
          </w:rPr>
          <w:instrText xml:space="preserve"> PAGEREF _Toc175311667 \h </w:instrText>
        </w:r>
        <w:r w:rsidR="00AB1921">
          <w:rPr>
            <w:noProof/>
            <w:webHidden/>
          </w:rPr>
        </w:r>
        <w:r w:rsidR="00AB1921">
          <w:rPr>
            <w:noProof/>
            <w:webHidden/>
          </w:rPr>
          <w:fldChar w:fldCharType="separate"/>
        </w:r>
        <w:r w:rsidR="00C92492">
          <w:rPr>
            <w:noProof/>
            <w:webHidden/>
          </w:rPr>
          <w:t>3</w:t>
        </w:r>
        <w:r w:rsidR="00AB1921">
          <w:rPr>
            <w:noProof/>
            <w:webHidden/>
          </w:rPr>
          <w:fldChar w:fldCharType="end"/>
        </w:r>
      </w:hyperlink>
    </w:p>
    <w:p w:rsidR="00AB1921" w:rsidRPr="006E17A7" w:rsidRDefault="00AB1921">
      <w:pPr>
        <w:pStyle w:val="TOC1"/>
        <w:rPr>
          <w:rFonts w:cs="Times New Roman"/>
          <w:b w:val="0"/>
          <w:bCs w:val="0"/>
          <w:noProof/>
          <w:sz w:val="22"/>
          <w:szCs w:val="22"/>
          <w:lang w:val="ru-RU" w:eastAsia="ru-RU"/>
        </w:rPr>
      </w:pPr>
      <w:hyperlink w:anchor="_Toc175311668" w:history="1">
        <w:r w:rsidRPr="004429C4">
          <w:rPr>
            <w:rStyle w:val="Hyperlink"/>
            <w:rFonts w:ascii="Times New Roman" w:hAnsi="Times New Roman"/>
            <w:noProof/>
          </w:rPr>
          <w:t>Evoluția situației macroeconomice recente a economiei naționale</w:t>
        </w:r>
        <w:r>
          <w:rPr>
            <w:noProof/>
            <w:webHidden/>
          </w:rPr>
          <w:tab/>
        </w:r>
        <w:r>
          <w:rPr>
            <w:noProof/>
            <w:webHidden/>
          </w:rPr>
          <w:fldChar w:fldCharType="begin"/>
        </w:r>
        <w:r>
          <w:rPr>
            <w:noProof/>
            <w:webHidden/>
          </w:rPr>
          <w:instrText xml:space="preserve"> PAGEREF _Toc175311668 \h </w:instrText>
        </w:r>
        <w:r>
          <w:rPr>
            <w:noProof/>
            <w:webHidden/>
          </w:rPr>
        </w:r>
        <w:r>
          <w:rPr>
            <w:noProof/>
            <w:webHidden/>
          </w:rPr>
          <w:fldChar w:fldCharType="separate"/>
        </w:r>
        <w:r w:rsidR="00C92492">
          <w:rPr>
            <w:noProof/>
            <w:webHidden/>
          </w:rPr>
          <w:t>3</w:t>
        </w:r>
        <w:r>
          <w:rPr>
            <w:noProof/>
            <w:webHidden/>
          </w:rPr>
          <w:fldChar w:fldCharType="end"/>
        </w:r>
      </w:hyperlink>
    </w:p>
    <w:p w:rsidR="00AB1921" w:rsidRPr="006E17A7" w:rsidRDefault="00AB1921">
      <w:pPr>
        <w:pStyle w:val="TOC1"/>
        <w:rPr>
          <w:rFonts w:cs="Times New Roman"/>
          <w:b w:val="0"/>
          <w:bCs w:val="0"/>
          <w:noProof/>
          <w:sz w:val="22"/>
          <w:szCs w:val="22"/>
          <w:lang w:val="ru-RU" w:eastAsia="ru-RU"/>
        </w:rPr>
      </w:pPr>
      <w:hyperlink w:anchor="_Toc175311669" w:history="1">
        <w:r w:rsidRPr="004429C4">
          <w:rPr>
            <w:rStyle w:val="Hyperlink"/>
            <w:rFonts w:ascii="Times New Roman" w:hAnsi="Times New Roman"/>
            <w:noProof/>
          </w:rPr>
          <w:t>Executarea bugetului public național în semestrul I al anului 202</w:t>
        </w:r>
        <w:r w:rsidR="0048264D">
          <w:rPr>
            <w:rStyle w:val="Hyperlink"/>
            <w:rFonts w:ascii="Times New Roman" w:hAnsi="Times New Roman"/>
            <w:noProof/>
          </w:rPr>
          <w:t>5</w:t>
        </w:r>
        <w:r>
          <w:rPr>
            <w:noProof/>
            <w:webHidden/>
          </w:rPr>
          <w:tab/>
        </w:r>
        <w:r>
          <w:rPr>
            <w:noProof/>
            <w:webHidden/>
          </w:rPr>
          <w:fldChar w:fldCharType="begin"/>
        </w:r>
        <w:r>
          <w:rPr>
            <w:noProof/>
            <w:webHidden/>
          </w:rPr>
          <w:instrText xml:space="preserve"> PAGEREF _Toc175311669 \h </w:instrText>
        </w:r>
        <w:r>
          <w:rPr>
            <w:noProof/>
            <w:webHidden/>
          </w:rPr>
        </w:r>
        <w:r>
          <w:rPr>
            <w:noProof/>
            <w:webHidden/>
          </w:rPr>
          <w:fldChar w:fldCharType="separate"/>
        </w:r>
        <w:r w:rsidR="00C92492">
          <w:rPr>
            <w:noProof/>
            <w:webHidden/>
          </w:rPr>
          <w:t>5</w:t>
        </w:r>
        <w:r>
          <w:rPr>
            <w:noProof/>
            <w:webHidden/>
          </w:rPr>
          <w:fldChar w:fldCharType="end"/>
        </w:r>
      </w:hyperlink>
    </w:p>
    <w:p w:rsidR="00AB1921" w:rsidRPr="006E17A7" w:rsidRDefault="00AB1921">
      <w:pPr>
        <w:pStyle w:val="TOC1"/>
        <w:rPr>
          <w:rFonts w:cs="Times New Roman"/>
          <w:b w:val="0"/>
          <w:bCs w:val="0"/>
          <w:noProof/>
          <w:sz w:val="22"/>
          <w:szCs w:val="22"/>
          <w:lang w:val="ru-RU" w:eastAsia="ru-RU"/>
        </w:rPr>
      </w:pPr>
      <w:hyperlink w:anchor="_Toc175311670" w:history="1">
        <w:r w:rsidRPr="004429C4">
          <w:rPr>
            <w:rStyle w:val="Hyperlink"/>
            <w:rFonts w:ascii="Times New Roman" w:hAnsi="Times New Roman"/>
            <w:noProof/>
          </w:rPr>
          <w:t>Executarea bugetului de st</w:t>
        </w:r>
        <w:r w:rsidR="0048264D">
          <w:rPr>
            <w:rStyle w:val="Hyperlink"/>
            <w:rFonts w:ascii="Times New Roman" w:hAnsi="Times New Roman"/>
            <w:noProof/>
          </w:rPr>
          <w:t>at în semestrul I al anului 2025</w:t>
        </w:r>
        <w:r>
          <w:rPr>
            <w:noProof/>
            <w:webHidden/>
          </w:rPr>
          <w:tab/>
        </w:r>
        <w:r>
          <w:rPr>
            <w:noProof/>
            <w:webHidden/>
          </w:rPr>
          <w:fldChar w:fldCharType="begin"/>
        </w:r>
        <w:r>
          <w:rPr>
            <w:noProof/>
            <w:webHidden/>
          </w:rPr>
          <w:instrText xml:space="preserve"> PAGEREF _Toc175311670 \h </w:instrText>
        </w:r>
        <w:r>
          <w:rPr>
            <w:noProof/>
            <w:webHidden/>
          </w:rPr>
        </w:r>
        <w:r>
          <w:rPr>
            <w:noProof/>
            <w:webHidden/>
          </w:rPr>
          <w:fldChar w:fldCharType="separate"/>
        </w:r>
        <w:r w:rsidR="00C92492">
          <w:rPr>
            <w:noProof/>
            <w:webHidden/>
          </w:rPr>
          <w:t>12</w:t>
        </w:r>
        <w:r>
          <w:rPr>
            <w:noProof/>
            <w:webHidden/>
          </w:rPr>
          <w:fldChar w:fldCharType="end"/>
        </w:r>
      </w:hyperlink>
    </w:p>
    <w:p w:rsidR="00AB1921" w:rsidRPr="006E17A7" w:rsidRDefault="00AB1921">
      <w:pPr>
        <w:pStyle w:val="TOC1"/>
        <w:rPr>
          <w:rFonts w:cs="Times New Roman"/>
          <w:b w:val="0"/>
          <w:bCs w:val="0"/>
          <w:noProof/>
          <w:sz w:val="22"/>
          <w:szCs w:val="22"/>
          <w:lang w:val="ru-RU" w:eastAsia="ru-RU"/>
        </w:rPr>
      </w:pPr>
      <w:hyperlink w:anchor="_Toc175311674" w:history="1">
        <w:r w:rsidRPr="004429C4">
          <w:rPr>
            <w:rStyle w:val="Hyperlink"/>
            <w:rFonts w:ascii="Times New Roman" w:hAnsi="Times New Roman"/>
            <w:noProof/>
          </w:rPr>
          <w:t>Evoluții în domeniul datoriei de stat și altor angajamente con</w:t>
        </w:r>
        <w:r w:rsidR="0048264D">
          <w:rPr>
            <w:rStyle w:val="Hyperlink"/>
            <w:rFonts w:ascii="Times New Roman" w:hAnsi="Times New Roman"/>
            <w:noProof/>
          </w:rPr>
          <w:t>diționate</w:t>
        </w:r>
        <w:r w:rsidR="0048264D">
          <w:rPr>
            <w:rStyle w:val="Hyperlink"/>
            <w:rFonts w:ascii="Times New Roman" w:hAnsi="Times New Roman"/>
            <w:noProof/>
          </w:rPr>
          <w:t xml:space="preserve"> </w:t>
        </w:r>
        <w:r w:rsidR="0048264D">
          <w:rPr>
            <w:rStyle w:val="Hyperlink"/>
            <w:rFonts w:ascii="Times New Roman" w:hAnsi="Times New Roman"/>
            <w:noProof/>
          </w:rPr>
          <w:t>în semestrul I 2025</w:t>
        </w:r>
        <w:r>
          <w:rPr>
            <w:noProof/>
            <w:webHidden/>
          </w:rPr>
          <w:tab/>
        </w:r>
        <w:r>
          <w:rPr>
            <w:noProof/>
            <w:webHidden/>
          </w:rPr>
          <w:fldChar w:fldCharType="begin"/>
        </w:r>
        <w:r>
          <w:rPr>
            <w:noProof/>
            <w:webHidden/>
          </w:rPr>
          <w:instrText xml:space="preserve"> PAGEREF _Toc175311674 \h </w:instrText>
        </w:r>
        <w:r>
          <w:rPr>
            <w:noProof/>
            <w:webHidden/>
          </w:rPr>
        </w:r>
        <w:r>
          <w:rPr>
            <w:noProof/>
            <w:webHidden/>
          </w:rPr>
          <w:fldChar w:fldCharType="separate"/>
        </w:r>
        <w:r w:rsidR="00C92492">
          <w:rPr>
            <w:noProof/>
            <w:webHidden/>
          </w:rPr>
          <w:t>23</w:t>
        </w:r>
        <w:r>
          <w:rPr>
            <w:noProof/>
            <w:webHidden/>
          </w:rPr>
          <w:fldChar w:fldCharType="end"/>
        </w:r>
      </w:hyperlink>
    </w:p>
    <w:p w:rsidR="00AB1921" w:rsidRPr="006E17A7" w:rsidRDefault="00AB1921">
      <w:pPr>
        <w:pStyle w:val="TOC1"/>
        <w:rPr>
          <w:rFonts w:cs="Times New Roman"/>
          <w:b w:val="0"/>
          <w:bCs w:val="0"/>
          <w:noProof/>
          <w:sz w:val="22"/>
          <w:szCs w:val="22"/>
          <w:lang w:val="ru-RU" w:eastAsia="ru-RU"/>
        </w:rPr>
      </w:pPr>
      <w:hyperlink w:anchor="_Toc175311675" w:history="1">
        <w:r w:rsidRPr="004429C4">
          <w:rPr>
            <w:rStyle w:val="Hyperlink"/>
            <w:rFonts w:ascii="Times New Roman" w:hAnsi="Times New Roman"/>
            <w:noProof/>
          </w:rPr>
          <w:t>Perspectivele executării bugetului pu</w:t>
        </w:r>
        <w:r w:rsidRPr="004429C4">
          <w:rPr>
            <w:rStyle w:val="Hyperlink"/>
            <w:rFonts w:ascii="Times New Roman" w:hAnsi="Times New Roman"/>
            <w:noProof/>
          </w:rPr>
          <w:t>b</w:t>
        </w:r>
        <w:r w:rsidRPr="004429C4">
          <w:rPr>
            <w:rStyle w:val="Hyperlink"/>
            <w:rFonts w:ascii="Times New Roman" w:hAnsi="Times New Roman"/>
            <w:noProof/>
          </w:rPr>
          <w:t>lic naț</w:t>
        </w:r>
        <w:r w:rsidR="0048264D">
          <w:rPr>
            <w:rStyle w:val="Hyperlink"/>
            <w:rFonts w:ascii="Times New Roman" w:hAnsi="Times New Roman"/>
            <w:noProof/>
          </w:rPr>
          <w:t>ional până la finele anului 2025</w:t>
        </w:r>
        <w:r>
          <w:rPr>
            <w:noProof/>
            <w:webHidden/>
          </w:rPr>
          <w:tab/>
        </w:r>
        <w:r>
          <w:rPr>
            <w:noProof/>
            <w:webHidden/>
          </w:rPr>
          <w:fldChar w:fldCharType="begin"/>
        </w:r>
        <w:r>
          <w:rPr>
            <w:noProof/>
            <w:webHidden/>
          </w:rPr>
          <w:instrText xml:space="preserve"> PAGEREF _Toc175311675 \h </w:instrText>
        </w:r>
        <w:r>
          <w:rPr>
            <w:noProof/>
            <w:webHidden/>
          </w:rPr>
        </w:r>
        <w:r>
          <w:rPr>
            <w:noProof/>
            <w:webHidden/>
          </w:rPr>
          <w:fldChar w:fldCharType="separate"/>
        </w:r>
        <w:r w:rsidR="00C92492">
          <w:rPr>
            <w:noProof/>
            <w:webHidden/>
          </w:rPr>
          <w:t>28</w:t>
        </w:r>
        <w:r>
          <w:rPr>
            <w:noProof/>
            <w:webHidden/>
          </w:rPr>
          <w:fldChar w:fldCharType="end"/>
        </w:r>
      </w:hyperlink>
    </w:p>
    <w:p w:rsidR="00C82F48" w:rsidRPr="00B27684" w:rsidRDefault="00C82F48">
      <w:pPr>
        <w:rPr>
          <w:rFonts w:ascii="Times New Roman" w:hAnsi="Times New Roman"/>
          <w:b/>
          <w:bCs/>
          <w:lang w:val="ro-MD" w:eastAsia="en-US"/>
        </w:rPr>
      </w:pPr>
      <w:r>
        <w:fldChar w:fldCharType="end"/>
      </w:r>
    </w:p>
    <w:p w:rsidR="00C82F48" w:rsidRPr="00AB1921" w:rsidRDefault="00C82F48">
      <w:pPr>
        <w:pStyle w:val="Heading1"/>
        <w:pageBreakBefore/>
      </w:pPr>
      <w:bookmarkStart w:id="1" w:name="_Toc175311667"/>
      <w:r w:rsidRPr="00AB1921">
        <w:rPr>
          <w:rStyle w:val="FontStyle28"/>
          <w:color w:val="222A35"/>
          <w:sz w:val="32"/>
          <w:szCs w:val="32"/>
        </w:rPr>
        <w:lastRenderedPageBreak/>
        <w:t>Introducere</w:t>
      </w:r>
      <w:bookmarkEnd w:id="1"/>
    </w:p>
    <w:p w:rsidR="00C82F48" w:rsidRPr="00AB1921" w:rsidRDefault="00C82F48">
      <w:pPr>
        <w:spacing w:after="0" w:line="276" w:lineRule="auto"/>
        <w:ind w:firstLine="567"/>
        <w:jc w:val="both"/>
      </w:pPr>
      <w:r w:rsidRPr="00AB1921">
        <w:rPr>
          <w:rFonts w:ascii="Times New Roman" w:hAnsi="Times New Roman"/>
        </w:rPr>
        <w:tab/>
      </w:r>
    </w:p>
    <w:p w:rsidR="00C82F48" w:rsidRPr="00012CA3" w:rsidRDefault="00C82F48">
      <w:pPr>
        <w:tabs>
          <w:tab w:val="left" w:pos="993"/>
          <w:tab w:val="left" w:pos="1134"/>
        </w:tabs>
        <w:spacing w:after="0" w:line="276" w:lineRule="auto"/>
        <w:ind w:firstLine="567"/>
        <w:contextualSpacing/>
        <w:jc w:val="both"/>
      </w:pPr>
      <w:r w:rsidRPr="00012CA3">
        <w:rPr>
          <w:rFonts w:ascii="Times New Roman" w:hAnsi="Times New Roman"/>
          <w:sz w:val="28"/>
          <w:szCs w:val="28"/>
        </w:rPr>
        <w:t>Raportul</w:t>
      </w:r>
      <w:r w:rsidR="00647F8E">
        <w:rPr>
          <w:rFonts w:ascii="Times New Roman" w:hAnsi="Times New Roman"/>
          <w:sz w:val="28"/>
          <w:szCs w:val="28"/>
        </w:rPr>
        <w:t xml:space="preserve"> semianual</w:t>
      </w:r>
      <w:r w:rsidRPr="00012CA3">
        <w:rPr>
          <w:rFonts w:ascii="Times New Roman" w:hAnsi="Times New Roman"/>
          <w:sz w:val="28"/>
          <w:szCs w:val="28"/>
        </w:rPr>
        <w:t xml:space="preserve"> privind executarea bugetului public național și a componentelor acestuia </w:t>
      </w:r>
      <w:r w:rsidR="00647F8E">
        <w:rPr>
          <w:rFonts w:ascii="Times New Roman" w:hAnsi="Times New Roman"/>
          <w:sz w:val="28"/>
          <w:szCs w:val="28"/>
        </w:rPr>
        <w:t>pe</w:t>
      </w:r>
      <w:r w:rsidRPr="00012CA3">
        <w:rPr>
          <w:rFonts w:ascii="Times New Roman" w:hAnsi="Times New Roman"/>
          <w:sz w:val="28"/>
          <w:szCs w:val="28"/>
        </w:rPr>
        <w:t xml:space="preserve"> anul 202</w:t>
      </w:r>
      <w:r w:rsidR="0007244A" w:rsidRPr="00012CA3">
        <w:rPr>
          <w:rFonts w:ascii="Times New Roman" w:hAnsi="Times New Roman"/>
          <w:sz w:val="28"/>
          <w:szCs w:val="28"/>
        </w:rPr>
        <w:t>5</w:t>
      </w:r>
      <w:r w:rsidRPr="00012CA3">
        <w:rPr>
          <w:rFonts w:ascii="Times New Roman" w:hAnsi="Times New Roman"/>
          <w:sz w:val="28"/>
          <w:szCs w:val="28"/>
        </w:rPr>
        <w:t xml:space="preserve"> este elaborat în baza prevederilor art. 72 al Legii finanțelor publice și responsabilității bugetar-fiscale nr. 181/2014.</w:t>
      </w:r>
    </w:p>
    <w:p w:rsidR="00C82F48" w:rsidRPr="00012CA3" w:rsidRDefault="00C82F48">
      <w:pPr>
        <w:tabs>
          <w:tab w:val="left" w:pos="993"/>
          <w:tab w:val="left" w:pos="1134"/>
        </w:tabs>
        <w:spacing w:after="0" w:line="276" w:lineRule="auto"/>
        <w:ind w:firstLine="567"/>
        <w:contextualSpacing/>
        <w:jc w:val="both"/>
      </w:pPr>
      <w:r w:rsidRPr="00012CA3">
        <w:rPr>
          <w:rFonts w:ascii="Times New Roman" w:hAnsi="Times New Roman"/>
          <w:sz w:val="28"/>
          <w:szCs w:val="28"/>
        </w:rPr>
        <w:t>Legea bugetului de stat pentru anul 202</w:t>
      </w:r>
      <w:r w:rsidR="00035ECE" w:rsidRPr="00012CA3">
        <w:rPr>
          <w:rFonts w:ascii="Times New Roman" w:hAnsi="Times New Roman"/>
          <w:sz w:val="28"/>
          <w:szCs w:val="28"/>
        </w:rPr>
        <w:t>5</w:t>
      </w:r>
      <w:r w:rsidRPr="00012CA3">
        <w:rPr>
          <w:rFonts w:ascii="Times New Roman" w:hAnsi="Times New Roman"/>
          <w:sz w:val="28"/>
          <w:szCs w:val="28"/>
        </w:rPr>
        <w:t>, Legea bugetului asigurărilor sociale de stat pe anul 202</w:t>
      </w:r>
      <w:r w:rsidR="00035ECE" w:rsidRPr="00012CA3">
        <w:rPr>
          <w:rFonts w:ascii="Times New Roman" w:hAnsi="Times New Roman"/>
          <w:sz w:val="28"/>
          <w:szCs w:val="28"/>
        </w:rPr>
        <w:t>5</w:t>
      </w:r>
      <w:r w:rsidRPr="00012CA3">
        <w:rPr>
          <w:rFonts w:ascii="Times New Roman" w:hAnsi="Times New Roman"/>
          <w:sz w:val="28"/>
          <w:szCs w:val="28"/>
        </w:rPr>
        <w:t>, precum și Legea fondurilor asigurării obligatorii de asistență medicală pe anul 202</w:t>
      </w:r>
      <w:r w:rsidR="00035ECE" w:rsidRPr="00012CA3">
        <w:rPr>
          <w:rFonts w:ascii="Times New Roman" w:hAnsi="Times New Roman"/>
          <w:sz w:val="28"/>
          <w:szCs w:val="28"/>
        </w:rPr>
        <w:t>5</w:t>
      </w:r>
      <w:r w:rsidRPr="00012CA3">
        <w:rPr>
          <w:rFonts w:ascii="Times New Roman" w:hAnsi="Times New Roman"/>
          <w:sz w:val="28"/>
          <w:szCs w:val="28"/>
        </w:rPr>
        <w:t xml:space="preserve"> au fost aprobate în decembrie 202</w:t>
      </w:r>
      <w:r w:rsidR="00035ECE" w:rsidRPr="00012CA3">
        <w:rPr>
          <w:rFonts w:ascii="Times New Roman" w:hAnsi="Times New Roman"/>
          <w:sz w:val="28"/>
          <w:szCs w:val="28"/>
        </w:rPr>
        <w:t>4</w:t>
      </w:r>
      <w:r w:rsidRPr="00012CA3">
        <w:rPr>
          <w:rFonts w:ascii="Times New Roman" w:hAnsi="Times New Roman"/>
          <w:sz w:val="28"/>
          <w:szCs w:val="28"/>
        </w:rPr>
        <w:t xml:space="preserve">. </w:t>
      </w:r>
    </w:p>
    <w:p w:rsidR="00C80CB8" w:rsidRPr="00012CA3" w:rsidRDefault="007E7BD3" w:rsidP="009757A4">
      <w:pPr>
        <w:tabs>
          <w:tab w:val="left" w:pos="993"/>
          <w:tab w:val="left" w:pos="1134"/>
        </w:tabs>
        <w:spacing w:after="0" w:line="276" w:lineRule="auto"/>
        <w:ind w:firstLine="567"/>
        <w:contextualSpacing/>
        <w:jc w:val="both"/>
        <w:rPr>
          <w:rFonts w:ascii="Times New Roman" w:hAnsi="Times New Roman"/>
          <w:sz w:val="28"/>
          <w:szCs w:val="28"/>
        </w:rPr>
      </w:pPr>
      <w:r w:rsidRPr="00012CA3">
        <w:rPr>
          <w:rFonts w:ascii="Times New Roman" w:hAnsi="Times New Roman"/>
          <w:sz w:val="28"/>
          <w:szCs w:val="28"/>
        </w:rPr>
        <w:t>În primul semestru al anului 202</w:t>
      </w:r>
      <w:r w:rsidR="001F3B44" w:rsidRPr="00012CA3">
        <w:rPr>
          <w:rFonts w:ascii="Times New Roman" w:hAnsi="Times New Roman"/>
          <w:sz w:val="28"/>
          <w:szCs w:val="28"/>
        </w:rPr>
        <w:t>5</w:t>
      </w:r>
      <w:r w:rsidRPr="00012CA3">
        <w:rPr>
          <w:rFonts w:ascii="Times New Roman" w:hAnsi="Times New Roman"/>
          <w:sz w:val="28"/>
          <w:szCs w:val="28"/>
        </w:rPr>
        <w:t xml:space="preserve">, </w:t>
      </w:r>
      <w:r w:rsidR="00C80CB8" w:rsidRPr="00012CA3">
        <w:rPr>
          <w:rFonts w:ascii="Times New Roman" w:hAnsi="Times New Roman"/>
          <w:sz w:val="28"/>
          <w:szCs w:val="28"/>
        </w:rPr>
        <w:t>conform prevederilor art. 6</w:t>
      </w:r>
      <w:r w:rsidR="007F67D4" w:rsidRPr="00012CA3">
        <w:rPr>
          <w:rFonts w:ascii="Times New Roman" w:hAnsi="Times New Roman"/>
          <w:sz w:val="28"/>
          <w:szCs w:val="28"/>
        </w:rPr>
        <w:t>1</w:t>
      </w:r>
      <w:r w:rsidR="00C80CB8" w:rsidRPr="00012CA3">
        <w:rPr>
          <w:rFonts w:ascii="Times New Roman" w:hAnsi="Times New Roman"/>
          <w:sz w:val="28"/>
          <w:szCs w:val="28"/>
        </w:rPr>
        <w:t xml:space="preserve"> al Legii </w:t>
      </w:r>
      <w:r w:rsidR="00A11B95">
        <w:rPr>
          <w:rFonts w:ascii="Times New Roman" w:hAnsi="Times New Roman"/>
          <w:sz w:val="28"/>
          <w:szCs w:val="28"/>
        </w:rPr>
        <w:t>nr.</w:t>
      </w:r>
      <w:r w:rsidR="00C80CB8" w:rsidRPr="00012CA3">
        <w:rPr>
          <w:rFonts w:ascii="Times New Roman" w:hAnsi="Times New Roman"/>
          <w:sz w:val="28"/>
          <w:szCs w:val="28"/>
        </w:rPr>
        <w:t>181/2014</w:t>
      </w:r>
      <w:r w:rsidR="000256F6" w:rsidRPr="00012CA3">
        <w:rPr>
          <w:rFonts w:ascii="Times New Roman" w:hAnsi="Times New Roman"/>
          <w:sz w:val="28"/>
          <w:szCs w:val="28"/>
        </w:rPr>
        <w:t xml:space="preserve">, </w:t>
      </w:r>
      <w:r w:rsidR="007F67D4" w:rsidRPr="00012CA3">
        <w:rPr>
          <w:rFonts w:ascii="Times New Roman" w:hAnsi="Times New Roman"/>
          <w:sz w:val="28"/>
          <w:szCs w:val="28"/>
        </w:rPr>
        <w:t xml:space="preserve">la Legea bugetului de stat nr. 310/2024 și Legea bugetului asigurărilor sociale de stat nr. </w:t>
      </w:r>
      <w:r w:rsidR="004E0B90" w:rsidRPr="00012CA3">
        <w:rPr>
          <w:rFonts w:ascii="Times New Roman" w:hAnsi="Times New Roman"/>
          <w:sz w:val="28"/>
          <w:szCs w:val="28"/>
        </w:rPr>
        <w:t>303</w:t>
      </w:r>
      <w:r w:rsidR="007F67D4" w:rsidRPr="00012CA3">
        <w:rPr>
          <w:rFonts w:ascii="Times New Roman" w:hAnsi="Times New Roman"/>
          <w:sz w:val="28"/>
          <w:szCs w:val="28"/>
        </w:rPr>
        <w:t>/202</w:t>
      </w:r>
      <w:r w:rsidR="004E0B90" w:rsidRPr="00012CA3">
        <w:rPr>
          <w:rFonts w:ascii="Times New Roman" w:hAnsi="Times New Roman"/>
          <w:sz w:val="28"/>
          <w:szCs w:val="28"/>
        </w:rPr>
        <w:t>4</w:t>
      </w:r>
      <w:r w:rsidR="007F67D4" w:rsidRPr="00012CA3">
        <w:rPr>
          <w:rFonts w:ascii="Times New Roman" w:hAnsi="Times New Roman"/>
          <w:sz w:val="28"/>
          <w:szCs w:val="28"/>
        </w:rPr>
        <w:t xml:space="preserve"> au fost introduse modificări prin Legile nr. </w:t>
      </w:r>
      <w:r w:rsidR="004E0B90" w:rsidRPr="00012CA3">
        <w:rPr>
          <w:rFonts w:ascii="Times New Roman" w:hAnsi="Times New Roman"/>
          <w:sz w:val="28"/>
          <w:szCs w:val="28"/>
        </w:rPr>
        <w:t>78/2025</w:t>
      </w:r>
      <w:r w:rsidR="007F67D4" w:rsidRPr="00012CA3">
        <w:rPr>
          <w:rFonts w:ascii="Times New Roman" w:hAnsi="Times New Roman"/>
          <w:sz w:val="28"/>
          <w:szCs w:val="28"/>
        </w:rPr>
        <w:t xml:space="preserve"> și </w:t>
      </w:r>
      <w:r w:rsidR="004E0B90" w:rsidRPr="00012CA3">
        <w:rPr>
          <w:rFonts w:ascii="Times New Roman" w:hAnsi="Times New Roman"/>
          <w:sz w:val="28"/>
          <w:szCs w:val="28"/>
        </w:rPr>
        <w:t>79</w:t>
      </w:r>
      <w:r w:rsidR="007F67D4" w:rsidRPr="00012CA3">
        <w:rPr>
          <w:rFonts w:ascii="Times New Roman" w:hAnsi="Times New Roman"/>
          <w:sz w:val="28"/>
          <w:szCs w:val="28"/>
        </w:rPr>
        <w:t>/202</w:t>
      </w:r>
      <w:r w:rsidR="004E0B90" w:rsidRPr="00012CA3">
        <w:rPr>
          <w:rFonts w:ascii="Times New Roman" w:hAnsi="Times New Roman"/>
          <w:sz w:val="28"/>
          <w:szCs w:val="28"/>
        </w:rPr>
        <w:t>5</w:t>
      </w:r>
      <w:r w:rsidR="007F67D4" w:rsidRPr="00012CA3">
        <w:rPr>
          <w:rFonts w:ascii="Times New Roman" w:hAnsi="Times New Roman"/>
          <w:sz w:val="28"/>
          <w:szCs w:val="28"/>
        </w:rPr>
        <w:t xml:space="preserve"> respectiv</w:t>
      </w:r>
      <w:r w:rsidR="00A41D30" w:rsidRPr="00012CA3">
        <w:rPr>
          <w:rFonts w:ascii="Times New Roman" w:hAnsi="Times New Roman"/>
          <w:sz w:val="28"/>
          <w:szCs w:val="28"/>
        </w:rPr>
        <w:t>.</w:t>
      </w:r>
    </w:p>
    <w:p w:rsidR="00A41D30" w:rsidRPr="00012CA3" w:rsidRDefault="00A41D30" w:rsidP="009757A4">
      <w:pPr>
        <w:tabs>
          <w:tab w:val="left" w:pos="993"/>
          <w:tab w:val="left" w:pos="1134"/>
        </w:tabs>
        <w:spacing w:after="0" w:line="276" w:lineRule="auto"/>
        <w:ind w:firstLine="567"/>
        <w:contextualSpacing/>
        <w:jc w:val="both"/>
        <w:rPr>
          <w:rFonts w:ascii="Times New Roman" w:hAnsi="Times New Roman"/>
          <w:sz w:val="28"/>
          <w:szCs w:val="28"/>
        </w:rPr>
      </w:pPr>
      <w:r w:rsidRPr="00012CA3">
        <w:rPr>
          <w:rFonts w:ascii="Times New Roman" w:hAnsi="Times New Roman"/>
          <w:sz w:val="28"/>
          <w:szCs w:val="28"/>
        </w:rPr>
        <w:t>Factorii de bază care au determinat modificările operate la Legea bugetului de stat pentru anul 2025 se referă la majorarea pachetului de sprijin financiar din partea UE întru susținerea Planului de creștere economică pentru Republica Moldova (avansului și primei tranșe), destinat accelerării reformelor economice, extinderii accesului la piața unică a Uniunii Europene și creșterii asistenței financiare printr-un mecanism dedicat de Reforme și Creștere.</w:t>
      </w:r>
      <w:r w:rsidR="00330ED0" w:rsidRPr="00012CA3">
        <w:rPr>
          <w:rFonts w:ascii="Times New Roman" w:hAnsi="Times New Roman"/>
          <w:sz w:val="28"/>
          <w:szCs w:val="28"/>
        </w:rPr>
        <w:t xml:space="preserve"> </w:t>
      </w:r>
      <w:r w:rsidR="00A11B95">
        <w:rPr>
          <w:rFonts w:ascii="Times New Roman" w:hAnsi="Times New Roman"/>
          <w:sz w:val="28"/>
          <w:szCs w:val="28"/>
        </w:rPr>
        <w:t>Resursele respective au fost alocate pentru implementarea măsurilor de reziliență energetică</w:t>
      </w:r>
      <w:r w:rsidR="005D3C1D">
        <w:rPr>
          <w:rFonts w:ascii="Times New Roman" w:hAnsi="Times New Roman"/>
          <w:sz w:val="28"/>
          <w:szCs w:val="28"/>
        </w:rPr>
        <w:t xml:space="preserve">                   (</w:t>
      </w:r>
      <w:r w:rsidR="002239B6" w:rsidRPr="002239B6">
        <w:rPr>
          <w:rFonts w:ascii="Times New Roman" w:hAnsi="Times New Roman"/>
          <w:sz w:val="28"/>
          <w:szCs w:val="28"/>
        </w:rPr>
        <w:t>majorarea Fondului de reducere a vulnerabilității energetice,</w:t>
      </w:r>
      <w:r w:rsidR="002239B6">
        <w:rPr>
          <w:rFonts w:ascii="Times New Roman" w:hAnsi="Times New Roman"/>
          <w:sz w:val="28"/>
          <w:szCs w:val="28"/>
        </w:rPr>
        <w:t xml:space="preserve"> </w:t>
      </w:r>
      <w:r w:rsidR="00A11B95">
        <w:rPr>
          <w:rFonts w:ascii="Times New Roman" w:hAnsi="Times New Roman"/>
          <w:sz w:val="28"/>
          <w:szCs w:val="28"/>
        </w:rPr>
        <w:t>compensarea cheltuielilor pentru energia electrică a agenților economici și a producătorilor agricol</w:t>
      </w:r>
      <w:r w:rsidR="00635F55">
        <w:rPr>
          <w:rFonts w:ascii="Times New Roman" w:hAnsi="Times New Roman"/>
          <w:sz w:val="28"/>
          <w:szCs w:val="28"/>
        </w:rPr>
        <w:t>i</w:t>
      </w:r>
      <w:r w:rsidR="00A11B95">
        <w:rPr>
          <w:rFonts w:ascii="Times New Roman" w:hAnsi="Times New Roman"/>
          <w:sz w:val="28"/>
          <w:szCs w:val="28"/>
        </w:rPr>
        <w:t xml:space="preserve">, implementarea proiectelor de eficiență energetică prin </w:t>
      </w:r>
      <w:r w:rsidR="00A11B95" w:rsidRPr="00A11B95">
        <w:rPr>
          <w:rFonts w:ascii="Times New Roman" w:hAnsi="Times New Roman"/>
          <w:sz w:val="28"/>
          <w:szCs w:val="28"/>
        </w:rPr>
        <w:t>Fondul Național pentru Dezvoltare Regională și Locală</w:t>
      </w:r>
      <w:r w:rsidR="00C652C7">
        <w:rPr>
          <w:rFonts w:ascii="Times New Roman" w:hAnsi="Times New Roman"/>
          <w:sz w:val="28"/>
          <w:szCs w:val="28"/>
        </w:rPr>
        <w:t xml:space="preserve"> etc.</w:t>
      </w:r>
      <w:r w:rsidR="00ED7BE8">
        <w:rPr>
          <w:rFonts w:ascii="Times New Roman" w:hAnsi="Times New Roman"/>
          <w:sz w:val="28"/>
          <w:szCs w:val="28"/>
        </w:rPr>
        <w:t>) și a măsurilor din Programul de reforme economice din cadrul Planului de creștere economică pentru R. Moldova (majorarea Fondului rutier, Fondului N</w:t>
      </w:r>
      <w:r w:rsidR="00ED7BE8" w:rsidRPr="00ED7BE8">
        <w:rPr>
          <w:rFonts w:ascii="Times New Roman" w:hAnsi="Times New Roman"/>
          <w:sz w:val="28"/>
          <w:szCs w:val="28"/>
        </w:rPr>
        <w:t xml:space="preserve">ațional de </w:t>
      </w:r>
      <w:r w:rsidR="00ED7BE8">
        <w:rPr>
          <w:rFonts w:ascii="Times New Roman" w:hAnsi="Times New Roman"/>
          <w:sz w:val="28"/>
          <w:szCs w:val="28"/>
        </w:rPr>
        <w:t>D</w:t>
      </w:r>
      <w:r w:rsidR="00ED7BE8" w:rsidRPr="00ED7BE8">
        <w:rPr>
          <w:rFonts w:ascii="Times New Roman" w:hAnsi="Times New Roman"/>
          <w:sz w:val="28"/>
          <w:szCs w:val="28"/>
        </w:rPr>
        <w:t xml:space="preserve">ezvoltare a </w:t>
      </w:r>
      <w:r w:rsidR="00ED7BE8">
        <w:rPr>
          <w:rFonts w:ascii="Times New Roman" w:hAnsi="Times New Roman"/>
          <w:sz w:val="28"/>
          <w:szCs w:val="28"/>
        </w:rPr>
        <w:t>A</w:t>
      </w:r>
      <w:r w:rsidR="00ED7BE8" w:rsidRPr="00ED7BE8">
        <w:rPr>
          <w:rFonts w:ascii="Times New Roman" w:hAnsi="Times New Roman"/>
          <w:sz w:val="28"/>
          <w:szCs w:val="28"/>
        </w:rPr>
        <w:t xml:space="preserve">griculturii și </w:t>
      </w:r>
      <w:r w:rsidR="00ED7BE8">
        <w:rPr>
          <w:rFonts w:ascii="Times New Roman" w:hAnsi="Times New Roman"/>
          <w:sz w:val="28"/>
          <w:szCs w:val="28"/>
        </w:rPr>
        <w:t>M</w:t>
      </w:r>
      <w:r w:rsidR="00ED7BE8" w:rsidRPr="00ED7BE8">
        <w:rPr>
          <w:rFonts w:ascii="Times New Roman" w:hAnsi="Times New Roman"/>
          <w:sz w:val="28"/>
          <w:szCs w:val="28"/>
        </w:rPr>
        <w:t xml:space="preserve">ediului </w:t>
      </w:r>
      <w:r w:rsidR="00ED7BE8">
        <w:rPr>
          <w:rFonts w:ascii="Times New Roman" w:hAnsi="Times New Roman"/>
          <w:sz w:val="28"/>
          <w:szCs w:val="28"/>
        </w:rPr>
        <w:t>R</w:t>
      </w:r>
      <w:r w:rsidR="00ED7BE8" w:rsidRPr="00ED7BE8">
        <w:rPr>
          <w:rFonts w:ascii="Times New Roman" w:hAnsi="Times New Roman"/>
          <w:sz w:val="28"/>
          <w:szCs w:val="28"/>
        </w:rPr>
        <w:t>ural</w:t>
      </w:r>
      <w:r w:rsidR="00ED7BE8">
        <w:rPr>
          <w:rFonts w:ascii="Times New Roman" w:hAnsi="Times New Roman"/>
          <w:sz w:val="28"/>
          <w:szCs w:val="28"/>
        </w:rPr>
        <w:t>,</w:t>
      </w:r>
      <w:r w:rsidR="00A11B95" w:rsidRPr="00A11B95">
        <w:rPr>
          <w:rFonts w:ascii="Times New Roman" w:hAnsi="Times New Roman"/>
          <w:sz w:val="28"/>
          <w:szCs w:val="28"/>
        </w:rPr>
        <w:t xml:space="preserve"> </w:t>
      </w:r>
      <w:r w:rsidR="00ED7BE8" w:rsidRPr="00ED7BE8">
        <w:rPr>
          <w:rFonts w:ascii="Times New Roman" w:hAnsi="Times New Roman"/>
          <w:sz w:val="28"/>
          <w:szCs w:val="28"/>
        </w:rPr>
        <w:t>Fondului Național pentru Mediu</w:t>
      </w:r>
      <w:r w:rsidR="00ED7BE8">
        <w:rPr>
          <w:rFonts w:ascii="Times New Roman" w:hAnsi="Times New Roman"/>
          <w:sz w:val="28"/>
          <w:szCs w:val="28"/>
        </w:rPr>
        <w:t xml:space="preserve">, susținerea </w:t>
      </w:r>
      <w:r w:rsidR="00A11B95">
        <w:rPr>
          <w:rFonts w:ascii="Times New Roman" w:hAnsi="Times New Roman"/>
          <w:sz w:val="28"/>
          <w:szCs w:val="28"/>
        </w:rPr>
        <w:t xml:space="preserve"> </w:t>
      </w:r>
      <w:r w:rsidR="00ED7BE8">
        <w:rPr>
          <w:rFonts w:ascii="Times New Roman" w:hAnsi="Times New Roman"/>
          <w:sz w:val="28"/>
          <w:szCs w:val="28"/>
        </w:rPr>
        <w:t>Î</w:t>
      </w:r>
      <w:r w:rsidR="00ED7BE8" w:rsidRPr="00ED7BE8">
        <w:rPr>
          <w:rFonts w:ascii="Times New Roman" w:hAnsi="Times New Roman"/>
          <w:sz w:val="28"/>
          <w:szCs w:val="28"/>
        </w:rPr>
        <w:t>ntreprinderi</w:t>
      </w:r>
      <w:r w:rsidR="00ED7BE8">
        <w:rPr>
          <w:rFonts w:ascii="Times New Roman" w:hAnsi="Times New Roman"/>
          <w:sz w:val="28"/>
          <w:szCs w:val="28"/>
        </w:rPr>
        <w:t>lor</w:t>
      </w:r>
      <w:r w:rsidR="00ED7BE8" w:rsidRPr="00ED7BE8">
        <w:rPr>
          <w:rFonts w:ascii="Times New Roman" w:hAnsi="Times New Roman"/>
          <w:sz w:val="28"/>
          <w:szCs w:val="28"/>
        </w:rPr>
        <w:t xml:space="preserve"> mici și mijlocii</w:t>
      </w:r>
      <w:r w:rsidR="00ED7BE8">
        <w:rPr>
          <w:rFonts w:ascii="Times New Roman" w:hAnsi="Times New Roman"/>
          <w:sz w:val="28"/>
          <w:szCs w:val="28"/>
        </w:rPr>
        <w:t xml:space="preserve"> etc.)</w:t>
      </w:r>
    </w:p>
    <w:p w:rsidR="00C82F48" w:rsidRPr="00012CA3" w:rsidRDefault="007F67D4">
      <w:pPr>
        <w:tabs>
          <w:tab w:val="left" w:pos="993"/>
          <w:tab w:val="left" w:pos="1134"/>
        </w:tabs>
        <w:spacing w:after="0" w:line="276" w:lineRule="auto"/>
        <w:ind w:firstLine="567"/>
        <w:contextualSpacing/>
        <w:jc w:val="both"/>
        <w:rPr>
          <w:rFonts w:ascii="Times New Roman" w:eastAsia="Calibri" w:hAnsi="Times New Roman"/>
          <w:sz w:val="28"/>
          <w:szCs w:val="28"/>
          <w:lang w:val="en-US"/>
        </w:rPr>
      </w:pPr>
      <w:r w:rsidRPr="00012CA3">
        <w:rPr>
          <w:rFonts w:ascii="Times New Roman" w:eastAsia="Calibri" w:hAnsi="Times New Roman"/>
          <w:sz w:val="28"/>
          <w:szCs w:val="28"/>
          <w:lang w:val="en-US"/>
        </w:rPr>
        <w:t xml:space="preserve"> </w:t>
      </w:r>
    </w:p>
    <w:p w:rsidR="00C82F48" w:rsidRPr="00012CA3" w:rsidRDefault="00C82F48">
      <w:pPr>
        <w:pStyle w:val="Heading1"/>
        <w:spacing w:before="0" w:line="276" w:lineRule="auto"/>
      </w:pPr>
      <w:bookmarkStart w:id="2" w:name="_Toc175311668"/>
      <w:r w:rsidRPr="00012CA3">
        <w:rPr>
          <w:rStyle w:val="FontStyle28"/>
          <w:bCs w:val="0"/>
          <w:color w:val="222A35"/>
          <w:sz w:val="32"/>
          <w:szCs w:val="32"/>
        </w:rPr>
        <w:t>Evoluția situației macroeconomice recente a economiei naționale</w:t>
      </w:r>
      <w:bookmarkEnd w:id="2"/>
    </w:p>
    <w:p w:rsidR="00C82F48" w:rsidRPr="00012CA3" w:rsidRDefault="00C82F48">
      <w:pPr>
        <w:spacing w:after="0" w:line="276" w:lineRule="auto"/>
      </w:pPr>
    </w:p>
    <w:p w:rsidR="00360204" w:rsidRPr="00012CA3" w:rsidRDefault="00360204" w:rsidP="00360204">
      <w:pPr>
        <w:spacing w:after="0" w:line="276" w:lineRule="auto"/>
        <w:ind w:firstLine="567"/>
        <w:jc w:val="both"/>
        <w:rPr>
          <w:rFonts w:ascii="Times New Roman" w:hAnsi="Times New Roman"/>
          <w:sz w:val="28"/>
          <w:szCs w:val="28"/>
          <w:lang w:val="ro-MD"/>
        </w:rPr>
      </w:pPr>
      <w:r w:rsidRPr="00012CA3">
        <w:rPr>
          <w:rFonts w:ascii="Times New Roman" w:hAnsi="Times New Roman"/>
          <w:sz w:val="28"/>
          <w:szCs w:val="28"/>
          <w:lang w:val="ro-MD"/>
        </w:rPr>
        <w:t xml:space="preserve">Ministerul Dezvoltării Economice și Digitalizării a revizuit prognoza indicatorilor macroeconomici pentru anul 2025, ținând cont de evoluția economică din anul precedent, care a atins rezultate mult mai modeste decât s-au anticipat. </w:t>
      </w:r>
    </w:p>
    <w:p w:rsidR="00360204" w:rsidRPr="00012CA3" w:rsidRDefault="00360204" w:rsidP="00360204">
      <w:pPr>
        <w:spacing w:after="0" w:line="276" w:lineRule="auto"/>
        <w:ind w:firstLine="567"/>
        <w:jc w:val="both"/>
        <w:rPr>
          <w:rFonts w:ascii="Times New Roman" w:hAnsi="Times New Roman"/>
          <w:sz w:val="28"/>
          <w:szCs w:val="28"/>
          <w:lang w:val="ro-MD"/>
        </w:rPr>
      </w:pPr>
      <w:r w:rsidRPr="00012CA3">
        <w:rPr>
          <w:rFonts w:ascii="Times New Roman" w:hAnsi="Times New Roman"/>
          <w:sz w:val="28"/>
          <w:szCs w:val="28"/>
          <w:lang w:val="ro-MD"/>
        </w:rPr>
        <w:t>Totuși, realizarea scenariului de prognoză pentru anul 2025 ar putea fi mai pesimistă decât așteptările, fiind caracterizată de un grad de incertitudine extrem de ridicat, cu riscuri mari de apariție a unor șocuri adiționale cu impact economic, politic, social etc.</w:t>
      </w:r>
    </w:p>
    <w:p w:rsidR="00544145" w:rsidRPr="00012CA3" w:rsidRDefault="00544145" w:rsidP="00360204">
      <w:pPr>
        <w:spacing w:after="0" w:line="276" w:lineRule="auto"/>
        <w:ind w:firstLine="567"/>
        <w:jc w:val="both"/>
        <w:rPr>
          <w:rFonts w:ascii="Times New Roman" w:hAnsi="Times New Roman"/>
          <w:sz w:val="28"/>
          <w:szCs w:val="28"/>
          <w:lang w:val="ro-MD"/>
        </w:rPr>
      </w:pPr>
    </w:p>
    <w:p w:rsidR="00E86B47" w:rsidRPr="00012CA3" w:rsidRDefault="00E86B47" w:rsidP="00E86B47">
      <w:pPr>
        <w:spacing w:after="0" w:line="276" w:lineRule="auto"/>
        <w:ind w:firstLine="567"/>
        <w:jc w:val="both"/>
        <w:rPr>
          <w:rFonts w:ascii="Times New Roman" w:hAnsi="Times New Roman"/>
          <w:sz w:val="28"/>
          <w:szCs w:val="28"/>
        </w:rPr>
      </w:pPr>
      <w:r w:rsidRPr="00012CA3">
        <w:rPr>
          <w:rFonts w:ascii="Times New Roman" w:hAnsi="Times New Roman"/>
          <w:sz w:val="28"/>
          <w:szCs w:val="28"/>
          <w:lang w:val="ro-MD"/>
        </w:rPr>
        <w:lastRenderedPageBreak/>
        <w:t>Evoluția principalilor indicatori macroeconomici se prezintă în tabelul nr.1.</w:t>
      </w:r>
    </w:p>
    <w:p w:rsidR="00C82F48" w:rsidRPr="00012CA3" w:rsidRDefault="00C82F48">
      <w:pPr>
        <w:spacing w:after="0" w:line="276" w:lineRule="auto"/>
        <w:ind w:firstLine="360"/>
        <w:jc w:val="both"/>
      </w:pPr>
      <w:r w:rsidRPr="00012CA3">
        <w:rPr>
          <w:rFonts w:ascii="Times New Roman" w:hAnsi="Times New Roman"/>
          <w:b/>
          <w:bCs/>
          <w:i/>
          <w:color w:val="323E4F"/>
          <w:sz w:val="28"/>
          <w:szCs w:val="24"/>
        </w:rPr>
        <w:t>Tabelul 1.Prognozele principalilor indicatori macroeconomici pentru anul 202</w:t>
      </w:r>
      <w:r w:rsidR="00B109BC" w:rsidRPr="00012CA3">
        <w:rPr>
          <w:rFonts w:ascii="Times New Roman" w:hAnsi="Times New Roman"/>
          <w:b/>
          <w:bCs/>
          <w:i/>
          <w:color w:val="323E4F"/>
          <w:sz w:val="28"/>
          <w:szCs w:val="24"/>
        </w:rPr>
        <w:t>5</w:t>
      </w:r>
    </w:p>
    <w:tbl>
      <w:tblPr>
        <w:tblW w:w="4960" w:type="pct"/>
        <w:tblLayout w:type="fixed"/>
        <w:tblLook w:val="0000" w:firstRow="0" w:lastRow="0" w:firstColumn="0" w:lastColumn="0" w:noHBand="0" w:noVBand="0"/>
      </w:tblPr>
      <w:tblGrid>
        <w:gridCol w:w="5069"/>
        <w:gridCol w:w="1135"/>
        <w:gridCol w:w="1618"/>
        <w:gridCol w:w="1671"/>
      </w:tblGrid>
      <w:tr w:rsidR="00F94E72" w:rsidRPr="00012CA3" w:rsidTr="008653E5">
        <w:trPr>
          <w:trHeight w:val="365"/>
          <w:tblHeader/>
        </w:trPr>
        <w:tc>
          <w:tcPr>
            <w:tcW w:w="5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b/>
                <w:bCs/>
                <w:color w:val="000000"/>
                <w:sz w:val="20"/>
                <w:szCs w:val="20"/>
                <w:lang w:val="ro-MD" w:eastAsia="ru-RU"/>
              </w:rPr>
              <w:t>Indicatorii</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b/>
                <w:bCs/>
                <w:color w:val="000000"/>
                <w:sz w:val="20"/>
                <w:szCs w:val="20"/>
                <w:lang w:val="ro-MD" w:eastAsia="ru-RU"/>
              </w:rPr>
              <w:t>Unitatea de măsură</w:t>
            </w: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b/>
                <w:bCs/>
                <w:color w:val="000000"/>
                <w:sz w:val="20"/>
                <w:szCs w:val="20"/>
                <w:lang w:val="ro-MD" w:eastAsia="ru-RU"/>
              </w:rPr>
              <w:t>Prognoze la elaborarea proiectului</w:t>
            </w:r>
          </w:p>
          <w:p w:rsidR="00F94E72" w:rsidRPr="00012CA3" w:rsidRDefault="00F94E72" w:rsidP="007F57FA">
            <w:pPr>
              <w:spacing w:after="0"/>
              <w:jc w:val="center"/>
            </w:pPr>
            <w:r w:rsidRPr="00012CA3">
              <w:rPr>
                <w:rFonts w:ascii="Times New Roman" w:hAnsi="Times New Roman"/>
                <w:b/>
                <w:bCs/>
                <w:color w:val="000000"/>
                <w:sz w:val="20"/>
                <w:szCs w:val="20"/>
                <w:lang w:val="ro-MD" w:eastAsia="ru-RU"/>
              </w:rPr>
              <w:t>bugetului pentru anul 2025</w:t>
            </w:r>
          </w:p>
        </w:tc>
        <w:tc>
          <w:tcPr>
            <w:tcW w:w="1671" w:type="dxa"/>
            <w:tcBorders>
              <w:top w:val="single" w:sz="4" w:space="0" w:color="000000"/>
              <w:left w:val="single" w:sz="4" w:space="0" w:color="000000"/>
              <w:bottom w:val="single" w:sz="4" w:space="0" w:color="000000"/>
              <w:right w:val="single" w:sz="4" w:space="0" w:color="000000"/>
            </w:tcBorders>
            <w:shd w:val="clear" w:color="auto" w:fill="auto"/>
          </w:tcPr>
          <w:p w:rsidR="00F94E72" w:rsidRPr="00012CA3" w:rsidRDefault="00F94E72" w:rsidP="007F57FA">
            <w:pPr>
              <w:spacing w:after="0"/>
              <w:jc w:val="center"/>
            </w:pPr>
            <w:r w:rsidRPr="00012CA3">
              <w:rPr>
                <w:rFonts w:ascii="Times New Roman" w:hAnsi="Times New Roman"/>
                <w:b/>
                <w:bCs/>
                <w:color w:val="000000"/>
                <w:sz w:val="20"/>
                <w:szCs w:val="20"/>
                <w:lang w:val="ro-MD" w:eastAsia="ru-RU"/>
              </w:rPr>
              <w:t>Prognoze revizuite pentru anul 2025 (martie)</w:t>
            </w:r>
          </w:p>
        </w:tc>
      </w:tr>
      <w:tr w:rsidR="00F94E72" w:rsidRPr="00012CA3" w:rsidTr="008653E5">
        <w:trPr>
          <w:trHeight w:val="165"/>
        </w:trPr>
        <w:tc>
          <w:tcPr>
            <w:tcW w:w="5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pPr>
            <w:r w:rsidRPr="00012CA3">
              <w:rPr>
                <w:rFonts w:ascii="Times New Roman" w:hAnsi="Times New Roman"/>
                <w:b/>
                <w:bCs/>
                <w:color w:val="000000"/>
                <w:sz w:val="20"/>
                <w:szCs w:val="20"/>
                <w:lang w:val="ro-MD" w:eastAsia="ru-RU"/>
              </w:rPr>
              <w:t>Produsul intern brut nominal  (PIB)</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18"/>
                <w:szCs w:val="20"/>
                <w:lang w:val="ro-MD" w:eastAsia="ru-RU"/>
              </w:rPr>
              <w:t>mild. lei</w:t>
            </w: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20"/>
                <w:szCs w:val="20"/>
                <w:lang w:val="ro-MD" w:eastAsia="ru-RU"/>
              </w:rPr>
              <w:t>348.4</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20"/>
                <w:szCs w:val="20"/>
                <w:lang w:val="ro-MD" w:eastAsia="ru-RU"/>
              </w:rPr>
              <w:t>351,1</w:t>
            </w:r>
          </w:p>
        </w:tc>
      </w:tr>
      <w:tr w:rsidR="00F94E72" w:rsidRPr="00012CA3" w:rsidTr="008653E5">
        <w:trPr>
          <w:trHeight w:val="315"/>
        </w:trPr>
        <w:tc>
          <w:tcPr>
            <w:tcW w:w="5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pPr>
            <w:r w:rsidRPr="00012CA3">
              <w:rPr>
                <w:rFonts w:ascii="Times New Roman" w:hAnsi="Times New Roman"/>
                <w:color w:val="000000"/>
                <w:sz w:val="20"/>
                <w:szCs w:val="20"/>
                <w:lang w:val="ro-MD" w:eastAsia="ru-RU"/>
              </w:rPr>
              <w:t xml:space="preserve"> </w:t>
            </w:r>
            <w:r w:rsidRPr="00012CA3">
              <w:rPr>
                <w:rFonts w:ascii="Times New Roman" w:hAnsi="Times New Roman"/>
                <w:i/>
                <w:iCs/>
                <w:color w:val="000000"/>
                <w:sz w:val="20"/>
                <w:szCs w:val="20"/>
                <w:lang w:val="ro-MD" w:eastAsia="ru-RU"/>
              </w:rPr>
              <w:t>față de anul precedent în prețuri comparabile</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18"/>
                <w:szCs w:val="20"/>
                <w:lang w:val="ro-MD" w:eastAsia="ru-RU"/>
              </w:rPr>
              <w:t>%</w:t>
            </w: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20"/>
                <w:szCs w:val="20"/>
                <w:lang w:val="ro-MD" w:eastAsia="ru-RU"/>
              </w:rPr>
              <w:t>103,0</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20"/>
                <w:szCs w:val="20"/>
                <w:lang w:val="ro-MD" w:eastAsia="ru-RU"/>
              </w:rPr>
              <w:t>102,0</w:t>
            </w:r>
          </w:p>
        </w:tc>
      </w:tr>
      <w:tr w:rsidR="00F94E72" w:rsidRPr="00012CA3" w:rsidTr="008653E5">
        <w:trPr>
          <w:trHeight w:val="37"/>
        </w:trPr>
        <w:tc>
          <w:tcPr>
            <w:tcW w:w="5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pPr>
            <w:r w:rsidRPr="00012CA3">
              <w:rPr>
                <w:rFonts w:ascii="Times New Roman" w:hAnsi="Times New Roman"/>
                <w:b/>
                <w:bCs/>
                <w:color w:val="000000"/>
                <w:sz w:val="20"/>
                <w:szCs w:val="20"/>
                <w:lang w:val="ro-MD" w:eastAsia="ru-RU"/>
              </w:rPr>
              <w:t>Indicele prețurilor de consum</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napToGrid w:val="0"/>
              <w:spacing w:after="0"/>
              <w:jc w:val="center"/>
              <w:rPr>
                <w:rFonts w:ascii="Times New Roman" w:hAnsi="Times New Roman"/>
                <w:b/>
                <w:bCs/>
                <w:color w:val="000000"/>
                <w:sz w:val="18"/>
                <w:szCs w:val="20"/>
                <w:lang w:val="ro-MD" w:eastAsia="ru-RU"/>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p>
        </w:tc>
      </w:tr>
      <w:tr w:rsidR="00F94E72" w:rsidRPr="00012CA3" w:rsidTr="008653E5">
        <w:trPr>
          <w:trHeight w:val="37"/>
        </w:trPr>
        <w:tc>
          <w:tcPr>
            <w:tcW w:w="5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pPr>
            <w:r w:rsidRPr="00012CA3">
              <w:rPr>
                <w:rFonts w:ascii="Times New Roman" w:hAnsi="Times New Roman"/>
                <w:i/>
                <w:iCs/>
                <w:color w:val="000000"/>
                <w:sz w:val="20"/>
                <w:szCs w:val="20"/>
                <w:lang w:val="ro-MD" w:eastAsia="ru-RU"/>
              </w:rPr>
              <w:t xml:space="preserve"> mediu anual</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18"/>
                <w:szCs w:val="20"/>
                <w:lang w:val="ro-MD" w:eastAsia="ru-RU"/>
              </w:rPr>
              <w:t>%</w:t>
            </w: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20"/>
                <w:szCs w:val="20"/>
                <w:lang w:val="ro-MD" w:eastAsia="ru-RU"/>
              </w:rPr>
              <w:t>104,6</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20"/>
                <w:szCs w:val="20"/>
                <w:lang w:val="ro-MD" w:eastAsia="ru-RU"/>
              </w:rPr>
              <w:t>107,3</w:t>
            </w:r>
          </w:p>
        </w:tc>
      </w:tr>
      <w:tr w:rsidR="00F94E72" w:rsidRPr="00012CA3" w:rsidTr="008653E5">
        <w:trPr>
          <w:trHeight w:val="311"/>
        </w:trPr>
        <w:tc>
          <w:tcPr>
            <w:tcW w:w="5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pPr>
            <w:r w:rsidRPr="00012CA3">
              <w:rPr>
                <w:rFonts w:ascii="Times New Roman" w:hAnsi="Times New Roman"/>
                <w:i/>
                <w:iCs/>
                <w:color w:val="000000"/>
                <w:sz w:val="20"/>
                <w:szCs w:val="20"/>
                <w:lang w:val="ro-MD" w:eastAsia="ru-RU"/>
              </w:rPr>
              <w:t xml:space="preserve"> la sfârșitul anului</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18"/>
                <w:szCs w:val="20"/>
                <w:lang w:val="ro-MD" w:eastAsia="ru-RU"/>
              </w:rPr>
              <w:t>%</w:t>
            </w: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20"/>
                <w:szCs w:val="20"/>
                <w:lang w:val="ro-MD" w:eastAsia="ru-RU"/>
              </w:rPr>
              <w:t>104,6</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20"/>
                <w:szCs w:val="20"/>
                <w:lang w:val="ro-MD" w:eastAsia="ru-RU"/>
              </w:rPr>
              <w:t>106,1</w:t>
            </w:r>
          </w:p>
        </w:tc>
      </w:tr>
      <w:tr w:rsidR="00F94E72" w:rsidRPr="00012CA3" w:rsidTr="008653E5">
        <w:trPr>
          <w:trHeight w:val="244"/>
        </w:trPr>
        <w:tc>
          <w:tcPr>
            <w:tcW w:w="5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pPr>
            <w:r w:rsidRPr="00012CA3">
              <w:rPr>
                <w:rFonts w:ascii="Times New Roman" w:hAnsi="Times New Roman"/>
                <w:b/>
                <w:bCs/>
                <w:color w:val="000000"/>
                <w:sz w:val="20"/>
                <w:szCs w:val="20"/>
                <w:lang w:val="ro-MD" w:eastAsia="ru-RU"/>
              </w:rPr>
              <w:t>Cursul de schimb al leului</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napToGrid w:val="0"/>
              <w:spacing w:after="0"/>
              <w:jc w:val="center"/>
              <w:rPr>
                <w:rFonts w:ascii="Times New Roman" w:hAnsi="Times New Roman"/>
                <w:b/>
                <w:bCs/>
                <w:color w:val="000000"/>
                <w:sz w:val="20"/>
                <w:szCs w:val="20"/>
                <w:lang w:val="ro-MD" w:eastAsia="ru-RU"/>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p>
        </w:tc>
      </w:tr>
      <w:tr w:rsidR="00F94E72" w:rsidRPr="00012CA3" w:rsidTr="008653E5">
        <w:trPr>
          <w:trHeight w:val="264"/>
        </w:trPr>
        <w:tc>
          <w:tcPr>
            <w:tcW w:w="5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pPr>
            <w:r w:rsidRPr="00012CA3">
              <w:rPr>
                <w:rFonts w:ascii="Times New Roman" w:hAnsi="Times New Roman"/>
                <w:i/>
                <w:iCs/>
                <w:color w:val="000000"/>
                <w:sz w:val="20"/>
                <w:szCs w:val="20"/>
                <w:lang w:val="ro-MD" w:eastAsia="ru-RU"/>
              </w:rPr>
              <w:t xml:space="preserve"> mediu anual</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18"/>
                <w:szCs w:val="20"/>
                <w:lang w:val="ro-MD" w:eastAsia="ru-RU"/>
              </w:rPr>
              <w:t>MDL/USD</w:t>
            </w: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20"/>
                <w:szCs w:val="20"/>
                <w:lang w:val="ro-MD" w:eastAsia="ru-RU"/>
              </w:rPr>
              <w:t>18,26</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20"/>
                <w:szCs w:val="20"/>
                <w:lang w:val="ro-MD" w:eastAsia="ru-RU"/>
              </w:rPr>
              <w:t>18,83</w:t>
            </w:r>
          </w:p>
        </w:tc>
      </w:tr>
      <w:tr w:rsidR="00F94E72" w:rsidRPr="00012CA3" w:rsidTr="008653E5">
        <w:trPr>
          <w:trHeight w:val="277"/>
        </w:trPr>
        <w:tc>
          <w:tcPr>
            <w:tcW w:w="5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pPr>
            <w:r w:rsidRPr="00012CA3">
              <w:rPr>
                <w:rFonts w:ascii="Times New Roman" w:hAnsi="Times New Roman"/>
                <w:i/>
                <w:iCs/>
                <w:color w:val="000000"/>
                <w:sz w:val="20"/>
                <w:szCs w:val="20"/>
                <w:lang w:val="ro-MD" w:eastAsia="ru-RU"/>
              </w:rPr>
              <w:t xml:space="preserve"> la sfârșitul anului</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18"/>
                <w:szCs w:val="20"/>
                <w:lang w:val="ro-MD" w:eastAsia="ru-RU"/>
              </w:rPr>
              <w:t>MDL/USD</w:t>
            </w: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20"/>
                <w:szCs w:val="20"/>
                <w:lang w:val="ro-MD" w:eastAsia="ru-RU"/>
              </w:rPr>
              <w:t>18,38</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20"/>
                <w:szCs w:val="20"/>
                <w:lang w:val="ro-MD" w:eastAsia="ru-RU"/>
              </w:rPr>
              <w:t>19,00</w:t>
            </w:r>
          </w:p>
        </w:tc>
      </w:tr>
      <w:tr w:rsidR="00F94E72" w:rsidRPr="00012CA3" w:rsidTr="008653E5">
        <w:trPr>
          <w:trHeight w:val="285"/>
        </w:trPr>
        <w:tc>
          <w:tcPr>
            <w:tcW w:w="5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pPr>
            <w:r w:rsidRPr="00012CA3">
              <w:rPr>
                <w:rFonts w:ascii="Times New Roman" w:hAnsi="Times New Roman"/>
                <w:b/>
                <w:bCs/>
                <w:color w:val="000000"/>
                <w:sz w:val="20"/>
                <w:szCs w:val="20"/>
                <w:lang w:val="ro-MD" w:eastAsia="ru-RU"/>
              </w:rPr>
              <w:t>Export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jc w:val="center"/>
            </w:pPr>
            <w:r w:rsidRPr="00012CA3">
              <w:rPr>
                <w:rFonts w:ascii="Times New Roman" w:hAnsi="Times New Roman"/>
                <w:color w:val="000000"/>
                <w:sz w:val="18"/>
                <w:szCs w:val="20"/>
                <w:lang w:val="ro-MD" w:eastAsia="ru-RU"/>
              </w:rPr>
              <w:t>mil. USD</w:t>
            </w: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20"/>
                <w:szCs w:val="20"/>
                <w:lang w:val="ro-MD" w:eastAsia="ru-RU"/>
              </w:rPr>
              <w:t>3900,0</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20"/>
                <w:szCs w:val="20"/>
                <w:lang w:val="ro-MD" w:eastAsia="ru-RU"/>
              </w:rPr>
              <w:t>3850,0</w:t>
            </w:r>
          </w:p>
        </w:tc>
      </w:tr>
      <w:tr w:rsidR="00F94E72" w:rsidRPr="00012CA3" w:rsidTr="008653E5">
        <w:trPr>
          <w:trHeight w:val="387"/>
        </w:trPr>
        <w:tc>
          <w:tcPr>
            <w:tcW w:w="5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pPr>
            <w:r w:rsidRPr="00012CA3">
              <w:rPr>
                <w:rFonts w:ascii="Times New Roman" w:hAnsi="Times New Roman"/>
                <w:i/>
                <w:iCs/>
                <w:color w:val="000000"/>
                <w:sz w:val="20"/>
                <w:szCs w:val="20"/>
                <w:lang w:val="ro-MD" w:eastAsia="ru-RU"/>
              </w:rPr>
              <w:t xml:space="preserve"> față de anul precedent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20"/>
                <w:szCs w:val="20"/>
                <w:lang w:val="ro-MD" w:eastAsia="ru-RU"/>
              </w:rPr>
              <w:t>%</w:t>
            </w: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20"/>
                <w:szCs w:val="20"/>
                <w:lang w:val="ro-MD" w:eastAsia="ru-RU"/>
              </w:rPr>
              <w:t>108,9</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20"/>
                <w:szCs w:val="20"/>
                <w:lang w:val="ro-MD" w:eastAsia="ru-RU"/>
              </w:rPr>
              <w:t>108,3</w:t>
            </w:r>
          </w:p>
        </w:tc>
      </w:tr>
      <w:tr w:rsidR="00F94E72" w:rsidRPr="00012CA3" w:rsidTr="008653E5">
        <w:trPr>
          <w:trHeight w:val="285"/>
        </w:trPr>
        <w:tc>
          <w:tcPr>
            <w:tcW w:w="5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pPr>
            <w:r w:rsidRPr="00012CA3">
              <w:rPr>
                <w:rFonts w:ascii="Times New Roman" w:hAnsi="Times New Roman"/>
                <w:b/>
                <w:bCs/>
                <w:color w:val="000000"/>
                <w:sz w:val="20"/>
                <w:szCs w:val="20"/>
                <w:lang w:val="ro-MD" w:eastAsia="ru-RU"/>
              </w:rPr>
              <w:t>Import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jc w:val="center"/>
            </w:pPr>
            <w:r w:rsidRPr="00012CA3">
              <w:rPr>
                <w:rFonts w:ascii="Times New Roman" w:hAnsi="Times New Roman"/>
                <w:color w:val="000000"/>
                <w:sz w:val="18"/>
                <w:szCs w:val="20"/>
                <w:lang w:val="ro-MD" w:eastAsia="ru-RU"/>
              </w:rPr>
              <w:t>mil. USD</w:t>
            </w: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20"/>
                <w:szCs w:val="20"/>
                <w:lang w:val="ro-MD" w:eastAsia="ru-RU"/>
              </w:rPr>
              <w:t>9500,0</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20"/>
                <w:szCs w:val="20"/>
                <w:lang w:val="ro-MD" w:eastAsia="ru-RU"/>
              </w:rPr>
              <w:t>9370,0</w:t>
            </w:r>
          </w:p>
        </w:tc>
      </w:tr>
      <w:tr w:rsidR="00F94E72" w:rsidRPr="00012CA3" w:rsidTr="008653E5">
        <w:trPr>
          <w:trHeight w:val="284"/>
        </w:trPr>
        <w:tc>
          <w:tcPr>
            <w:tcW w:w="5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pPr>
            <w:r w:rsidRPr="00012CA3">
              <w:rPr>
                <w:rFonts w:ascii="Times New Roman" w:hAnsi="Times New Roman"/>
                <w:color w:val="000000"/>
                <w:sz w:val="20"/>
                <w:szCs w:val="20"/>
                <w:lang w:val="ro-MD" w:eastAsia="ru-RU"/>
              </w:rPr>
              <w:t xml:space="preserve"> </w:t>
            </w:r>
            <w:r w:rsidRPr="00012CA3">
              <w:rPr>
                <w:rFonts w:ascii="Times New Roman" w:hAnsi="Times New Roman"/>
                <w:i/>
                <w:iCs/>
                <w:color w:val="000000"/>
                <w:sz w:val="20"/>
                <w:szCs w:val="20"/>
                <w:lang w:val="ro-MD" w:eastAsia="ru-RU"/>
              </w:rPr>
              <w:t>față de anul precedent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18"/>
                <w:szCs w:val="20"/>
                <w:lang w:val="ro-MD" w:eastAsia="ru-RU"/>
              </w:rPr>
              <w:t>%</w:t>
            </w: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20"/>
                <w:szCs w:val="20"/>
                <w:lang w:val="ro-MD" w:eastAsia="ru-RU"/>
              </w:rPr>
              <w:t>106,1</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20"/>
                <w:szCs w:val="20"/>
                <w:lang w:val="ro-MD" w:eastAsia="ru-RU"/>
              </w:rPr>
              <w:t>103,4</w:t>
            </w:r>
          </w:p>
        </w:tc>
      </w:tr>
      <w:tr w:rsidR="00F94E72" w:rsidRPr="00012CA3" w:rsidTr="008653E5">
        <w:trPr>
          <w:trHeight w:val="293"/>
        </w:trPr>
        <w:tc>
          <w:tcPr>
            <w:tcW w:w="5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pPr>
            <w:r w:rsidRPr="00012CA3">
              <w:rPr>
                <w:rFonts w:ascii="Times New Roman" w:hAnsi="Times New Roman"/>
                <w:b/>
                <w:bCs/>
                <w:color w:val="000000"/>
                <w:sz w:val="20"/>
                <w:szCs w:val="20"/>
                <w:lang w:val="ro-MD" w:eastAsia="ru-RU"/>
              </w:rPr>
              <w:t>Soldul balanței comerciale</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jc w:val="center"/>
            </w:pPr>
            <w:r w:rsidRPr="00012CA3">
              <w:rPr>
                <w:rFonts w:ascii="Times New Roman" w:hAnsi="Times New Roman"/>
                <w:color w:val="000000"/>
                <w:sz w:val="18"/>
                <w:szCs w:val="20"/>
                <w:lang w:val="ro-MD" w:eastAsia="ru-RU"/>
              </w:rPr>
              <w:t>mil. USD</w:t>
            </w: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20"/>
                <w:szCs w:val="20"/>
                <w:lang w:val="ro-MD" w:eastAsia="ru-RU"/>
              </w:rPr>
              <w:t>-5580,0</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20"/>
                <w:szCs w:val="20"/>
                <w:lang w:val="ro-MD" w:eastAsia="ru-RU"/>
              </w:rPr>
              <w:t>-5520,0</w:t>
            </w:r>
          </w:p>
        </w:tc>
      </w:tr>
      <w:tr w:rsidR="00F94E72" w:rsidRPr="00012CA3" w:rsidTr="008653E5">
        <w:trPr>
          <w:trHeight w:val="37"/>
        </w:trPr>
        <w:tc>
          <w:tcPr>
            <w:tcW w:w="5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pPr>
            <w:r w:rsidRPr="00012CA3">
              <w:rPr>
                <w:rFonts w:ascii="Times New Roman" w:hAnsi="Times New Roman"/>
                <w:b/>
                <w:bCs/>
                <w:color w:val="000000"/>
                <w:sz w:val="20"/>
                <w:szCs w:val="20"/>
                <w:lang w:val="ro-MD" w:eastAsia="ru-RU"/>
              </w:rPr>
              <w:t>Producția industrială</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napToGrid w:val="0"/>
              <w:spacing w:after="0"/>
              <w:jc w:val="center"/>
              <w:rPr>
                <w:rFonts w:ascii="Times New Roman" w:hAnsi="Times New Roman"/>
                <w:b/>
                <w:bCs/>
                <w:color w:val="000000"/>
                <w:sz w:val="20"/>
                <w:szCs w:val="20"/>
                <w:lang w:val="ro-MD" w:eastAsia="ru-RU"/>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p>
        </w:tc>
      </w:tr>
      <w:tr w:rsidR="00F94E72" w:rsidRPr="00012CA3" w:rsidTr="008653E5">
        <w:trPr>
          <w:trHeight w:val="37"/>
        </w:trPr>
        <w:tc>
          <w:tcPr>
            <w:tcW w:w="5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F94E72">
            <w:pPr>
              <w:numPr>
                <w:ilvl w:val="0"/>
                <w:numId w:val="12"/>
              </w:numPr>
              <w:spacing w:after="0" w:line="276" w:lineRule="auto"/>
              <w:ind w:left="164" w:hanging="164"/>
              <w:contextualSpacing/>
            </w:pPr>
            <w:r w:rsidRPr="00012CA3">
              <w:rPr>
                <w:rFonts w:ascii="Times New Roman" w:hAnsi="Times New Roman"/>
                <w:i/>
                <w:iCs/>
                <w:color w:val="000000"/>
                <w:sz w:val="20"/>
                <w:szCs w:val="20"/>
                <w:lang w:val="ro-MD" w:eastAsia="ru-RU"/>
              </w:rPr>
              <w:t>în prețuri curente</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18"/>
                <w:szCs w:val="20"/>
                <w:lang w:val="ro-MD" w:eastAsia="ru-RU"/>
              </w:rPr>
              <w:t>mild. lei</w:t>
            </w: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20"/>
                <w:szCs w:val="20"/>
                <w:lang w:val="ro-MD" w:eastAsia="ru-RU"/>
              </w:rPr>
              <w:t>94,0</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20"/>
                <w:szCs w:val="20"/>
                <w:lang w:val="ro-MD" w:eastAsia="ru-RU"/>
              </w:rPr>
              <w:t>96,6</w:t>
            </w:r>
          </w:p>
        </w:tc>
      </w:tr>
      <w:tr w:rsidR="00F94E72" w:rsidRPr="00012CA3" w:rsidTr="008653E5">
        <w:trPr>
          <w:trHeight w:val="295"/>
        </w:trPr>
        <w:tc>
          <w:tcPr>
            <w:tcW w:w="5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pPr>
            <w:r w:rsidRPr="00012CA3">
              <w:rPr>
                <w:rFonts w:ascii="Times New Roman" w:hAnsi="Times New Roman"/>
                <w:i/>
                <w:iCs/>
                <w:color w:val="000000"/>
                <w:sz w:val="20"/>
                <w:szCs w:val="20"/>
                <w:lang w:val="ro-MD" w:eastAsia="ru-RU"/>
              </w:rPr>
              <w:t>- față de anul precedent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18"/>
                <w:szCs w:val="20"/>
                <w:lang w:val="ro-MD" w:eastAsia="ru-RU"/>
              </w:rPr>
              <w:t>%</w:t>
            </w: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20"/>
                <w:szCs w:val="20"/>
                <w:lang w:val="ro-MD" w:eastAsia="ru-RU"/>
              </w:rPr>
              <w:t>103,0</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20"/>
                <w:szCs w:val="20"/>
                <w:lang w:val="ro-MD" w:eastAsia="ru-RU"/>
              </w:rPr>
              <w:t>103,0</w:t>
            </w:r>
          </w:p>
        </w:tc>
      </w:tr>
      <w:tr w:rsidR="00F94E72" w:rsidRPr="00012CA3" w:rsidTr="008653E5">
        <w:trPr>
          <w:trHeight w:val="252"/>
        </w:trPr>
        <w:tc>
          <w:tcPr>
            <w:tcW w:w="5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pPr>
            <w:r w:rsidRPr="00012CA3">
              <w:rPr>
                <w:rFonts w:ascii="Times New Roman" w:hAnsi="Times New Roman"/>
                <w:b/>
                <w:bCs/>
                <w:color w:val="000000"/>
                <w:sz w:val="20"/>
                <w:szCs w:val="20"/>
                <w:lang w:val="ro-MD" w:eastAsia="ru-RU"/>
              </w:rPr>
              <w:t>Producția agricolă</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napToGrid w:val="0"/>
              <w:spacing w:after="0"/>
              <w:jc w:val="center"/>
              <w:rPr>
                <w:rFonts w:ascii="Times New Roman" w:hAnsi="Times New Roman"/>
                <w:b/>
                <w:bCs/>
                <w:color w:val="000000"/>
                <w:sz w:val="18"/>
                <w:szCs w:val="20"/>
                <w:lang w:val="ro-MD" w:eastAsia="ru-RU"/>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p>
        </w:tc>
      </w:tr>
      <w:tr w:rsidR="00F94E72" w:rsidRPr="00012CA3" w:rsidTr="008653E5">
        <w:trPr>
          <w:trHeight w:val="212"/>
        </w:trPr>
        <w:tc>
          <w:tcPr>
            <w:tcW w:w="5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pPr>
            <w:r w:rsidRPr="00012CA3">
              <w:rPr>
                <w:rFonts w:ascii="Times New Roman" w:hAnsi="Times New Roman"/>
                <w:i/>
                <w:iCs/>
                <w:color w:val="000000"/>
                <w:sz w:val="20"/>
                <w:szCs w:val="20"/>
                <w:lang w:val="ro-MD" w:eastAsia="ru-RU"/>
              </w:rPr>
              <w:t>- în prețuri curente</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18"/>
                <w:szCs w:val="20"/>
                <w:lang w:val="ro-MD" w:eastAsia="ru-RU"/>
              </w:rPr>
              <w:t>mild. lei</w:t>
            </w: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20"/>
                <w:szCs w:val="20"/>
                <w:lang w:val="ro-MD" w:eastAsia="ru-RU"/>
              </w:rPr>
              <w:t>36,2</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20"/>
                <w:szCs w:val="20"/>
                <w:lang w:val="ro-MD" w:eastAsia="ru-RU"/>
              </w:rPr>
              <w:t>49,6</w:t>
            </w:r>
          </w:p>
        </w:tc>
      </w:tr>
      <w:tr w:rsidR="00F94E72" w:rsidRPr="00012CA3" w:rsidTr="008653E5">
        <w:trPr>
          <w:trHeight w:val="350"/>
        </w:trPr>
        <w:tc>
          <w:tcPr>
            <w:tcW w:w="5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pPr>
            <w:r w:rsidRPr="00012CA3">
              <w:rPr>
                <w:rFonts w:ascii="Times New Roman" w:hAnsi="Times New Roman"/>
                <w:i/>
                <w:iCs/>
                <w:color w:val="000000"/>
                <w:sz w:val="20"/>
                <w:szCs w:val="20"/>
                <w:lang w:val="ro-MD" w:eastAsia="ru-RU"/>
              </w:rPr>
              <w:t>- față de anul precedent în prețuri comparabile</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18"/>
                <w:szCs w:val="20"/>
                <w:lang w:val="ro-MD" w:eastAsia="ru-RU"/>
              </w:rPr>
              <w:t>%</w:t>
            </w: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20"/>
                <w:szCs w:val="20"/>
                <w:lang w:val="ro-MD" w:eastAsia="ru-RU"/>
              </w:rPr>
              <w:t>101,5</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20"/>
                <w:szCs w:val="20"/>
                <w:lang w:val="ro-MD" w:eastAsia="ru-RU"/>
              </w:rPr>
              <w:t>114,0</w:t>
            </w:r>
          </w:p>
        </w:tc>
      </w:tr>
      <w:tr w:rsidR="00F94E72" w:rsidRPr="00012CA3" w:rsidTr="008653E5">
        <w:trPr>
          <w:trHeight w:val="37"/>
        </w:trPr>
        <w:tc>
          <w:tcPr>
            <w:tcW w:w="5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pPr>
            <w:r w:rsidRPr="00012CA3">
              <w:rPr>
                <w:rFonts w:ascii="Times New Roman" w:hAnsi="Times New Roman"/>
                <w:b/>
                <w:bCs/>
                <w:color w:val="000000"/>
                <w:sz w:val="20"/>
                <w:szCs w:val="20"/>
                <w:lang w:val="ro-MD" w:eastAsia="ru-RU"/>
              </w:rPr>
              <w:t>Investiții în active imobilizate</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napToGrid w:val="0"/>
              <w:spacing w:after="0"/>
              <w:jc w:val="center"/>
              <w:rPr>
                <w:rFonts w:ascii="Times New Roman" w:hAnsi="Times New Roman"/>
                <w:b/>
                <w:bCs/>
                <w:color w:val="000000"/>
                <w:sz w:val="18"/>
                <w:szCs w:val="20"/>
                <w:lang w:val="ro-MD" w:eastAsia="ru-RU"/>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p>
        </w:tc>
      </w:tr>
      <w:tr w:rsidR="00F94E72" w:rsidRPr="00012CA3" w:rsidTr="008653E5">
        <w:trPr>
          <w:trHeight w:val="205"/>
        </w:trPr>
        <w:tc>
          <w:tcPr>
            <w:tcW w:w="5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pPr>
            <w:r w:rsidRPr="00012CA3">
              <w:rPr>
                <w:rFonts w:ascii="Times New Roman" w:hAnsi="Times New Roman"/>
                <w:i/>
                <w:iCs/>
                <w:color w:val="000000"/>
                <w:sz w:val="20"/>
                <w:szCs w:val="20"/>
                <w:lang w:val="ro-MD" w:eastAsia="ru-RU"/>
              </w:rPr>
              <w:t>- în prețuri curente</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18"/>
                <w:szCs w:val="20"/>
                <w:lang w:val="ro-MD" w:eastAsia="ru-RU"/>
              </w:rPr>
              <w:t>mild. lei</w:t>
            </w: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20"/>
                <w:szCs w:val="20"/>
                <w:lang w:val="ro-MD" w:eastAsia="ru-RU"/>
              </w:rPr>
              <w:t>44,1</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20"/>
                <w:szCs w:val="20"/>
                <w:lang w:val="ro-MD" w:eastAsia="ru-RU"/>
              </w:rPr>
              <w:t>47,3</w:t>
            </w:r>
          </w:p>
        </w:tc>
      </w:tr>
      <w:tr w:rsidR="00F94E72" w:rsidRPr="00012CA3" w:rsidTr="008653E5">
        <w:trPr>
          <w:trHeight w:val="344"/>
        </w:trPr>
        <w:tc>
          <w:tcPr>
            <w:tcW w:w="5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pPr>
            <w:r w:rsidRPr="00012CA3">
              <w:rPr>
                <w:rFonts w:ascii="Times New Roman" w:hAnsi="Times New Roman"/>
                <w:i/>
                <w:iCs/>
                <w:color w:val="000000"/>
                <w:sz w:val="20"/>
                <w:szCs w:val="20"/>
                <w:lang w:val="ro-MD" w:eastAsia="ru-RU"/>
              </w:rPr>
              <w:t>- față de anul precedent în prețuri comparabile</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18"/>
                <w:szCs w:val="20"/>
                <w:lang w:val="ro-MD" w:eastAsia="ru-RU"/>
              </w:rPr>
              <w:t>%</w:t>
            </w: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20"/>
                <w:szCs w:val="20"/>
                <w:lang w:val="ro-MD" w:eastAsia="ru-RU"/>
              </w:rPr>
              <w:t>103,3</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20"/>
                <w:szCs w:val="20"/>
                <w:lang w:val="ro-MD" w:eastAsia="ru-RU"/>
              </w:rPr>
              <w:t>103,7</w:t>
            </w:r>
          </w:p>
        </w:tc>
      </w:tr>
      <w:tr w:rsidR="00F94E72" w:rsidRPr="00012CA3" w:rsidTr="008653E5">
        <w:trPr>
          <w:trHeight w:val="222"/>
        </w:trPr>
        <w:tc>
          <w:tcPr>
            <w:tcW w:w="5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pPr>
            <w:r w:rsidRPr="00012CA3">
              <w:rPr>
                <w:rFonts w:ascii="Times New Roman" w:hAnsi="Times New Roman"/>
                <w:b/>
                <w:bCs/>
                <w:color w:val="000000"/>
                <w:sz w:val="20"/>
                <w:szCs w:val="20"/>
                <w:lang w:val="ro-MD" w:eastAsia="ru-RU"/>
              </w:rPr>
              <w:t>Fondul de remunerare a muncii</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18"/>
                <w:szCs w:val="20"/>
                <w:lang w:val="ro-MD" w:eastAsia="ru-RU"/>
              </w:rPr>
              <w:t>mild. lei</w:t>
            </w: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20"/>
                <w:szCs w:val="20"/>
                <w:lang w:val="ro-MD" w:eastAsia="ru-RU"/>
              </w:rPr>
              <w:t>121,5</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20"/>
                <w:szCs w:val="20"/>
                <w:lang w:val="ro-MD" w:eastAsia="ru-RU"/>
              </w:rPr>
              <w:t>118,1</w:t>
            </w:r>
          </w:p>
        </w:tc>
      </w:tr>
      <w:tr w:rsidR="00F94E72" w:rsidRPr="00012CA3" w:rsidTr="008653E5">
        <w:trPr>
          <w:trHeight w:val="196"/>
        </w:trPr>
        <w:tc>
          <w:tcPr>
            <w:tcW w:w="5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pPr>
            <w:r w:rsidRPr="00012CA3">
              <w:rPr>
                <w:rFonts w:ascii="Times New Roman" w:hAnsi="Times New Roman"/>
                <w:i/>
                <w:iCs/>
                <w:color w:val="000000"/>
                <w:sz w:val="20"/>
                <w:szCs w:val="20"/>
                <w:lang w:val="ro-MD" w:eastAsia="ru-RU"/>
              </w:rPr>
              <w:t xml:space="preserve"> față de anul precedent în prețuri curente</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18"/>
                <w:szCs w:val="20"/>
                <w:lang w:val="ro-MD" w:eastAsia="ru-RU"/>
              </w:rPr>
              <w:t>%</w:t>
            </w: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20"/>
                <w:szCs w:val="20"/>
                <w:lang w:val="ro-MD" w:eastAsia="ru-RU"/>
              </w:rPr>
              <w:t>107,7</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20"/>
                <w:szCs w:val="20"/>
                <w:lang w:val="ro-MD" w:eastAsia="ru-RU"/>
              </w:rPr>
              <w:t>104,9</w:t>
            </w:r>
          </w:p>
        </w:tc>
      </w:tr>
      <w:tr w:rsidR="00F94E72" w:rsidRPr="00012CA3" w:rsidTr="008653E5">
        <w:trPr>
          <w:trHeight w:val="317"/>
        </w:trPr>
        <w:tc>
          <w:tcPr>
            <w:tcW w:w="5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pPr>
            <w:r w:rsidRPr="00012CA3">
              <w:rPr>
                <w:rFonts w:ascii="Times New Roman" w:hAnsi="Times New Roman"/>
                <w:i/>
                <w:iCs/>
                <w:color w:val="000000"/>
                <w:sz w:val="20"/>
                <w:szCs w:val="20"/>
                <w:lang w:val="ro-MD" w:eastAsia="ru-RU"/>
              </w:rPr>
              <w:t>- față de anul precedent în prețuri comparabile</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18"/>
                <w:szCs w:val="20"/>
                <w:lang w:val="ro-MD" w:eastAsia="ru-RU"/>
              </w:rPr>
              <w:t>%</w:t>
            </w: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20"/>
                <w:szCs w:val="20"/>
                <w:lang w:val="ro-MD" w:eastAsia="ru-RU"/>
              </w:rPr>
              <w:t>112,7</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20"/>
                <w:szCs w:val="20"/>
                <w:lang w:val="ro-MD" w:eastAsia="ru-RU"/>
              </w:rPr>
              <w:t>112,5</w:t>
            </w:r>
          </w:p>
        </w:tc>
      </w:tr>
      <w:tr w:rsidR="00F94E72" w:rsidRPr="00012CA3" w:rsidTr="008653E5">
        <w:trPr>
          <w:trHeight w:val="285"/>
        </w:trPr>
        <w:tc>
          <w:tcPr>
            <w:tcW w:w="5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pPr>
            <w:r w:rsidRPr="00012CA3">
              <w:rPr>
                <w:rFonts w:ascii="Times New Roman" w:hAnsi="Times New Roman"/>
                <w:b/>
                <w:bCs/>
                <w:color w:val="000000"/>
                <w:sz w:val="20"/>
                <w:szCs w:val="20"/>
                <w:lang w:val="ro-MD" w:eastAsia="ru-RU"/>
              </w:rPr>
              <w:t>Salariul nominal mediu lunar</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18"/>
                <w:szCs w:val="20"/>
                <w:lang w:val="ro-MD" w:eastAsia="ru-RU"/>
              </w:rPr>
              <w:t>lei</w:t>
            </w: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20"/>
                <w:szCs w:val="20"/>
                <w:lang w:val="ro-MD" w:eastAsia="ru-RU"/>
              </w:rPr>
              <w:t>16100</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20"/>
                <w:szCs w:val="20"/>
                <w:lang w:val="ro-MD" w:eastAsia="ru-RU"/>
              </w:rPr>
              <w:t>15800</w:t>
            </w:r>
          </w:p>
        </w:tc>
      </w:tr>
      <w:tr w:rsidR="00F94E72" w:rsidRPr="00012CA3" w:rsidTr="008653E5">
        <w:trPr>
          <w:trHeight w:val="289"/>
        </w:trPr>
        <w:tc>
          <w:tcPr>
            <w:tcW w:w="5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pPr>
            <w:r w:rsidRPr="00012CA3">
              <w:rPr>
                <w:rFonts w:ascii="Times New Roman" w:hAnsi="Times New Roman"/>
                <w:i/>
                <w:iCs/>
                <w:color w:val="000000"/>
                <w:sz w:val="20"/>
                <w:szCs w:val="20"/>
                <w:lang w:val="ro-MD" w:eastAsia="ru-RU"/>
              </w:rPr>
              <w:t xml:space="preserve"> față de anul precedent în prețuri curente</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sz w:val="18"/>
                <w:szCs w:val="20"/>
                <w:lang w:val="ro-MD" w:eastAsia="ro-RO"/>
              </w:rPr>
              <w:t>%</w:t>
            </w: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20"/>
                <w:szCs w:val="20"/>
                <w:lang w:val="ro-MD" w:eastAsia="ru-RU"/>
              </w:rPr>
              <w:t>112,6</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E72" w:rsidRPr="00012CA3" w:rsidRDefault="00F94E72" w:rsidP="007F57FA">
            <w:pPr>
              <w:spacing w:after="0"/>
              <w:jc w:val="center"/>
            </w:pPr>
            <w:r w:rsidRPr="00012CA3">
              <w:rPr>
                <w:rFonts w:ascii="Times New Roman" w:hAnsi="Times New Roman"/>
                <w:color w:val="000000"/>
                <w:sz w:val="20"/>
                <w:szCs w:val="20"/>
                <w:lang w:val="ro-MD" w:eastAsia="ru-RU"/>
              </w:rPr>
              <w:t>112,7</w:t>
            </w:r>
          </w:p>
        </w:tc>
      </w:tr>
    </w:tbl>
    <w:p w:rsidR="00C82F48" w:rsidRPr="00012CA3" w:rsidRDefault="00C82F48">
      <w:pPr>
        <w:spacing w:after="0" w:line="276" w:lineRule="auto"/>
        <w:ind w:firstLine="360"/>
        <w:jc w:val="both"/>
        <w:rPr>
          <w:rFonts w:ascii="Times New Roman" w:hAnsi="Times New Roman"/>
          <w:sz w:val="28"/>
          <w:szCs w:val="28"/>
          <w:lang w:val="ro-MD"/>
        </w:rPr>
      </w:pPr>
    </w:p>
    <w:p w:rsidR="007B4571" w:rsidRPr="005F73CC" w:rsidRDefault="007B4571" w:rsidP="007B4571">
      <w:pPr>
        <w:spacing w:after="0" w:line="276" w:lineRule="auto"/>
        <w:ind w:firstLine="567"/>
        <w:jc w:val="both"/>
        <w:rPr>
          <w:rFonts w:ascii="Times New Roman" w:hAnsi="Times New Roman"/>
          <w:sz w:val="28"/>
          <w:szCs w:val="28"/>
          <w:lang w:val="ro-MD"/>
        </w:rPr>
      </w:pPr>
      <w:r w:rsidRPr="005F73CC">
        <w:rPr>
          <w:rFonts w:ascii="Times New Roman" w:hAnsi="Times New Roman"/>
          <w:b/>
          <w:i/>
          <w:sz w:val="28"/>
          <w:szCs w:val="28"/>
          <w:lang w:val="ro-MD"/>
        </w:rPr>
        <w:t xml:space="preserve">Produsul Intern Brut </w:t>
      </w:r>
      <w:r w:rsidRPr="005F73CC">
        <w:rPr>
          <w:rFonts w:ascii="Times New Roman" w:hAnsi="Times New Roman"/>
          <w:sz w:val="28"/>
          <w:szCs w:val="28"/>
          <w:lang w:val="ro-MD"/>
        </w:rPr>
        <w:t>a constituit 73,0 miliarde lei în trimestrul I al anului 2025, fiind în descreștere cu 1,2% față de trimestrul I 2024. Evoluția negativă a PIB-ului față de anul precedent a fost influențată în principal de contracția industriei prelucrătoare, care s-a confruntat cu provocări majore în sectorul energetic, și agriculturii – afectată de consecințele secetei din anul trecut.</w:t>
      </w:r>
      <w:r w:rsidRPr="005F73CC">
        <w:t xml:space="preserve"> </w:t>
      </w:r>
      <w:r w:rsidRPr="005F73CC">
        <w:rPr>
          <w:rFonts w:ascii="Times New Roman" w:hAnsi="Times New Roman"/>
          <w:sz w:val="28"/>
          <w:szCs w:val="28"/>
          <w:lang w:val="ro-MD"/>
        </w:rPr>
        <w:t>Scăderea a fost motivată și de deteriorarea balanței comerciale: exporturile s-au redus cu 19%, în timp ce importurile au crescut cu 21</w:t>
      </w:r>
      <w:r w:rsidR="005F1701" w:rsidRPr="005F73CC">
        <w:rPr>
          <w:rFonts w:ascii="Times New Roman" w:hAnsi="Times New Roman"/>
          <w:sz w:val="28"/>
          <w:szCs w:val="28"/>
          <w:lang w:val="ro-MD"/>
        </w:rPr>
        <w:t xml:space="preserve"> la sută</w:t>
      </w:r>
      <w:r w:rsidRPr="005F73CC">
        <w:rPr>
          <w:rFonts w:ascii="Times New Roman" w:hAnsi="Times New Roman"/>
          <w:sz w:val="28"/>
          <w:szCs w:val="28"/>
          <w:lang w:val="ro-MD"/>
        </w:rPr>
        <w:t>.</w:t>
      </w:r>
    </w:p>
    <w:p w:rsidR="007B4571" w:rsidRPr="005F73CC" w:rsidRDefault="007B4571" w:rsidP="007B4571">
      <w:pPr>
        <w:spacing w:after="0" w:line="276" w:lineRule="auto"/>
        <w:ind w:firstLine="567"/>
        <w:jc w:val="both"/>
        <w:rPr>
          <w:rFonts w:ascii="Times New Roman" w:hAnsi="Times New Roman"/>
          <w:sz w:val="28"/>
          <w:szCs w:val="28"/>
          <w:lang w:val="ro-MD"/>
        </w:rPr>
      </w:pPr>
      <w:r w:rsidRPr="005F73CC">
        <w:rPr>
          <w:rFonts w:ascii="Times New Roman" w:hAnsi="Times New Roman"/>
          <w:sz w:val="28"/>
          <w:szCs w:val="28"/>
          <w:lang w:val="ro-MD"/>
        </w:rPr>
        <w:lastRenderedPageBreak/>
        <w:t>Pe de altă parte,</w:t>
      </w:r>
      <w:r w:rsidRPr="005F73CC">
        <w:t xml:space="preserve"> </w:t>
      </w:r>
      <w:r w:rsidRPr="005F73CC">
        <w:rPr>
          <w:rFonts w:ascii="Times New Roman" w:hAnsi="Times New Roman"/>
          <w:sz w:val="28"/>
          <w:szCs w:val="28"/>
          <w:lang w:val="ro-MD"/>
        </w:rPr>
        <w:t>majorarea cererii interne, prin consumul populației și investiții, a contribuit la creșterea volumului importurilor, consolidând astfel bazele de dezvoltare economică pe termen lung. Astfel, investițiile au înregistrat un avans semnificativ de 16%, contribuind cu 3,2 puncte procentuale la formarea PIB. Investițiile de utilaje și echipamente care au crescut cu 30%, iar cele în construcții cu 16%. Un aspect pozitiv important este reprezentat de exporturile de servicii, care au crescut cu 9,5% față de trimestrul I al anului 2024 și au ajuns să reprezinte 47,3% din totalul exporturilor. Această creștere robustă a contribuit la temperarea efectelor generate de scăderea livrărilor de bunuri și confirmă tendința de transformare structurală a economiei către sectoare cu valoare adăugată ridicată. De menționat că consumul populației a crescut cu peste 6%, influențând pozitiv PIB-ul cu 5,2 puncte procentuale.</w:t>
      </w:r>
    </w:p>
    <w:p w:rsidR="006161FC" w:rsidRDefault="006161FC" w:rsidP="00697662">
      <w:pPr>
        <w:spacing w:after="0" w:line="276" w:lineRule="auto"/>
        <w:ind w:firstLine="567"/>
        <w:jc w:val="both"/>
        <w:rPr>
          <w:rFonts w:ascii="Times New Roman" w:hAnsi="Times New Roman"/>
          <w:sz w:val="28"/>
          <w:szCs w:val="28"/>
        </w:rPr>
      </w:pPr>
      <w:r w:rsidRPr="006161FC">
        <w:rPr>
          <w:rFonts w:ascii="Times New Roman" w:hAnsi="Times New Roman"/>
          <w:b/>
          <w:i/>
          <w:sz w:val="28"/>
          <w:szCs w:val="28"/>
          <w:lang w:val="ro-MD"/>
        </w:rPr>
        <w:t>Sectorul industrial</w:t>
      </w:r>
      <w:r w:rsidRPr="006161FC">
        <w:rPr>
          <w:rFonts w:ascii="Times New Roman" w:hAnsi="Times New Roman"/>
          <w:sz w:val="28"/>
          <w:szCs w:val="28"/>
          <w:lang w:val="ro-MD"/>
        </w:rPr>
        <w:t xml:space="preserve"> s-a menținut</w:t>
      </w:r>
      <w:r w:rsidRPr="006161FC">
        <w:rPr>
          <w:rFonts w:ascii="Times New Roman" w:hAnsi="Times New Roman"/>
          <w:sz w:val="28"/>
          <w:szCs w:val="28"/>
        </w:rPr>
        <w:t xml:space="preserve"> în declin în I trimestru al anului 2025, fiind influențat de cererea externă anemică, consecințele crizei energetice și războiul din țara vecină</w:t>
      </w:r>
      <w:r w:rsidRPr="006161FC">
        <w:rPr>
          <w:rFonts w:ascii="Times New Roman" w:hAnsi="Times New Roman"/>
          <w:sz w:val="28"/>
          <w:szCs w:val="28"/>
          <w:lang w:val="ro-MD"/>
        </w:rPr>
        <w:t xml:space="preserve">. </w:t>
      </w:r>
      <w:r w:rsidRPr="006161FC">
        <w:rPr>
          <w:rFonts w:ascii="Times New Roman" w:hAnsi="Times New Roman"/>
          <w:sz w:val="28"/>
          <w:szCs w:val="28"/>
        </w:rPr>
        <w:t xml:space="preserve">Producția industrială a scăzut cu 1,2% față de aceiași perioadă a anului trecut, principalul factor fiind declinul industriei prelucrătoare (-2,9%). Totodată, s-au înregistrat creșteri în industria extractivă (+34,0%) și la producția și furnizarea de energie electrică și termică, gaze, apă caldă și aer condiționat (+1,0%). </w:t>
      </w:r>
    </w:p>
    <w:p w:rsidR="00A4757D" w:rsidRPr="00EE2F51" w:rsidRDefault="00A4757D" w:rsidP="00A4757D">
      <w:pPr>
        <w:spacing w:after="0" w:line="276" w:lineRule="auto"/>
        <w:ind w:firstLine="567"/>
        <w:jc w:val="both"/>
        <w:rPr>
          <w:rFonts w:ascii="Times New Roman" w:hAnsi="Times New Roman"/>
          <w:sz w:val="28"/>
          <w:szCs w:val="28"/>
          <w:lang w:val="ro-MD"/>
        </w:rPr>
      </w:pPr>
      <w:bookmarkStart w:id="3" w:name="_Toc175311669"/>
      <w:r w:rsidRPr="00EE2F51">
        <w:rPr>
          <w:rFonts w:ascii="Times New Roman" w:hAnsi="Times New Roman"/>
          <w:sz w:val="28"/>
          <w:szCs w:val="28"/>
          <w:lang w:val="ro-MD"/>
        </w:rPr>
        <w:t xml:space="preserve">Volumul </w:t>
      </w:r>
      <w:r w:rsidRPr="00EE2F51">
        <w:rPr>
          <w:rFonts w:ascii="Times New Roman" w:hAnsi="Times New Roman"/>
          <w:b/>
          <w:i/>
          <w:sz w:val="28"/>
          <w:szCs w:val="28"/>
          <w:lang w:val="ro-MD"/>
        </w:rPr>
        <w:t>producției agricole</w:t>
      </w:r>
      <w:r w:rsidRPr="00EE2F51">
        <w:rPr>
          <w:rFonts w:ascii="Times New Roman" w:hAnsi="Times New Roman"/>
          <w:sz w:val="28"/>
          <w:szCs w:val="28"/>
          <w:lang w:val="ro-MD"/>
        </w:rPr>
        <w:t xml:space="preserve"> a scăzut cu 9,5% în trimestrul I al anului 2025 față de aceeași perioadă a anului trecut.</w:t>
      </w:r>
      <w:r w:rsidRPr="00EE2F51">
        <w:rPr>
          <w:rFonts w:ascii="Times New Roman" w:hAnsi="Times New Roman"/>
          <w:sz w:val="28"/>
          <w:szCs w:val="28"/>
        </w:rPr>
        <w:t xml:space="preserve"> </w:t>
      </w:r>
      <w:r w:rsidRPr="00EE2F51">
        <w:rPr>
          <w:rFonts w:ascii="Times New Roman" w:hAnsi="Times New Roman"/>
          <w:sz w:val="28"/>
          <w:szCs w:val="28"/>
          <w:lang w:val="ro-MD"/>
        </w:rPr>
        <w:t>Declinul a fost determinat în principal de reducerea producției animaliere cu 10%, aceasta reprezentând 97,4% din volumul total al producției agricole în această perioadă. Scăderea producției animaliere a fost cauzată, în special, de reducerea efectivului de porcine, determinată în cea mai mare măsură de infectarea cu Pesta porcină africană, care a înregistrat un declin de 18,9%, în timp ce sectorul vegetal a înregistrat creștere cu 6,1 la sută.</w:t>
      </w:r>
    </w:p>
    <w:p w:rsidR="00A4757D" w:rsidRPr="00EE2F51" w:rsidRDefault="00A4757D" w:rsidP="00A4757D">
      <w:pPr>
        <w:spacing w:after="0" w:line="276" w:lineRule="auto"/>
        <w:ind w:firstLine="567"/>
        <w:jc w:val="both"/>
        <w:rPr>
          <w:rFonts w:ascii="Times New Roman" w:hAnsi="Times New Roman"/>
          <w:sz w:val="28"/>
          <w:szCs w:val="28"/>
          <w:lang w:val="ro-MD"/>
        </w:rPr>
      </w:pPr>
      <w:r w:rsidRPr="00EE2F51">
        <w:rPr>
          <w:rFonts w:ascii="Times New Roman" w:hAnsi="Times New Roman"/>
          <w:sz w:val="28"/>
          <w:szCs w:val="28"/>
          <w:lang w:val="ro-MD"/>
        </w:rPr>
        <w:t xml:space="preserve"> În primul trimestru al anului 2025, </w:t>
      </w:r>
      <w:r w:rsidRPr="00EE2F51">
        <w:rPr>
          <w:rFonts w:ascii="Times New Roman" w:hAnsi="Times New Roman"/>
          <w:b/>
          <w:i/>
          <w:sz w:val="28"/>
          <w:szCs w:val="28"/>
          <w:lang w:val="ro-MD"/>
        </w:rPr>
        <w:t xml:space="preserve">comerțul </w:t>
      </w:r>
      <w:r w:rsidRPr="00EE2F51">
        <w:rPr>
          <w:rFonts w:ascii="Times New Roman" w:hAnsi="Times New Roman"/>
          <w:sz w:val="28"/>
          <w:szCs w:val="28"/>
          <w:lang w:val="ro-MD"/>
        </w:rPr>
        <w:t>cu amănuntul a crescut cu 3,3% față de aceeași perioadă din 2024, semnalând o ușoară revigorare a consumului de bunuri de larg consum, susținută de o cerere stabilă din partea gospodăriilor. În același timp, serviciile prestate populației au avansat cu 10%, indicând o revitalizare a cererii pentru servicii personale și recreative, pe fondul unei încrederi sporite a consumatorilor și al unei posibile reorientări a comportamentului de consum către servicii.</w:t>
      </w:r>
    </w:p>
    <w:p w:rsidR="00A4757D" w:rsidRPr="00EE2F51" w:rsidRDefault="00A4757D" w:rsidP="00A4757D">
      <w:pPr>
        <w:spacing w:after="0" w:line="276" w:lineRule="auto"/>
        <w:ind w:firstLine="567"/>
        <w:jc w:val="both"/>
        <w:rPr>
          <w:rFonts w:ascii="Times New Roman" w:hAnsi="Times New Roman"/>
          <w:sz w:val="28"/>
          <w:szCs w:val="28"/>
          <w:lang w:val="ro-MD"/>
        </w:rPr>
      </w:pPr>
      <w:r w:rsidRPr="00EE2F51">
        <w:rPr>
          <w:rFonts w:ascii="Times New Roman" w:hAnsi="Times New Roman"/>
          <w:sz w:val="28"/>
          <w:szCs w:val="28"/>
          <w:lang w:val="ro-MD"/>
        </w:rPr>
        <w:t>Comerțul cu ridicata s-a redus cu 2%, sugerând o posibilă scădere a cererii intermediare sau o încetinire a activității comerciale între companii, pe fondul stocurilor acumulate sau al unei cereri finale mai slabe. În contrast, serviciile furnizate companiilor au crescut cu 7,6% față de aceeași perioadă a anului precedent, reflectând o intensificare a activității economice în sectorul corporativ și o cerere sporită pentru servicii specializate, asociată cu investiții, digitalizare și extinderea operațiunilor.</w:t>
      </w:r>
    </w:p>
    <w:p w:rsidR="00A4757D" w:rsidRPr="00EE2F51" w:rsidRDefault="00A4757D" w:rsidP="00A4757D">
      <w:pPr>
        <w:spacing w:after="0" w:line="276" w:lineRule="auto"/>
        <w:ind w:firstLine="567"/>
        <w:jc w:val="both"/>
        <w:rPr>
          <w:rFonts w:ascii="Times New Roman" w:hAnsi="Times New Roman"/>
          <w:sz w:val="28"/>
          <w:szCs w:val="28"/>
          <w:lang w:val="ro-MD"/>
        </w:rPr>
      </w:pPr>
      <w:r w:rsidRPr="00EE2F51">
        <w:rPr>
          <w:rFonts w:ascii="Times New Roman" w:hAnsi="Times New Roman"/>
          <w:b/>
          <w:i/>
          <w:sz w:val="28"/>
          <w:szCs w:val="28"/>
          <w:lang w:val="ro-MD"/>
        </w:rPr>
        <w:lastRenderedPageBreak/>
        <w:t>Investițiile private</w:t>
      </w:r>
      <w:r w:rsidRPr="00EE2F51">
        <w:rPr>
          <w:rFonts w:ascii="Times New Roman" w:hAnsi="Times New Roman"/>
          <w:sz w:val="28"/>
          <w:szCs w:val="28"/>
          <w:lang w:val="ro-MD"/>
        </w:rPr>
        <w:t xml:space="preserve"> se mențin în creștere constantă. În I trimestru al anului 2025 volumul investițiilor în active imobilizate s-a majorat cu 23,9%, însumând 6,3 mld. lei. Investițiile proprii ale agenților economici au înregistrat o creștere cu 26,8%, datorită promovării politicilor de stimulare a investițiilor. Au fost în creștere și investițiile finanțate din credite și împrumuturi interne (în creștere de circa 2 ori), din bugetul public național (+5,1%) și din sursele fondului rutier (+4,3%). Totodată, rămân în diminuare investițiile finanțate din credite și împrumuturi externe (-32,2%), precum și investițiile finanțate din străinătate (-20%).</w:t>
      </w:r>
    </w:p>
    <w:p w:rsidR="00A4757D" w:rsidRPr="00EE2F51" w:rsidRDefault="00A4757D" w:rsidP="00A4757D">
      <w:pPr>
        <w:spacing w:after="0" w:line="276" w:lineRule="auto"/>
        <w:ind w:firstLine="567"/>
        <w:jc w:val="both"/>
        <w:rPr>
          <w:rFonts w:ascii="Times New Roman" w:hAnsi="Times New Roman"/>
          <w:sz w:val="28"/>
          <w:szCs w:val="28"/>
          <w:lang w:val="ro-MD"/>
        </w:rPr>
      </w:pPr>
      <w:r w:rsidRPr="00EE2F51">
        <w:rPr>
          <w:rFonts w:ascii="Times New Roman" w:hAnsi="Times New Roman"/>
          <w:b/>
          <w:i/>
          <w:sz w:val="28"/>
          <w:szCs w:val="28"/>
          <w:lang w:val="ro-MD"/>
        </w:rPr>
        <w:t>Rata inflației anuală</w:t>
      </w:r>
      <w:r w:rsidRPr="00EE2F51">
        <w:rPr>
          <w:rFonts w:ascii="Times New Roman" w:hAnsi="Times New Roman"/>
          <w:sz w:val="28"/>
          <w:szCs w:val="28"/>
          <w:lang w:val="ro-MD"/>
        </w:rPr>
        <w:t xml:space="preserve"> (martie 2025 față de martie 2024) a constituit 8,8 la sută în trimestrul I 2025, fiind cu circa 2,9 puncte procentuale mai mare față de trimestrul precedent situându-se astfel peste limita superioară a intervalului de variație a țintei inflației stabilite de BNM (5% +/- 1,5%). Traiectoria ascendentă a ratei anuale a inflației din ultimele luni a fost susținută de unele evoluții sectoriale adverse, printre care ajustarea tarifului la gazul din rețea, la energia termică și la energia electrică, precum și de condițiile secetoase din vara anului precedent care au determinat creșterea prețurilor la produsele alimentare.</w:t>
      </w:r>
    </w:p>
    <w:p w:rsidR="00A4757D" w:rsidRPr="00EE2F51" w:rsidRDefault="00A4757D" w:rsidP="00A4757D">
      <w:pPr>
        <w:spacing w:after="0" w:line="276" w:lineRule="auto"/>
        <w:ind w:firstLine="567"/>
        <w:jc w:val="both"/>
        <w:rPr>
          <w:rFonts w:ascii="Times New Roman" w:hAnsi="Times New Roman"/>
          <w:sz w:val="28"/>
          <w:szCs w:val="28"/>
          <w:lang w:val="ro-MD"/>
        </w:rPr>
      </w:pPr>
      <w:r w:rsidRPr="00EE2F51">
        <w:rPr>
          <w:rFonts w:ascii="Times New Roman" w:hAnsi="Times New Roman"/>
          <w:b/>
          <w:i/>
          <w:sz w:val="28"/>
          <w:szCs w:val="28"/>
          <w:lang w:val="ro-MD"/>
        </w:rPr>
        <w:t>Leul moldovenesc</w:t>
      </w:r>
      <w:r w:rsidRPr="00EE2F51">
        <w:rPr>
          <w:rFonts w:ascii="Times New Roman" w:hAnsi="Times New Roman"/>
          <w:sz w:val="28"/>
          <w:szCs w:val="28"/>
          <w:lang w:val="ro-MD"/>
        </w:rPr>
        <w:t xml:space="preserve"> s-a depreciat față de Euro și s-a apreciat față de dolarul SUA. În martie 2025 moneda națională a marcat o depreciere de 0,7% față de Euro în termeni nominali (de la 19,31 lei pentru 1 Euro la 01.01.2025 până la 19,45 lei la 31.03.2025). Față de dolarul SUA , leul moldovenesc s-a apreciat cu 0,7%. Stocul activelor valutare de rezervă ale BNM la sfârșitul lunii martie 2025 a atins   5 050,9 mil. Euro (asigurând circa 5 luni de import),micșorându-se cu 3,7% comparativ cu nivelul înregistrat la sfârșitul anului 2024 și fiind în creștere cu 1% - față de situația la 29.03.2025.</w:t>
      </w:r>
    </w:p>
    <w:p w:rsidR="00A4757D" w:rsidRPr="00EE2F51" w:rsidRDefault="00A4757D" w:rsidP="00A4757D">
      <w:pPr>
        <w:spacing w:after="0" w:line="276" w:lineRule="auto"/>
        <w:ind w:firstLine="567"/>
        <w:jc w:val="both"/>
        <w:rPr>
          <w:rFonts w:ascii="Times New Roman" w:hAnsi="Times New Roman"/>
          <w:sz w:val="28"/>
          <w:szCs w:val="28"/>
          <w:lang w:val="ro-MD"/>
        </w:rPr>
      </w:pPr>
      <w:r w:rsidRPr="00EE2F51">
        <w:rPr>
          <w:rFonts w:ascii="Times New Roman" w:hAnsi="Times New Roman"/>
          <w:b/>
          <w:i/>
          <w:sz w:val="28"/>
          <w:szCs w:val="28"/>
          <w:lang w:val="ro-MD"/>
        </w:rPr>
        <w:t>Deficitul contului curent al balanței de plăți externe</w:t>
      </w:r>
      <w:r w:rsidRPr="00EE2F51">
        <w:rPr>
          <w:rFonts w:ascii="Times New Roman" w:hAnsi="Times New Roman"/>
          <w:sz w:val="28"/>
          <w:szCs w:val="28"/>
          <w:lang w:val="ro-MD"/>
        </w:rPr>
        <w:t xml:space="preserve"> a înregistrat o deteriorare. Restabilirea cererii interne și micșorarea continuă a remiterilor primite din străinătate au condus la creșterea de 2,3 ori a deficitului contului curent al balanței de plăți în ianuarie-martie 2025, atingând 1 mld. dolari (25,8% în raport cu PIB). Apropierea de zona conflictului și situația complicată din regiune au afectat volumul remiterilor personale primite din străinătate, care s-au diminuat cu 5%, constituind 411,3 mil. dolari (10,4% raportat la PIB). Concomitent, intrările de investiții străine directe au fost în creștere de 2,3 ori față de 3 luni 2024, datorate în mare parte profiturilor reinvestite.</w:t>
      </w:r>
      <w:r w:rsidRPr="00EE2F51">
        <w:rPr>
          <w:rFonts w:ascii="Times New Roman" w:hAnsi="Times New Roman"/>
          <w:sz w:val="28"/>
          <w:szCs w:val="28"/>
          <w:lang w:val="ro-MD"/>
        </w:rPr>
        <w:cr/>
        <w:t xml:space="preserve">       </w:t>
      </w:r>
      <w:r w:rsidRPr="00EE2F51">
        <w:rPr>
          <w:rFonts w:ascii="Times New Roman" w:hAnsi="Times New Roman"/>
          <w:b/>
          <w:i/>
          <w:sz w:val="28"/>
          <w:szCs w:val="28"/>
          <w:lang w:val="ro-MD"/>
        </w:rPr>
        <w:t>Exporturile</w:t>
      </w:r>
      <w:r w:rsidRPr="00EE2F51">
        <w:rPr>
          <w:rFonts w:ascii="Times New Roman" w:hAnsi="Times New Roman"/>
          <w:sz w:val="28"/>
          <w:szCs w:val="28"/>
          <w:lang w:val="ro-MD"/>
        </w:rPr>
        <w:t xml:space="preserve"> au înregistrat o scădere semnificativă, influențată în principal de reducerea cererii externe. În trimestrul I 2025, exporturile au însumat 811,5 milioane dolari SUA, în scădere cu 11,9% față de aceeași perioadă 2024. Principalii factori care au contribuit la această involuție au fost cererea externă slabă și diminuarea potențialului de export. Totuși, aproape jumătate din această </w:t>
      </w:r>
      <w:r w:rsidRPr="00EE2F51">
        <w:rPr>
          <w:rFonts w:ascii="Times New Roman" w:hAnsi="Times New Roman"/>
          <w:sz w:val="28"/>
          <w:szCs w:val="28"/>
          <w:lang w:val="ro-MD"/>
        </w:rPr>
        <w:lastRenderedPageBreak/>
        <w:t xml:space="preserve">scădere este atribuită reducerii reexporturilor cu 16,4%, în timp ce exporturile autohtone s-au diminuat cu 10,7%. În paralel, creșterea cererii interne a determinat o majorare a valorii </w:t>
      </w:r>
      <w:r w:rsidRPr="00EE2F51">
        <w:rPr>
          <w:rFonts w:ascii="Times New Roman" w:hAnsi="Times New Roman"/>
          <w:b/>
          <w:i/>
          <w:sz w:val="28"/>
          <w:szCs w:val="28"/>
          <w:lang w:val="ro-MD"/>
        </w:rPr>
        <w:t>importurilor</w:t>
      </w:r>
      <w:r w:rsidRPr="00EE2F51">
        <w:rPr>
          <w:rFonts w:ascii="Times New Roman" w:hAnsi="Times New Roman"/>
          <w:sz w:val="28"/>
          <w:szCs w:val="28"/>
          <w:lang w:val="ro-MD"/>
        </w:rPr>
        <w:t>, care a atins 2549,1 milioane dolari, marcând o creștere de 18,3% față de trimestrul I 2024. Importurile au fost de 3,1 ori mai mari decât exporturile, iar gradul de acoperire a importurilor prin exporturi</w:t>
      </w:r>
      <w:r w:rsidRPr="00EE2F51">
        <w:t xml:space="preserve"> </w:t>
      </w:r>
      <w:r w:rsidRPr="00EE2F51">
        <w:rPr>
          <w:rFonts w:ascii="Times New Roman" w:hAnsi="Times New Roman"/>
          <w:sz w:val="28"/>
          <w:szCs w:val="28"/>
          <w:lang w:val="ro-MD"/>
        </w:rPr>
        <w:t xml:space="preserve">a fost de doar 31,8 la sută. </w:t>
      </w:r>
    </w:p>
    <w:p w:rsidR="00A4757D" w:rsidRPr="00EE2F51" w:rsidRDefault="00A4757D" w:rsidP="00A4757D">
      <w:pPr>
        <w:spacing w:after="0" w:line="276" w:lineRule="auto"/>
        <w:ind w:firstLine="567"/>
        <w:jc w:val="both"/>
        <w:rPr>
          <w:rFonts w:ascii="Times New Roman" w:hAnsi="Times New Roman"/>
          <w:sz w:val="28"/>
          <w:szCs w:val="28"/>
          <w:lang w:val="ro-MD"/>
        </w:rPr>
      </w:pPr>
      <w:r w:rsidRPr="00EE2F51">
        <w:rPr>
          <w:rFonts w:ascii="Times New Roman" w:hAnsi="Times New Roman"/>
          <w:b/>
          <w:i/>
          <w:sz w:val="28"/>
          <w:szCs w:val="28"/>
          <w:lang w:val="ro-MD"/>
        </w:rPr>
        <w:t>Câștigul salarial mediu lunar brut</w:t>
      </w:r>
      <w:r w:rsidRPr="00EE2F51">
        <w:rPr>
          <w:rFonts w:ascii="Times New Roman" w:hAnsi="Times New Roman"/>
          <w:sz w:val="28"/>
          <w:szCs w:val="28"/>
          <w:lang w:val="ro-MD"/>
        </w:rPr>
        <w:t xml:space="preserve"> a înregistrat o creștere de 1,7% în termeni reali. În trimestrul I 2025, acesta a atins 14567,5 lei pentru un salariat din economia națională, marcând o majorare de 10,6% față de perioada similară a anului 2024 în termeni nominali. Exprimat în valută străină, câștigul mediu lunar echivalează cu aproximativ 750 de euro sau 789 de dolari SUA. În sectorul bugetar, câștigul salarial mediu lunar a fost de 12810,5 lei, în creștere cu 13,2% nominal și 4,1% real. În sectorul real al economiei, acesta a ajuns la 15178 lei, înregistrând o majorare de 9,8% în termeni nominali și 1% în termeni reali.</w:t>
      </w:r>
      <w:r w:rsidRPr="00EE2F51">
        <w:rPr>
          <w:rFonts w:ascii="Times New Roman" w:hAnsi="Times New Roman"/>
          <w:sz w:val="28"/>
          <w:szCs w:val="28"/>
          <w:lang w:val="ro-MD"/>
        </w:rPr>
        <w:cr/>
        <w:t xml:space="preserve">        </w:t>
      </w:r>
      <w:r w:rsidRPr="00EE2F51">
        <w:rPr>
          <w:rFonts w:ascii="Times New Roman" w:hAnsi="Times New Roman"/>
          <w:b/>
          <w:i/>
          <w:sz w:val="28"/>
          <w:szCs w:val="28"/>
          <w:lang w:val="ro-MD"/>
        </w:rPr>
        <w:t>Mărimea medie a pensiei lunare</w:t>
      </w:r>
      <w:r w:rsidRPr="00EE2F51">
        <w:rPr>
          <w:rFonts w:ascii="Times New Roman" w:hAnsi="Times New Roman"/>
          <w:sz w:val="28"/>
          <w:szCs w:val="28"/>
          <w:lang w:val="ro-MD"/>
        </w:rPr>
        <w:t xml:space="preserve"> la 01.04.2025 a constituit 3 988,</w:t>
      </w:r>
      <w:r w:rsidR="00426E2E">
        <w:rPr>
          <w:rFonts w:ascii="Times New Roman" w:hAnsi="Times New Roman"/>
          <w:sz w:val="28"/>
          <w:szCs w:val="28"/>
          <w:lang w:val="ro-MD"/>
        </w:rPr>
        <w:t>2</w:t>
      </w:r>
      <w:r w:rsidRPr="00EE2F51">
        <w:rPr>
          <w:rFonts w:ascii="Times New Roman" w:hAnsi="Times New Roman"/>
          <w:sz w:val="28"/>
          <w:szCs w:val="28"/>
          <w:lang w:val="ro-MD"/>
        </w:rPr>
        <w:t xml:space="preserve"> lei și s-a majorat cu 7,7% (în termeni nominali) față de aceeași dată a anului 2024.</w:t>
      </w:r>
    </w:p>
    <w:p w:rsidR="00A4757D" w:rsidRPr="00EE2F51" w:rsidRDefault="00A4757D" w:rsidP="00A4757D">
      <w:pPr>
        <w:spacing w:after="0" w:line="276" w:lineRule="auto"/>
        <w:ind w:firstLine="567"/>
        <w:jc w:val="both"/>
        <w:rPr>
          <w:rFonts w:ascii="Times New Roman" w:hAnsi="Times New Roman"/>
          <w:sz w:val="28"/>
          <w:szCs w:val="28"/>
          <w:lang w:val="ro-MD"/>
        </w:rPr>
      </w:pPr>
      <w:r w:rsidRPr="00EE2F51">
        <w:rPr>
          <w:rFonts w:ascii="Times New Roman" w:hAnsi="Times New Roman"/>
          <w:sz w:val="28"/>
          <w:szCs w:val="28"/>
          <w:lang w:val="ro-MD"/>
        </w:rPr>
        <w:t>Numărul șomerilor, estimat conform definiției Biroului Internațional al Muncii (BIM), în trimestrul I 2025 a fost de circa 35,2 mii persoane și s-a diminuat cu 11,5% comparativ cu trimestrul I 2024 (39,7 mii persoane).</w:t>
      </w:r>
    </w:p>
    <w:p w:rsidR="00A4757D" w:rsidRPr="00EE2F51" w:rsidRDefault="00A4757D" w:rsidP="00A4757D">
      <w:pPr>
        <w:spacing w:after="0" w:line="276" w:lineRule="auto"/>
        <w:ind w:firstLine="567"/>
        <w:jc w:val="both"/>
        <w:rPr>
          <w:rFonts w:ascii="Times New Roman" w:hAnsi="Times New Roman"/>
          <w:sz w:val="28"/>
          <w:szCs w:val="28"/>
          <w:lang w:val="ro-MD"/>
        </w:rPr>
      </w:pPr>
      <w:r w:rsidRPr="00EE2F51">
        <w:rPr>
          <w:rFonts w:ascii="Times New Roman" w:hAnsi="Times New Roman"/>
          <w:b/>
          <w:i/>
          <w:sz w:val="28"/>
          <w:szCs w:val="28"/>
          <w:lang w:val="ro-MD"/>
        </w:rPr>
        <w:t>Rata șomajului</w:t>
      </w:r>
      <w:r w:rsidRPr="00EE2F51">
        <w:rPr>
          <w:rFonts w:ascii="Times New Roman" w:hAnsi="Times New Roman"/>
          <w:sz w:val="28"/>
          <w:szCs w:val="28"/>
          <w:lang w:val="ro-MD"/>
        </w:rPr>
        <w:t xml:space="preserve"> (ponderea șomerilor </w:t>
      </w:r>
      <w:r w:rsidRPr="00EE2F51">
        <w:rPr>
          <w:rFonts w:ascii="Times New Roman" w:hAnsi="Times New Roman"/>
          <w:sz w:val="28"/>
          <w:szCs w:val="28"/>
        </w:rPr>
        <w:t>Biroul Internațional al Muncii</w:t>
      </w:r>
      <w:r w:rsidRPr="00EE2F51">
        <w:rPr>
          <w:rFonts w:ascii="Times New Roman" w:hAnsi="Times New Roman"/>
          <w:sz w:val="28"/>
          <w:szCs w:val="28"/>
          <w:lang w:val="ro-MD"/>
        </w:rPr>
        <w:t xml:space="preserve"> în forța de muncă) la nivel de țară în trimestrul I 2025 a constituit 4,4%, fiind la nivelul trimestrului I 2024.</w:t>
      </w:r>
    </w:p>
    <w:p w:rsidR="00A4757D" w:rsidRPr="00012CA3" w:rsidRDefault="00A4757D" w:rsidP="00A4757D">
      <w:pPr>
        <w:spacing w:after="0" w:line="276" w:lineRule="auto"/>
        <w:ind w:firstLine="567"/>
        <w:jc w:val="both"/>
        <w:rPr>
          <w:rFonts w:ascii="Times New Roman" w:hAnsi="Times New Roman"/>
          <w:sz w:val="28"/>
          <w:szCs w:val="28"/>
          <w:lang w:val="ro-MD"/>
        </w:rPr>
      </w:pPr>
      <w:r w:rsidRPr="00EE2F51">
        <w:rPr>
          <w:rFonts w:ascii="Times New Roman" w:hAnsi="Times New Roman"/>
          <w:sz w:val="28"/>
          <w:szCs w:val="28"/>
          <w:lang w:val="ro-MD"/>
        </w:rPr>
        <w:t>Numărul șomerilor înregistrați la oficiile forței de muncă în ianuarie-martie 2025 a constituit circa 5,5 mii persoane și a fost în creștere cu 5,3% față de perioada similară a anului 2024.</w:t>
      </w:r>
    </w:p>
    <w:p w:rsidR="00C82F48" w:rsidRPr="00012CA3" w:rsidRDefault="00C82F48">
      <w:pPr>
        <w:pStyle w:val="Heading1"/>
        <w:spacing w:line="276" w:lineRule="auto"/>
      </w:pPr>
      <w:r w:rsidRPr="00012CA3">
        <w:rPr>
          <w:rFonts w:ascii="Times New Roman" w:hAnsi="Times New Roman"/>
          <w:color w:val="171717"/>
          <w:sz w:val="32"/>
          <w:szCs w:val="32"/>
        </w:rPr>
        <w:t>Executarea bugetului public național în semestrul I al anului 202</w:t>
      </w:r>
      <w:bookmarkEnd w:id="3"/>
      <w:r w:rsidR="00CB17AB" w:rsidRPr="00012CA3">
        <w:rPr>
          <w:rFonts w:ascii="Times New Roman" w:hAnsi="Times New Roman"/>
          <w:color w:val="171717"/>
          <w:sz w:val="32"/>
          <w:szCs w:val="32"/>
        </w:rPr>
        <w:t>5</w:t>
      </w:r>
    </w:p>
    <w:p w:rsidR="00C82F48" w:rsidRPr="00012CA3" w:rsidRDefault="00C82F48">
      <w:pPr>
        <w:spacing w:after="0" w:line="276" w:lineRule="auto"/>
      </w:pPr>
      <w:r w:rsidRPr="00012CA3">
        <w:tab/>
      </w:r>
    </w:p>
    <w:p w:rsidR="00C82F48" w:rsidRPr="00012CA3" w:rsidRDefault="00C82F48">
      <w:pPr>
        <w:spacing w:line="276" w:lineRule="auto"/>
        <w:ind w:firstLine="567"/>
      </w:pPr>
      <w:r w:rsidRPr="00012CA3">
        <w:rPr>
          <w:rFonts w:ascii="Times New Roman" w:hAnsi="Times New Roman"/>
          <w:sz w:val="28"/>
          <w:szCs w:val="28"/>
        </w:rPr>
        <w:t>Executarea indicatorilor principali ai bugetului public național în semestrul I al anului 202</w:t>
      </w:r>
      <w:r w:rsidR="004C4336" w:rsidRPr="00012CA3">
        <w:rPr>
          <w:rFonts w:ascii="Times New Roman" w:hAnsi="Times New Roman"/>
          <w:sz w:val="28"/>
          <w:szCs w:val="28"/>
        </w:rPr>
        <w:t>5</w:t>
      </w:r>
      <w:r w:rsidRPr="00012CA3">
        <w:rPr>
          <w:rFonts w:ascii="Times New Roman" w:hAnsi="Times New Roman"/>
          <w:sz w:val="28"/>
          <w:szCs w:val="28"/>
        </w:rPr>
        <w:t xml:space="preserve"> se prezintă în tabelul următor.</w:t>
      </w:r>
      <w:r w:rsidRPr="00012CA3">
        <w:rPr>
          <w:rFonts w:ascii="Times New Roman" w:hAnsi="Times New Roman"/>
          <w:sz w:val="28"/>
          <w:szCs w:val="28"/>
        </w:rPr>
        <w:tab/>
      </w:r>
    </w:p>
    <w:p w:rsidR="00C82F48" w:rsidRPr="00012CA3" w:rsidRDefault="00C82F48">
      <w:pPr>
        <w:pStyle w:val="Heading2"/>
        <w:jc w:val="center"/>
      </w:pPr>
      <w:r w:rsidRPr="00012CA3">
        <w:rPr>
          <w:rFonts w:ascii="Times New Roman" w:hAnsi="Times New Roman"/>
          <w:i/>
          <w:color w:val="323E4F"/>
          <w:sz w:val="28"/>
          <w:szCs w:val="24"/>
        </w:rPr>
        <w:t>Tabelul 2. Indicatorii principali privind executarea bugetului public național și a componentelor acestuia în semestrul I 202</w:t>
      </w:r>
      <w:r w:rsidR="000225CC" w:rsidRPr="00012CA3">
        <w:rPr>
          <w:rFonts w:ascii="Times New Roman" w:hAnsi="Times New Roman"/>
          <w:i/>
          <w:color w:val="323E4F"/>
          <w:sz w:val="28"/>
          <w:szCs w:val="24"/>
        </w:rPr>
        <w:t>5</w:t>
      </w:r>
    </w:p>
    <w:p w:rsidR="00C82F48" w:rsidRPr="000B30D7" w:rsidRDefault="00C82F48">
      <w:pPr>
        <w:pStyle w:val="12"/>
        <w:spacing w:after="0"/>
        <w:ind w:left="7791" w:firstLine="289"/>
        <w:jc w:val="right"/>
        <w:rPr>
          <w:rFonts w:ascii="Times New Roman" w:hAnsi="Times New Roman"/>
          <w:sz w:val="20"/>
          <w:szCs w:val="20"/>
        </w:rPr>
      </w:pPr>
      <w:r w:rsidRPr="00012CA3">
        <w:rPr>
          <w:rFonts w:ascii="Times New Roman" w:hAnsi="Times New Roman"/>
          <w:b/>
          <w:i/>
          <w:color w:val="17365D"/>
          <w:sz w:val="20"/>
          <w:szCs w:val="20"/>
        </w:rPr>
        <w:t xml:space="preserve"> </w:t>
      </w:r>
      <w:r w:rsidRPr="000B30D7">
        <w:rPr>
          <w:rFonts w:ascii="Times New Roman" w:hAnsi="Times New Roman"/>
          <w:sz w:val="20"/>
          <w:szCs w:val="20"/>
        </w:rPr>
        <w:t>mil. lei</w:t>
      </w:r>
    </w:p>
    <w:tbl>
      <w:tblPr>
        <w:tblW w:w="5010" w:type="pct"/>
        <w:jc w:val="center"/>
        <w:tblLayout w:type="fixed"/>
        <w:tblLook w:val="0000" w:firstRow="0" w:lastRow="0" w:firstColumn="0" w:lastColumn="0" w:noHBand="0" w:noVBand="0"/>
      </w:tblPr>
      <w:tblGrid>
        <w:gridCol w:w="3610"/>
        <w:gridCol w:w="999"/>
        <w:gridCol w:w="1059"/>
        <w:gridCol w:w="1293"/>
        <w:gridCol w:w="1622"/>
        <w:gridCol w:w="1006"/>
      </w:tblGrid>
      <w:tr w:rsidR="00166D58" w:rsidRPr="00E20E4B" w:rsidTr="000B1471">
        <w:trPr>
          <w:trHeight w:val="290"/>
          <w:tblHeader/>
          <w:jc w:val="center"/>
        </w:trPr>
        <w:tc>
          <w:tcPr>
            <w:tcW w:w="3610" w:type="dxa"/>
            <w:vMerge w:val="restart"/>
            <w:tcBorders>
              <w:top w:val="single" w:sz="8" w:space="0" w:color="4BACC6"/>
              <w:bottom w:val="single" w:sz="8" w:space="0" w:color="4BACC6"/>
            </w:tcBorders>
            <w:shd w:val="clear" w:color="auto" w:fill="auto"/>
            <w:vAlign w:val="center"/>
          </w:tcPr>
          <w:p w:rsidR="00166D58" w:rsidRPr="00E20E4B" w:rsidRDefault="00166D58" w:rsidP="0032502F">
            <w:pPr>
              <w:tabs>
                <w:tab w:val="left" w:pos="4305"/>
              </w:tabs>
              <w:snapToGrid w:val="0"/>
              <w:jc w:val="center"/>
              <w:rPr>
                <w:rFonts w:ascii="Times New Roman" w:hAnsi="Times New Roman"/>
                <w:b/>
                <w:bCs/>
                <w:color w:val="31849B"/>
                <w:sz w:val="18"/>
                <w:szCs w:val="18"/>
              </w:rPr>
            </w:pPr>
          </w:p>
        </w:tc>
        <w:tc>
          <w:tcPr>
            <w:tcW w:w="999" w:type="dxa"/>
            <w:vMerge w:val="restart"/>
            <w:tcBorders>
              <w:top w:val="single" w:sz="8" w:space="0" w:color="4BACC6"/>
              <w:bottom w:val="single" w:sz="4" w:space="0" w:color="92CDDC"/>
            </w:tcBorders>
            <w:shd w:val="clear" w:color="auto" w:fill="auto"/>
            <w:vAlign w:val="center"/>
          </w:tcPr>
          <w:p w:rsidR="00166D58" w:rsidRPr="00E20E4B" w:rsidRDefault="00166D58" w:rsidP="0032502F">
            <w:pPr>
              <w:spacing w:after="0"/>
              <w:ind w:left="-108" w:right="-108"/>
              <w:jc w:val="center"/>
              <w:rPr>
                <w:rFonts w:ascii="Times New Roman" w:hAnsi="Times New Roman"/>
                <w:sz w:val="18"/>
                <w:szCs w:val="18"/>
              </w:rPr>
            </w:pPr>
            <w:r w:rsidRPr="00E20E4B">
              <w:rPr>
                <w:rFonts w:ascii="Times New Roman" w:hAnsi="Times New Roman"/>
                <w:b/>
                <w:bCs/>
                <w:color w:val="000000"/>
                <w:sz w:val="18"/>
                <w:szCs w:val="18"/>
              </w:rPr>
              <w:t>Bugetul public național*</w:t>
            </w:r>
          </w:p>
        </w:tc>
        <w:tc>
          <w:tcPr>
            <w:tcW w:w="4980" w:type="dxa"/>
            <w:gridSpan w:val="4"/>
            <w:tcBorders>
              <w:top w:val="single" w:sz="8" w:space="0" w:color="4BACC6"/>
              <w:bottom w:val="single" w:sz="8" w:space="0" w:color="4BACC6"/>
            </w:tcBorders>
            <w:shd w:val="clear" w:color="auto" w:fill="auto"/>
            <w:vAlign w:val="center"/>
          </w:tcPr>
          <w:p w:rsidR="00166D58" w:rsidRPr="00E20E4B" w:rsidRDefault="00EF3C89" w:rsidP="0032502F">
            <w:pPr>
              <w:spacing w:after="0"/>
              <w:ind w:left="-51"/>
              <w:jc w:val="center"/>
              <w:rPr>
                <w:rFonts w:ascii="Times New Roman" w:hAnsi="Times New Roman"/>
                <w:sz w:val="18"/>
                <w:szCs w:val="18"/>
              </w:rPr>
            </w:pPr>
            <w:r w:rsidRPr="00E20E4B">
              <w:rPr>
                <w:rFonts w:ascii="Times New Roman" w:hAnsi="Times New Roman"/>
                <w:b/>
                <w:bCs/>
                <w:color w:val="000000"/>
                <w:sz w:val="18"/>
                <w:szCs w:val="18"/>
              </w:rPr>
              <w:t>inclusiv</w:t>
            </w:r>
            <w:r w:rsidR="00166D58" w:rsidRPr="00E20E4B">
              <w:rPr>
                <w:rFonts w:ascii="Times New Roman" w:hAnsi="Times New Roman"/>
                <w:b/>
                <w:bCs/>
                <w:color w:val="000000"/>
                <w:sz w:val="18"/>
                <w:szCs w:val="18"/>
              </w:rPr>
              <w:t>:</w:t>
            </w:r>
          </w:p>
        </w:tc>
      </w:tr>
      <w:tr w:rsidR="00166D58" w:rsidRPr="00E20E4B" w:rsidTr="000B1471">
        <w:trPr>
          <w:trHeight w:val="699"/>
          <w:tblHeader/>
          <w:jc w:val="center"/>
        </w:trPr>
        <w:tc>
          <w:tcPr>
            <w:tcW w:w="3610" w:type="dxa"/>
            <w:vMerge/>
            <w:tcBorders>
              <w:top w:val="single" w:sz="8" w:space="0" w:color="4BACC6"/>
              <w:bottom w:val="single" w:sz="8" w:space="0" w:color="4BACC6"/>
            </w:tcBorders>
            <w:shd w:val="clear" w:color="auto" w:fill="auto"/>
            <w:vAlign w:val="center"/>
          </w:tcPr>
          <w:p w:rsidR="00166D58" w:rsidRPr="00E20E4B" w:rsidRDefault="00166D58" w:rsidP="0032502F">
            <w:pPr>
              <w:tabs>
                <w:tab w:val="left" w:pos="4305"/>
              </w:tabs>
              <w:snapToGrid w:val="0"/>
              <w:jc w:val="center"/>
              <w:rPr>
                <w:rFonts w:ascii="Times New Roman" w:hAnsi="Times New Roman"/>
                <w:b/>
                <w:bCs/>
                <w:color w:val="31849B"/>
                <w:sz w:val="18"/>
                <w:szCs w:val="18"/>
              </w:rPr>
            </w:pPr>
          </w:p>
        </w:tc>
        <w:tc>
          <w:tcPr>
            <w:tcW w:w="999" w:type="dxa"/>
            <w:vMerge/>
            <w:tcBorders>
              <w:top w:val="single" w:sz="8" w:space="0" w:color="4BACC6"/>
              <w:bottom w:val="single" w:sz="4" w:space="0" w:color="92CDDC"/>
            </w:tcBorders>
            <w:shd w:val="clear" w:color="auto" w:fill="auto"/>
            <w:vAlign w:val="center"/>
          </w:tcPr>
          <w:p w:rsidR="00166D58" w:rsidRPr="00E20E4B" w:rsidRDefault="00166D58" w:rsidP="0032502F">
            <w:pPr>
              <w:snapToGrid w:val="0"/>
              <w:ind w:left="-108" w:right="-108"/>
              <w:jc w:val="center"/>
              <w:rPr>
                <w:rFonts w:ascii="Times New Roman" w:hAnsi="Times New Roman"/>
                <w:b/>
                <w:bCs/>
                <w:color w:val="000000"/>
                <w:sz w:val="18"/>
                <w:szCs w:val="18"/>
              </w:rPr>
            </w:pPr>
          </w:p>
        </w:tc>
        <w:tc>
          <w:tcPr>
            <w:tcW w:w="1059" w:type="dxa"/>
            <w:tcBorders>
              <w:top w:val="single" w:sz="8" w:space="0" w:color="4BACC6"/>
              <w:bottom w:val="single" w:sz="8" w:space="0" w:color="4BACC6"/>
            </w:tcBorders>
            <w:shd w:val="clear" w:color="auto" w:fill="auto"/>
            <w:vAlign w:val="center"/>
          </w:tcPr>
          <w:p w:rsidR="00166D58" w:rsidRPr="00E20E4B" w:rsidRDefault="00166D58" w:rsidP="0032502F">
            <w:pPr>
              <w:spacing w:after="0"/>
              <w:ind w:left="-51" w:right="-108" w:hanging="3"/>
              <w:jc w:val="center"/>
              <w:rPr>
                <w:rFonts w:ascii="Times New Roman" w:hAnsi="Times New Roman"/>
                <w:sz w:val="18"/>
                <w:szCs w:val="18"/>
              </w:rPr>
            </w:pPr>
            <w:r w:rsidRPr="00E20E4B">
              <w:rPr>
                <w:rFonts w:ascii="Times New Roman" w:hAnsi="Times New Roman"/>
                <w:b/>
                <w:color w:val="000000"/>
                <w:sz w:val="18"/>
                <w:szCs w:val="18"/>
              </w:rPr>
              <w:t>Bugetul</w:t>
            </w:r>
          </w:p>
          <w:p w:rsidR="00166D58" w:rsidRPr="00E20E4B" w:rsidRDefault="00166D58" w:rsidP="0032502F">
            <w:pPr>
              <w:spacing w:after="0"/>
              <w:ind w:left="-51" w:right="-108" w:hanging="3"/>
              <w:jc w:val="center"/>
              <w:rPr>
                <w:rFonts w:ascii="Times New Roman" w:hAnsi="Times New Roman"/>
                <w:sz w:val="18"/>
                <w:szCs w:val="18"/>
              </w:rPr>
            </w:pPr>
            <w:r w:rsidRPr="00E20E4B">
              <w:rPr>
                <w:rFonts w:ascii="Times New Roman" w:hAnsi="Times New Roman"/>
                <w:b/>
                <w:color w:val="000000"/>
                <w:sz w:val="18"/>
                <w:szCs w:val="18"/>
              </w:rPr>
              <w:t>de stat</w:t>
            </w:r>
          </w:p>
        </w:tc>
        <w:tc>
          <w:tcPr>
            <w:tcW w:w="1293" w:type="dxa"/>
            <w:tcBorders>
              <w:top w:val="single" w:sz="8" w:space="0" w:color="4BACC6"/>
              <w:bottom w:val="single" w:sz="8" w:space="0" w:color="4BACC6"/>
            </w:tcBorders>
            <w:shd w:val="clear" w:color="auto" w:fill="auto"/>
            <w:vAlign w:val="center"/>
          </w:tcPr>
          <w:p w:rsidR="00166D58" w:rsidRPr="00E20E4B" w:rsidRDefault="00166D58" w:rsidP="0032502F">
            <w:pPr>
              <w:spacing w:after="0"/>
              <w:ind w:left="-51"/>
              <w:jc w:val="center"/>
              <w:rPr>
                <w:rFonts w:ascii="Times New Roman" w:hAnsi="Times New Roman"/>
                <w:sz w:val="18"/>
                <w:szCs w:val="18"/>
              </w:rPr>
            </w:pPr>
            <w:r w:rsidRPr="00E20E4B">
              <w:rPr>
                <w:rFonts w:ascii="Times New Roman" w:hAnsi="Times New Roman"/>
                <w:b/>
                <w:color w:val="000000"/>
                <w:sz w:val="18"/>
                <w:szCs w:val="18"/>
              </w:rPr>
              <w:t>Bugetul asigurărilor sociale de stat</w:t>
            </w:r>
          </w:p>
        </w:tc>
        <w:tc>
          <w:tcPr>
            <w:tcW w:w="1622" w:type="dxa"/>
            <w:tcBorders>
              <w:top w:val="single" w:sz="8" w:space="0" w:color="4BACC6"/>
              <w:bottom w:val="single" w:sz="8" w:space="0" w:color="4BACC6"/>
            </w:tcBorders>
            <w:shd w:val="clear" w:color="auto" w:fill="auto"/>
            <w:vAlign w:val="center"/>
          </w:tcPr>
          <w:p w:rsidR="00166D58" w:rsidRPr="00E20E4B" w:rsidRDefault="00166D58" w:rsidP="0032502F">
            <w:pPr>
              <w:spacing w:after="0"/>
              <w:ind w:left="-51"/>
              <w:jc w:val="center"/>
              <w:rPr>
                <w:rFonts w:ascii="Times New Roman" w:hAnsi="Times New Roman"/>
                <w:sz w:val="18"/>
                <w:szCs w:val="18"/>
              </w:rPr>
            </w:pPr>
            <w:r w:rsidRPr="00E20E4B">
              <w:rPr>
                <w:rFonts w:ascii="Times New Roman" w:hAnsi="Times New Roman"/>
                <w:b/>
                <w:color w:val="000000"/>
                <w:sz w:val="18"/>
                <w:szCs w:val="18"/>
              </w:rPr>
              <w:t>Fondurile asigurării obligatorii de asistență medicală</w:t>
            </w:r>
          </w:p>
        </w:tc>
        <w:tc>
          <w:tcPr>
            <w:tcW w:w="1005" w:type="dxa"/>
            <w:tcBorders>
              <w:top w:val="single" w:sz="8" w:space="0" w:color="4BACC6"/>
              <w:bottom w:val="single" w:sz="8" w:space="0" w:color="4BACC6"/>
            </w:tcBorders>
            <w:shd w:val="clear" w:color="auto" w:fill="auto"/>
            <w:vAlign w:val="center"/>
          </w:tcPr>
          <w:p w:rsidR="00166D58" w:rsidRPr="00E20E4B" w:rsidRDefault="00166D58" w:rsidP="0032502F">
            <w:pPr>
              <w:spacing w:after="0"/>
              <w:ind w:left="-51"/>
              <w:jc w:val="center"/>
              <w:rPr>
                <w:rFonts w:ascii="Times New Roman" w:hAnsi="Times New Roman"/>
                <w:sz w:val="18"/>
                <w:szCs w:val="18"/>
              </w:rPr>
            </w:pPr>
            <w:r w:rsidRPr="00E20E4B">
              <w:rPr>
                <w:rFonts w:ascii="Times New Roman" w:hAnsi="Times New Roman"/>
                <w:b/>
                <w:color w:val="000000"/>
                <w:sz w:val="18"/>
                <w:szCs w:val="18"/>
              </w:rPr>
              <w:t>Bugetele locale</w:t>
            </w:r>
          </w:p>
        </w:tc>
      </w:tr>
      <w:tr w:rsidR="00166D58" w:rsidRPr="00E20E4B" w:rsidTr="000B1471">
        <w:trPr>
          <w:trHeight w:val="206"/>
          <w:jc w:val="center"/>
        </w:trPr>
        <w:tc>
          <w:tcPr>
            <w:tcW w:w="3610" w:type="dxa"/>
            <w:tcBorders>
              <w:top w:val="single" w:sz="8" w:space="0" w:color="4BACC6"/>
              <w:bottom w:val="dashed" w:sz="4" w:space="0" w:color="000000"/>
            </w:tcBorders>
            <w:shd w:val="clear" w:color="auto" w:fill="auto"/>
            <w:vAlign w:val="center"/>
          </w:tcPr>
          <w:p w:rsidR="00166D58" w:rsidRPr="00E20E4B" w:rsidRDefault="00166D58" w:rsidP="0032502F">
            <w:pPr>
              <w:tabs>
                <w:tab w:val="left" w:pos="4305"/>
              </w:tabs>
              <w:jc w:val="both"/>
              <w:rPr>
                <w:rFonts w:ascii="Times New Roman" w:hAnsi="Times New Roman"/>
                <w:sz w:val="18"/>
                <w:szCs w:val="18"/>
              </w:rPr>
            </w:pPr>
            <w:r w:rsidRPr="00E20E4B">
              <w:rPr>
                <w:rFonts w:ascii="Times New Roman" w:hAnsi="Times New Roman"/>
                <w:b/>
                <w:bCs/>
                <w:sz w:val="18"/>
                <w:szCs w:val="18"/>
              </w:rPr>
              <w:t>Venituri, total</w:t>
            </w:r>
          </w:p>
        </w:tc>
        <w:tc>
          <w:tcPr>
            <w:tcW w:w="999" w:type="dxa"/>
            <w:tcBorders>
              <w:top w:val="single" w:sz="4" w:space="0" w:color="92CDDC"/>
              <w:bottom w:val="dashed" w:sz="4" w:space="0" w:color="000000"/>
            </w:tcBorders>
            <w:shd w:val="clear" w:color="auto" w:fill="auto"/>
            <w:vAlign w:val="center"/>
          </w:tcPr>
          <w:p w:rsidR="00166D58" w:rsidRPr="00E20E4B" w:rsidRDefault="00166D58" w:rsidP="0032502F">
            <w:pPr>
              <w:ind w:left="-108"/>
              <w:jc w:val="right"/>
              <w:rPr>
                <w:rFonts w:ascii="Times New Roman" w:hAnsi="Times New Roman"/>
                <w:sz w:val="18"/>
                <w:szCs w:val="18"/>
              </w:rPr>
            </w:pPr>
            <w:r w:rsidRPr="00E20E4B">
              <w:rPr>
                <w:rFonts w:ascii="Times New Roman" w:hAnsi="Times New Roman"/>
                <w:color w:val="000000"/>
                <w:sz w:val="18"/>
                <w:szCs w:val="18"/>
              </w:rPr>
              <w:t>60 531,5</w:t>
            </w:r>
          </w:p>
        </w:tc>
        <w:tc>
          <w:tcPr>
            <w:tcW w:w="1059" w:type="dxa"/>
            <w:tcBorders>
              <w:top w:val="single" w:sz="8" w:space="0" w:color="4BACC6"/>
              <w:bottom w:val="dashed" w:sz="4" w:space="0" w:color="000000"/>
            </w:tcBorders>
            <w:shd w:val="clear" w:color="auto" w:fill="auto"/>
            <w:vAlign w:val="center"/>
          </w:tcPr>
          <w:p w:rsidR="00166D58" w:rsidRPr="00E20E4B" w:rsidRDefault="00166D58" w:rsidP="0032502F">
            <w:pPr>
              <w:ind w:right="-44"/>
              <w:jc w:val="right"/>
              <w:rPr>
                <w:rFonts w:ascii="Times New Roman" w:hAnsi="Times New Roman"/>
                <w:sz w:val="18"/>
                <w:szCs w:val="18"/>
              </w:rPr>
            </w:pPr>
            <w:r w:rsidRPr="00E20E4B">
              <w:rPr>
                <w:rFonts w:ascii="Times New Roman" w:hAnsi="Times New Roman"/>
                <w:color w:val="000000"/>
                <w:sz w:val="18"/>
                <w:szCs w:val="18"/>
              </w:rPr>
              <w:t>36 759,6</w:t>
            </w:r>
          </w:p>
        </w:tc>
        <w:tc>
          <w:tcPr>
            <w:tcW w:w="1293" w:type="dxa"/>
            <w:tcBorders>
              <w:top w:val="single" w:sz="8" w:space="0" w:color="4BACC6"/>
              <w:bottom w:val="dashed" w:sz="4" w:space="0" w:color="000000"/>
            </w:tcBorders>
            <w:shd w:val="clear" w:color="auto" w:fill="auto"/>
            <w:vAlign w:val="center"/>
          </w:tcPr>
          <w:p w:rsidR="00166D58" w:rsidRPr="00E20E4B" w:rsidRDefault="00166D58" w:rsidP="0032502F">
            <w:pPr>
              <w:jc w:val="right"/>
              <w:rPr>
                <w:rFonts w:ascii="Times New Roman" w:hAnsi="Times New Roman"/>
                <w:sz w:val="18"/>
                <w:szCs w:val="18"/>
              </w:rPr>
            </w:pPr>
            <w:r w:rsidRPr="00E20E4B">
              <w:rPr>
                <w:rFonts w:ascii="Times New Roman" w:hAnsi="Times New Roman"/>
                <w:color w:val="000000"/>
                <w:sz w:val="18"/>
                <w:szCs w:val="18"/>
              </w:rPr>
              <w:t>26 501,4</w:t>
            </w:r>
          </w:p>
        </w:tc>
        <w:tc>
          <w:tcPr>
            <w:tcW w:w="1622" w:type="dxa"/>
            <w:tcBorders>
              <w:top w:val="single" w:sz="8" w:space="0" w:color="4BACC6"/>
              <w:bottom w:val="dashed" w:sz="4" w:space="0" w:color="000000"/>
            </w:tcBorders>
            <w:shd w:val="clear" w:color="auto" w:fill="auto"/>
            <w:vAlign w:val="center"/>
          </w:tcPr>
          <w:p w:rsidR="00166D58" w:rsidRPr="00E20E4B" w:rsidRDefault="00166D58" w:rsidP="0032502F">
            <w:pPr>
              <w:tabs>
                <w:tab w:val="left" w:pos="465"/>
              </w:tabs>
              <w:jc w:val="center"/>
              <w:rPr>
                <w:rFonts w:ascii="Times New Roman" w:hAnsi="Times New Roman"/>
                <w:sz w:val="18"/>
                <w:szCs w:val="18"/>
              </w:rPr>
            </w:pPr>
            <w:r w:rsidRPr="00E20E4B">
              <w:rPr>
                <w:rFonts w:ascii="Times New Roman" w:hAnsi="Times New Roman"/>
                <w:color w:val="000000"/>
                <w:sz w:val="18"/>
                <w:szCs w:val="18"/>
              </w:rPr>
              <w:t>6 885,1</w:t>
            </w:r>
          </w:p>
        </w:tc>
        <w:tc>
          <w:tcPr>
            <w:tcW w:w="1005" w:type="dxa"/>
            <w:tcBorders>
              <w:top w:val="single" w:sz="8" w:space="0" w:color="4BACC6"/>
              <w:bottom w:val="dashed" w:sz="4" w:space="0" w:color="000000"/>
            </w:tcBorders>
            <w:shd w:val="clear" w:color="auto" w:fill="auto"/>
            <w:vAlign w:val="center"/>
          </w:tcPr>
          <w:p w:rsidR="00166D58" w:rsidRPr="00E20E4B" w:rsidRDefault="00166D58" w:rsidP="0032502F">
            <w:pPr>
              <w:tabs>
                <w:tab w:val="left" w:pos="465"/>
                <w:tab w:val="left" w:pos="793"/>
              </w:tabs>
              <w:jc w:val="right"/>
              <w:rPr>
                <w:rFonts w:ascii="Times New Roman" w:hAnsi="Times New Roman"/>
                <w:sz w:val="18"/>
                <w:szCs w:val="18"/>
              </w:rPr>
            </w:pPr>
            <w:r w:rsidRPr="00E20E4B">
              <w:rPr>
                <w:rFonts w:ascii="Times New Roman" w:hAnsi="Times New Roman"/>
                <w:color w:val="000000"/>
                <w:sz w:val="18"/>
                <w:szCs w:val="18"/>
              </w:rPr>
              <w:t>16 182,4</w:t>
            </w:r>
          </w:p>
        </w:tc>
      </w:tr>
      <w:tr w:rsidR="00166D58" w:rsidRPr="00E20E4B" w:rsidTr="000B1471">
        <w:trPr>
          <w:trHeight w:val="864"/>
          <w:jc w:val="center"/>
        </w:trPr>
        <w:tc>
          <w:tcPr>
            <w:tcW w:w="3610" w:type="dxa"/>
            <w:tcBorders>
              <w:top w:val="dashed" w:sz="4" w:space="0" w:color="000000"/>
              <w:bottom w:val="single" w:sz="8" w:space="0" w:color="4BACC6"/>
            </w:tcBorders>
            <w:shd w:val="clear" w:color="auto" w:fill="auto"/>
            <w:vAlign w:val="center"/>
          </w:tcPr>
          <w:p w:rsidR="00166D58" w:rsidRPr="00E20E4B" w:rsidRDefault="00166D58" w:rsidP="0032502F">
            <w:pPr>
              <w:tabs>
                <w:tab w:val="left" w:pos="4305"/>
              </w:tabs>
              <w:spacing w:after="0"/>
              <w:jc w:val="both"/>
              <w:rPr>
                <w:rFonts w:ascii="Times New Roman" w:hAnsi="Times New Roman"/>
                <w:sz w:val="18"/>
                <w:szCs w:val="18"/>
              </w:rPr>
            </w:pPr>
            <w:r w:rsidRPr="00E20E4B">
              <w:rPr>
                <w:rFonts w:ascii="Times New Roman" w:hAnsi="Times New Roman"/>
                <w:b/>
                <w:bCs/>
                <w:color w:val="171717"/>
                <w:sz w:val="18"/>
                <w:szCs w:val="18"/>
              </w:rPr>
              <w:lastRenderedPageBreak/>
              <w:t xml:space="preserve">Transferuri primite </w:t>
            </w:r>
          </w:p>
          <w:p w:rsidR="00166D58" w:rsidRPr="00E20E4B" w:rsidRDefault="00166D58" w:rsidP="0032502F">
            <w:pPr>
              <w:tabs>
                <w:tab w:val="left" w:pos="4305"/>
              </w:tabs>
              <w:spacing w:after="0"/>
              <w:jc w:val="both"/>
              <w:rPr>
                <w:rFonts w:ascii="Times New Roman" w:hAnsi="Times New Roman"/>
                <w:sz w:val="18"/>
                <w:szCs w:val="18"/>
              </w:rPr>
            </w:pPr>
            <w:r w:rsidRPr="00E20E4B">
              <w:rPr>
                <w:rFonts w:ascii="Times New Roman" w:hAnsi="Times New Roman"/>
                <w:b/>
                <w:bCs/>
                <w:i/>
                <w:color w:val="171717"/>
                <w:sz w:val="18"/>
                <w:szCs w:val="18"/>
              </w:rPr>
              <w:t xml:space="preserve">dobânzi încasate la împrumuturile în interiorul sistemului bugetar </w:t>
            </w:r>
          </w:p>
        </w:tc>
        <w:tc>
          <w:tcPr>
            <w:tcW w:w="999" w:type="dxa"/>
            <w:tcBorders>
              <w:top w:val="dashed" w:sz="4" w:space="0" w:color="000000"/>
              <w:bottom w:val="single" w:sz="8" w:space="0" w:color="4BACC6"/>
            </w:tcBorders>
            <w:shd w:val="clear" w:color="auto" w:fill="auto"/>
            <w:vAlign w:val="center"/>
          </w:tcPr>
          <w:p w:rsidR="00166D58" w:rsidRPr="00E20E4B" w:rsidRDefault="00166D58" w:rsidP="0032502F">
            <w:pPr>
              <w:snapToGrid w:val="0"/>
              <w:spacing w:after="0"/>
              <w:ind w:left="-108"/>
              <w:jc w:val="right"/>
              <w:rPr>
                <w:rFonts w:ascii="Times New Roman" w:hAnsi="Times New Roman"/>
                <w:b/>
                <w:bCs/>
                <w:i/>
                <w:color w:val="171717"/>
                <w:sz w:val="18"/>
                <w:szCs w:val="18"/>
              </w:rPr>
            </w:pPr>
          </w:p>
        </w:tc>
        <w:tc>
          <w:tcPr>
            <w:tcW w:w="1059" w:type="dxa"/>
            <w:tcBorders>
              <w:top w:val="dashed" w:sz="4" w:space="0" w:color="000000"/>
              <w:bottom w:val="single" w:sz="8" w:space="0" w:color="4BACC6"/>
            </w:tcBorders>
            <w:shd w:val="clear" w:color="auto" w:fill="auto"/>
            <w:vAlign w:val="center"/>
          </w:tcPr>
          <w:p w:rsidR="00166D58" w:rsidRPr="00E20E4B" w:rsidRDefault="00166D58" w:rsidP="0032502F">
            <w:pPr>
              <w:spacing w:after="0"/>
              <w:ind w:right="-44"/>
              <w:jc w:val="center"/>
              <w:rPr>
                <w:rFonts w:ascii="Times New Roman" w:hAnsi="Times New Roman"/>
                <w:sz w:val="18"/>
                <w:szCs w:val="18"/>
              </w:rPr>
            </w:pPr>
            <w:r w:rsidRPr="00E20E4B">
              <w:rPr>
                <w:rFonts w:ascii="Times New Roman" w:hAnsi="Times New Roman"/>
                <w:color w:val="171717"/>
                <w:sz w:val="18"/>
                <w:szCs w:val="18"/>
              </w:rPr>
              <w:t>6,9</w:t>
            </w:r>
          </w:p>
          <w:p w:rsidR="00166D58" w:rsidRPr="00E20E4B" w:rsidRDefault="00166D58" w:rsidP="0032502F">
            <w:pPr>
              <w:spacing w:after="0"/>
              <w:ind w:right="-44"/>
              <w:jc w:val="center"/>
              <w:rPr>
                <w:rFonts w:ascii="Times New Roman" w:hAnsi="Times New Roman"/>
                <w:color w:val="171717"/>
                <w:sz w:val="18"/>
                <w:szCs w:val="18"/>
              </w:rPr>
            </w:pPr>
          </w:p>
          <w:p w:rsidR="00166D58" w:rsidRPr="00E20E4B" w:rsidRDefault="00166D58" w:rsidP="0032502F">
            <w:pPr>
              <w:spacing w:after="0"/>
              <w:ind w:right="-44"/>
              <w:jc w:val="center"/>
              <w:rPr>
                <w:rFonts w:ascii="Times New Roman" w:hAnsi="Times New Roman"/>
                <w:sz w:val="18"/>
                <w:szCs w:val="18"/>
              </w:rPr>
            </w:pPr>
            <w:r w:rsidRPr="00E20E4B">
              <w:rPr>
                <w:rFonts w:ascii="Times New Roman" w:hAnsi="Times New Roman"/>
                <w:i/>
                <w:color w:val="171717"/>
                <w:sz w:val="18"/>
                <w:szCs w:val="18"/>
              </w:rPr>
              <w:t>2,0</w:t>
            </w:r>
          </w:p>
        </w:tc>
        <w:tc>
          <w:tcPr>
            <w:tcW w:w="1293" w:type="dxa"/>
            <w:tcBorders>
              <w:top w:val="dashed" w:sz="4" w:space="0" w:color="000000"/>
              <w:bottom w:val="single" w:sz="8" w:space="0" w:color="4BACC6"/>
            </w:tcBorders>
            <w:shd w:val="clear" w:color="auto" w:fill="auto"/>
            <w:vAlign w:val="center"/>
          </w:tcPr>
          <w:p w:rsidR="00166D58" w:rsidRPr="00E20E4B" w:rsidRDefault="00166D58" w:rsidP="0032502F">
            <w:pPr>
              <w:spacing w:after="0"/>
              <w:jc w:val="center"/>
              <w:rPr>
                <w:rFonts w:ascii="Times New Roman" w:hAnsi="Times New Roman"/>
                <w:sz w:val="18"/>
                <w:szCs w:val="18"/>
              </w:rPr>
            </w:pPr>
            <w:r w:rsidRPr="00E20E4B">
              <w:rPr>
                <w:rFonts w:ascii="Times New Roman" w:eastAsia="Calibri" w:hAnsi="Times New Roman"/>
                <w:color w:val="171717"/>
                <w:sz w:val="18"/>
                <w:szCs w:val="18"/>
              </w:rPr>
              <w:t xml:space="preserve">        12</w:t>
            </w:r>
            <w:r w:rsidRPr="00E20E4B">
              <w:rPr>
                <w:rFonts w:ascii="Times New Roman" w:hAnsi="Times New Roman"/>
                <w:color w:val="171717"/>
                <w:sz w:val="18"/>
                <w:szCs w:val="18"/>
              </w:rPr>
              <w:t xml:space="preserve"> 546,5 </w:t>
            </w:r>
          </w:p>
          <w:p w:rsidR="00166D58" w:rsidRPr="00E20E4B" w:rsidRDefault="00166D58" w:rsidP="0032502F">
            <w:pPr>
              <w:spacing w:after="0"/>
              <w:jc w:val="center"/>
              <w:rPr>
                <w:rFonts w:ascii="Times New Roman" w:hAnsi="Times New Roman"/>
                <w:color w:val="171717"/>
                <w:sz w:val="18"/>
                <w:szCs w:val="18"/>
              </w:rPr>
            </w:pPr>
          </w:p>
          <w:p w:rsidR="00166D58" w:rsidRPr="00E20E4B" w:rsidRDefault="00166D58" w:rsidP="0032502F">
            <w:pPr>
              <w:spacing w:after="0"/>
              <w:jc w:val="center"/>
              <w:rPr>
                <w:rFonts w:ascii="Times New Roman" w:hAnsi="Times New Roman"/>
                <w:color w:val="171717"/>
                <w:sz w:val="18"/>
                <w:szCs w:val="18"/>
              </w:rPr>
            </w:pPr>
          </w:p>
        </w:tc>
        <w:tc>
          <w:tcPr>
            <w:tcW w:w="1622" w:type="dxa"/>
            <w:tcBorders>
              <w:top w:val="dashed" w:sz="4" w:space="0" w:color="000000"/>
              <w:bottom w:val="single" w:sz="8" w:space="0" w:color="4BACC6"/>
            </w:tcBorders>
            <w:shd w:val="clear" w:color="auto" w:fill="auto"/>
            <w:vAlign w:val="center"/>
          </w:tcPr>
          <w:p w:rsidR="00166D58" w:rsidRPr="00E20E4B" w:rsidRDefault="00166D58" w:rsidP="0032502F">
            <w:pPr>
              <w:spacing w:after="0"/>
              <w:jc w:val="center"/>
              <w:rPr>
                <w:rFonts w:ascii="Times New Roman" w:hAnsi="Times New Roman"/>
                <w:sz w:val="18"/>
                <w:szCs w:val="18"/>
              </w:rPr>
            </w:pPr>
            <w:r w:rsidRPr="00E20E4B">
              <w:rPr>
                <w:rFonts w:ascii="Times New Roman" w:hAnsi="Times New Roman"/>
                <w:color w:val="171717"/>
                <w:sz w:val="18"/>
                <w:szCs w:val="18"/>
              </w:rPr>
              <w:t>1 832,1</w:t>
            </w:r>
          </w:p>
          <w:p w:rsidR="00166D58" w:rsidRPr="00E20E4B" w:rsidRDefault="00166D58" w:rsidP="0032502F">
            <w:pPr>
              <w:spacing w:after="0"/>
              <w:jc w:val="center"/>
              <w:rPr>
                <w:rFonts w:ascii="Times New Roman" w:hAnsi="Times New Roman"/>
                <w:color w:val="171717"/>
                <w:sz w:val="18"/>
                <w:szCs w:val="18"/>
              </w:rPr>
            </w:pPr>
          </w:p>
          <w:p w:rsidR="00166D58" w:rsidRPr="00E20E4B" w:rsidRDefault="00166D58" w:rsidP="0032502F">
            <w:pPr>
              <w:spacing w:after="0"/>
              <w:jc w:val="center"/>
              <w:rPr>
                <w:rFonts w:ascii="Times New Roman" w:hAnsi="Times New Roman"/>
                <w:color w:val="171717"/>
                <w:sz w:val="18"/>
                <w:szCs w:val="18"/>
              </w:rPr>
            </w:pPr>
          </w:p>
        </w:tc>
        <w:tc>
          <w:tcPr>
            <w:tcW w:w="1005" w:type="dxa"/>
            <w:tcBorders>
              <w:top w:val="dashed" w:sz="4" w:space="0" w:color="000000"/>
              <w:bottom w:val="single" w:sz="8" w:space="0" w:color="4BACC6"/>
            </w:tcBorders>
            <w:shd w:val="clear" w:color="auto" w:fill="auto"/>
            <w:vAlign w:val="center"/>
          </w:tcPr>
          <w:p w:rsidR="00166D58" w:rsidRPr="00E20E4B" w:rsidRDefault="00166D58" w:rsidP="0032502F">
            <w:pPr>
              <w:tabs>
                <w:tab w:val="left" w:pos="793"/>
              </w:tabs>
              <w:spacing w:after="0"/>
              <w:jc w:val="center"/>
              <w:rPr>
                <w:rFonts w:ascii="Times New Roman" w:hAnsi="Times New Roman"/>
                <w:sz w:val="18"/>
                <w:szCs w:val="18"/>
              </w:rPr>
            </w:pPr>
            <w:r w:rsidRPr="00E20E4B">
              <w:rPr>
                <w:rFonts w:ascii="Times New Roman" w:hAnsi="Times New Roman"/>
                <w:color w:val="171717"/>
                <w:sz w:val="18"/>
                <w:szCs w:val="18"/>
              </w:rPr>
              <w:t>11 409,5</w:t>
            </w:r>
          </w:p>
          <w:p w:rsidR="00166D58" w:rsidRPr="00E20E4B" w:rsidRDefault="00166D58" w:rsidP="0032502F">
            <w:pPr>
              <w:tabs>
                <w:tab w:val="left" w:pos="793"/>
              </w:tabs>
              <w:spacing w:after="0"/>
              <w:jc w:val="center"/>
              <w:rPr>
                <w:rFonts w:ascii="Times New Roman" w:hAnsi="Times New Roman"/>
                <w:color w:val="171717"/>
                <w:sz w:val="18"/>
                <w:szCs w:val="18"/>
              </w:rPr>
            </w:pPr>
          </w:p>
          <w:p w:rsidR="00166D58" w:rsidRPr="00E20E4B" w:rsidRDefault="00166D58" w:rsidP="0032502F">
            <w:pPr>
              <w:tabs>
                <w:tab w:val="left" w:pos="793"/>
              </w:tabs>
              <w:spacing w:after="0"/>
              <w:jc w:val="center"/>
              <w:rPr>
                <w:rFonts w:ascii="Times New Roman" w:hAnsi="Times New Roman"/>
                <w:color w:val="171717"/>
                <w:sz w:val="18"/>
                <w:szCs w:val="18"/>
              </w:rPr>
            </w:pPr>
          </w:p>
        </w:tc>
      </w:tr>
      <w:tr w:rsidR="00166D58" w:rsidRPr="00E20E4B" w:rsidTr="000B1471">
        <w:trPr>
          <w:trHeight w:val="349"/>
          <w:jc w:val="center"/>
        </w:trPr>
        <w:tc>
          <w:tcPr>
            <w:tcW w:w="3610" w:type="dxa"/>
            <w:tcBorders>
              <w:top w:val="single" w:sz="8" w:space="0" w:color="4BACC6"/>
              <w:bottom w:val="dashed" w:sz="4" w:space="0" w:color="000000"/>
            </w:tcBorders>
            <w:shd w:val="clear" w:color="auto" w:fill="auto"/>
            <w:vAlign w:val="center"/>
          </w:tcPr>
          <w:p w:rsidR="00166D58" w:rsidRPr="00E20E4B" w:rsidRDefault="00166D58" w:rsidP="0032502F">
            <w:pPr>
              <w:tabs>
                <w:tab w:val="left" w:pos="4305"/>
              </w:tabs>
              <w:jc w:val="both"/>
              <w:rPr>
                <w:rFonts w:ascii="Times New Roman" w:hAnsi="Times New Roman"/>
                <w:sz w:val="18"/>
                <w:szCs w:val="18"/>
              </w:rPr>
            </w:pPr>
            <w:r w:rsidRPr="00E20E4B">
              <w:rPr>
                <w:rFonts w:ascii="Times New Roman" w:hAnsi="Times New Roman"/>
                <w:b/>
                <w:bCs/>
                <w:color w:val="171717"/>
                <w:sz w:val="18"/>
                <w:szCs w:val="18"/>
              </w:rPr>
              <w:t>Cheltuieli și active nefinanciare, total</w:t>
            </w:r>
          </w:p>
        </w:tc>
        <w:tc>
          <w:tcPr>
            <w:tcW w:w="999" w:type="dxa"/>
            <w:tcBorders>
              <w:top w:val="single" w:sz="8" w:space="0" w:color="4BACC6"/>
              <w:bottom w:val="dashed" w:sz="4" w:space="0" w:color="000000"/>
            </w:tcBorders>
            <w:shd w:val="clear" w:color="auto" w:fill="auto"/>
            <w:vAlign w:val="center"/>
          </w:tcPr>
          <w:p w:rsidR="00166D58" w:rsidRPr="00E20E4B" w:rsidRDefault="00166D58" w:rsidP="0032502F">
            <w:pPr>
              <w:ind w:left="-108"/>
              <w:jc w:val="right"/>
              <w:rPr>
                <w:rFonts w:ascii="Times New Roman" w:hAnsi="Times New Roman"/>
                <w:sz w:val="18"/>
                <w:szCs w:val="18"/>
              </w:rPr>
            </w:pPr>
            <w:r w:rsidRPr="00E20E4B">
              <w:rPr>
                <w:rFonts w:ascii="Times New Roman" w:hAnsi="Times New Roman"/>
                <w:color w:val="171717"/>
                <w:sz w:val="18"/>
                <w:szCs w:val="18"/>
              </w:rPr>
              <w:t>66 292,4</w:t>
            </w:r>
          </w:p>
        </w:tc>
        <w:tc>
          <w:tcPr>
            <w:tcW w:w="1059" w:type="dxa"/>
            <w:tcBorders>
              <w:top w:val="single" w:sz="8" w:space="0" w:color="4BACC6"/>
              <w:bottom w:val="dashed" w:sz="4" w:space="0" w:color="000000"/>
            </w:tcBorders>
            <w:shd w:val="clear" w:color="auto" w:fill="auto"/>
            <w:vAlign w:val="center"/>
          </w:tcPr>
          <w:p w:rsidR="00166D58" w:rsidRPr="00E20E4B" w:rsidRDefault="00166D58" w:rsidP="0032502F">
            <w:pPr>
              <w:ind w:right="-44"/>
              <w:jc w:val="right"/>
              <w:rPr>
                <w:rFonts w:ascii="Times New Roman" w:hAnsi="Times New Roman"/>
                <w:sz w:val="18"/>
                <w:szCs w:val="18"/>
              </w:rPr>
            </w:pPr>
            <w:r w:rsidRPr="00E20E4B">
              <w:rPr>
                <w:rFonts w:ascii="Times New Roman" w:hAnsi="Times New Roman"/>
                <w:color w:val="171717"/>
                <w:sz w:val="18"/>
                <w:szCs w:val="18"/>
              </w:rPr>
              <w:t>44 369,5</w:t>
            </w:r>
          </w:p>
        </w:tc>
        <w:tc>
          <w:tcPr>
            <w:tcW w:w="1293" w:type="dxa"/>
            <w:tcBorders>
              <w:top w:val="single" w:sz="8" w:space="0" w:color="4BACC6"/>
              <w:bottom w:val="dashed" w:sz="4" w:space="0" w:color="000000"/>
            </w:tcBorders>
            <w:shd w:val="clear" w:color="auto" w:fill="auto"/>
            <w:vAlign w:val="center"/>
          </w:tcPr>
          <w:p w:rsidR="00166D58" w:rsidRPr="00E20E4B" w:rsidRDefault="00166D58" w:rsidP="0032502F">
            <w:pPr>
              <w:jc w:val="right"/>
              <w:rPr>
                <w:rFonts w:ascii="Times New Roman" w:hAnsi="Times New Roman"/>
                <w:sz w:val="18"/>
                <w:szCs w:val="18"/>
              </w:rPr>
            </w:pPr>
            <w:r w:rsidRPr="00E20E4B">
              <w:rPr>
                <w:rFonts w:ascii="Times New Roman" w:hAnsi="Times New Roman"/>
                <w:color w:val="171717"/>
                <w:sz w:val="18"/>
                <w:szCs w:val="18"/>
              </w:rPr>
              <w:t>24 965,6</w:t>
            </w:r>
          </w:p>
        </w:tc>
        <w:tc>
          <w:tcPr>
            <w:tcW w:w="1622" w:type="dxa"/>
            <w:tcBorders>
              <w:top w:val="single" w:sz="8" w:space="0" w:color="4BACC6"/>
              <w:bottom w:val="dashed" w:sz="4" w:space="0" w:color="000000"/>
            </w:tcBorders>
            <w:shd w:val="clear" w:color="auto" w:fill="auto"/>
            <w:vAlign w:val="center"/>
          </w:tcPr>
          <w:p w:rsidR="00166D58" w:rsidRPr="00E20E4B" w:rsidRDefault="00166D58" w:rsidP="0032502F">
            <w:pPr>
              <w:jc w:val="center"/>
              <w:rPr>
                <w:rFonts w:ascii="Times New Roman" w:hAnsi="Times New Roman"/>
                <w:sz w:val="18"/>
                <w:szCs w:val="18"/>
              </w:rPr>
            </w:pPr>
            <w:r w:rsidRPr="00E20E4B">
              <w:rPr>
                <w:rFonts w:ascii="Times New Roman" w:hAnsi="Times New Roman"/>
                <w:color w:val="171717"/>
                <w:sz w:val="18"/>
                <w:szCs w:val="18"/>
              </w:rPr>
              <w:t>8 327,8</w:t>
            </w:r>
          </w:p>
        </w:tc>
        <w:tc>
          <w:tcPr>
            <w:tcW w:w="1005" w:type="dxa"/>
            <w:tcBorders>
              <w:top w:val="single" w:sz="8" w:space="0" w:color="4BACC6"/>
              <w:bottom w:val="dashed" w:sz="4" w:space="0" w:color="000000"/>
            </w:tcBorders>
            <w:shd w:val="clear" w:color="auto" w:fill="auto"/>
            <w:vAlign w:val="center"/>
          </w:tcPr>
          <w:p w:rsidR="00166D58" w:rsidRPr="00E20E4B" w:rsidRDefault="00166D58" w:rsidP="0032502F">
            <w:pPr>
              <w:tabs>
                <w:tab w:val="left" w:pos="793"/>
              </w:tabs>
              <w:jc w:val="right"/>
              <w:rPr>
                <w:rFonts w:ascii="Times New Roman" w:hAnsi="Times New Roman"/>
                <w:sz w:val="18"/>
                <w:szCs w:val="18"/>
              </w:rPr>
            </w:pPr>
            <w:r w:rsidRPr="00E20E4B">
              <w:rPr>
                <w:rFonts w:ascii="Times New Roman" w:hAnsi="Times New Roman"/>
                <w:color w:val="171717"/>
                <w:sz w:val="18"/>
                <w:szCs w:val="18"/>
              </w:rPr>
              <w:t>14 426,5</w:t>
            </w:r>
          </w:p>
        </w:tc>
      </w:tr>
      <w:tr w:rsidR="00166D58" w:rsidRPr="00E20E4B" w:rsidTr="000B1471">
        <w:trPr>
          <w:trHeight w:val="755"/>
          <w:jc w:val="center"/>
        </w:trPr>
        <w:tc>
          <w:tcPr>
            <w:tcW w:w="3610" w:type="dxa"/>
            <w:tcBorders>
              <w:top w:val="dashed" w:sz="4" w:space="0" w:color="000000"/>
              <w:bottom w:val="single" w:sz="8" w:space="0" w:color="4BACC6"/>
            </w:tcBorders>
            <w:shd w:val="clear" w:color="auto" w:fill="auto"/>
            <w:vAlign w:val="center"/>
          </w:tcPr>
          <w:p w:rsidR="00166D58" w:rsidRPr="00E20E4B" w:rsidRDefault="00166D58" w:rsidP="0032502F">
            <w:pPr>
              <w:tabs>
                <w:tab w:val="left" w:pos="4305"/>
              </w:tabs>
              <w:spacing w:after="0"/>
              <w:jc w:val="both"/>
              <w:rPr>
                <w:rFonts w:ascii="Times New Roman" w:hAnsi="Times New Roman"/>
                <w:sz w:val="18"/>
                <w:szCs w:val="18"/>
              </w:rPr>
            </w:pPr>
            <w:r w:rsidRPr="00E20E4B">
              <w:rPr>
                <w:rFonts w:ascii="Times New Roman" w:hAnsi="Times New Roman"/>
                <w:b/>
                <w:bCs/>
                <w:color w:val="171717"/>
                <w:sz w:val="18"/>
                <w:szCs w:val="18"/>
              </w:rPr>
              <w:t>Transferuri acordate</w:t>
            </w:r>
          </w:p>
          <w:p w:rsidR="00166D58" w:rsidRPr="00E20E4B" w:rsidRDefault="00166D58" w:rsidP="0032502F">
            <w:pPr>
              <w:tabs>
                <w:tab w:val="left" w:pos="4305"/>
              </w:tabs>
              <w:spacing w:after="0"/>
              <w:jc w:val="both"/>
              <w:rPr>
                <w:rFonts w:ascii="Times New Roman" w:hAnsi="Times New Roman"/>
                <w:sz w:val="18"/>
                <w:szCs w:val="18"/>
              </w:rPr>
            </w:pPr>
            <w:r w:rsidRPr="00E20E4B">
              <w:rPr>
                <w:rFonts w:ascii="Times New Roman" w:hAnsi="Times New Roman"/>
                <w:b/>
                <w:bCs/>
                <w:i/>
                <w:color w:val="171717"/>
                <w:sz w:val="18"/>
                <w:szCs w:val="18"/>
              </w:rPr>
              <w:t>dobânzi achitate la împrumuturile în interiorul sistemului bugetar</w:t>
            </w:r>
          </w:p>
        </w:tc>
        <w:tc>
          <w:tcPr>
            <w:tcW w:w="999" w:type="dxa"/>
            <w:tcBorders>
              <w:top w:val="dashed" w:sz="4" w:space="0" w:color="000000"/>
              <w:bottom w:val="single" w:sz="8" w:space="0" w:color="4BACC6"/>
            </w:tcBorders>
            <w:shd w:val="clear" w:color="auto" w:fill="auto"/>
            <w:vAlign w:val="center"/>
          </w:tcPr>
          <w:p w:rsidR="00166D58" w:rsidRPr="00E20E4B" w:rsidRDefault="00166D58" w:rsidP="0032502F">
            <w:pPr>
              <w:snapToGrid w:val="0"/>
              <w:spacing w:after="0"/>
              <w:ind w:left="-108"/>
              <w:jc w:val="right"/>
              <w:rPr>
                <w:rFonts w:ascii="Times New Roman" w:hAnsi="Times New Roman"/>
                <w:b/>
                <w:bCs/>
                <w:color w:val="171717"/>
                <w:sz w:val="18"/>
                <w:szCs w:val="18"/>
              </w:rPr>
            </w:pPr>
          </w:p>
        </w:tc>
        <w:tc>
          <w:tcPr>
            <w:tcW w:w="1059" w:type="dxa"/>
            <w:tcBorders>
              <w:top w:val="dashed" w:sz="4" w:space="0" w:color="000000"/>
              <w:bottom w:val="single" w:sz="8" w:space="0" w:color="4BACC6"/>
            </w:tcBorders>
            <w:shd w:val="clear" w:color="auto" w:fill="auto"/>
            <w:vAlign w:val="center"/>
          </w:tcPr>
          <w:p w:rsidR="00166D58" w:rsidRPr="00E20E4B" w:rsidRDefault="00166D58" w:rsidP="0032502F">
            <w:pPr>
              <w:spacing w:after="0"/>
              <w:ind w:right="-44"/>
              <w:jc w:val="right"/>
              <w:rPr>
                <w:rFonts w:ascii="Times New Roman" w:hAnsi="Times New Roman"/>
                <w:sz w:val="18"/>
                <w:szCs w:val="18"/>
              </w:rPr>
            </w:pPr>
            <w:r w:rsidRPr="00E20E4B">
              <w:rPr>
                <w:rFonts w:ascii="Times New Roman" w:hAnsi="Times New Roman"/>
                <w:color w:val="171717"/>
                <w:sz w:val="18"/>
                <w:szCs w:val="18"/>
              </w:rPr>
              <w:t>25 788,1</w:t>
            </w:r>
          </w:p>
          <w:p w:rsidR="00166D58" w:rsidRPr="00E20E4B" w:rsidRDefault="00166D58" w:rsidP="0032502F">
            <w:pPr>
              <w:spacing w:after="0"/>
              <w:ind w:right="-44"/>
              <w:jc w:val="right"/>
              <w:rPr>
                <w:rFonts w:ascii="Times New Roman" w:hAnsi="Times New Roman"/>
                <w:color w:val="171717"/>
                <w:sz w:val="18"/>
                <w:szCs w:val="18"/>
              </w:rPr>
            </w:pPr>
          </w:p>
        </w:tc>
        <w:tc>
          <w:tcPr>
            <w:tcW w:w="1293" w:type="dxa"/>
            <w:tcBorders>
              <w:top w:val="dashed" w:sz="4" w:space="0" w:color="000000"/>
              <w:bottom w:val="single" w:sz="8" w:space="0" w:color="4BACC6"/>
            </w:tcBorders>
            <w:shd w:val="clear" w:color="auto" w:fill="auto"/>
            <w:vAlign w:val="center"/>
          </w:tcPr>
          <w:p w:rsidR="00166D58" w:rsidRPr="00E20E4B" w:rsidRDefault="00166D58" w:rsidP="0032502F">
            <w:pPr>
              <w:snapToGrid w:val="0"/>
              <w:spacing w:after="0"/>
              <w:jc w:val="right"/>
              <w:rPr>
                <w:rFonts w:ascii="Times New Roman" w:hAnsi="Times New Roman"/>
                <w:color w:val="171717"/>
                <w:sz w:val="18"/>
                <w:szCs w:val="18"/>
              </w:rPr>
            </w:pPr>
          </w:p>
        </w:tc>
        <w:tc>
          <w:tcPr>
            <w:tcW w:w="1622" w:type="dxa"/>
            <w:tcBorders>
              <w:top w:val="dashed" w:sz="4" w:space="0" w:color="000000"/>
              <w:bottom w:val="single" w:sz="8" w:space="0" w:color="4BACC6"/>
            </w:tcBorders>
            <w:shd w:val="clear" w:color="auto" w:fill="auto"/>
            <w:vAlign w:val="center"/>
          </w:tcPr>
          <w:p w:rsidR="00166D58" w:rsidRPr="00E20E4B" w:rsidRDefault="00166D58" w:rsidP="0032502F">
            <w:pPr>
              <w:snapToGrid w:val="0"/>
              <w:spacing w:after="0"/>
              <w:jc w:val="right"/>
              <w:rPr>
                <w:rFonts w:ascii="Times New Roman" w:hAnsi="Times New Roman"/>
                <w:color w:val="171717"/>
                <w:sz w:val="18"/>
                <w:szCs w:val="18"/>
              </w:rPr>
            </w:pPr>
          </w:p>
        </w:tc>
        <w:tc>
          <w:tcPr>
            <w:tcW w:w="1005" w:type="dxa"/>
            <w:tcBorders>
              <w:top w:val="dashed" w:sz="4" w:space="0" w:color="000000"/>
              <w:bottom w:val="single" w:sz="8" w:space="0" w:color="4BACC6"/>
            </w:tcBorders>
            <w:shd w:val="clear" w:color="auto" w:fill="auto"/>
            <w:vAlign w:val="center"/>
          </w:tcPr>
          <w:p w:rsidR="00166D58" w:rsidRPr="00E20E4B" w:rsidRDefault="00166D58" w:rsidP="0032502F">
            <w:pPr>
              <w:tabs>
                <w:tab w:val="left" w:pos="793"/>
              </w:tabs>
              <w:spacing w:after="0"/>
              <w:jc w:val="right"/>
              <w:rPr>
                <w:rFonts w:ascii="Times New Roman" w:hAnsi="Times New Roman"/>
                <w:sz w:val="18"/>
                <w:szCs w:val="18"/>
              </w:rPr>
            </w:pPr>
            <w:r w:rsidRPr="00E20E4B">
              <w:rPr>
                <w:rFonts w:ascii="Times New Roman" w:hAnsi="Times New Roman"/>
                <w:color w:val="171717"/>
                <w:sz w:val="18"/>
                <w:szCs w:val="18"/>
              </w:rPr>
              <w:t>6,9</w:t>
            </w:r>
          </w:p>
          <w:p w:rsidR="00166D58" w:rsidRPr="00E20E4B" w:rsidRDefault="00166D58" w:rsidP="0032502F">
            <w:pPr>
              <w:tabs>
                <w:tab w:val="left" w:pos="793"/>
              </w:tabs>
              <w:spacing w:after="0"/>
              <w:jc w:val="right"/>
              <w:rPr>
                <w:rFonts w:ascii="Times New Roman" w:hAnsi="Times New Roman"/>
                <w:sz w:val="18"/>
                <w:szCs w:val="18"/>
              </w:rPr>
            </w:pPr>
            <w:r w:rsidRPr="00E20E4B">
              <w:rPr>
                <w:rFonts w:ascii="Times New Roman" w:hAnsi="Times New Roman"/>
                <w:i/>
                <w:color w:val="171717"/>
                <w:sz w:val="18"/>
                <w:szCs w:val="18"/>
              </w:rPr>
              <w:t>2,0</w:t>
            </w:r>
          </w:p>
        </w:tc>
      </w:tr>
      <w:tr w:rsidR="00166D58" w:rsidRPr="00E20E4B" w:rsidTr="000B1471">
        <w:trPr>
          <w:trHeight w:val="349"/>
          <w:jc w:val="center"/>
        </w:trPr>
        <w:tc>
          <w:tcPr>
            <w:tcW w:w="3610" w:type="dxa"/>
            <w:tcBorders>
              <w:top w:val="single" w:sz="8" w:space="0" w:color="4BACC6"/>
              <w:bottom w:val="single" w:sz="8" w:space="0" w:color="4BACC6"/>
            </w:tcBorders>
            <w:shd w:val="clear" w:color="auto" w:fill="auto"/>
            <w:vAlign w:val="center"/>
          </w:tcPr>
          <w:p w:rsidR="00166D58" w:rsidRPr="00E20E4B" w:rsidRDefault="00166D58" w:rsidP="0032502F">
            <w:pPr>
              <w:tabs>
                <w:tab w:val="left" w:pos="4305"/>
              </w:tabs>
              <w:jc w:val="both"/>
              <w:rPr>
                <w:rFonts w:ascii="Times New Roman" w:hAnsi="Times New Roman"/>
                <w:sz w:val="18"/>
                <w:szCs w:val="18"/>
              </w:rPr>
            </w:pPr>
            <w:r w:rsidRPr="00E20E4B">
              <w:rPr>
                <w:rFonts w:ascii="Times New Roman" w:hAnsi="Times New Roman"/>
                <w:b/>
                <w:bCs/>
                <w:sz w:val="18"/>
                <w:szCs w:val="18"/>
              </w:rPr>
              <w:t>Sold bugetar (deficit (-), excedent (+))</w:t>
            </w:r>
          </w:p>
        </w:tc>
        <w:tc>
          <w:tcPr>
            <w:tcW w:w="999" w:type="dxa"/>
            <w:tcBorders>
              <w:top w:val="single" w:sz="8" w:space="0" w:color="4BACC6"/>
              <w:bottom w:val="single" w:sz="8" w:space="0" w:color="4BACC6"/>
            </w:tcBorders>
            <w:shd w:val="clear" w:color="auto" w:fill="auto"/>
            <w:vAlign w:val="center"/>
          </w:tcPr>
          <w:p w:rsidR="00166D58" w:rsidRPr="00E20E4B" w:rsidRDefault="00166D58" w:rsidP="0032502F">
            <w:pPr>
              <w:ind w:left="-108"/>
              <w:jc w:val="right"/>
              <w:rPr>
                <w:rFonts w:ascii="Times New Roman" w:hAnsi="Times New Roman"/>
                <w:sz w:val="18"/>
                <w:szCs w:val="18"/>
              </w:rPr>
            </w:pPr>
            <w:r w:rsidRPr="00E20E4B">
              <w:rPr>
                <w:rFonts w:ascii="Times New Roman" w:hAnsi="Times New Roman"/>
                <w:color w:val="000000"/>
                <w:sz w:val="18"/>
                <w:szCs w:val="18"/>
              </w:rPr>
              <w:t>-5 760,9</w:t>
            </w:r>
          </w:p>
        </w:tc>
        <w:tc>
          <w:tcPr>
            <w:tcW w:w="1059" w:type="dxa"/>
            <w:tcBorders>
              <w:top w:val="single" w:sz="8" w:space="0" w:color="4BACC6"/>
              <w:bottom w:val="single" w:sz="8" w:space="0" w:color="4BACC6"/>
            </w:tcBorders>
            <w:shd w:val="clear" w:color="auto" w:fill="auto"/>
            <w:vAlign w:val="center"/>
          </w:tcPr>
          <w:p w:rsidR="00166D58" w:rsidRPr="00E20E4B" w:rsidRDefault="00166D58" w:rsidP="0032502F">
            <w:pPr>
              <w:ind w:right="-44"/>
              <w:jc w:val="right"/>
              <w:rPr>
                <w:rFonts w:ascii="Times New Roman" w:hAnsi="Times New Roman"/>
                <w:sz w:val="18"/>
                <w:szCs w:val="18"/>
              </w:rPr>
            </w:pPr>
            <w:r w:rsidRPr="00E20E4B">
              <w:rPr>
                <w:rFonts w:ascii="Times New Roman" w:hAnsi="Times New Roman"/>
                <w:color w:val="000000"/>
                <w:sz w:val="18"/>
                <w:szCs w:val="18"/>
              </w:rPr>
              <w:t>-7 609,9</w:t>
            </w:r>
          </w:p>
        </w:tc>
        <w:tc>
          <w:tcPr>
            <w:tcW w:w="1293" w:type="dxa"/>
            <w:tcBorders>
              <w:top w:val="single" w:sz="8" w:space="0" w:color="4BACC6"/>
              <w:bottom w:val="single" w:sz="8" w:space="0" w:color="4BACC6"/>
            </w:tcBorders>
            <w:shd w:val="clear" w:color="auto" w:fill="auto"/>
            <w:vAlign w:val="center"/>
          </w:tcPr>
          <w:p w:rsidR="00166D58" w:rsidRPr="00E20E4B" w:rsidRDefault="00166D58" w:rsidP="0032502F">
            <w:pPr>
              <w:jc w:val="right"/>
              <w:rPr>
                <w:rFonts w:ascii="Times New Roman" w:hAnsi="Times New Roman"/>
                <w:sz w:val="18"/>
                <w:szCs w:val="18"/>
              </w:rPr>
            </w:pPr>
            <w:r w:rsidRPr="00E20E4B">
              <w:rPr>
                <w:rFonts w:ascii="Times New Roman" w:hAnsi="Times New Roman"/>
                <w:color w:val="000000"/>
                <w:sz w:val="18"/>
                <w:szCs w:val="18"/>
              </w:rPr>
              <w:t>1 535,8</w:t>
            </w:r>
          </w:p>
        </w:tc>
        <w:tc>
          <w:tcPr>
            <w:tcW w:w="1622" w:type="dxa"/>
            <w:tcBorders>
              <w:top w:val="single" w:sz="8" w:space="0" w:color="4BACC6"/>
              <w:bottom w:val="single" w:sz="8" w:space="0" w:color="4BACC6"/>
            </w:tcBorders>
            <w:shd w:val="clear" w:color="auto" w:fill="auto"/>
            <w:vAlign w:val="center"/>
          </w:tcPr>
          <w:p w:rsidR="00166D58" w:rsidRPr="00E20E4B" w:rsidRDefault="00166D58" w:rsidP="0032502F">
            <w:pPr>
              <w:jc w:val="center"/>
              <w:rPr>
                <w:rFonts w:ascii="Times New Roman" w:hAnsi="Times New Roman"/>
                <w:sz w:val="18"/>
                <w:szCs w:val="18"/>
              </w:rPr>
            </w:pPr>
            <w:r w:rsidRPr="00E20E4B">
              <w:rPr>
                <w:rFonts w:ascii="Times New Roman" w:hAnsi="Times New Roman"/>
                <w:color w:val="000000"/>
                <w:sz w:val="18"/>
                <w:szCs w:val="18"/>
              </w:rPr>
              <w:t>-1 442,7</w:t>
            </w:r>
          </w:p>
        </w:tc>
        <w:tc>
          <w:tcPr>
            <w:tcW w:w="1005" w:type="dxa"/>
            <w:tcBorders>
              <w:top w:val="single" w:sz="8" w:space="0" w:color="4BACC6"/>
              <w:bottom w:val="single" w:sz="8" w:space="0" w:color="4BACC6"/>
            </w:tcBorders>
            <w:shd w:val="clear" w:color="auto" w:fill="auto"/>
            <w:vAlign w:val="center"/>
          </w:tcPr>
          <w:p w:rsidR="00166D58" w:rsidRPr="00E20E4B" w:rsidRDefault="00166D58" w:rsidP="0032502F">
            <w:pPr>
              <w:tabs>
                <w:tab w:val="left" w:pos="793"/>
              </w:tabs>
              <w:jc w:val="right"/>
              <w:rPr>
                <w:rFonts w:ascii="Times New Roman" w:hAnsi="Times New Roman"/>
                <w:sz w:val="18"/>
                <w:szCs w:val="18"/>
              </w:rPr>
            </w:pPr>
            <w:r w:rsidRPr="00E20E4B">
              <w:rPr>
                <w:rFonts w:ascii="Times New Roman" w:hAnsi="Times New Roman"/>
                <w:color w:val="000000"/>
                <w:sz w:val="18"/>
                <w:szCs w:val="18"/>
              </w:rPr>
              <w:t>1 755,9</w:t>
            </w:r>
          </w:p>
        </w:tc>
      </w:tr>
    </w:tbl>
    <w:p w:rsidR="00C82F48" w:rsidRPr="00012CA3" w:rsidRDefault="00C82F48">
      <w:pPr>
        <w:tabs>
          <w:tab w:val="left" w:pos="4305"/>
        </w:tabs>
        <w:spacing w:before="120" w:after="0"/>
        <w:ind w:left="357"/>
        <w:jc w:val="both"/>
        <w:rPr>
          <w:rFonts w:ascii="Times New Roman" w:hAnsi="Times New Roman"/>
          <w:i/>
          <w:sz w:val="20"/>
        </w:rPr>
      </w:pPr>
      <w:r w:rsidRPr="00012CA3">
        <w:rPr>
          <w:rFonts w:ascii="Times New Roman" w:hAnsi="Times New Roman"/>
          <w:sz w:val="20"/>
        </w:rPr>
        <w:t xml:space="preserve">* </w:t>
      </w:r>
      <w:r w:rsidRPr="00012CA3">
        <w:rPr>
          <w:rFonts w:ascii="Times New Roman" w:hAnsi="Times New Roman"/>
          <w:i/>
          <w:sz w:val="20"/>
        </w:rPr>
        <w:t xml:space="preserve">cu excluderea transferurilor în cadrul bugetului public național în sumă de </w:t>
      </w:r>
      <w:r w:rsidR="00166D58" w:rsidRPr="00012CA3">
        <w:rPr>
          <w:rFonts w:ascii="Times New Roman" w:hAnsi="Times New Roman"/>
          <w:i/>
          <w:sz w:val="20"/>
        </w:rPr>
        <w:t xml:space="preserve">25 795,0 </w:t>
      </w:r>
      <w:r w:rsidRPr="00012CA3">
        <w:rPr>
          <w:rFonts w:ascii="Times New Roman" w:hAnsi="Times New Roman"/>
          <w:i/>
          <w:sz w:val="20"/>
        </w:rPr>
        <w:t xml:space="preserve"> mil. lei, și dobânzilor la împrumuturile în interiorul sistemului bugetar în sumă de 2,</w:t>
      </w:r>
      <w:r w:rsidR="00166D58" w:rsidRPr="00012CA3">
        <w:rPr>
          <w:rFonts w:ascii="Times New Roman" w:hAnsi="Times New Roman"/>
          <w:i/>
          <w:sz w:val="20"/>
        </w:rPr>
        <w:t>0</w:t>
      </w:r>
      <w:r w:rsidRPr="00012CA3">
        <w:rPr>
          <w:rFonts w:ascii="Times New Roman" w:hAnsi="Times New Roman"/>
          <w:i/>
          <w:sz w:val="20"/>
        </w:rPr>
        <w:t xml:space="preserve"> mil.lei.</w:t>
      </w:r>
    </w:p>
    <w:p w:rsidR="00F1252C" w:rsidRPr="00012CA3" w:rsidRDefault="00C82F48">
      <w:pPr>
        <w:tabs>
          <w:tab w:val="left" w:pos="0"/>
        </w:tabs>
        <w:spacing w:after="0" w:line="276" w:lineRule="auto"/>
        <w:ind w:firstLine="567"/>
        <w:jc w:val="both"/>
      </w:pPr>
      <w:r w:rsidRPr="00012CA3">
        <w:rPr>
          <w:rFonts w:ascii="Times New Roman" w:hAnsi="Times New Roman"/>
          <w:sz w:val="28"/>
          <w:szCs w:val="28"/>
        </w:rPr>
        <w:t xml:space="preserve">În semestrul I </w:t>
      </w:r>
      <w:r w:rsidRPr="00012CA3">
        <w:rPr>
          <w:rFonts w:ascii="Times New Roman" w:hAnsi="Times New Roman"/>
          <w:color w:val="000000"/>
          <w:sz w:val="28"/>
          <w:szCs w:val="28"/>
        </w:rPr>
        <w:t>al anului</w:t>
      </w:r>
      <w:r w:rsidRPr="00012CA3">
        <w:rPr>
          <w:rFonts w:ascii="Times New Roman" w:hAnsi="Times New Roman"/>
          <w:sz w:val="28"/>
          <w:szCs w:val="28"/>
        </w:rPr>
        <w:t xml:space="preserve"> 202</w:t>
      </w:r>
      <w:r w:rsidR="00725D75" w:rsidRPr="00012CA3">
        <w:rPr>
          <w:rFonts w:ascii="Times New Roman" w:hAnsi="Times New Roman"/>
          <w:sz w:val="28"/>
          <w:szCs w:val="28"/>
        </w:rPr>
        <w:t>5</w:t>
      </w:r>
      <w:r w:rsidRPr="00012CA3">
        <w:rPr>
          <w:rFonts w:ascii="Times New Roman" w:hAnsi="Times New Roman"/>
          <w:sz w:val="28"/>
          <w:szCs w:val="28"/>
        </w:rPr>
        <w:t xml:space="preserve">, încasările </w:t>
      </w:r>
      <w:r w:rsidRPr="00012CA3">
        <w:rPr>
          <w:rFonts w:ascii="Times New Roman" w:hAnsi="Times New Roman"/>
          <w:b/>
          <w:i/>
          <w:sz w:val="28"/>
          <w:szCs w:val="28"/>
        </w:rPr>
        <w:t>veniturilor bugetului public național</w:t>
      </w:r>
      <w:r w:rsidRPr="00012CA3">
        <w:rPr>
          <w:rFonts w:ascii="Times New Roman" w:hAnsi="Times New Roman"/>
          <w:sz w:val="28"/>
          <w:szCs w:val="28"/>
        </w:rPr>
        <w:t xml:space="preserve">   </w:t>
      </w:r>
      <w:r w:rsidR="00725D75" w:rsidRPr="00012CA3">
        <w:rPr>
          <w:rFonts w:ascii="Times New Roman" w:hAnsi="Times New Roman"/>
          <w:sz w:val="28"/>
          <w:szCs w:val="28"/>
        </w:rPr>
        <w:t>s-au majorat cu 8 352,6 mil. lei, sau cu 16,0% comparativ cu perioada similară a anului 2024 și au constituit 60 531,5 mil. lei.</w:t>
      </w:r>
    </w:p>
    <w:p w:rsidR="000C5736" w:rsidRPr="00012CA3" w:rsidRDefault="000C5736" w:rsidP="000C5736">
      <w:pPr>
        <w:tabs>
          <w:tab w:val="left" w:pos="0"/>
        </w:tabs>
        <w:spacing w:after="0" w:line="276" w:lineRule="auto"/>
        <w:ind w:firstLine="540"/>
        <w:jc w:val="both"/>
        <w:rPr>
          <w:rFonts w:ascii="Times New Roman" w:hAnsi="Times New Roman"/>
          <w:sz w:val="28"/>
          <w:szCs w:val="28"/>
        </w:rPr>
      </w:pPr>
      <w:r w:rsidRPr="00012CA3">
        <w:rPr>
          <w:rFonts w:ascii="Times New Roman" w:hAnsi="Times New Roman"/>
          <w:sz w:val="28"/>
          <w:szCs w:val="28"/>
          <w:lang w:val="ro-MD"/>
        </w:rPr>
        <w:t>Pe tipuri de bugete, la partea de venituri proprii (fără transferuri interbugetare)  s-au acumulat venituri mai multe la bugetul de stat – cu 5 491,9 mil. lei</w:t>
      </w:r>
      <w:r w:rsidR="00CF6737" w:rsidRPr="00012CA3">
        <w:rPr>
          <w:rFonts w:ascii="Times New Roman" w:hAnsi="Times New Roman"/>
          <w:sz w:val="28"/>
          <w:szCs w:val="28"/>
          <w:lang w:val="ro-MD"/>
        </w:rPr>
        <w:t xml:space="preserve"> sau cu 17,6%,</w:t>
      </w:r>
      <w:r w:rsidRPr="00012CA3">
        <w:rPr>
          <w:rFonts w:ascii="Times New Roman" w:hAnsi="Times New Roman"/>
          <w:sz w:val="28"/>
          <w:szCs w:val="28"/>
          <w:lang w:val="ro-MD"/>
        </w:rPr>
        <w:t xml:space="preserve"> la bugetul asigurărilor sociale de stat cu 1 617,5 mil. lei</w:t>
      </w:r>
      <w:r w:rsidR="00CF6737" w:rsidRPr="00012CA3">
        <w:rPr>
          <w:rFonts w:ascii="Times New Roman" w:hAnsi="Times New Roman"/>
          <w:sz w:val="28"/>
          <w:szCs w:val="28"/>
          <w:lang w:val="ro-MD"/>
        </w:rPr>
        <w:t xml:space="preserve"> sau cu </w:t>
      </w:r>
      <w:r w:rsidR="002015DD">
        <w:rPr>
          <w:rFonts w:ascii="Times New Roman" w:hAnsi="Times New Roman"/>
          <w:sz w:val="28"/>
          <w:szCs w:val="28"/>
          <w:lang w:val="ro-MD"/>
        </w:rPr>
        <w:t>13.1</w:t>
      </w:r>
      <w:r w:rsidR="00CF6737" w:rsidRPr="00012CA3">
        <w:rPr>
          <w:rFonts w:ascii="Times New Roman" w:hAnsi="Times New Roman"/>
          <w:sz w:val="28"/>
          <w:szCs w:val="28"/>
          <w:lang w:val="ro-MD"/>
        </w:rPr>
        <w:t>%,</w:t>
      </w:r>
      <w:r w:rsidRPr="00012CA3">
        <w:rPr>
          <w:rFonts w:ascii="Times New Roman" w:hAnsi="Times New Roman"/>
          <w:sz w:val="28"/>
          <w:szCs w:val="28"/>
          <w:lang w:val="ro-MD"/>
        </w:rPr>
        <w:t xml:space="preserve"> la fondurile asigurării obligatorii de asistență medicală – cu 676,6 mil.lei</w:t>
      </w:r>
      <w:r w:rsidR="00CF6737" w:rsidRPr="00012CA3">
        <w:rPr>
          <w:rFonts w:ascii="Times New Roman" w:hAnsi="Times New Roman"/>
          <w:sz w:val="28"/>
          <w:szCs w:val="28"/>
          <w:lang w:val="ro-MD"/>
        </w:rPr>
        <w:t xml:space="preserve"> sau cu 15,5%</w:t>
      </w:r>
      <w:r w:rsidRPr="00012CA3">
        <w:rPr>
          <w:rFonts w:ascii="Times New Roman" w:hAnsi="Times New Roman"/>
          <w:sz w:val="28"/>
          <w:szCs w:val="28"/>
          <w:lang w:val="ro-MD"/>
        </w:rPr>
        <w:t xml:space="preserve"> iar la bugetele locale (consolidate) – cu 565,8 mil. lei</w:t>
      </w:r>
      <w:r w:rsidR="00CF6737" w:rsidRPr="00012CA3">
        <w:rPr>
          <w:rFonts w:ascii="Times New Roman" w:hAnsi="Times New Roman"/>
          <w:sz w:val="28"/>
          <w:szCs w:val="28"/>
          <w:lang w:val="ro-MD"/>
        </w:rPr>
        <w:t xml:space="preserve"> sau cu 13,5% </w:t>
      </w:r>
      <w:r w:rsidRPr="00012CA3">
        <w:rPr>
          <w:rFonts w:ascii="Times New Roman" w:hAnsi="Times New Roman"/>
          <w:sz w:val="28"/>
          <w:szCs w:val="28"/>
          <w:lang w:val="ro-MD"/>
        </w:rPr>
        <w:t>față de perioada similară a anului 2024.</w:t>
      </w:r>
    </w:p>
    <w:p w:rsidR="00C31F01" w:rsidRPr="00012CA3" w:rsidRDefault="00C31F01" w:rsidP="00C31F01">
      <w:pPr>
        <w:tabs>
          <w:tab w:val="left" w:pos="0"/>
        </w:tabs>
        <w:spacing w:after="0" w:line="276" w:lineRule="auto"/>
        <w:ind w:firstLine="540"/>
        <w:jc w:val="both"/>
        <w:rPr>
          <w:rFonts w:ascii="Times New Roman" w:hAnsi="Times New Roman"/>
          <w:color w:val="000000"/>
          <w:sz w:val="28"/>
          <w:szCs w:val="28"/>
        </w:rPr>
      </w:pPr>
      <w:r w:rsidRPr="00012CA3">
        <w:rPr>
          <w:rFonts w:ascii="Times New Roman" w:hAnsi="Times New Roman"/>
          <w:color w:val="000000"/>
          <w:sz w:val="28"/>
          <w:szCs w:val="28"/>
          <w:lang w:val="ro-MD"/>
        </w:rPr>
        <w:t>Din suma totală a veniturilor încasate la bugetul public național, ponderea cea mai mare revine impozitelor și taxelor – 59,1% sau 35 766,8 mil. lei. Contribuțiile și primele de asigurări obligatorii au constituit 30,5% (18 460,8 mil. lei), alte venituri – 5,7% (3 472,</w:t>
      </w:r>
      <w:r w:rsidR="00834AFE">
        <w:rPr>
          <w:rFonts w:ascii="Times New Roman" w:hAnsi="Times New Roman"/>
          <w:color w:val="000000"/>
          <w:sz w:val="28"/>
          <w:szCs w:val="28"/>
          <w:lang w:val="ro-MD"/>
        </w:rPr>
        <w:t>1</w:t>
      </w:r>
      <w:r w:rsidRPr="00012CA3">
        <w:rPr>
          <w:rFonts w:ascii="Times New Roman" w:hAnsi="Times New Roman"/>
          <w:color w:val="000000"/>
          <w:sz w:val="28"/>
          <w:szCs w:val="28"/>
          <w:lang w:val="ro-MD"/>
        </w:rPr>
        <w:t xml:space="preserve"> mil. lei) și granturile – 4,7% (2 831,8 mil. lei). </w:t>
      </w:r>
    </w:p>
    <w:p w:rsidR="00C82F48" w:rsidRPr="00012CA3" w:rsidRDefault="00C82F48">
      <w:pPr>
        <w:tabs>
          <w:tab w:val="left" w:pos="567"/>
          <w:tab w:val="left" w:pos="851"/>
        </w:tabs>
        <w:spacing w:after="120" w:line="276" w:lineRule="auto"/>
        <w:jc w:val="both"/>
      </w:pPr>
      <w:r w:rsidRPr="00012CA3">
        <w:rPr>
          <w:rFonts w:ascii="Times New Roman" w:hAnsi="Times New Roman"/>
          <w:color w:val="000000"/>
          <w:sz w:val="28"/>
          <w:szCs w:val="28"/>
          <w:lang w:val="ro-MD"/>
        </w:rPr>
        <w:tab/>
        <w:t>Evoluția veniturilor bugetului public național în semestrul I al anilor 202</w:t>
      </w:r>
      <w:r w:rsidR="000E5E34" w:rsidRPr="00012CA3">
        <w:rPr>
          <w:rFonts w:ascii="Times New Roman" w:hAnsi="Times New Roman"/>
          <w:color w:val="000000"/>
          <w:sz w:val="28"/>
          <w:szCs w:val="28"/>
          <w:lang w:val="ro-MD"/>
        </w:rPr>
        <w:t>4</w:t>
      </w:r>
      <w:r w:rsidRPr="00012CA3">
        <w:rPr>
          <w:rFonts w:ascii="Times New Roman" w:hAnsi="Times New Roman"/>
          <w:color w:val="000000"/>
          <w:sz w:val="28"/>
          <w:szCs w:val="28"/>
          <w:lang w:val="ro-MD"/>
        </w:rPr>
        <w:t>-202</w:t>
      </w:r>
      <w:r w:rsidR="000E5E34" w:rsidRPr="00012CA3">
        <w:rPr>
          <w:rFonts w:ascii="Times New Roman" w:hAnsi="Times New Roman"/>
          <w:color w:val="000000"/>
          <w:sz w:val="28"/>
          <w:szCs w:val="28"/>
          <w:lang w:val="ro-MD"/>
        </w:rPr>
        <w:t>5</w:t>
      </w:r>
      <w:r w:rsidRPr="00012CA3">
        <w:rPr>
          <w:rFonts w:ascii="Times New Roman" w:hAnsi="Times New Roman"/>
          <w:color w:val="000000"/>
          <w:sz w:val="28"/>
          <w:szCs w:val="28"/>
          <w:lang w:val="ro-MD"/>
        </w:rPr>
        <w:t xml:space="preserve"> se prezintă în diagrama care urmează:</w:t>
      </w:r>
    </w:p>
    <w:p w:rsidR="00C82F48" w:rsidRPr="00012CA3" w:rsidRDefault="00C82F48">
      <w:pPr>
        <w:pStyle w:val="Heading2"/>
        <w:spacing w:before="0"/>
        <w:jc w:val="center"/>
      </w:pPr>
      <w:r w:rsidRPr="00012CA3">
        <w:rPr>
          <w:rFonts w:ascii="Times New Roman" w:hAnsi="Times New Roman"/>
          <w:i/>
          <w:color w:val="323E4F"/>
          <w:sz w:val="28"/>
          <w:szCs w:val="24"/>
        </w:rPr>
        <w:t xml:space="preserve">Diagrama: 1 Evoluția veniturilor bugetului public național, </w:t>
      </w:r>
    </w:p>
    <w:p w:rsidR="00C82F48" w:rsidRPr="00012CA3" w:rsidRDefault="00502837">
      <w:pPr>
        <w:pStyle w:val="Heading2"/>
        <w:spacing w:before="0"/>
        <w:jc w:val="center"/>
        <w:rPr>
          <w:color w:val="323E4F"/>
        </w:rPr>
      </w:pPr>
      <w:r w:rsidRPr="00012CA3">
        <w:rPr>
          <w:rFonts w:ascii="Times New Roman" w:hAnsi="Times New Roman"/>
          <w:i/>
          <w:color w:val="323E4F"/>
          <w:sz w:val="28"/>
          <w:szCs w:val="24"/>
        </w:rPr>
        <w:t>semestrul  I</w:t>
      </w:r>
      <w:r w:rsidR="00C82F48" w:rsidRPr="00012CA3">
        <w:rPr>
          <w:rFonts w:ascii="Times New Roman" w:hAnsi="Times New Roman"/>
          <w:i/>
          <w:color w:val="323E4F"/>
          <w:sz w:val="28"/>
          <w:szCs w:val="24"/>
        </w:rPr>
        <w:t xml:space="preserve"> 202</w:t>
      </w:r>
      <w:r w:rsidR="00A11F8F" w:rsidRPr="00012CA3">
        <w:rPr>
          <w:rFonts w:ascii="Times New Roman" w:hAnsi="Times New Roman"/>
          <w:i/>
          <w:color w:val="323E4F"/>
          <w:sz w:val="28"/>
          <w:szCs w:val="24"/>
        </w:rPr>
        <w:t>4</w:t>
      </w:r>
      <w:r w:rsidR="00C82F48" w:rsidRPr="00012CA3">
        <w:rPr>
          <w:rFonts w:ascii="Times New Roman" w:hAnsi="Times New Roman"/>
          <w:i/>
          <w:color w:val="323E4F"/>
          <w:sz w:val="28"/>
          <w:szCs w:val="24"/>
        </w:rPr>
        <w:t xml:space="preserve">- </w:t>
      </w:r>
      <w:r w:rsidRPr="00012CA3">
        <w:rPr>
          <w:rFonts w:ascii="Times New Roman" w:hAnsi="Times New Roman"/>
          <w:i/>
          <w:color w:val="323E4F"/>
          <w:sz w:val="28"/>
          <w:szCs w:val="24"/>
        </w:rPr>
        <w:t>semestrul I</w:t>
      </w:r>
      <w:r w:rsidR="00C82F48" w:rsidRPr="00012CA3">
        <w:rPr>
          <w:rFonts w:ascii="Times New Roman" w:hAnsi="Times New Roman"/>
          <w:i/>
          <w:color w:val="323E4F"/>
          <w:sz w:val="28"/>
          <w:szCs w:val="24"/>
        </w:rPr>
        <w:t xml:space="preserve"> 202</w:t>
      </w:r>
      <w:r w:rsidR="00A11F8F" w:rsidRPr="00012CA3">
        <w:rPr>
          <w:rFonts w:ascii="Times New Roman" w:hAnsi="Times New Roman"/>
          <w:i/>
          <w:color w:val="323E4F"/>
          <w:sz w:val="28"/>
          <w:szCs w:val="24"/>
        </w:rPr>
        <w:t>5</w:t>
      </w:r>
    </w:p>
    <w:p w:rsidR="00C82F48" w:rsidRPr="00012CA3" w:rsidRDefault="00B2186D" w:rsidP="00212758">
      <w:pPr>
        <w:tabs>
          <w:tab w:val="left" w:pos="2235"/>
        </w:tabs>
        <w:ind w:left="142" w:hanging="284"/>
        <w:rPr>
          <w:rFonts w:ascii="Times New Roman" w:hAnsi="Times New Roman"/>
          <w:i/>
          <w:color w:val="323E4F"/>
          <w:sz w:val="28"/>
          <w:szCs w:val="24"/>
        </w:rPr>
      </w:pPr>
      <w:r w:rsidRPr="00012CA3">
        <w:rPr>
          <w:rFonts w:ascii="Times New Roman" w:hAnsi="Times New Roman"/>
          <w:i/>
          <w:color w:val="323E4F"/>
          <w:sz w:val="28"/>
          <w:szCs w:val="24"/>
        </w:rPr>
        <w:tab/>
      </w:r>
      <w:r w:rsidR="00792FFF" w:rsidRPr="00C57917">
        <w:rPr>
          <w:noProof/>
          <w:lang w:val="en-US" w:eastAsia="en-US"/>
        </w:rPr>
        <w:drawing>
          <wp:inline distT="0" distB="0" distL="0" distR="0">
            <wp:extent cx="5276850" cy="2295525"/>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87932" w:rsidRPr="00012CA3" w:rsidRDefault="002C04FE" w:rsidP="00887932">
      <w:pPr>
        <w:spacing w:before="60" w:after="0" w:line="276" w:lineRule="auto"/>
        <w:ind w:firstLine="567"/>
        <w:jc w:val="both"/>
        <w:rPr>
          <w:rFonts w:ascii="Times New Roman" w:hAnsi="Times New Roman"/>
          <w:color w:val="000000"/>
          <w:sz w:val="28"/>
          <w:szCs w:val="28"/>
        </w:rPr>
      </w:pPr>
      <w:r w:rsidRPr="00012CA3">
        <w:rPr>
          <w:rFonts w:ascii="Times New Roman" w:hAnsi="Times New Roman"/>
          <w:b/>
          <w:i/>
          <w:color w:val="000000"/>
          <w:sz w:val="28"/>
          <w:szCs w:val="28"/>
          <w:lang w:val="ro-MD"/>
        </w:rPr>
        <w:lastRenderedPageBreak/>
        <w:t xml:space="preserve">Veniturile colectate de către Serviciul Fiscal de Stat </w:t>
      </w:r>
      <w:r w:rsidR="00887932" w:rsidRPr="00012CA3">
        <w:rPr>
          <w:rFonts w:ascii="Times New Roman" w:hAnsi="Times New Roman"/>
          <w:color w:val="000000"/>
          <w:sz w:val="28"/>
          <w:szCs w:val="28"/>
          <w:lang w:val="ro-MD"/>
        </w:rPr>
        <w:t xml:space="preserve">au însumat 39 291,1 mil. lei, cu 4 594,5 mil. lei sau 13,2% mai mult comparativ cu aceeași perioadă a anului 2024. Creșterea veniturilor comparativ cu perioada similară a anului precedent s-a înregistrat: la bugetul de stat  – 12,6%, bugetele locale consolidate – 14,7%, bugetul asigurărilor sociale de stat – 13,1% și fondurile asigurării obligatorii de asistență medicală – 14,7 la sută. </w:t>
      </w:r>
    </w:p>
    <w:p w:rsidR="00711D6C" w:rsidRPr="00012CA3" w:rsidRDefault="002C04FE" w:rsidP="00711D6C">
      <w:pPr>
        <w:spacing w:before="60" w:after="0" w:line="276" w:lineRule="auto"/>
        <w:ind w:firstLine="567"/>
        <w:jc w:val="both"/>
        <w:rPr>
          <w:rFonts w:ascii="Times New Roman" w:hAnsi="Times New Roman"/>
          <w:color w:val="000000"/>
          <w:sz w:val="28"/>
          <w:szCs w:val="28"/>
          <w:lang w:val="en-US"/>
        </w:rPr>
      </w:pPr>
      <w:r w:rsidRPr="00012CA3">
        <w:rPr>
          <w:rFonts w:ascii="Times New Roman" w:hAnsi="Times New Roman"/>
          <w:b/>
          <w:i/>
          <w:color w:val="000000"/>
          <w:sz w:val="28"/>
          <w:szCs w:val="28"/>
          <w:lang w:val="ro-MD"/>
        </w:rPr>
        <w:t>Veniturile colectate de către Serviciul Vamal</w:t>
      </w:r>
      <w:r w:rsidRPr="00012CA3">
        <w:rPr>
          <w:rFonts w:ascii="Times New Roman" w:hAnsi="Times New Roman"/>
          <w:color w:val="000000"/>
          <w:sz w:val="28"/>
          <w:szCs w:val="28"/>
          <w:lang w:val="ro-MD"/>
        </w:rPr>
        <w:t xml:space="preserve"> </w:t>
      </w:r>
      <w:r w:rsidR="00711D6C" w:rsidRPr="00012CA3">
        <w:rPr>
          <w:rFonts w:ascii="Times New Roman" w:hAnsi="Times New Roman"/>
          <w:color w:val="000000"/>
          <w:sz w:val="28"/>
          <w:szCs w:val="28"/>
          <w:lang w:val="ro-MD"/>
        </w:rPr>
        <w:t>au constituit 19 022,1 mil. lei, cu 1 295,8 mil.lei sau cu 7,3% mai mult comparativ cu perioada similară a anului 2024.</w:t>
      </w:r>
    </w:p>
    <w:p w:rsidR="00C82F48" w:rsidRPr="00012CA3" w:rsidRDefault="002C04FE" w:rsidP="00AF3076">
      <w:pPr>
        <w:spacing w:before="60" w:after="0" w:line="276" w:lineRule="auto"/>
        <w:ind w:firstLine="567"/>
        <w:jc w:val="both"/>
        <w:rPr>
          <w:rFonts w:ascii="Times New Roman" w:hAnsi="Times New Roman"/>
          <w:color w:val="000000"/>
          <w:sz w:val="28"/>
          <w:szCs w:val="28"/>
          <w:lang w:val="ro-MD"/>
        </w:rPr>
      </w:pPr>
      <w:r w:rsidRPr="00012CA3">
        <w:rPr>
          <w:rFonts w:ascii="Times New Roman" w:hAnsi="Times New Roman"/>
          <w:b/>
          <w:i/>
          <w:color w:val="000000"/>
          <w:sz w:val="28"/>
          <w:szCs w:val="28"/>
          <w:lang w:val="ro-MD"/>
        </w:rPr>
        <w:t xml:space="preserve">Restanțele la plata impozitelor și taxelor </w:t>
      </w:r>
      <w:r w:rsidRPr="00012CA3">
        <w:rPr>
          <w:rFonts w:ascii="Times New Roman" w:hAnsi="Times New Roman"/>
          <w:color w:val="000000"/>
          <w:sz w:val="28"/>
          <w:szCs w:val="28"/>
          <w:lang w:val="ro-MD"/>
        </w:rPr>
        <w:t>la bugetul public național la situația din 30 iunie 202</w:t>
      </w:r>
      <w:r w:rsidR="00A93BF3" w:rsidRPr="00012CA3">
        <w:rPr>
          <w:rFonts w:ascii="Times New Roman" w:hAnsi="Times New Roman"/>
          <w:color w:val="000000"/>
          <w:sz w:val="28"/>
          <w:szCs w:val="28"/>
          <w:lang w:val="ro-MD"/>
        </w:rPr>
        <w:t>5</w:t>
      </w:r>
      <w:r w:rsidRPr="00012CA3">
        <w:rPr>
          <w:rFonts w:ascii="Times New Roman" w:hAnsi="Times New Roman"/>
          <w:color w:val="000000"/>
          <w:sz w:val="28"/>
          <w:szCs w:val="28"/>
          <w:lang w:val="ro-MD"/>
        </w:rPr>
        <w:t xml:space="preserve"> au constituit 2</w:t>
      </w:r>
      <w:r w:rsidR="00A93BF3" w:rsidRPr="00012CA3">
        <w:rPr>
          <w:rFonts w:ascii="Times New Roman" w:hAnsi="Times New Roman"/>
          <w:color w:val="000000"/>
          <w:sz w:val="28"/>
          <w:szCs w:val="28"/>
          <w:lang w:val="ro-MD"/>
        </w:rPr>
        <w:t> 673,4</w:t>
      </w:r>
      <w:r w:rsidRPr="00012CA3">
        <w:rPr>
          <w:rFonts w:ascii="Times New Roman" w:hAnsi="Times New Roman"/>
          <w:color w:val="000000"/>
          <w:sz w:val="28"/>
          <w:szCs w:val="28"/>
          <w:lang w:val="ro-MD"/>
        </w:rPr>
        <w:t xml:space="preserve"> mil. lei, cu </w:t>
      </w:r>
      <w:r w:rsidR="00A93BF3" w:rsidRPr="00012CA3">
        <w:rPr>
          <w:rFonts w:ascii="Times New Roman" w:hAnsi="Times New Roman"/>
          <w:color w:val="000000"/>
          <w:sz w:val="28"/>
          <w:szCs w:val="28"/>
          <w:lang w:val="ro-MD"/>
        </w:rPr>
        <w:t>598,7</w:t>
      </w:r>
      <w:r w:rsidRPr="00012CA3">
        <w:rPr>
          <w:rFonts w:ascii="Times New Roman" w:hAnsi="Times New Roman"/>
          <w:color w:val="000000"/>
          <w:sz w:val="28"/>
          <w:szCs w:val="28"/>
          <w:lang w:val="ro-MD"/>
        </w:rPr>
        <w:t xml:space="preserve"> mil.lei mai mult față de începutul anului. </w:t>
      </w:r>
      <w:r w:rsidR="00AF3076" w:rsidRPr="00012CA3">
        <w:rPr>
          <w:rFonts w:ascii="Times New Roman" w:hAnsi="Times New Roman"/>
          <w:color w:val="000000"/>
          <w:sz w:val="28"/>
          <w:szCs w:val="28"/>
          <w:lang w:val="ro-MD"/>
        </w:rPr>
        <w:t>Restanțele aferente obligațiilor fiscale administrate de Serviciul Fiscal de Stat au înregistrat o majorare cu  372,0 mil.lei și restanțele gestionate de Serviciul Vamal s-au majorat cu 210,8 mil.lei. La nivelul Agenției Proprietăți Publice, restanțele înregistrate au fost de 1,0 mil.lei, Agenția Națională Transport Auto (ANTA) a raportat restanțe de 4,0 milioane lei și Moldsilva a înregistrat restanțe în sumă de 14,9 mil.lei.</w:t>
      </w:r>
    </w:p>
    <w:p w:rsidR="00064BAC" w:rsidRPr="00012CA3" w:rsidRDefault="00064BAC" w:rsidP="00AF3076">
      <w:pPr>
        <w:spacing w:before="60" w:after="0" w:line="276" w:lineRule="auto"/>
        <w:ind w:firstLine="567"/>
        <w:jc w:val="both"/>
        <w:rPr>
          <w:rFonts w:ascii="Times New Roman" w:hAnsi="Times New Roman"/>
          <w:b/>
          <w:i/>
          <w:color w:val="000000"/>
          <w:sz w:val="28"/>
          <w:szCs w:val="28"/>
          <w:lang w:val="ro-MD"/>
        </w:rPr>
      </w:pPr>
    </w:p>
    <w:p w:rsidR="00C82F48" w:rsidRPr="00012CA3" w:rsidRDefault="00792FFF">
      <w:pPr>
        <w:tabs>
          <w:tab w:val="left" w:pos="709"/>
        </w:tabs>
        <w:spacing w:after="0" w:line="276" w:lineRule="auto"/>
        <w:ind w:firstLine="567"/>
        <w:jc w:val="both"/>
      </w:pPr>
      <w:r w:rsidRPr="00012CA3">
        <w:rPr>
          <w:noProof/>
          <w:lang w:val="en-US" w:eastAsia="en-US"/>
        </w:rPr>
        <mc:AlternateContent>
          <mc:Choice Requires="wps">
            <w:drawing>
              <wp:anchor distT="0" distB="0" distL="114300" distR="114300" simplePos="0" relativeHeight="251654144" behindDoc="0" locked="0" layoutInCell="0" allowOverlap="1">
                <wp:simplePos x="0" y="0"/>
                <wp:positionH relativeFrom="column">
                  <wp:posOffset>2396490</wp:posOffset>
                </wp:positionH>
                <wp:positionV relativeFrom="paragraph">
                  <wp:posOffset>448945</wp:posOffset>
                </wp:positionV>
                <wp:extent cx="109855" cy="103505"/>
                <wp:effectExtent l="0" t="635" r="4445" b="635"/>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 cy="103505"/>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9337FF5" id="_x0000_t32" coordsize="21600,21600" o:spt="32" o:oned="t" path="m,l21600,21600e" filled="f">
                <v:path arrowok="t" fillok="f" o:connecttype="none"/>
                <o:lock v:ext="edit" shapetype="t"/>
              </v:shapetype>
              <v:shape id="AutoShape 18" o:spid="_x0000_s1026" type="#_x0000_t32" style="position:absolute;margin-left:188.7pt;margin-top:35.35pt;width:8.65pt;height:8.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" o:allowincell="f" stroked="f" strokecolor="#3465a4"/>
            </w:pict>
          </mc:Fallback>
        </mc:AlternateContent>
      </w:r>
      <w:r w:rsidR="00C82F48" w:rsidRPr="00012CA3">
        <w:rPr>
          <w:rFonts w:ascii="Times New Roman" w:hAnsi="Times New Roman"/>
          <w:b/>
          <w:i/>
          <w:sz w:val="28"/>
          <w:szCs w:val="28"/>
        </w:rPr>
        <w:t>Cheltuielile bugetului public național</w:t>
      </w:r>
      <w:r w:rsidR="00C82F48" w:rsidRPr="00012CA3">
        <w:rPr>
          <w:rFonts w:ascii="Times New Roman" w:hAnsi="Times New Roman"/>
          <w:i/>
          <w:sz w:val="28"/>
          <w:szCs w:val="28"/>
        </w:rPr>
        <w:t xml:space="preserve"> </w:t>
      </w:r>
      <w:r w:rsidR="00C82F48" w:rsidRPr="00012CA3">
        <w:rPr>
          <w:rFonts w:ascii="Times New Roman" w:hAnsi="Times New Roman"/>
          <w:sz w:val="28"/>
          <w:szCs w:val="28"/>
        </w:rPr>
        <w:t>în semestrul I al anului 202</w:t>
      </w:r>
      <w:r w:rsidR="005C457B" w:rsidRPr="00012CA3">
        <w:rPr>
          <w:rFonts w:ascii="Times New Roman" w:hAnsi="Times New Roman"/>
          <w:sz w:val="28"/>
          <w:szCs w:val="28"/>
        </w:rPr>
        <w:t>5</w:t>
      </w:r>
      <w:r w:rsidR="00C82F48" w:rsidRPr="00012CA3">
        <w:rPr>
          <w:rFonts w:ascii="Times New Roman" w:hAnsi="Times New Roman"/>
          <w:sz w:val="28"/>
          <w:szCs w:val="28"/>
        </w:rPr>
        <w:t xml:space="preserve"> au constituit </w:t>
      </w:r>
      <w:r w:rsidR="005C457B" w:rsidRPr="00012CA3">
        <w:rPr>
          <w:rFonts w:ascii="Times New Roman" w:hAnsi="Times New Roman"/>
          <w:sz w:val="28"/>
          <w:szCs w:val="28"/>
        </w:rPr>
        <w:t>66</w:t>
      </w:r>
      <w:r w:rsidR="000D7A35" w:rsidRPr="00012CA3">
        <w:rPr>
          <w:rFonts w:ascii="Times New Roman" w:hAnsi="Times New Roman"/>
          <w:sz w:val="28"/>
          <w:szCs w:val="28"/>
        </w:rPr>
        <w:t> 292,4</w:t>
      </w:r>
      <w:r w:rsidR="00C82F48" w:rsidRPr="00012CA3">
        <w:rPr>
          <w:rFonts w:ascii="Times New Roman" w:hAnsi="Times New Roman"/>
          <w:sz w:val="28"/>
          <w:szCs w:val="28"/>
        </w:rPr>
        <w:t xml:space="preserve"> mil. lei, cu o majorarea de </w:t>
      </w:r>
      <w:r w:rsidR="000979DF" w:rsidRPr="00012CA3">
        <w:rPr>
          <w:rFonts w:ascii="Times New Roman" w:hAnsi="Times New Roman"/>
          <w:sz w:val="28"/>
          <w:szCs w:val="28"/>
        </w:rPr>
        <w:t>8</w:t>
      </w:r>
      <w:r w:rsidR="00AA7E3B" w:rsidRPr="00012CA3">
        <w:rPr>
          <w:rFonts w:ascii="Times New Roman" w:hAnsi="Times New Roman"/>
          <w:sz w:val="28"/>
          <w:szCs w:val="28"/>
        </w:rPr>
        <w:t> </w:t>
      </w:r>
      <w:r w:rsidR="000979DF" w:rsidRPr="00012CA3">
        <w:rPr>
          <w:rFonts w:ascii="Times New Roman" w:hAnsi="Times New Roman"/>
          <w:sz w:val="28"/>
          <w:szCs w:val="28"/>
        </w:rPr>
        <w:t>5</w:t>
      </w:r>
      <w:r w:rsidR="00AA7E3B" w:rsidRPr="00012CA3">
        <w:rPr>
          <w:rFonts w:ascii="Times New Roman" w:hAnsi="Times New Roman"/>
          <w:sz w:val="28"/>
          <w:szCs w:val="28"/>
        </w:rPr>
        <w:t>85,5</w:t>
      </w:r>
      <w:r w:rsidR="00C82F48" w:rsidRPr="00012CA3">
        <w:rPr>
          <w:rFonts w:ascii="Times New Roman" w:hAnsi="Times New Roman"/>
          <w:sz w:val="28"/>
          <w:szCs w:val="28"/>
        </w:rPr>
        <w:t xml:space="preserve"> mil. lei sau </w:t>
      </w:r>
      <w:r w:rsidR="000979DF" w:rsidRPr="00012CA3">
        <w:rPr>
          <w:rFonts w:ascii="Times New Roman" w:hAnsi="Times New Roman"/>
          <w:sz w:val="28"/>
          <w:szCs w:val="28"/>
        </w:rPr>
        <w:t>14,</w:t>
      </w:r>
      <w:r w:rsidR="00B95F21" w:rsidRPr="00012CA3">
        <w:rPr>
          <w:rFonts w:ascii="Times New Roman" w:hAnsi="Times New Roman"/>
          <w:sz w:val="28"/>
          <w:szCs w:val="28"/>
        </w:rPr>
        <w:t>9</w:t>
      </w:r>
      <w:r w:rsidR="00C82F48" w:rsidRPr="00012CA3">
        <w:rPr>
          <w:rFonts w:ascii="Times New Roman" w:hAnsi="Times New Roman"/>
          <w:sz w:val="28"/>
          <w:szCs w:val="28"/>
        </w:rPr>
        <w:t xml:space="preserve"> % comparativ cu perioada similară a anului </w:t>
      </w:r>
      <w:r w:rsidR="00C82F48" w:rsidRPr="00012CA3">
        <w:rPr>
          <w:rFonts w:ascii="Times New Roman" w:hAnsi="Times New Roman"/>
          <w:sz w:val="28"/>
          <w:szCs w:val="28"/>
          <w:lang w:val="en-GB"/>
        </w:rPr>
        <w:t>202</w:t>
      </w:r>
      <w:r w:rsidR="000979DF" w:rsidRPr="00012CA3">
        <w:rPr>
          <w:rFonts w:ascii="Times New Roman" w:hAnsi="Times New Roman"/>
          <w:sz w:val="28"/>
          <w:szCs w:val="28"/>
          <w:lang w:val="en-GB"/>
        </w:rPr>
        <w:t>4</w:t>
      </w:r>
      <w:r w:rsidR="00C82F48" w:rsidRPr="00012CA3">
        <w:rPr>
          <w:rFonts w:ascii="Times New Roman" w:hAnsi="Times New Roman"/>
          <w:sz w:val="28"/>
          <w:szCs w:val="28"/>
        </w:rPr>
        <w:t>.</w:t>
      </w:r>
    </w:p>
    <w:p w:rsidR="00C82F48" w:rsidRPr="00012CA3" w:rsidRDefault="00C82F48">
      <w:pPr>
        <w:spacing w:before="60" w:after="0" w:line="276" w:lineRule="auto"/>
        <w:ind w:firstLine="567"/>
        <w:jc w:val="both"/>
      </w:pPr>
      <w:r w:rsidRPr="00012CA3">
        <w:rPr>
          <w:rFonts w:ascii="Times New Roman" w:hAnsi="Times New Roman"/>
          <w:sz w:val="28"/>
          <w:szCs w:val="28"/>
        </w:rPr>
        <w:t>Pe tipuri de bugete, cheltuielile publice realizate în semestrul I al anului 202</w:t>
      </w:r>
      <w:r w:rsidR="00314F12" w:rsidRPr="00012CA3">
        <w:rPr>
          <w:rFonts w:ascii="Times New Roman" w:hAnsi="Times New Roman"/>
          <w:sz w:val="28"/>
          <w:szCs w:val="28"/>
        </w:rPr>
        <w:t>5</w:t>
      </w:r>
      <w:r w:rsidRPr="00012CA3">
        <w:rPr>
          <w:rFonts w:ascii="Times New Roman" w:hAnsi="Times New Roman"/>
          <w:sz w:val="28"/>
          <w:szCs w:val="28"/>
        </w:rPr>
        <w:t xml:space="preserve"> constituie:</w:t>
      </w:r>
    </w:p>
    <w:p w:rsidR="00C82F48" w:rsidRPr="00012CA3" w:rsidRDefault="00C82F48">
      <w:pPr>
        <w:pStyle w:val="12"/>
        <w:numPr>
          <w:ilvl w:val="0"/>
          <w:numId w:val="8"/>
        </w:numPr>
        <w:tabs>
          <w:tab w:val="left" w:pos="-142"/>
          <w:tab w:val="left" w:pos="993"/>
        </w:tabs>
        <w:spacing w:after="0" w:line="276" w:lineRule="auto"/>
        <w:ind w:hanging="180"/>
        <w:contextualSpacing/>
        <w:jc w:val="both"/>
      </w:pPr>
      <w:r w:rsidRPr="00012CA3">
        <w:rPr>
          <w:rFonts w:ascii="Times New Roman" w:hAnsi="Times New Roman"/>
          <w:sz w:val="28"/>
          <w:szCs w:val="28"/>
        </w:rPr>
        <w:t xml:space="preserve">bugetul de stat – (fără transferuri interbugetare) </w:t>
      </w:r>
      <w:r w:rsidR="000D3EF6" w:rsidRPr="00012CA3">
        <w:rPr>
          <w:rFonts w:ascii="Times New Roman" w:hAnsi="Times New Roman"/>
          <w:sz w:val="28"/>
          <w:szCs w:val="28"/>
        </w:rPr>
        <w:t>1</w:t>
      </w:r>
      <w:r w:rsidR="00E637F0" w:rsidRPr="00012CA3">
        <w:rPr>
          <w:rFonts w:ascii="Times New Roman" w:hAnsi="Times New Roman"/>
          <w:sz w:val="28"/>
          <w:szCs w:val="28"/>
        </w:rPr>
        <w:t>8</w:t>
      </w:r>
      <w:r w:rsidR="000D7A35" w:rsidRPr="00012CA3">
        <w:rPr>
          <w:rFonts w:ascii="Times New Roman" w:hAnsi="Times New Roman"/>
          <w:sz w:val="28"/>
          <w:szCs w:val="28"/>
        </w:rPr>
        <w:t> </w:t>
      </w:r>
      <w:r w:rsidR="00E637F0" w:rsidRPr="00012CA3">
        <w:rPr>
          <w:rFonts w:ascii="Times New Roman" w:hAnsi="Times New Roman"/>
          <w:sz w:val="28"/>
          <w:szCs w:val="28"/>
        </w:rPr>
        <w:t>5</w:t>
      </w:r>
      <w:r w:rsidR="000D7A35" w:rsidRPr="00012CA3">
        <w:rPr>
          <w:rFonts w:ascii="Times New Roman" w:hAnsi="Times New Roman"/>
          <w:sz w:val="28"/>
          <w:szCs w:val="28"/>
        </w:rPr>
        <w:t>81,4</w:t>
      </w:r>
      <w:r w:rsidRPr="00012CA3">
        <w:rPr>
          <w:rFonts w:ascii="Times New Roman" w:hAnsi="Times New Roman"/>
          <w:sz w:val="28"/>
          <w:szCs w:val="28"/>
        </w:rPr>
        <w:t xml:space="preserve"> mil. lei (</w:t>
      </w:r>
      <w:r w:rsidR="00460F65" w:rsidRPr="00012CA3">
        <w:rPr>
          <w:rFonts w:ascii="Times New Roman" w:hAnsi="Times New Roman"/>
          <w:sz w:val="28"/>
          <w:szCs w:val="28"/>
        </w:rPr>
        <w:t>28,0</w:t>
      </w:r>
      <w:r w:rsidRPr="00012CA3">
        <w:rPr>
          <w:rFonts w:ascii="Times New Roman" w:hAnsi="Times New Roman"/>
          <w:sz w:val="28"/>
          <w:szCs w:val="28"/>
        </w:rPr>
        <w:t>%);</w:t>
      </w:r>
    </w:p>
    <w:p w:rsidR="00C82F48" w:rsidRPr="00012CA3" w:rsidRDefault="00C82F48">
      <w:pPr>
        <w:pStyle w:val="12"/>
        <w:numPr>
          <w:ilvl w:val="0"/>
          <w:numId w:val="8"/>
        </w:numPr>
        <w:tabs>
          <w:tab w:val="left" w:pos="-142"/>
          <w:tab w:val="left" w:pos="993"/>
        </w:tabs>
        <w:spacing w:before="60" w:after="0" w:line="276" w:lineRule="auto"/>
        <w:ind w:left="567" w:firstLine="0"/>
        <w:contextualSpacing/>
        <w:jc w:val="both"/>
      </w:pPr>
      <w:r w:rsidRPr="00012CA3">
        <w:rPr>
          <w:rFonts w:ascii="Times New Roman" w:hAnsi="Times New Roman"/>
          <w:color w:val="000000"/>
          <w:sz w:val="28"/>
          <w:szCs w:val="28"/>
        </w:rPr>
        <w:t xml:space="preserve">bugetul asigurărilor sociale de stat </w:t>
      </w:r>
      <w:r w:rsidRPr="00012CA3">
        <w:rPr>
          <w:rFonts w:ascii="Times New Roman" w:hAnsi="Times New Roman"/>
          <w:sz w:val="28"/>
          <w:szCs w:val="28"/>
        </w:rPr>
        <w:t xml:space="preserve">– </w:t>
      </w:r>
      <w:r w:rsidR="00460F65" w:rsidRPr="00012CA3">
        <w:rPr>
          <w:rFonts w:ascii="Times New Roman" w:hAnsi="Times New Roman"/>
          <w:sz w:val="28"/>
          <w:szCs w:val="28"/>
        </w:rPr>
        <w:t>24 965,6</w:t>
      </w:r>
      <w:r w:rsidRPr="00012CA3">
        <w:rPr>
          <w:rFonts w:ascii="Times New Roman" w:hAnsi="Times New Roman"/>
          <w:sz w:val="28"/>
          <w:szCs w:val="28"/>
        </w:rPr>
        <w:t xml:space="preserve"> mil. lei (</w:t>
      </w:r>
      <w:r w:rsidR="00CE79E8" w:rsidRPr="00012CA3">
        <w:rPr>
          <w:rFonts w:ascii="Times New Roman" w:hAnsi="Times New Roman"/>
          <w:sz w:val="28"/>
          <w:szCs w:val="28"/>
        </w:rPr>
        <w:t>37,</w:t>
      </w:r>
      <w:r w:rsidR="00460F65" w:rsidRPr="00012CA3">
        <w:rPr>
          <w:rFonts w:ascii="Times New Roman" w:hAnsi="Times New Roman"/>
          <w:sz w:val="28"/>
          <w:szCs w:val="28"/>
        </w:rPr>
        <w:t>7</w:t>
      </w:r>
      <w:r w:rsidRPr="00012CA3">
        <w:rPr>
          <w:rFonts w:ascii="Times New Roman" w:hAnsi="Times New Roman"/>
          <w:sz w:val="28"/>
          <w:szCs w:val="28"/>
        </w:rPr>
        <w:t>%);</w:t>
      </w:r>
    </w:p>
    <w:p w:rsidR="00C82F48" w:rsidRPr="00012CA3" w:rsidRDefault="00C82F48">
      <w:pPr>
        <w:pStyle w:val="12"/>
        <w:numPr>
          <w:ilvl w:val="0"/>
          <w:numId w:val="8"/>
        </w:numPr>
        <w:tabs>
          <w:tab w:val="left" w:pos="-142"/>
          <w:tab w:val="left" w:pos="993"/>
        </w:tabs>
        <w:spacing w:before="60" w:after="0" w:line="276" w:lineRule="auto"/>
        <w:ind w:left="0" w:firstLine="567"/>
        <w:contextualSpacing/>
        <w:jc w:val="both"/>
      </w:pPr>
      <w:r w:rsidRPr="00012CA3">
        <w:rPr>
          <w:rFonts w:ascii="Times New Roman" w:hAnsi="Times New Roman"/>
          <w:color w:val="000000"/>
          <w:sz w:val="28"/>
          <w:szCs w:val="28"/>
        </w:rPr>
        <w:t xml:space="preserve">fondurile asigurării obligatorii de asistență medicală </w:t>
      </w:r>
      <w:r w:rsidRPr="00012CA3">
        <w:rPr>
          <w:rFonts w:ascii="Times New Roman" w:hAnsi="Times New Roman"/>
          <w:sz w:val="28"/>
          <w:szCs w:val="28"/>
        </w:rPr>
        <w:t xml:space="preserve">– </w:t>
      </w:r>
      <w:r w:rsidR="005F70F3" w:rsidRPr="00012CA3">
        <w:rPr>
          <w:rFonts w:ascii="Times New Roman" w:hAnsi="Times New Roman"/>
          <w:sz w:val="28"/>
          <w:szCs w:val="28"/>
        </w:rPr>
        <w:t>8 327,8</w:t>
      </w:r>
      <w:r w:rsidRPr="00012CA3">
        <w:rPr>
          <w:rFonts w:ascii="Times New Roman" w:hAnsi="Times New Roman"/>
          <w:sz w:val="28"/>
          <w:szCs w:val="28"/>
        </w:rPr>
        <w:t xml:space="preserve"> mil. lei (</w:t>
      </w:r>
      <w:r w:rsidR="00CE79E8" w:rsidRPr="00012CA3">
        <w:rPr>
          <w:rFonts w:ascii="Times New Roman" w:hAnsi="Times New Roman"/>
          <w:sz w:val="28"/>
          <w:szCs w:val="28"/>
        </w:rPr>
        <w:t>12,</w:t>
      </w:r>
      <w:r w:rsidR="00E216A8" w:rsidRPr="00012CA3">
        <w:rPr>
          <w:rFonts w:ascii="Times New Roman" w:hAnsi="Times New Roman"/>
          <w:sz w:val="28"/>
          <w:szCs w:val="28"/>
        </w:rPr>
        <w:t>6</w:t>
      </w:r>
      <w:r w:rsidRPr="00012CA3">
        <w:rPr>
          <w:rFonts w:ascii="Times New Roman" w:hAnsi="Times New Roman"/>
          <w:sz w:val="28"/>
          <w:szCs w:val="28"/>
        </w:rPr>
        <w:t>%)</w:t>
      </w:r>
      <w:r w:rsidRPr="00012CA3">
        <w:rPr>
          <w:rFonts w:ascii="Times New Roman" w:hAnsi="Times New Roman"/>
          <w:color w:val="000000"/>
          <w:sz w:val="28"/>
          <w:szCs w:val="28"/>
        </w:rPr>
        <w:t>;</w:t>
      </w:r>
    </w:p>
    <w:p w:rsidR="00C82F48" w:rsidRPr="00012CA3" w:rsidRDefault="00C82F48">
      <w:pPr>
        <w:pStyle w:val="12"/>
        <w:numPr>
          <w:ilvl w:val="0"/>
          <w:numId w:val="8"/>
        </w:numPr>
        <w:tabs>
          <w:tab w:val="left" w:pos="-142"/>
          <w:tab w:val="left" w:pos="993"/>
        </w:tabs>
        <w:spacing w:before="60" w:line="276" w:lineRule="auto"/>
        <w:ind w:left="0" w:firstLine="540"/>
        <w:jc w:val="both"/>
      </w:pPr>
      <w:r w:rsidRPr="00012CA3">
        <w:rPr>
          <w:rFonts w:ascii="Times New Roman" w:hAnsi="Times New Roman"/>
          <w:color w:val="000000"/>
          <w:sz w:val="28"/>
          <w:szCs w:val="28"/>
        </w:rPr>
        <w:t xml:space="preserve">bugetele locale consolidate (fără transferuri și dobânzi interbugetare)  </w:t>
      </w:r>
      <w:r w:rsidRPr="00012CA3">
        <w:rPr>
          <w:rFonts w:ascii="Times New Roman" w:hAnsi="Times New Roman"/>
          <w:sz w:val="28"/>
          <w:szCs w:val="28"/>
        </w:rPr>
        <w:t xml:space="preserve">– </w:t>
      </w:r>
      <w:r w:rsidR="00F416F5" w:rsidRPr="00012CA3">
        <w:rPr>
          <w:rFonts w:ascii="Times New Roman" w:hAnsi="Times New Roman"/>
          <w:sz w:val="28"/>
          <w:szCs w:val="28"/>
        </w:rPr>
        <w:t>14 417,6</w:t>
      </w:r>
      <w:r w:rsidR="002D17C1" w:rsidRPr="00012CA3">
        <w:rPr>
          <w:rFonts w:ascii="Times New Roman" w:hAnsi="Times New Roman"/>
          <w:sz w:val="28"/>
          <w:szCs w:val="28"/>
        </w:rPr>
        <w:t xml:space="preserve"> </w:t>
      </w:r>
      <w:r w:rsidRPr="00012CA3">
        <w:rPr>
          <w:rFonts w:ascii="Times New Roman" w:hAnsi="Times New Roman"/>
          <w:sz w:val="28"/>
          <w:szCs w:val="28"/>
        </w:rPr>
        <w:t>mil. lei (</w:t>
      </w:r>
      <w:r w:rsidR="00E216A8" w:rsidRPr="00012CA3">
        <w:rPr>
          <w:rFonts w:ascii="Times New Roman" w:hAnsi="Times New Roman"/>
          <w:sz w:val="28"/>
          <w:szCs w:val="28"/>
        </w:rPr>
        <w:t>21,7</w:t>
      </w:r>
      <w:r w:rsidRPr="00012CA3">
        <w:rPr>
          <w:rFonts w:ascii="Times New Roman" w:hAnsi="Times New Roman"/>
          <w:sz w:val="28"/>
          <w:szCs w:val="28"/>
        </w:rPr>
        <w:t>%).</w:t>
      </w:r>
    </w:p>
    <w:p w:rsidR="005A49D6" w:rsidRPr="00012CA3" w:rsidRDefault="00C82F48" w:rsidP="005A49D6">
      <w:pPr>
        <w:pStyle w:val="12"/>
        <w:tabs>
          <w:tab w:val="left" w:pos="-142"/>
        </w:tabs>
        <w:spacing w:before="60" w:after="0" w:line="276" w:lineRule="auto"/>
        <w:ind w:left="0" w:firstLine="567"/>
        <w:jc w:val="both"/>
        <w:rPr>
          <w:rFonts w:ascii="Times New Roman" w:hAnsi="Times New Roman"/>
          <w:sz w:val="28"/>
          <w:szCs w:val="28"/>
        </w:rPr>
      </w:pPr>
      <w:r w:rsidRPr="00012CA3">
        <w:rPr>
          <w:rFonts w:ascii="Times New Roman" w:hAnsi="Times New Roman"/>
          <w:sz w:val="28"/>
          <w:szCs w:val="28"/>
        </w:rPr>
        <w:t>În comparație cu semestrul I al anului 202</w:t>
      </w:r>
      <w:r w:rsidR="00781E7E" w:rsidRPr="00012CA3">
        <w:rPr>
          <w:rFonts w:ascii="Times New Roman" w:hAnsi="Times New Roman"/>
          <w:sz w:val="28"/>
          <w:szCs w:val="28"/>
        </w:rPr>
        <w:t>4</w:t>
      </w:r>
      <w:r w:rsidRPr="00012CA3">
        <w:rPr>
          <w:rFonts w:ascii="Times New Roman" w:hAnsi="Times New Roman"/>
          <w:sz w:val="28"/>
          <w:szCs w:val="28"/>
        </w:rPr>
        <w:t xml:space="preserve">, </w:t>
      </w:r>
      <w:r w:rsidR="00AB6500" w:rsidRPr="00012CA3">
        <w:rPr>
          <w:rFonts w:ascii="Times New Roman" w:hAnsi="Times New Roman"/>
          <w:sz w:val="28"/>
          <w:szCs w:val="28"/>
        </w:rPr>
        <w:t xml:space="preserve">cea mai mare creștere au atins </w:t>
      </w:r>
      <w:r w:rsidR="005A49D6" w:rsidRPr="00012CA3">
        <w:rPr>
          <w:rFonts w:ascii="Times New Roman" w:hAnsi="Times New Roman"/>
          <w:sz w:val="28"/>
          <w:szCs w:val="28"/>
        </w:rPr>
        <w:t xml:space="preserve">cheltuielile bugetului asigurărilor sociale de stat – cu </w:t>
      </w:r>
      <w:r w:rsidR="00781E7E" w:rsidRPr="00012CA3">
        <w:rPr>
          <w:rFonts w:ascii="Times New Roman" w:hAnsi="Times New Roman"/>
          <w:sz w:val="28"/>
          <w:szCs w:val="28"/>
        </w:rPr>
        <w:t>3 632,0</w:t>
      </w:r>
      <w:r w:rsidR="005A49D6" w:rsidRPr="00012CA3">
        <w:rPr>
          <w:rFonts w:ascii="Times New Roman" w:hAnsi="Times New Roman"/>
          <w:sz w:val="28"/>
          <w:szCs w:val="28"/>
        </w:rPr>
        <w:t xml:space="preserve"> mil. lei sau cu </w:t>
      </w:r>
      <w:r w:rsidR="00781E7E" w:rsidRPr="00012CA3">
        <w:rPr>
          <w:rFonts w:ascii="Times New Roman" w:hAnsi="Times New Roman"/>
          <w:sz w:val="28"/>
          <w:szCs w:val="28"/>
        </w:rPr>
        <w:t>17</w:t>
      </w:r>
      <w:r w:rsidR="005A49D6" w:rsidRPr="00012CA3">
        <w:rPr>
          <w:rFonts w:ascii="Times New Roman" w:hAnsi="Times New Roman"/>
          <w:sz w:val="28"/>
          <w:szCs w:val="28"/>
        </w:rPr>
        <w:t>,0%;</w:t>
      </w:r>
    </w:p>
    <w:p w:rsidR="004515FC" w:rsidRPr="00012CA3" w:rsidRDefault="003111E7" w:rsidP="00450306">
      <w:pPr>
        <w:pStyle w:val="12"/>
        <w:tabs>
          <w:tab w:val="left" w:pos="-142"/>
        </w:tabs>
        <w:spacing w:before="60" w:after="0" w:line="276" w:lineRule="auto"/>
        <w:ind w:left="0"/>
        <w:jc w:val="both"/>
        <w:rPr>
          <w:rFonts w:ascii="Times New Roman" w:hAnsi="Times New Roman"/>
          <w:sz w:val="28"/>
          <w:szCs w:val="28"/>
        </w:rPr>
      </w:pPr>
      <w:r w:rsidRPr="00012CA3">
        <w:rPr>
          <w:rFonts w:ascii="Times New Roman" w:hAnsi="Times New Roman"/>
          <w:sz w:val="28"/>
          <w:szCs w:val="28"/>
        </w:rPr>
        <w:t>cheltuielile bugetului de stat (fără transferuri către alte bugete)</w:t>
      </w:r>
      <w:r w:rsidRPr="00012CA3">
        <w:t xml:space="preserve"> </w:t>
      </w:r>
      <w:r w:rsidRPr="00012CA3">
        <w:rPr>
          <w:rFonts w:ascii="Times New Roman" w:hAnsi="Times New Roman"/>
          <w:sz w:val="28"/>
          <w:szCs w:val="28"/>
        </w:rPr>
        <w:t>a</w:t>
      </w:r>
      <w:r w:rsidR="000650A2">
        <w:rPr>
          <w:rFonts w:ascii="Times New Roman" w:hAnsi="Times New Roman"/>
          <w:sz w:val="28"/>
          <w:szCs w:val="28"/>
        </w:rPr>
        <w:t>u</w:t>
      </w:r>
      <w:r w:rsidRPr="00012CA3">
        <w:rPr>
          <w:rFonts w:ascii="Times New Roman" w:hAnsi="Times New Roman"/>
          <w:sz w:val="28"/>
          <w:szCs w:val="28"/>
        </w:rPr>
        <w:t xml:space="preserve"> înregistrat</w:t>
      </w:r>
      <w:r w:rsidRPr="00012CA3">
        <w:t xml:space="preserve"> </w:t>
      </w:r>
      <w:r w:rsidR="000650A2" w:rsidRPr="000650A2">
        <w:rPr>
          <w:rFonts w:ascii="Times New Roman" w:hAnsi="Times New Roman"/>
          <w:sz w:val="28"/>
          <w:szCs w:val="28"/>
        </w:rPr>
        <w:t>o</w:t>
      </w:r>
      <w:r w:rsidRPr="00012CA3">
        <w:t xml:space="preserve">  </w:t>
      </w:r>
      <w:r w:rsidRPr="00012CA3">
        <w:rPr>
          <w:rFonts w:ascii="Times New Roman" w:hAnsi="Times New Roman"/>
          <w:sz w:val="28"/>
          <w:szCs w:val="28"/>
        </w:rPr>
        <w:t xml:space="preserve">creștere </w:t>
      </w:r>
      <w:r w:rsidR="000650A2">
        <w:rPr>
          <w:rFonts w:ascii="Times New Roman" w:hAnsi="Times New Roman"/>
          <w:sz w:val="28"/>
          <w:szCs w:val="28"/>
        </w:rPr>
        <w:t>în sumă de</w:t>
      </w:r>
      <w:r w:rsidRPr="00012CA3">
        <w:rPr>
          <w:rFonts w:ascii="Times New Roman" w:hAnsi="Times New Roman"/>
          <w:sz w:val="28"/>
          <w:szCs w:val="28"/>
        </w:rPr>
        <w:t xml:space="preserve"> – 2</w:t>
      </w:r>
      <w:r w:rsidR="000B6E0B" w:rsidRPr="00012CA3">
        <w:rPr>
          <w:rFonts w:ascii="Times New Roman" w:hAnsi="Times New Roman"/>
          <w:sz w:val="28"/>
          <w:szCs w:val="28"/>
        </w:rPr>
        <w:t> 518,5</w:t>
      </w:r>
      <w:r w:rsidRPr="00012CA3">
        <w:rPr>
          <w:rFonts w:ascii="Times New Roman" w:hAnsi="Times New Roman"/>
          <w:sz w:val="28"/>
          <w:szCs w:val="28"/>
        </w:rPr>
        <w:t xml:space="preserve"> mil. lei sau cu </w:t>
      </w:r>
      <w:r w:rsidR="00CD6710" w:rsidRPr="00012CA3">
        <w:rPr>
          <w:rFonts w:ascii="Times New Roman" w:hAnsi="Times New Roman"/>
          <w:sz w:val="28"/>
          <w:szCs w:val="28"/>
        </w:rPr>
        <w:t>1</w:t>
      </w:r>
      <w:r w:rsidR="00284DF9" w:rsidRPr="00012CA3">
        <w:rPr>
          <w:rFonts w:ascii="Times New Roman" w:hAnsi="Times New Roman"/>
          <w:sz w:val="28"/>
          <w:szCs w:val="28"/>
        </w:rPr>
        <w:t>5,7</w:t>
      </w:r>
      <w:r w:rsidRPr="00012CA3">
        <w:rPr>
          <w:rFonts w:ascii="Times New Roman" w:hAnsi="Times New Roman"/>
          <w:sz w:val="28"/>
          <w:szCs w:val="28"/>
        </w:rPr>
        <w:t xml:space="preserve"> </w:t>
      </w:r>
      <w:r w:rsidR="00CD6710" w:rsidRPr="00012CA3">
        <w:rPr>
          <w:rFonts w:ascii="Times New Roman" w:hAnsi="Times New Roman"/>
          <w:sz w:val="28"/>
          <w:szCs w:val="28"/>
        </w:rPr>
        <w:t>%;</w:t>
      </w:r>
      <w:r w:rsidRPr="00012CA3">
        <w:rPr>
          <w:rFonts w:ascii="Times New Roman" w:hAnsi="Times New Roman"/>
          <w:sz w:val="28"/>
          <w:szCs w:val="28"/>
        </w:rPr>
        <w:t xml:space="preserve"> </w:t>
      </w:r>
      <w:r w:rsidR="004515FC" w:rsidRPr="00012CA3">
        <w:rPr>
          <w:rFonts w:ascii="Times New Roman" w:hAnsi="Times New Roman"/>
          <w:sz w:val="28"/>
          <w:szCs w:val="28"/>
        </w:rPr>
        <w:t>cheltuielile bugetelor locale</w:t>
      </w:r>
      <w:r w:rsidR="004515FC" w:rsidRPr="00012CA3">
        <w:t xml:space="preserve"> </w:t>
      </w:r>
      <w:r w:rsidR="004515FC" w:rsidRPr="00012CA3">
        <w:rPr>
          <w:rFonts w:ascii="Times New Roman" w:hAnsi="Times New Roman"/>
          <w:sz w:val="28"/>
          <w:szCs w:val="28"/>
        </w:rPr>
        <w:t>cu – 1541,7 mil. lei</w:t>
      </w:r>
      <w:r w:rsidR="00AB2EBC" w:rsidRPr="00012CA3">
        <w:rPr>
          <w:rFonts w:ascii="Times New Roman" w:hAnsi="Times New Roman"/>
          <w:sz w:val="28"/>
          <w:szCs w:val="28"/>
        </w:rPr>
        <w:t xml:space="preserve"> sau cu 12,0%; </w:t>
      </w:r>
      <w:r w:rsidR="006507A4" w:rsidRPr="00012CA3">
        <w:rPr>
          <w:rFonts w:ascii="Times New Roman" w:hAnsi="Times New Roman"/>
          <w:sz w:val="28"/>
          <w:szCs w:val="28"/>
        </w:rPr>
        <w:t>cheltuielile fondurilor asigurării obligatorii de asistență medicală – cu 899,2 mil. lei sau cu 12,1 la sută.</w:t>
      </w:r>
    </w:p>
    <w:p w:rsidR="001801C7" w:rsidRPr="00012CA3" w:rsidRDefault="00C82F48" w:rsidP="00FD5EAA">
      <w:pPr>
        <w:pStyle w:val="12"/>
        <w:tabs>
          <w:tab w:val="left" w:pos="-142"/>
          <w:tab w:val="left" w:pos="567"/>
          <w:tab w:val="left" w:pos="709"/>
        </w:tabs>
        <w:spacing w:after="0" w:line="276" w:lineRule="auto"/>
        <w:ind w:left="0" w:firstLine="567"/>
        <w:jc w:val="both"/>
        <w:rPr>
          <w:rFonts w:ascii="Times New Roman" w:hAnsi="Times New Roman"/>
          <w:sz w:val="28"/>
          <w:szCs w:val="28"/>
        </w:rPr>
      </w:pPr>
      <w:r w:rsidRPr="00012CA3">
        <w:rPr>
          <w:rFonts w:ascii="Times New Roman" w:hAnsi="Times New Roman"/>
          <w:sz w:val="28"/>
          <w:szCs w:val="28"/>
        </w:rPr>
        <w:t xml:space="preserve">În aspect funcțional, </w:t>
      </w:r>
      <w:r w:rsidR="00B1068E" w:rsidRPr="00012CA3">
        <w:rPr>
          <w:rFonts w:ascii="Times New Roman" w:hAnsi="Times New Roman"/>
          <w:sz w:val="28"/>
          <w:szCs w:val="28"/>
        </w:rPr>
        <w:t>se constată majorări</w:t>
      </w:r>
      <w:r w:rsidR="0047229D" w:rsidRPr="00012CA3">
        <w:rPr>
          <w:rFonts w:ascii="Times New Roman" w:hAnsi="Times New Roman"/>
          <w:sz w:val="28"/>
          <w:szCs w:val="28"/>
        </w:rPr>
        <w:t xml:space="preserve"> semnificative</w:t>
      </w:r>
      <w:r w:rsidR="00B1068E" w:rsidRPr="00012CA3">
        <w:rPr>
          <w:rFonts w:ascii="Times New Roman" w:hAnsi="Times New Roman"/>
          <w:sz w:val="28"/>
          <w:szCs w:val="28"/>
        </w:rPr>
        <w:t xml:space="preserve"> în următoarele domenii</w:t>
      </w:r>
      <w:r w:rsidR="00284501">
        <w:rPr>
          <w:rFonts w:ascii="Times New Roman" w:hAnsi="Times New Roman"/>
          <w:sz w:val="28"/>
          <w:szCs w:val="28"/>
        </w:rPr>
        <w:t>:</w:t>
      </w:r>
      <w:r w:rsidR="00B1068E" w:rsidRPr="00012CA3">
        <w:rPr>
          <w:rFonts w:ascii="Times New Roman" w:hAnsi="Times New Roman"/>
          <w:sz w:val="28"/>
          <w:szCs w:val="28"/>
        </w:rPr>
        <w:t xml:space="preserve"> </w:t>
      </w:r>
      <w:r w:rsidR="00365440" w:rsidRPr="00012CA3">
        <w:rPr>
          <w:rFonts w:ascii="Times New Roman" w:hAnsi="Times New Roman"/>
          <w:sz w:val="28"/>
          <w:szCs w:val="28"/>
        </w:rPr>
        <w:t xml:space="preserve">protecția socială </w:t>
      </w:r>
      <w:r w:rsidR="00284501">
        <w:rPr>
          <w:rFonts w:ascii="Times New Roman" w:hAnsi="Times New Roman"/>
          <w:sz w:val="28"/>
          <w:szCs w:val="28"/>
        </w:rPr>
        <w:t>(</w:t>
      </w:r>
      <w:r w:rsidR="00365440" w:rsidRPr="00012CA3">
        <w:rPr>
          <w:rFonts w:ascii="Times New Roman" w:hAnsi="Times New Roman"/>
          <w:sz w:val="28"/>
          <w:szCs w:val="28"/>
        </w:rPr>
        <w:t>+ 3 642,7 mil. lei</w:t>
      </w:r>
      <w:r w:rsidR="002976CF" w:rsidRPr="00012CA3">
        <w:t xml:space="preserve"> </w:t>
      </w:r>
      <w:r w:rsidR="002976CF" w:rsidRPr="00012CA3">
        <w:rPr>
          <w:rFonts w:ascii="Times New Roman" w:hAnsi="Times New Roman"/>
          <w:sz w:val="28"/>
          <w:szCs w:val="28"/>
        </w:rPr>
        <w:t>sau cu 15,4%</w:t>
      </w:r>
      <w:r w:rsidR="00284501">
        <w:rPr>
          <w:rFonts w:ascii="Times New Roman" w:hAnsi="Times New Roman"/>
          <w:sz w:val="28"/>
          <w:szCs w:val="28"/>
        </w:rPr>
        <w:t>)</w:t>
      </w:r>
      <w:r w:rsidR="002976CF" w:rsidRPr="00012CA3">
        <w:rPr>
          <w:rFonts w:ascii="Times New Roman" w:hAnsi="Times New Roman"/>
          <w:sz w:val="28"/>
          <w:szCs w:val="28"/>
        </w:rPr>
        <w:t>;</w:t>
      </w:r>
      <w:r w:rsidR="00365440" w:rsidRPr="00012CA3">
        <w:rPr>
          <w:rFonts w:ascii="Times New Roman" w:hAnsi="Times New Roman"/>
          <w:sz w:val="28"/>
          <w:szCs w:val="28"/>
        </w:rPr>
        <w:t xml:space="preserve"> </w:t>
      </w:r>
      <w:r w:rsidR="00E76ECF" w:rsidRPr="00012CA3">
        <w:rPr>
          <w:rFonts w:ascii="Times New Roman" w:hAnsi="Times New Roman"/>
          <w:sz w:val="28"/>
          <w:szCs w:val="28"/>
        </w:rPr>
        <w:t xml:space="preserve">învățământ </w:t>
      </w:r>
      <w:r w:rsidR="00284501">
        <w:rPr>
          <w:rFonts w:ascii="Times New Roman" w:hAnsi="Times New Roman"/>
          <w:sz w:val="28"/>
          <w:szCs w:val="28"/>
        </w:rPr>
        <w:t>(</w:t>
      </w:r>
      <w:r w:rsidR="00E76ECF" w:rsidRPr="00012CA3">
        <w:rPr>
          <w:rFonts w:ascii="Times New Roman" w:hAnsi="Times New Roman"/>
          <w:sz w:val="28"/>
          <w:szCs w:val="28"/>
        </w:rPr>
        <w:t>+ 1 447,7 mil. lei</w:t>
      </w:r>
      <w:r w:rsidR="00E76ECF" w:rsidRPr="00012CA3">
        <w:t xml:space="preserve"> </w:t>
      </w:r>
      <w:r w:rsidR="00E76ECF" w:rsidRPr="00012CA3">
        <w:rPr>
          <w:rFonts w:ascii="Times New Roman" w:hAnsi="Times New Roman"/>
          <w:sz w:val="28"/>
          <w:szCs w:val="28"/>
        </w:rPr>
        <w:t>sau cu 14,7%</w:t>
      </w:r>
      <w:r w:rsidR="00284501">
        <w:rPr>
          <w:rFonts w:ascii="Times New Roman" w:hAnsi="Times New Roman"/>
          <w:sz w:val="28"/>
          <w:szCs w:val="28"/>
        </w:rPr>
        <w:t>)</w:t>
      </w:r>
      <w:r w:rsidR="00E76ECF" w:rsidRPr="00012CA3">
        <w:rPr>
          <w:rFonts w:ascii="Times New Roman" w:hAnsi="Times New Roman"/>
          <w:sz w:val="28"/>
          <w:szCs w:val="28"/>
        </w:rPr>
        <w:t>;</w:t>
      </w:r>
      <w:r w:rsidR="003461E8" w:rsidRPr="00012CA3">
        <w:rPr>
          <w:rFonts w:ascii="Times New Roman" w:hAnsi="Times New Roman"/>
          <w:sz w:val="28"/>
          <w:szCs w:val="28"/>
        </w:rPr>
        <w:t xml:space="preserve"> servicii în domeniul economiei </w:t>
      </w:r>
      <w:r w:rsidR="00284501">
        <w:rPr>
          <w:rFonts w:ascii="Times New Roman" w:hAnsi="Times New Roman"/>
          <w:sz w:val="28"/>
          <w:szCs w:val="28"/>
        </w:rPr>
        <w:t>(</w:t>
      </w:r>
      <w:r w:rsidR="003461E8" w:rsidRPr="00012CA3">
        <w:rPr>
          <w:rFonts w:ascii="Times New Roman" w:hAnsi="Times New Roman"/>
          <w:sz w:val="28"/>
          <w:szCs w:val="28"/>
        </w:rPr>
        <w:t>+ 1 071,9 mil. lei</w:t>
      </w:r>
      <w:r w:rsidR="003461E8" w:rsidRPr="00012CA3">
        <w:t xml:space="preserve"> </w:t>
      </w:r>
      <w:r w:rsidR="003461E8" w:rsidRPr="00012CA3">
        <w:rPr>
          <w:rFonts w:ascii="Times New Roman" w:hAnsi="Times New Roman"/>
          <w:sz w:val="28"/>
          <w:szCs w:val="28"/>
        </w:rPr>
        <w:t xml:space="preserve">sau cu </w:t>
      </w:r>
      <w:r w:rsidR="003461E8" w:rsidRPr="00012CA3">
        <w:rPr>
          <w:rFonts w:ascii="Times New Roman" w:hAnsi="Times New Roman"/>
          <w:sz w:val="28"/>
          <w:szCs w:val="28"/>
        </w:rPr>
        <w:lastRenderedPageBreak/>
        <w:t>24,1%</w:t>
      </w:r>
      <w:r w:rsidR="00284501">
        <w:rPr>
          <w:rFonts w:ascii="Times New Roman" w:hAnsi="Times New Roman"/>
          <w:sz w:val="28"/>
          <w:szCs w:val="28"/>
        </w:rPr>
        <w:t>)</w:t>
      </w:r>
      <w:r w:rsidR="003461E8" w:rsidRPr="00012CA3">
        <w:rPr>
          <w:rFonts w:ascii="Times New Roman" w:hAnsi="Times New Roman"/>
          <w:sz w:val="28"/>
          <w:szCs w:val="28"/>
        </w:rPr>
        <w:t>;</w:t>
      </w:r>
      <w:r w:rsidR="001F53B4" w:rsidRPr="00012CA3">
        <w:rPr>
          <w:rFonts w:ascii="Times New Roman" w:hAnsi="Times New Roman"/>
          <w:sz w:val="28"/>
          <w:szCs w:val="28"/>
        </w:rPr>
        <w:t xml:space="preserve"> ocrotirea sănătății </w:t>
      </w:r>
      <w:r w:rsidR="00284501">
        <w:rPr>
          <w:rFonts w:ascii="Times New Roman" w:hAnsi="Times New Roman"/>
          <w:sz w:val="28"/>
          <w:szCs w:val="28"/>
        </w:rPr>
        <w:t>(</w:t>
      </w:r>
      <w:r w:rsidR="001F53B4" w:rsidRPr="00012CA3">
        <w:rPr>
          <w:rFonts w:ascii="Times New Roman" w:hAnsi="Times New Roman"/>
          <w:sz w:val="28"/>
          <w:szCs w:val="28"/>
        </w:rPr>
        <w:t>+ 897,8 mil.lei</w:t>
      </w:r>
      <w:r w:rsidR="001F53B4" w:rsidRPr="00012CA3">
        <w:t xml:space="preserve"> </w:t>
      </w:r>
      <w:r w:rsidR="001F53B4" w:rsidRPr="00012CA3">
        <w:rPr>
          <w:rFonts w:ascii="Times New Roman" w:hAnsi="Times New Roman"/>
          <w:sz w:val="28"/>
          <w:szCs w:val="28"/>
        </w:rPr>
        <w:t>sau cu 10,8%</w:t>
      </w:r>
      <w:r w:rsidR="00284501">
        <w:rPr>
          <w:rFonts w:ascii="Times New Roman" w:hAnsi="Times New Roman"/>
          <w:sz w:val="28"/>
          <w:szCs w:val="28"/>
        </w:rPr>
        <w:t>)</w:t>
      </w:r>
      <w:r w:rsidR="001F53B4" w:rsidRPr="00012CA3">
        <w:rPr>
          <w:rFonts w:ascii="Times New Roman" w:hAnsi="Times New Roman"/>
          <w:sz w:val="28"/>
          <w:szCs w:val="28"/>
        </w:rPr>
        <w:t>;</w:t>
      </w:r>
      <w:r w:rsidR="00455BE3" w:rsidRPr="00012CA3">
        <w:rPr>
          <w:rFonts w:ascii="Times New Roman" w:hAnsi="Times New Roman"/>
          <w:sz w:val="28"/>
          <w:szCs w:val="28"/>
        </w:rPr>
        <w:t xml:space="preserve"> ordine publică</w:t>
      </w:r>
      <w:r w:rsidR="00455BE3" w:rsidRPr="00012CA3">
        <w:t xml:space="preserve"> </w:t>
      </w:r>
      <w:r w:rsidR="00455BE3" w:rsidRPr="00012CA3">
        <w:rPr>
          <w:rFonts w:ascii="Times New Roman" w:hAnsi="Times New Roman"/>
          <w:sz w:val="28"/>
          <w:szCs w:val="28"/>
        </w:rPr>
        <w:t xml:space="preserve">și securitate națională </w:t>
      </w:r>
      <w:r w:rsidR="00284501">
        <w:rPr>
          <w:rFonts w:ascii="Times New Roman" w:hAnsi="Times New Roman"/>
          <w:sz w:val="28"/>
          <w:szCs w:val="28"/>
        </w:rPr>
        <w:t>(</w:t>
      </w:r>
      <w:r w:rsidR="00455BE3" w:rsidRPr="00012CA3">
        <w:rPr>
          <w:rFonts w:ascii="Times New Roman" w:hAnsi="Times New Roman"/>
          <w:sz w:val="28"/>
          <w:szCs w:val="28"/>
        </w:rPr>
        <w:t>+ 532,7 mil. lei sau cu 16,6%</w:t>
      </w:r>
      <w:r w:rsidR="00284501">
        <w:rPr>
          <w:rFonts w:ascii="Times New Roman" w:hAnsi="Times New Roman"/>
          <w:sz w:val="28"/>
          <w:szCs w:val="28"/>
        </w:rPr>
        <w:t>)</w:t>
      </w:r>
      <w:r w:rsidR="00455BE3" w:rsidRPr="00012CA3">
        <w:rPr>
          <w:rFonts w:ascii="Times New Roman" w:hAnsi="Times New Roman"/>
          <w:sz w:val="28"/>
          <w:szCs w:val="28"/>
        </w:rPr>
        <w:t>;</w:t>
      </w:r>
      <w:r w:rsidR="00FF028D" w:rsidRPr="00012CA3">
        <w:rPr>
          <w:rFonts w:ascii="Times New Roman" w:hAnsi="Times New Roman"/>
          <w:sz w:val="28"/>
          <w:szCs w:val="28"/>
        </w:rPr>
        <w:t xml:space="preserve"> apărare națională </w:t>
      </w:r>
      <w:r w:rsidR="00284501">
        <w:rPr>
          <w:rFonts w:ascii="Times New Roman" w:hAnsi="Times New Roman"/>
          <w:sz w:val="28"/>
          <w:szCs w:val="28"/>
        </w:rPr>
        <w:t>(</w:t>
      </w:r>
      <w:r w:rsidR="00FF028D" w:rsidRPr="00012CA3">
        <w:rPr>
          <w:rFonts w:ascii="Times New Roman" w:hAnsi="Times New Roman"/>
          <w:sz w:val="28"/>
          <w:szCs w:val="28"/>
        </w:rPr>
        <w:t>+ 317,2 mil. lei sau cu 72,8%</w:t>
      </w:r>
      <w:r w:rsidR="00284501">
        <w:rPr>
          <w:rFonts w:ascii="Times New Roman" w:hAnsi="Times New Roman"/>
          <w:sz w:val="28"/>
          <w:szCs w:val="28"/>
        </w:rPr>
        <w:t>)</w:t>
      </w:r>
      <w:r w:rsidR="00FF028D" w:rsidRPr="00012CA3">
        <w:rPr>
          <w:rFonts w:ascii="Times New Roman" w:hAnsi="Times New Roman"/>
          <w:sz w:val="28"/>
          <w:szCs w:val="28"/>
        </w:rPr>
        <w:t>;</w:t>
      </w:r>
      <w:r w:rsidR="00425289" w:rsidRPr="00012CA3">
        <w:rPr>
          <w:rFonts w:ascii="Times New Roman" w:hAnsi="Times New Roman"/>
          <w:sz w:val="28"/>
          <w:szCs w:val="28"/>
        </w:rPr>
        <w:t xml:space="preserve"> gospodăria de locuințe și gospodăria serviciilor comunale </w:t>
      </w:r>
      <w:r w:rsidR="00284501">
        <w:rPr>
          <w:rFonts w:ascii="Times New Roman" w:hAnsi="Times New Roman"/>
          <w:sz w:val="28"/>
          <w:szCs w:val="28"/>
        </w:rPr>
        <w:t>(</w:t>
      </w:r>
      <w:r w:rsidR="00425289" w:rsidRPr="00012CA3">
        <w:rPr>
          <w:rFonts w:ascii="Times New Roman" w:hAnsi="Times New Roman"/>
          <w:sz w:val="28"/>
          <w:szCs w:val="28"/>
        </w:rPr>
        <w:t>+ 261,2</w:t>
      </w:r>
      <w:r w:rsidR="00425289" w:rsidRPr="00012CA3">
        <w:t xml:space="preserve"> </w:t>
      </w:r>
      <w:r w:rsidR="00425289" w:rsidRPr="00012CA3">
        <w:rPr>
          <w:rFonts w:ascii="Times New Roman" w:hAnsi="Times New Roman"/>
          <w:sz w:val="28"/>
          <w:szCs w:val="28"/>
        </w:rPr>
        <w:t>mil. lei sau cu 23,3%</w:t>
      </w:r>
      <w:r w:rsidR="00284501">
        <w:rPr>
          <w:rFonts w:ascii="Times New Roman" w:hAnsi="Times New Roman"/>
          <w:sz w:val="28"/>
          <w:szCs w:val="28"/>
        </w:rPr>
        <w:t>)</w:t>
      </w:r>
      <w:r w:rsidR="00425289" w:rsidRPr="00012CA3">
        <w:rPr>
          <w:rFonts w:ascii="Times New Roman" w:hAnsi="Times New Roman"/>
          <w:sz w:val="28"/>
          <w:szCs w:val="28"/>
        </w:rPr>
        <w:t>;</w:t>
      </w:r>
      <w:r w:rsidR="009D0A1A" w:rsidRPr="00012CA3">
        <w:rPr>
          <w:rFonts w:ascii="Times New Roman" w:hAnsi="Times New Roman"/>
          <w:sz w:val="28"/>
          <w:szCs w:val="28"/>
        </w:rPr>
        <w:t xml:space="preserve"> </w:t>
      </w:r>
      <w:r w:rsidR="00FD5EAA" w:rsidRPr="00012CA3">
        <w:rPr>
          <w:rFonts w:ascii="Times New Roman" w:hAnsi="Times New Roman"/>
          <w:sz w:val="28"/>
          <w:szCs w:val="28"/>
        </w:rPr>
        <w:t xml:space="preserve">cultură, sport, tineret, culte și odihnă </w:t>
      </w:r>
      <w:r w:rsidR="00284501">
        <w:rPr>
          <w:rFonts w:ascii="Times New Roman" w:hAnsi="Times New Roman"/>
          <w:sz w:val="28"/>
          <w:szCs w:val="28"/>
        </w:rPr>
        <w:t>(</w:t>
      </w:r>
      <w:r w:rsidR="00FD5EAA" w:rsidRPr="00012CA3">
        <w:rPr>
          <w:rFonts w:ascii="Times New Roman" w:hAnsi="Times New Roman"/>
          <w:sz w:val="28"/>
          <w:szCs w:val="28"/>
        </w:rPr>
        <w:t>+2</w:t>
      </w:r>
      <w:r w:rsidR="009D0A1A" w:rsidRPr="00012CA3">
        <w:rPr>
          <w:rFonts w:ascii="Times New Roman" w:hAnsi="Times New Roman"/>
          <w:sz w:val="28"/>
          <w:szCs w:val="28"/>
        </w:rPr>
        <w:t>52,0 mil. lei sau cu 17,5 la sută</w:t>
      </w:r>
      <w:r w:rsidR="00284501">
        <w:rPr>
          <w:rFonts w:ascii="Times New Roman" w:hAnsi="Times New Roman"/>
          <w:sz w:val="28"/>
          <w:szCs w:val="28"/>
        </w:rPr>
        <w:t>)</w:t>
      </w:r>
      <w:r w:rsidR="00FD5EAA" w:rsidRPr="00012CA3">
        <w:rPr>
          <w:rFonts w:ascii="Times New Roman" w:hAnsi="Times New Roman"/>
          <w:sz w:val="28"/>
          <w:szCs w:val="28"/>
        </w:rPr>
        <w:t>.</w:t>
      </w:r>
    </w:p>
    <w:p w:rsidR="00C82F48" w:rsidRPr="00012CA3" w:rsidRDefault="00C82F48">
      <w:pPr>
        <w:pStyle w:val="12"/>
        <w:tabs>
          <w:tab w:val="left" w:pos="-142"/>
          <w:tab w:val="left" w:pos="567"/>
          <w:tab w:val="left" w:pos="709"/>
        </w:tabs>
        <w:spacing w:after="0" w:line="276" w:lineRule="auto"/>
        <w:ind w:left="0" w:firstLine="567"/>
        <w:jc w:val="both"/>
        <w:rPr>
          <w:rFonts w:ascii="Times New Roman" w:hAnsi="Times New Roman"/>
          <w:sz w:val="28"/>
          <w:szCs w:val="28"/>
        </w:rPr>
      </w:pPr>
      <w:r w:rsidRPr="00012CA3">
        <w:rPr>
          <w:rFonts w:ascii="Times New Roman" w:hAnsi="Times New Roman"/>
          <w:sz w:val="28"/>
          <w:szCs w:val="28"/>
        </w:rPr>
        <w:t xml:space="preserve"> Evoluția cheltuielilor bugetului public național în semestrul I al anilor 202</w:t>
      </w:r>
      <w:r w:rsidR="00BF2B94" w:rsidRPr="00012CA3">
        <w:rPr>
          <w:rFonts w:ascii="Times New Roman" w:hAnsi="Times New Roman"/>
          <w:sz w:val="28"/>
          <w:szCs w:val="28"/>
        </w:rPr>
        <w:t>4</w:t>
      </w:r>
      <w:r w:rsidRPr="00012CA3">
        <w:rPr>
          <w:rFonts w:ascii="Times New Roman" w:hAnsi="Times New Roman"/>
          <w:sz w:val="28"/>
          <w:szCs w:val="28"/>
        </w:rPr>
        <w:t>-202</w:t>
      </w:r>
      <w:r w:rsidR="00BF2B94" w:rsidRPr="00012CA3">
        <w:rPr>
          <w:rFonts w:ascii="Times New Roman" w:hAnsi="Times New Roman"/>
          <w:sz w:val="28"/>
          <w:szCs w:val="28"/>
        </w:rPr>
        <w:t>5</w:t>
      </w:r>
      <w:r w:rsidRPr="00012CA3">
        <w:rPr>
          <w:rFonts w:ascii="Times New Roman" w:hAnsi="Times New Roman"/>
          <w:sz w:val="28"/>
          <w:szCs w:val="28"/>
        </w:rPr>
        <w:t xml:space="preserve"> pe grupe funcționale se prezintă în diagrama care urmează:</w:t>
      </w:r>
    </w:p>
    <w:p w:rsidR="00C82F48" w:rsidRPr="002B224D" w:rsidRDefault="00C82F48">
      <w:pPr>
        <w:pStyle w:val="12"/>
        <w:tabs>
          <w:tab w:val="left" w:pos="-142"/>
          <w:tab w:val="left" w:pos="567"/>
          <w:tab w:val="left" w:pos="709"/>
        </w:tabs>
        <w:spacing w:after="0" w:line="276" w:lineRule="auto"/>
        <w:ind w:left="0" w:firstLine="567"/>
        <w:jc w:val="both"/>
        <w:rPr>
          <w:rFonts w:ascii="Times New Roman" w:hAnsi="Times New Roman"/>
          <w:sz w:val="28"/>
          <w:szCs w:val="28"/>
        </w:rPr>
      </w:pPr>
    </w:p>
    <w:p w:rsidR="00C82F48" w:rsidRPr="00012CA3" w:rsidRDefault="00C82F48">
      <w:pPr>
        <w:pStyle w:val="Heading2"/>
        <w:spacing w:before="0"/>
        <w:jc w:val="center"/>
      </w:pPr>
      <w:r w:rsidRPr="00012CA3">
        <w:rPr>
          <w:rFonts w:ascii="Times New Roman" w:hAnsi="Times New Roman"/>
          <w:i/>
          <w:color w:val="323E4F"/>
          <w:sz w:val="28"/>
          <w:szCs w:val="24"/>
        </w:rPr>
        <w:t xml:space="preserve">Diagrama 2. Evoluția cheltuielilor bugetului public național </w:t>
      </w:r>
    </w:p>
    <w:p w:rsidR="00960A13" w:rsidRPr="00012CA3" w:rsidRDefault="00C82F48" w:rsidP="00960A13">
      <w:pPr>
        <w:pStyle w:val="Heading2"/>
        <w:spacing w:before="0"/>
        <w:jc w:val="center"/>
        <w:rPr>
          <w:rFonts w:ascii="Times New Roman" w:hAnsi="Times New Roman"/>
          <w:i/>
          <w:color w:val="323E4F"/>
          <w:sz w:val="28"/>
          <w:szCs w:val="24"/>
        </w:rPr>
      </w:pPr>
      <w:r w:rsidRPr="00012CA3">
        <w:rPr>
          <w:rFonts w:ascii="Times New Roman" w:hAnsi="Times New Roman"/>
          <w:i/>
          <w:color w:val="323E4F"/>
          <w:sz w:val="28"/>
          <w:szCs w:val="24"/>
        </w:rPr>
        <w:t>în semestrul I 202</w:t>
      </w:r>
      <w:r w:rsidR="00BF2B94" w:rsidRPr="00012CA3">
        <w:rPr>
          <w:rFonts w:ascii="Times New Roman" w:hAnsi="Times New Roman"/>
          <w:i/>
          <w:color w:val="323E4F"/>
          <w:sz w:val="28"/>
          <w:szCs w:val="24"/>
        </w:rPr>
        <w:t>4</w:t>
      </w:r>
      <w:r w:rsidRPr="00012CA3">
        <w:rPr>
          <w:rFonts w:ascii="Times New Roman" w:hAnsi="Times New Roman"/>
          <w:i/>
          <w:color w:val="323E4F"/>
          <w:sz w:val="28"/>
          <w:szCs w:val="24"/>
        </w:rPr>
        <w:t xml:space="preserve">  – semestrul I 202</w:t>
      </w:r>
      <w:r w:rsidR="00BF2B94" w:rsidRPr="00012CA3">
        <w:rPr>
          <w:rFonts w:ascii="Times New Roman" w:hAnsi="Times New Roman"/>
          <w:i/>
          <w:color w:val="323E4F"/>
          <w:sz w:val="28"/>
          <w:szCs w:val="24"/>
        </w:rPr>
        <w:t>5</w:t>
      </w:r>
      <w:r w:rsidRPr="00012CA3">
        <w:rPr>
          <w:rFonts w:ascii="Times New Roman" w:hAnsi="Times New Roman"/>
          <w:i/>
          <w:color w:val="323E4F"/>
          <w:sz w:val="28"/>
          <w:szCs w:val="24"/>
        </w:rPr>
        <w:t xml:space="preserve"> (pe grupe funcționale</w:t>
      </w:r>
      <w:r w:rsidR="00960A13" w:rsidRPr="00012CA3">
        <w:rPr>
          <w:rFonts w:ascii="Times New Roman" w:hAnsi="Times New Roman"/>
          <w:i/>
          <w:color w:val="323E4F"/>
          <w:sz w:val="28"/>
          <w:szCs w:val="24"/>
        </w:rPr>
        <w:t xml:space="preserve">, mil. </w:t>
      </w:r>
      <w:r w:rsidR="00F85823" w:rsidRPr="00012CA3">
        <w:rPr>
          <w:rFonts w:ascii="Times New Roman" w:hAnsi="Times New Roman"/>
          <w:i/>
          <w:color w:val="323E4F"/>
          <w:sz w:val="28"/>
          <w:szCs w:val="24"/>
        </w:rPr>
        <w:t>lei)</w:t>
      </w:r>
    </w:p>
    <w:p w:rsidR="001B4BF7" w:rsidRPr="00012CA3" w:rsidRDefault="00792FFF" w:rsidP="001B4BF7">
      <w:r>
        <w:rPr>
          <w:noProof/>
          <w:lang w:val="en-US" w:eastAsia="en-US"/>
        </w:rPr>
        <w:drawing>
          <wp:inline distT="0" distB="0" distL="0" distR="0">
            <wp:extent cx="5311140" cy="315087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11140" cy="3150870"/>
                    </a:xfrm>
                    <a:prstGeom prst="rect">
                      <a:avLst/>
                    </a:prstGeom>
                    <a:noFill/>
                  </pic:spPr>
                </pic:pic>
              </a:graphicData>
            </a:graphic>
          </wp:inline>
        </w:drawing>
      </w:r>
    </w:p>
    <w:p w:rsidR="001C1A22" w:rsidRDefault="00C82F48" w:rsidP="000D2638">
      <w:pPr>
        <w:spacing w:before="60" w:after="0" w:line="276" w:lineRule="auto"/>
        <w:ind w:firstLine="567"/>
        <w:jc w:val="both"/>
        <w:rPr>
          <w:rFonts w:ascii="Times New Roman" w:hAnsi="Times New Roman"/>
          <w:sz w:val="28"/>
          <w:szCs w:val="28"/>
        </w:rPr>
      </w:pPr>
      <w:r w:rsidRPr="00012CA3">
        <w:rPr>
          <w:rFonts w:ascii="Times New Roman" w:hAnsi="Times New Roman"/>
          <w:sz w:val="28"/>
          <w:szCs w:val="28"/>
        </w:rPr>
        <w:t xml:space="preserve">În aspectul categoriilor economice, </w:t>
      </w:r>
      <w:r w:rsidR="001F010D" w:rsidRPr="00012CA3">
        <w:rPr>
          <w:rFonts w:ascii="Times New Roman" w:hAnsi="Times New Roman"/>
          <w:sz w:val="28"/>
          <w:szCs w:val="28"/>
        </w:rPr>
        <w:t xml:space="preserve">comparativ cu </w:t>
      </w:r>
      <w:r w:rsidRPr="00012CA3">
        <w:rPr>
          <w:rFonts w:ascii="Times New Roman" w:hAnsi="Times New Roman"/>
          <w:sz w:val="28"/>
          <w:szCs w:val="28"/>
        </w:rPr>
        <w:t>semestrul I 202</w:t>
      </w:r>
      <w:r w:rsidR="0037443A" w:rsidRPr="00012CA3">
        <w:rPr>
          <w:rFonts w:ascii="Times New Roman" w:hAnsi="Times New Roman"/>
          <w:sz w:val="28"/>
          <w:szCs w:val="28"/>
        </w:rPr>
        <w:t>4</w:t>
      </w:r>
      <w:r w:rsidRPr="00012CA3">
        <w:rPr>
          <w:rFonts w:ascii="Times New Roman" w:hAnsi="Times New Roman"/>
          <w:sz w:val="28"/>
          <w:szCs w:val="28"/>
        </w:rPr>
        <w:t xml:space="preserve">, s-au </w:t>
      </w:r>
      <w:r w:rsidRPr="00012CA3">
        <w:rPr>
          <w:rFonts w:ascii="Times New Roman" w:hAnsi="Times New Roman"/>
          <w:i/>
          <w:sz w:val="28"/>
          <w:szCs w:val="28"/>
          <w:u w:val="single"/>
        </w:rPr>
        <w:t>majorat</w:t>
      </w:r>
      <w:r w:rsidR="00EF6FE2">
        <w:rPr>
          <w:rFonts w:ascii="Times New Roman" w:hAnsi="Times New Roman"/>
          <w:sz w:val="28"/>
          <w:szCs w:val="28"/>
        </w:rPr>
        <w:t xml:space="preserve">: </w:t>
      </w:r>
      <w:r w:rsidRPr="00012CA3">
        <w:rPr>
          <w:rFonts w:ascii="Times New Roman" w:hAnsi="Times New Roman"/>
          <w:sz w:val="28"/>
          <w:szCs w:val="28"/>
        </w:rPr>
        <w:t xml:space="preserve">cheltuielile pentru </w:t>
      </w:r>
      <w:r w:rsidR="0037443A" w:rsidRPr="00012CA3">
        <w:rPr>
          <w:rFonts w:ascii="Times New Roman" w:hAnsi="Times New Roman"/>
          <w:sz w:val="28"/>
          <w:szCs w:val="28"/>
        </w:rPr>
        <w:t xml:space="preserve">prestațiile sociale (+ </w:t>
      </w:r>
      <w:r w:rsidR="00C67908" w:rsidRPr="00012CA3">
        <w:rPr>
          <w:rFonts w:ascii="Times New Roman" w:hAnsi="Times New Roman"/>
          <w:sz w:val="28"/>
          <w:szCs w:val="28"/>
        </w:rPr>
        <w:t>3 441,3</w:t>
      </w:r>
      <w:r w:rsidR="0037443A" w:rsidRPr="00012CA3">
        <w:rPr>
          <w:rFonts w:ascii="Times New Roman" w:hAnsi="Times New Roman"/>
          <w:sz w:val="28"/>
          <w:szCs w:val="28"/>
        </w:rPr>
        <w:t xml:space="preserve">  mil. lei sau cu </w:t>
      </w:r>
      <w:r w:rsidR="00C67908" w:rsidRPr="00012CA3">
        <w:rPr>
          <w:rFonts w:ascii="Times New Roman" w:hAnsi="Times New Roman"/>
          <w:sz w:val="28"/>
          <w:szCs w:val="28"/>
        </w:rPr>
        <w:t>15,2</w:t>
      </w:r>
      <w:r w:rsidR="0037443A" w:rsidRPr="00012CA3">
        <w:rPr>
          <w:rFonts w:ascii="Times New Roman" w:hAnsi="Times New Roman"/>
          <w:sz w:val="28"/>
          <w:szCs w:val="28"/>
        </w:rPr>
        <w:t>%),</w:t>
      </w:r>
      <w:r w:rsidR="000A28E6">
        <w:rPr>
          <w:rFonts w:ascii="Times New Roman" w:hAnsi="Times New Roman"/>
          <w:sz w:val="28"/>
          <w:szCs w:val="28"/>
        </w:rPr>
        <w:t xml:space="preserve"> </w:t>
      </w:r>
      <w:r w:rsidR="001C1A22" w:rsidRPr="00012CA3">
        <w:rPr>
          <w:rFonts w:ascii="Times New Roman" w:hAnsi="Times New Roman"/>
          <w:sz w:val="28"/>
          <w:szCs w:val="28"/>
        </w:rPr>
        <w:t>cheltuielile de personal (+1</w:t>
      </w:r>
      <w:r w:rsidR="00C72892" w:rsidRPr="00012CA3">
        <w:rPr>
          <w:rFonts w:ascii="Times New Roman" w:hAnsi="Times New Roman"/>
          <w:sz w:val="28"/>
          <w:szCs w:val="28"/>
        </w:rPr>
        <w:t> </w:t>
      </w:r>
      <w:r w:rsidR="001C1A22" w:rsidRPr="00012CA3">
        <w:rPr>
          <w:rFonts w:ascii="Times New Roman" w:hAnsi="Times New Roman"/>
          <w:sz w:val="28"/>
          <w:szCs w:val="28"/>
        </w:rPr>
        <w:t>9</w:t>
      </w:r>
      <w:r w:rsidR="00C72892" w:rsidRPr="00012CA3">
        <w:rPr>
          <w:rFonts w:ascii="Times New Roman" w:hAnsi="Times New Roman"/>
          <w:sz w:val="28"/>
          <w:szCs w:val="28"/>
        </w:rPr>
        <w:t>94,8</w:t>
      </w:r>
      <w:r w:rsidR="001C1A22" w:rsidRPr="00012CA3">
        <w:rPr>
          <w:rFonts w:ascii="Times New Roman" w:hAnsi="Times New Roman"/>
          <w:sz w:val="28"/>
          <w:szCs w:val="28"/>
        </w:rPr>
        <w:t xml:space="preserve"> mil. lei sau cu 1</w:t>
      </w:r>
      <w:r w:rsidR="00C72892" w:rsidRPr="00012CA3">
        <w:rPr>
          <w:rFonts w:ascii="Times New Roman" w:hAnsi="Times New Roman"/>
          <w:sz w:val="28"/>
          <w:szCs w:val="28"/>
        </w:rPr>
        <w:t>4</w:t>
      </w:r>
      <w:r w:rsidR="001C1A22" w:rsidRPr="00012CA3">
        <w:rPr>
          <w:rFonts w:ascii="Times New Roman" w:hAnsi="Times New Roman"/>
          <w:sz w:val="28"/>
          <w:szCs w:val="28"/>
        </w:rPr>
        <w:t xml:space="preserve">,1%), </w:t>
      </w:r>
      <w:r w:rsidR="000A28E6" w:rsidRPr="000A28E6">
        <w:rPr>
          <w:rFonts w:ascii="Times New Roman" w:hAnsi="Times New Roman"/>
          <w:sz w:val="28"/>
          <w:szCs w:val="28"/>
        </w:rPr>
        <w:t xml:space="preserve">cheltuielile pentru </w:t>
      </w:r>
      <w:r w:rsidR="00923166" w:rsidRPr="00012CA3">
        <w:rPr>
          <w:rFonts w:ascii="Times New Roman" w:hAnsi="Times New Roman"/>
          <w:sz w:val="28"/>
          <w:szCs w:val="28"/>
        </w:rPr>
        <w:t>bunuri și servicii (+</w:t>
      </w:r>
      <w:r w:rsidR="00972925" w:rsidRPr="00012CA3">
        <w:rPr>
          <w:rFonts w:ascii="Times New Roman" w:hAnsi="Times New Roman"/>
          <w:sz w:val="28"/>
          <w:szCs w:val="28"/>
        </w:rPr>
        <w:t>1 429,3</w:t>
      </w:r>
      <w:r w:rsidR="00923166" w:rsidRPr="00012CA3">
        <w:rPr>
          <w:rFonts w:ascii="Times New Roman" w:hAnsi="Times New Roman"/>
          <w:sz w:val="28"/>
          <w:szCs w:val="28"/>
        </w:rPr>
        <w:t xml:space="preserve"> mil. lei sau cu </w:t>
      </w:r>
      <w:r w:rsidR="00972925" w:rsidRPr="00012CA3">
        <w:rPr>
          <w:rFonts w:ascii="Times New Roman" w:hAnsi="Times New Roman"/>
          <w:sz w:val="28"/>
          <w:szCs w:val="28"/>
        </w:rPr>
        <w:t>14,2</w:t>
      </w:r>
      <w:r w:rsidR="00923166" w:rsidRPr="00012CA3">
        <w:rPr>
          <w:rFonts w:ascii="Times New Roman" w:hAnsi="Times New Roman"/>
          <w:sz w:val="28"/>
          <w:szCs w:val="28"/>
        </w:rPr>
        <w:t>%),</w:t>
      </w:r>
      <w:r w:rsidR="00651E77" w:rsidRPr="00012CA3">
        <w:rPr>
          <w:rFonts w:ascii="Times New Roman" w:hAnsi="Times New Roman"/>
          <w:sz w:val="28"/>
          <w:szCs w:val="28"/>
        </w:rPr>
        <w:t xml:space="preserve"> </w:t>
      </w:r>
      <w:r w:rsidR="000D2638" w:rsidRPr="00012CA3">
        <w:rPr>
          <w:rFonts w:ascii="Times New Roman" w:hAnsi="Times New Roman"/>
          <w:sz w:val="28"/>
          <w:szCs w:val="28"/>
        </w:rPr>
        <w:t xml:space="preserve">cheltuielile pentru granturi acordate (+ </w:t>
      </w:r>
      <w:r w:rsidR="00E33C47" w:rsidRPr="00012CA3">
        <w:rPr>
          <w:rFonts w:ascii="Times New Roman" w:hAnsi="Times New Roman"/>
          <w:sz w:val="28"/>
          <w:szCs w:val="28"/>
        </w:rPr>
        <w:t>1</w:t>
      </w:r>
      <w:r w:rsidR="00D45E0D" w:rsidRPr="00012CA3">
        <w:rPr>
          <w:rFonts w:ascii="Times New Roman" w:hAnsi="Times New Roman"/>
          <w:sz w:val="28"/>
          <w:szCs w:val="28"/>
        </w:rPr>
        <w:t> 086,7</w:t>
      </w:r>
      <w:r w:rsidR="000D2638" w:rsidRPr="00012CA3">
        <w:rPr>
          <w:rFonts w:ascii="Times New Roman" w:hAnsi="Times New Roman"/>
          <w:sz w:val="28"/>
          <w:szCs w:val="28"/>
        </w:rPr>
        <w:t xml:space="preserve"> mil. lei sau </w:t>
      </w:r>
      <w:r w:rsidR="007134E6" w:rsidRPr="00012CA3">
        <w:rPr>
          <w:rFonts w:ascii="Times New Roman" w:hAnsi="Times New Roman"/>
          <w:sz w:val="28"/>
          <w:szCs w:val="28"/>
        </w:rPr>
        <w:t>de circă 2,5 ori</w:t>
      </w:r>
      <w:r w:rsidR="000D2638" w:rsidRPr="00012CA3">
        <w:rPr>
          <w:rFonts w:ascii="Times New Roman" w:hAnsi="Times New Roman"/>
          <w:sz w:val="28"/>
          <w:szCs w:val="28"/>
        </w:rPr>
        <w:t xml:space="preserve">), </w:t>
      </w:r>
      <w:r w:rsidR="00E33C47" w:rsidRPr="00012CA3">
        <w:rPr>
          <w:rFonts w:ascii="Times New Roman" w:hAnsi="Times New Roman"/>
          <w:sz w:val="28"/>
          <w:szCs w:val="28"/>
        </w:rPr>
        <w:t>subvențiile (+</w:t>
      </w:r>
      <w:r w:rsidR="008609BD" w:rsidRPr="00012CA3">
        <w:rPr>
          <w:rFonts w:ascii="Times New Roman" w:hAnsi="Times New Roman"/>
          <w:sz w:val="28"/>
          <w:szCs w:val="28"/>
        </w:rPr>
        <w:t>5</w:t>
      </w:r>
      <w:r w:rsidR="008B455E" w:rsidRPr="00012CA3">
        <w:rPr>
          <w:rFonts w:ascii="Times New Roman" w:hAnsi="Times New Roman"/>
          <w:sz w:val="28"/>
          <w:szCs w:val="28"/>
        </w:rPr>
        <w:t>25,6</w:t>
      </w:r>
      <w:r w:rsidR="00E33C47" w:rsidRPr="00012CA3">
        <w:rPr>
          <w:rFonts w:ascii="Times New Roman" w:hAnsi="Times New Roman"/>
          <w:sz w:val="28"/>
          <w:szCs w:val="28"/>
        </w:rPr>
        <w:t xml:space="preserve"> mil. lei sau cu </w:t>
      </w:r>
      <w:r w:rsidR="00170D63" w:rsidRPr="00012CA3">
        <w:rPr>
          <w:rFonts w:ascii="Times New Roman" w:hAnsi="Times New Roman"/>
          <w:sz w:val="28"/>
          <w:szCs w:val="28"/>
        </w:rPr>
        <w:t>19,0</w:t>
      </w:r>
      <w:r w:rsidR="00E33C47" w:rsidRPr="00012CA3">
        <w:rPr>
          <w:rFonts w:ascii="Times New Roman" w:hAnsi="Times New Roman"/>
          <w:sz w:val="28"/>
          <w:szCs w:val="28"/>
        </w:rPr>
        <w:t xml:space="preserve">%), </w:t>
      </w:r>
      <w:r w:rsidR="006F5B95" w:rsidRPr="00012CA3">
        <w:rPr>
          <w:rFonts w:ascii="Times New Roman" w:hAnsi="Times New Roman"/>
          <w:sz w:val="28"/>
          <w:szCs w:val="28"/>
        </w:rPr>
        <w:t>alte cheltuieli (+</w:t>
      </w:r>
      <w:r w:rsidR="0026446C" w:rsidRPr="00012CA3">
        <w:rPr>
          <w:rFonts w:ascii="Times New Roman" w:hAnsi="Times New Roman"/>
          <w:sz w:val="28"/>
          <w:szCs w:val="28"/>
        </w:rPr>
        <w:t>2</w:t>
      </w:r>
      <w:r w:rsidR="00614EA9" w:rsidRPr="00012CA3">
        <w:rPr>
          <w:rFonts w:ascii="Times New Roman" w:hAnsi="Times New Roman"/>
          <w:sz w:val="28"/>
          <w:szCs w:val="28"/>
        </w:rPr>
        <w:t>41,</w:t>
      </w:r>
      <w:r w:rsidR="00170D63" w:rsidRPr="00012CA3">
        <w:rPr>
          <w:rFonts w:ascii="Times New Roman" w:hAnsi="Times New Roman"/>
          <w:sz w:val="28"/>
          <w:szCs w:val="28"/>
        </w:rPr>
        <w:t>4</w:t>
      </w:r>
      <w:r w:rsidR="006F5B95" w:rsidRPr="00012CA3">
        <w:rPr>
          <w:rFonts w:ascii="Times New Roman" w:hAnsi="Times New Roman"/>
          <w:sz w:val="28"/>
          <w:szCs w:val="28"/>
        </w:rPr>
        <w:t xml:space="preserve"> mil. lei sau cu </w:t>
      </w:r>
      <w:r w:rsidR="00614EA9" w:rsidRPr="00012CA3">
        <w:rPr>
          <w:rFonts w:ascii="Times New Roman" w:hAnsi="Times New Roman"/>
          <w:sz w:val="28"/>
          <w:szCs w:val="28"/>
        </w:rPr>
        <w:t>11,9</w:t>
      </w:r>
      <w:r w:rsidR="006F5B95" w:rsidRPr="00012CA3">
        <w:rPr>
          <w:rFonts w:ascii="Times New Roman" w:hAnsi="Times New Roman"/>
          <w:sz w:val="28"/>
          <w:szCs w:val="28"/>
        </w:rPr>
        <w:t>%)</w:t>
      </w:r>
      <w:r w:rsidR="00E334E3" w:rsidRPr="00012CA3">
        <w:rPr>
          <w:rFonts w:ascii="Times New Roman" w:hAnsi="Times New Roman"/>
          <w:sz w:val="28"/>
          <w:szCs w:val="28"/>
        </w:rPr>
        <w:t>.</w:t>
      </w:r>
    </w:p>
    <w:p w:rsidR="007C7244" w:rsidRDefault="008F591B">
      <w:pPr>
        <w:spacing w:before="60" w:after="0" w:line="276" w:lineRule="auto"/>
        <w:ind w:firstLine="567"/>
        <w:jc w:val="both"/>
        <w:rPr>
          <w:rFonts w:ascii="Times New Roman" w:hAnsi="Times New Roman"/>
          <w:sz w:val="28"/>
          <w:szCs w:val="28"/>
        </w:rPr>
      </w:pPr>
      <w:r w:rsidRPr="00012CA3">
        <w:rPr>
          <w:rFonts w:ascii="Times New Roman" w:hAnsi="Times New Roman"/>
          <w:sz w:val="28"/>
          <w:szCs w:val="28"/>
        </w:rPr>
        <w:t xml:space="preserve">Totodată, </w:t>
      </w:r>
      <w:r w:rsidR="00336C97" w:rsidRPr="00012CA3">
        <w:rPr>
          <w:rFonts w:ascii="Times New Roman" w:hAnsi="Times New Roman"/>
          <w:sz w:val="28"/>
          <w:szCs w:val="28"/>
        </w:rPr>
        <w:t xml:space="preserve">s-au atestat și </w:t>
      </w:r>
      <w:r w:rsidR="00B76E0B" w:rsidRPr="00012CA3">
        <w:rPr>
          <w:rFonts w:ascii="Times New Roman" w:hAnsi="Times New Roman"/>
          <w:i/>
          <w:sz w:val="28"/>
          <w:szCs w:val="28"/>
          <w:u w:val="single"/>
        </w:rPr>
        <w:t>diminuări nesemnificative</w:t>
      </w:r>
      <w:r w:rsidRPr="00012CA3">
        <w:rPr>
          <w:rFonts w:ascii="Times New Roman" w:hAnsi="Times New Roman"/>
          <w:sz w:val="28"/>
          <w:szCs w:val="28"/>
        </w:rPr>
        <w:t xml:space="preserve"> </w:t>
      </w:r>
      <w:r w:rsidR="00113653" w:rsidRPr="00012CA3">
        <w:rPr>
          <w:rFonts w:ascii="Times New Roman" w:hAnsi="Times New Roman"/>
          <w:sz w:val="28"/>
          <w:szCs w:val="28"/>
        </w:rPr>
        <w:t xml:space="preserve">la </w:t>
      </w:r>
      <w:r w:rsidR="00870D3E" w:rsidRPr="00012CA3">
        <w:rPr>
          <w:rFonts w:ascii="Times New Roman" w:hAnsi="Times New Roman"/>
          <w:sz w:val="28"/>
          <w:szCs w:val="28"/>
        </w:rPr>
        <w:t xml:space="preserve">dobânzi </w:t>
      </w:r>
      <w:r w:rsidR="007C7244" w:rsidRPr="00012CA3">
        <w:rPr>
          <w:rFonts w:ascii="Times New Roman" w:hAnsi="Times New Roman"/>
          <w:sz w:val="28"/>
          <w:szCs w:val="28"/>
        </w:rPr>
        <w:t>(− 146,0 mil. lei sau cu 6,6%),</w:t>
      </w:r>
      <w:r w:rsidR="007C7244" w:rsidRPr="00012CA3">
        <w:t xml:space="preserve"> </w:t>
      </w:r>
      <w:r w:rsidR="007C7244" w:rsidRPr="00012CA3">
        <w:rPr>
          <w:rFonts w:ascii="Times New Roman" w:hAnsi="Times New Roman"/>
          <w:sz w:val="28"/>
          <w:szCs w:val="28"/>
        </w:rPr>
        <w:t>mijloace fixe (- 4,2 mil. lei sau cu 0,2%).</w:t>
      </w:r>
    </w:p>
    <w:p w:rsidR="00C82F48" w:rsidRDefault="00C82F48">
      <w:pPr>
        <w:spacing w:before="60" w:after="0" w:line="276" w:lineRule="auto"/>
        <w:ind w:firstLine="567"/>
        <w:jc w:val="both"/>
        <w:rPr>
          <w:rFonts w:ascii="Times New Roman" w:hAnsi="Times New Roman"/>
          <w:sz w:val="28"/>
          <w:szCs w:val="28"/>
        </w:rPr>
      </w:pPr>
      <w:r w:rsidRPr="00012CA3">
        <w:rPr>
          <w:rFonts w:ascii="Times New Roman" w:hAnsi="Times New Roman"/>
          <w:sz w:val="28"/>
          <w:szCs w:val="28"/>
        </w:rPr>
        <w:t>Evoluția cheltuielilor bugetului public național în semestrul I al anilor 202</w:t>
      </w:r>
      <w:r w:rsidR="00F1299F" w:rsidRPr="00012CA3">
        <w:rPr>
          <w:rFonts w:ascii="Times New Roman" w:hAnsi="Times New Roman"/>
          <w:sz w:val="28"/>
          <w:szCs w:val="28"/>
        </w:rPr>
        <w:t>4</w:t>
      </w:r>
      <w:r w:rsidRPr="00012CA3">
        <w:rPr>
          <w:rFonts w:ascii="Times New Roman" w:hAnsi="Times New Roman"/>
          <w:sz w:val="28"/>
          <w:szCs w:val="28"/>
        </w:rPr>
        <w:t>-202</w:t>
      </w:r>
      <w:r w:rsidR="00F1299F" w:rsidRPr="00012CA3">
        <w:rPr>
          <w:rFonts w:ascii="Times New Roman" w:hAnsi="Times New Roman"/>
          <w:sz w:val="28"/>
          <w:szCs w:val="28"/>
        </w:rPr>
        <w:t>5</w:t>
      </w:r>
      <w:r w:rsidRPr="00012CA3">
        <w:rPr>
          <w:rFonts w:ascii="Times New Roman" w:hAnsi="Times New Roman"/>
          <w:sz w:val="28"/>
          <w:szCs w:val="28"/>
        </w:rPr>
        <w:t xml:space="preserve"> pe categorii economice se prezintă în diagrama care urmează:</w:t>
      </w:r>
    </w:p>
    <w:p w:rsidR="000F397E" w:rsidRPr="00012CA3" w:rsidRDefault="000F397E">
      <w:pPr>
        <w:spacing w:before="60" w:after="0" w:line="276" w:lineRule="auto"/>
        <w:ind w:firstLine="567"/>
        <w:jc w:val="both"/>
      </w:pPr>
    </w:p>
    <w:p w:rsidR="00C82F48" w:rsidRPr="00012CA3" w:rsidRDefault="00C82F48">
      <w:pPr>
        <w:pStyle w:val="Heading2"/>
        <w:spacing w:before="0"/>
        <w:jc w:val="center"/>
      </w:pPr>
      <w:r w:rsidRPr="00012CA3">
        <w:rPr>
          <w:rFonts w:ascii="Times New Roman" w:hAnsi="Times New Roman"/>
          <w:i/>
          <w:color w:val="323E4F"/>
          <w:sz w:val="28"/>
          <w:szCs w:val="24"/>
        </w:rPr>
        <w:lastRenderedPageBreak/>
        <w:t xml:space="preserve">Diagrama 3. Evoluția cheltuielilor bugetului public național </w:t>
      </w:r>
    </w:p>
    <w:p w:rsidR="00C82F48" w:rsidRPr="00012CA3" w:rsidRDefault="00C82F48" w:rsidP="001F2274">
      <w:pPr>
        <w:pStyle w:val="Heading2"/>
        <w:spacing w:before="0"/>
        <w:ind w:hanging="450"/>
        <w:jc w:val="center"/>
        <w:rPr>
          <w:rFonts w:ascii="Times New Roman" w:hAnsi="Times New Roman"/>
          <w:i/>
          <w:color w:val="323E4F"/>
          <w:sz w:val="28"/>
          <w:szCs w:val="24"/>
        </w:rPr>
      </w:pPr>
      <w:r w:rsidRPr="00012CA3">
        <w:rPr>
          <w:rFonts w:ascii="Times New Roman" w:hAnsi="Times New Roman"/>
          <w:i/>
          <w:color w:val="323E4F"/>
          <w:sz w:val="28"/>
          <w:szCs w:val="24"/>
        </w:rPr>
        <w:t>în semestrul I 202</w:t>
      </w:r>
      <w:r w:rsidR="00227F2D" w:rsidRPr="00012CA3">
        <w:rPr>
          <w:rFonts w:ascii="Times New Roman" w:hAnsi="Times New Roman"/>
          <w:i/>
          <w:color w:val="323E4F"/>
          <w:sz w:val="28"/>
          <w:szCs w:val="24"/>
        </w:rPr>
        <w:t>4</w:t>
      </w:r>
      <w:r w:rsidRPr="00012CA3">
        <w:rPr>
          <w:rFonts w:ascii="Times New Roman" w:hAnsi="Times New Roman"/>
          <w:i/>
          <w:color w:val="323E4F"/>
          <w:sz w:val="28"/>
          <w:szCs w:val="24"/>
        </w:rPr>
        <w:t xml:space="preserve"> – semestrul I 202</w:t>
      </w:r>
      <w:r w:rsidR="00227F2D" w:rsidRPr="00012CA3">
        <w:rPr>
          <w:rFonts w:ascii="Times New Roman" w:hAnsi="Times New Roman"/>
          <w:i/>
          <w:color w:val="323E4F"/>
          <w:sz w:val="28"/>
          <w:szCs w:val="24"/>
        </w:rPr>
        <w:t>5</w:t>
      </w:r>
      <w:r w:rsidRPr="00012CA3">
        <w:rPr>
          <w:rFonts w:ascii="Times New Roman" w:hAnsi="Times New Roman"/>
          <w:i/>
          <w:color w:val="323E4F"/>
          <w:sz w:val="28"/>
          <w:szCs w:val="24"/>
        </w:rPr>
        <w:t xml:space="preserve"> (pe categorii economice</w:t>
      </w:r>
      <w:r w:rsidR="00960A13" w:rsidRPr="00012CA3">
        <w:rPr>
          <w:rFonts w:ascii="Times New Roman" w:hAnsi="Times New Roman"/>
          <w:i/>
          <w:color w:val="323E4F"/>
          <w:sz w:val="28"/>
          <w:szCs w:val="24"/>
        </w:rPr>
        <w:t>, mil. lei</w:t>
      </w:r>
      <w:r w:rsidR="00F85823" w:rsidRPr="00012CA3">
        <w:rPr>
          <w:rFonts w:ascii="Times New Roman" w:hAnsi="Times New Roman"/>
          <w:i/>
          <w:color w:val="323E4F"/>
          <w:sz w:val="28"/>
          <w:szCs w:val="24"/>
        </w:rPr>
        <w:t>)</w:t>
      </w:r>
    </w:p>
    <w:p w:rsidR="0036661A" w:rsidRPr="00012CA3" w:rsidRDefault="00792FFF" w:rsidP="00EB3A6E">
      <w:pPr>
        <w:ind w:hanging="284"/>
      </w:pPr>
      <w:r>
        <w:rPr>
          <w:noProof/>
          <w:lang w:val="en-US" w:eastAsia="en-US"/>
        </w:rPr>
        <w:drawing>
          <wp:inline distT="0" distB="0" distL="0" distR="0">
            <wp:extent cx="6109335" cy="34607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9335" cy="3460750"/>
                    </a:xfrm>
                    <a:prstGeom prst="rect">
                      <a:avLst/>
                    </a:prstGeom>
                    <a:noFill/>
                  </pic:spPr>
                </pic:pic>
              </a:graphicData>
            </a:graphic>
          </wp:inline>
        </w:drawing>
      </w:r>
    </w:p>
    <w:p w:rsidR="00C82F48" w:rsidRPr="00012CA3" w:rsidRDefault="00C82F48">
      <w:pPr>
        <w:spacing w:before="240" w:line="276" w:lineRule="auto"/>
        <w:ind w:firstLine="567"/>
        <w:contextualSpacing/>
        <w:jc w:val="both"/>
      </w:pPr>
      <w:r w:rsidRPr="00012CA3">
        <w:rPr>
          <w:rFonts w:ascii="Times New Roman" w:hAnsi="Times New Roman"/>
          <w:sz w:val="28"/>
          <w:szCs w:val="28"/>
        </w:rPr>
        <w:t>Executarea bugetului public național î</w:t>
      </w:r>
      <w:r w:rsidR="00997397" w:rsidRPr="00012CA3">
        <w:rPr>
          <w:rFonts w:ascii="Times New Roman" w:hAnsi="Times New Roman"/>
          <w:sz w:val="28"/>
          <w:szCs w:val="28"/>
        </w:rPr>
        <w:t>n primele 6 luni ale anului 202</w:t>
      </w:r>
      <w:r w:rsidR="00426878" w:rsidRPr="00012CA3">
        <w:rPr>
          <w:rFonts w:ascii="Times New Roman" w:hAnsi="Times New Roman"/>
          <w:sz w:val="28"/>
          <w:szCs w:val="28"/>
        </w:rPr>
        <w:t>5</w:t>
      </w:r>
      <w:r w:rsidRPr="00012CA3">
        <w:rPr>
          <w:rFonts w:ascii="Times New Roman" w:hAnsi="Times New Roman"/>
          <w:sz w:val="28"/>
          <w:szCs w:val="28"/>
        </w:rPr>
        <w:t xml:space="preserve"> s-a încheiat cu un </w:t>
      </w:r>
      <w:r w:rsidRPr="00012CA3">
        <w:rPr>
          <w:rFonts w:ascii="Times New Roman" w:hAnsi="Times New Roman"/>
          <w:b/>
          <w:i/>
          <w:sz w:val="28"/>
          <w:szCs w:val="28"/>
        </w:rPr>
        <w:t>sold bugetar (deficit)</w:t>
      </w:r>
      <w:r w:rsidRPr="00012CA3">
        <w:rPr>
          <w:rFonts w:ascii="Times New Roman" w:hAnsi="Times New Roman"/>
          <w:sz w:val="28"/>
          <w:szCs w:val="28"/>
        </w:rPr>
        <w:t xml:space="preserve"> </w:t>
      </w:r>
      <w:r w:rsidR="00C47E56">
        <w:rPr>
          <w:rFonts w:ascii="Times New Roman" w:hAnsi="Times New Roman"/>
          <w:sz w:val="28"/>
          <w:szCs w:val="28"/>
        </w:rPr>
        <w:t xml:space="preserve">în sumă </w:t>
      </w:r>
      <w:r w:rsidRPr="00012CA3">
        <w:rPr>
          <w:rFonts w:ascii="Times New Roman" w:hAnsi="Times New Roman"/>
          <w:sz w:val="28"/>
          <w:szCs w:val="28"/>
        </w:rPr>
        <w:t xml:space="preserve">de </w:t>
      </w:r>
      <w:r w:rsidR="00997397" w:rsidRPr="00012CA3">
        <w:rPr>
          <w:rFonts w:ascii="Times New Roman" w:hAnsi="Times New Roman"/>
          <w:sz w:val="28"/>
          <w:szCs w:val="28"/>
        </w:rPr>
        <w:t>5</w:t>
      </w:r>
      <w:r w:rsidR="008B0F1A" w:rsidRPr="00012CA3">
        <w:rPr>
          <w:rFonts w:ascii="Times New Roman" w:hAnsi="Times New Roman"/>
          <w:sz w:val="28"/>
          <w:szCs w:val="28"/>
        </w:rPr>
        <w:t> </w:t>
      </w:r>
      <w:r w:rsidR="00426878" w:rsidRPr="00012CA3">
        <w:rPr>
          <w:rFonts w:ascii="Times New Roman" w:hAnsi="Times New Roman"/>
          <w:sz w:val="28"/>
          <w:szCs w:val="28"/>
        </w:rPr>
        <w:t>7</w:t>
      </w:r>
      <w:r w:rsidR="008B0F1A" w:rsidRPr="00012CA3">
        <w:rPr>
          <w:rFonts w:ascii="Times New Roman" w:hAnsi="Times New Roman"/>
          <w:sz w:val="28"/>
          <w:szCs w:val="28"/>
        </w:rPr>
        <w:t>60,9</w:t>
      </w:r>
      <w:r w:rsidRPr="00012CA3">
        <w:rPr>
          <w:rFonts w:ascii="Times New Roman" w:hAnsi="Times New Roman"/>
          <w:sz w:val="28"/>
          <w:szCs w:val="28"/>
        </w:rPr>
        <w:t xml:space="preserve"> mil. lei, sau </w:t>
      </w:r>
      <w:r w:rsidR="00997397" w:rsidRPr="00012CA3">
        <w:rPr>
          <w:rFonts w:ascii="Times New Roman" w:hAnsi="Times New Roman"/>
          <w:sz w:val="28"/>
          <w:szCs w:val="28"/>
        </w:rPr>
        <w:t>1,6</w:t>
      </w:r>
      <w:r w:rsidR="008B0F1A" w:rsidRPr="00012CA3">
        <w:rPr>
          <w:rFonts w:ascii="Times New Roman" w:hAnsi="Times New Roman"/>
          <w:sz w:val="28"/>
          <w:szCs w:val="28"/>
        </w:rPr>
        <w:t>4</w:t>
      </w:r>
      <w:r w:rsidRPr="00012CA3">
        <w:rPr>
          <w:rFonts w:ascii="Times New Roman" w:hAnsi="Times New Roman"/>
          <w:sz w:val="28"/>
          <w:szCs w:val="28"/>
        </w:rPr>
        <w:t>% în PIB, în condițiile, în care ținta de deficit bugetar pentru anul 202</w:t>
      </w:r>
      <w:r w:rsidR="002C30C6" w:rsidRPr="00012CA3">
        <w:rPr>
          <w:rFonts w:ascii="Times New Roman" w:hAnsi="Times New Roman"/>
          <w:sz w:val="28"/>
          <w:szCs w:val="28"/>
        </w:rPr>
        <w:t>5</w:t>
      </w:r>
      <w:r w:rsidRPr="00012CA3">
        <w:rPr>
          <w:rFonts w:ascii="Times New Roman" w:hAnsi="Times New Roman"/>
          <w:sz w:val="28"/>
          <w:szCs w:val="28"/>
        </w:rPr>
        <w:t xml:space="preserve"> a fost </w:t>
      </w:r>
      <w:r w:rsidR="0056078D">
        <w:rPr>
          <w:rFonts w:ascii="Times New Roman" w:hAnsi="Times New Roman"/>
          <w:sz w:val="28"/>
          <w:szCs w:val="28"/>
        </w:rPr>
        <w:t>inițial</w:t>
      </w:r>
      <w:r w:rsidRPr="00012CA3">
        <w:rPr>
          <w:rFonts w:ascii="Times New Roman" w:hAnsi="Times New Roman"/>
          <w:sz w:val="28"/>
          <w:szCs w:val="28"/>
        </w:rPr>
        <w:t xml:space="preserve"> de </w:t>
      </w:r>
      <w:r w:rsidR="00AD24BF" w:rsidRPr="00012CA3">
        <w:rPr>
          <w:rFonts w:ascii="Times New Roman" w:hAnsi="Times New Roman"/>
          <w:sz w:val="28"/>
          <w:szCs w:val="28"/>
        </w:rPr>
        <w:t>4,</w:t>
      </w:r>
      <w:r w:rsidR="002C30C6" w:rsidRPr="00012CA3">
        <w:rPr>
          <w:rFonts w:ascii="Times New Roman" w:hAnsi="Times New Roman"/>
          <w:sz w:val="28"/>
          <w:szCs w:val="28"/>
        </w:rPr>
        <w:t>05</w:t>
      </w:r>
      <w:r w:rsidRPr="00012CA3">
        <w:rPr>
          <w:rFonts w:ascii="Times New Roman" w:hAnsi="Times New Roman"/>
          <w:sz w:val="28"/>
          <w:szCs w:val="28"/>
        </w:rPr>
        <w:t>% din PIB.</w:t>
      </w:r>
    </w:p>
    <w:p w:rsidR="00C82F48" w:rsidRPr="00012CA3" w:rsidRDefault="00C82F48">
      <w:pPr>
        <w:pStyle w:val="Heading2"/>
        <w:spacing w:before="0"/>
        <w:jc w:val="center"/>
      </w:pPr>
      <w:r w:rsidRPr="00012CA3">
        <w:rPr>
          <w:rFonts w:ascii="Times New Roman" w:hAnsi="Times New Roman"/>
          <w:i/>
          <w:color w:val="000000"/>
          <w:sz w:val="28"/>
          <w:szCs w:val="24"/>
        </w:rPr>
        <w:t>Tabelul 3. Soldul bugetului public național și a componentelor acestuia,</w:t>
      </w:r>
    </w:p>
    <w:p w:rsidR="00C82F48" w:rsidRPr="00012CA3" w:rsidRDefault="00C82F48">
      <w:pPr>
        <w:pStyle w:val="Heading2"/>
        <w:spacing w:before="0"/>
        <w:jc w:val="center"/>
      </w:pPr>
      <w:r w:rsidRPr="00012CA3">
        <w:rPr>
          <w:rFonts w:ascii="Times New Roman" w:hAnsi="Times New Roman"/>
          <w:i/>
          <w:color w:val="000000"/>
          <w:sz w:val="28"/>
          <w:szCs w:val="24"/>
        </w:rPr>
        <w:t xml:space="preserve"> și sursele de finanțare în semestrul I 202</w:t>
      </w:r>
      <w:r w:rsidR="006D648F" w:rsidRPr="00012CA3">
        <w:rPr>
          <w:rFonts w:ascii="Times New Roman" w:hAnsi="Times New Roman"/>
          <w:i/>
          <w:color w:val="000000"/>
          <w:sz w:val="28"/>
          <w:szCs w:val="24"/>
        </w:rPr>
        <w:t>5</w:t>
      </w:r>
    </w:p>
    <w:p w:rsidR="00C82F48" w:rsidRPr="009B2184" w:rsidRDefault="00C82F48">
      <w:pPr>
        <w:pStyle w:val="12"/>
        <w:spacing w:after="0"/>
        <w:ind w:left="7791" w:firstLine="709"/>
        <w:jc w:val="center"/>
        <w:rPr>
          <w:rFonts w:ascii="Times New Roman" w:hAnsi="Times New Roman"/>
        </w:rPr>
      </w:pPr>
      <w:r w:rsidRPr="009B2184">
        <w:rPr>
          <w:rFonts w:ascii="Times New Roman" w:hAnsi="Times New Roman"/>
        </w:rPr>
        <w:t>mil. lei</w:t>
      </w:r>
    </w:p>
    <w:tbl>
      <w:tblPr>
        <w:tblW w:w="4712" w:type="pct"/>
        <w:jc w:val="center"/>
        <w:tblLayout w:type="fixed"/>
        <w:tblLook w:val="0000" w:firstRow="0" w:lastRow="0" w:firstColumn="0" w:lastColumn="0" w:noHBand="0" w:noVBand="0"/>
      </w:tblPr>
      <w:tblGrid>
        <w:gridCol w:w="3103"/>
        <w:gridCol w:w="892"/>
        <w:gridCol w:w="1288"/>
        <w:gridCol w:w="1107"/>
        <w:gridCol w:w="1599"/>
        <w:gridCol w:w="77"/>
        <w:gridCol w:w="947"/>
        <w:gridCol w:w="6"/>
      </w:tblGrid>
      <w:tr w:rsidR="00C32872" w:rsidRPr="00012CA3" w:rsidTr="00122E74">
        <w:trPr>
          <w:gridAfter w:val="1"/>
          <w:wAfter w:w="6" w:type="dxa"/>
          <w:trHeight w:val="150"/>
          <w:jc w:val="center"/>
        </w:trPr>
        <w:tc>
          <w:tcPr>
            <w:tcW w:w="3103" w:type="dxa"/>
            <w:vMerge w:val="restart"/>
            <w:tcBorders>
              <w:top w:val="single" w:sz="8" w:space="0" w:color="4BACC6"/>
              <w:bottom w:val="single" w:sz="8" w:space="0" w:color="4BACC6"/>
            </w:tcBorders>
            <w:shd w:val="clear" w:color="auto" w:fill="auto"/>
            <w:vAlign w:val="center"/>
          </w:tcPr>
          <w:p w:rsidR="00C32872" w:rsidRPr="00012CA3" w:rsidRDefault="00C32872" w:rsidP="007E5FF2">
            <w:pPr>
              <w:tabs>
                <w:tab w:val="left" w:pos="4305"/>
              </w:tabs>
              <w:snapToGrid w:val="0"/>
              <w:spacing w:after="0"/>
              <w:jc w:val="center"/>
              <w:rPr>
                <w:rFonts w:ascii="Times New Roman" w:hAnsi="Times New Roman"/>
                <w:b/>
                <w:bCs/>
                <w:color w:val="171717"/>
                <w:sz w:val="20"/>
                <w:szCs w:val="20"/>
              </w:rPr>
            </w:pPr>
          </w:p>
        </w:tc>
        <w:tc>
          <w:tcPr>
            <w:tcW w:w="892" w:type="dxa"/>
            <w:vMerge w:val="restart"/>
            <w:tcBorders>
              <w:top w:val="single" w:sz="8" w:space="0" w:color="4BACC6"/>
              <w:bottom w:val="single" w:sz="8" w:space="0" w:color="4BACC6"/>
            </w:tcBorders>
            <w:shd w:val="clear" w:color="auto" w:fill="auto"/>
            <w:vAlign w:val="center"/>
          </w:tcPr>
          <w:p w:rsidR="00C32872" w:rsidRPr="00012CA3" w:rsidRDefault="00C32872" w:rsidP="007E5FF2">
            <w:pPr>
              <w:spacing w:after="0"/>
              <w:ind w:left="-108" w:right="-108"/>
              <w:jc w:val="center"/>
            </w:pPr>
            <w:r w:rsidRPr="00012CA3">
              <w:rPr>
                <w:rFonts w:ascii="Times New Roman" w:hAnsi="Times New Roman"/>
                <w:b/>
                <w:bCs/>
                <w:color w:val="171717"/>
                <w:sz w:val="20"/>
                <w:szCs w:val="20"/>
              </w:rPr>
              <w:t>Bugetul public național</w:t>
            </w:r>
          </w:p>
        </w:tc>
        <w:tc>
          <w:tcPr>
            <w:tcW w:w="5018" w:type="dxa"/>
            <w:gridSpan w:val="5"/>
            <w:tcBorders>
              <w:top w:val="single" w:sz="8" w:space="0" w:color="4BACC6"/>
              <w:bottom w:val="single" w:sz="8" w:space="0" w:color="4BACC6"/>
            </w:tcBorders>
            <w:shd w:val="clear" w:color="auto" w:fill="auto"/>
            <w:vAlign w:val="center"/>
          </w:tcPr>
          <w:p w:rsidR="00C32872" w:rsidRPr="00012CA3" w:rsidRDefault="00C32872" w:rsidP="007E5FF2">
            <w:pPr>
              <w:spacing w:after="0"/>
              <w:ind w:left="-51"/>
              <w:jc w:val="center"/>
            </w:pPr>
            <w:r w:rsidRPr="00012CA3">
              <w:rPr>
                <w:rFonts w:ascii="Times New Roman" w:hAnsi="Times New Roman"/>
                <w:b/>
                <w:bCs/>
                <w:color w:val="171717"/>
                <w:sz w:val="20"/>
                <w:szCs w:val="20"/>
              </w:rPr>
              <w:t>dintre care:</w:t>
            </w:r>
          </w:p>
        </w:tc>
      </w:tr>
      <w:tr w:rsidR="00C32872" w:rsidRPr="00012CA3" w:rsidTr="00122E74">
        <w:trPr>
          <w:trHeight w:val="833"/>
          <w:jc w:val="center"/>
        </w:trPr>
        <w:tc>
          <w:tcPr>
            <w:tcW w:w="3103" w:type="dxa"/>
            <w:vMerge/>
            <w:tcBorders>
              <w:top w:val="single" w:sz="8" w:space="0" w:color="4BACC6"/>
              <w:bottom w:val="single" w:sz="8" w:space="0" w:color="4BACC6"/>
            </w:tcBorders>
            <w:shd w:val="clear" w:color="auto" w:fill="auto"/>
            <w:vAlign w:val="center"/>
          </w:tcPr>
          <w:p w:rsidR="00C32872" w:rsidRPr="00012CA3" w:rsidRDefault="00C32872" w:rsidP="007E5FF2">
            <w:pPr>
              <w:tabs>
                <w:tab w:val="left" w:pos="4305"/>
              </w:tabs>
              <w:snapToGrid w:val="0"/>
              <w:spacing w:after="0"/>
              <w:jc w:val="center"/>
              <w:rPr>
                <w:rFonts w:ascii="Times New Roman" w:hAnsi="Times New Roman"/>
                <w:b/>
                <w:bCs/>
                <w:color w:val="171717"/>
                <w:sz w:val="20"/>
                <w:szCs w:val="20"/>
              </w:rPr>
            </w:pPr>
          </w:p>
        </w:tc>
        <w:tc>
          <w:tcPr>
            <w:tcW w:w="892" w:type="dxa"/>
            <w:vMerge/>
            <w:tcBorders>
              <w:top w:val="single" w:sz="8" w:space="0" w:color="4BACC6"/>
              <w:bottom w:val="single" w:sz="8" w:space="0" w:color="4BACC6"/>
            </w:tcBorders>
            <w:shd w:val="clear" w:color="auto" w:fill="auto"/>
            <w:vAlign w:val="center"/>
          </w:tcPr>
          <w:p w:rsidR="00C32872" w:rsidRPr="00012CA3" w:rsidRDefault="00C32872" w:rsidP="007E5FF2">
            <w:pPr>
              <w:snapToGrid w:val="0"/>
              <w:spacing w:after="0"/>
              <w:ind w:left="-108" w:right="-108"/>
              <w:jc w:val="center"/>
              <w:rPr>
                <w:rFonts w:ascii="Times New Roman" w:hAnsi="Times New Roman"/>
                <w:b/>
                <w:bCs/>
                <w:color w:val="171717"/>
                <w:sz w:val="20"/>
                <w:szCs w:val="20"/>
              </w:rPr>
            </w:pPr>
          </w:p>
        </w:tc>
        <w:tc>
          <w:tcPr>
            <w:tcW w:w="1288" w:type="dxa"/>
            <w:tcBorders>
              <w:top w:val="single" w:sz="8" w:space="0" w:color="4BACC6"/>
              <w:bottom w:val="single" w:sz="8" w:space="0" w:color="4BACC6"/>
            </w:tcBorders>
            <w:shd w:val="clear" w:color="auto" w:fill="auto"/>
            <w:vAlign w:val="center"/>
          </w:tcPr>
          <w:p w:rsidR="00C32872" w:rsidRPr="00012CA3" w:rsidRDefault="00C32872" w:rsidP="007E5FF2">
            <w:pPr>
              <w:spacing w:after="0"/>
              <w:ind w:left="-51" w:right="-108" w:hanging="3"/>
              <w:jc w:val="center"/>
            </w:pPr>
            <w:r w:rsidRPr="00012CA3">
              <w:rPr>
                <w:rFonts w:ascii="Times New Roman" w:hAnsi="Times New Roman"/>
                <w:b/>
                <w:color w:val="171717"/>
                <w:sz w:val="20"/>
                <w:szCs w:val="20"/>
              </w:rPr>
              <w:t>Bugetul</w:t>
            </w:r>
          </w:p>
          <w:p w:rsidR="00C32872" w:rsidRPr="00012CA3" w:rsidRDefault="00C32872" w:rsidP="007E5FF2">
            <w:pPr>
              <w:spacing w:after="0"/>
              <w:ind w:left="-51" w:right="-108" w:hanging="3"/>
              <w:jc w:val="center"/>
            </w:pPr>
            <w:r w:rsidRPr="00012CA3">
              <w:rPr>
                <w:rFonts w:ascii="Times New Roman" w:hAnsi="Times New Roman"/>
                <w:b/>
                <w:color w:val="171717"/>
                <w:sz w:val="20"/>
                <w:szCs w:val="20"/>
              </w:rPr>
              <w:t>de stat</w:t>
            </w:r>
          </w:p>
        </w:tc>
        <w:tc>
          <w:tcPr>
            <w:tcW w:w="1107" w:type="dxa"/>
            <w:tcBorders>
              <w:top w:val="single" w:sz="8" w:space="0" w:color="4BACC6"/>
              <w:bottom w:val="single" w:sz="8" w:space="0" w:color="4BACC6"/>
            </w:tcBorders>
            <w:shd w:val="clear" w:color="auto" w:fill="auto"/>
            <w:vAlign w:val="center"/>
          </w:tcPr>
          <w:p w:rsidR="00C32872" w:rsidRPr="00012CA3" w:rsidRDefault="00C32872" w:rsidP="007E5FF2">
            <w:pPr>
              <w:spacing w:after="0"/>
              <w:ind w:left="-51"/>
              <w:jc w:val="center"/>
            </w:pPr>
            <w:r w:rsidRPr="00012CA3">
              <w:rPr>
                <w:rFonts w:ascii="Times New Roman" w:hAnsi="Times New Roman"/>
                <w:b/>
                <w:color w:val="171717"/>
                <w:sz w:val="20"/>
                <w:szCs w:val="20"/>
              </w:rPr>
              <w:t>Bugetul asigurărilor sociale de stat</w:t>
            </w:r>
          </w:p>
        </w:tc>
        <w:tc>
          <w:tcPr>
            <w:tcW w:w="1676" w:type="dxa"/>
            <w:gridSpan w:val="2"/>
            <w:tcBorders>
              <w:top w:val="single" w:sz="8" w:space="0" w:color="4BACC6"/>
              <w:bottom w:val="single" w:sz="8" w:space="0" w:color="4BACC6"/>
            </w:tcBorders>
            <w:shd w:val="clear" w:color="auto" w:fill="auto"/>
            <w:vAlign w:val="center"/>
          </w:tcPr>
          <w:p w:rsidR="00C32872" w:rsidRPr="00012CA3" w:rsidRDefault="00C32872" w:rsidP="007E5FF2">
            <w:pPr>
              <w:spacing w:after="0"/>
              <w:ind w:left="-51"/>
              <w:jc w:val="center"/>
            </w:pPr>
            <w:r w:rsidRPr="00012CA3">
              <w:rPr>
                <w:rFonts w:ascii="Times New Roman" w:hAnsi="Times New Roman"/>
                <w:b/>
                <w:color w:val="171717"/>
                <w:sz w:val="20"/>
                <w:szCs w:val="20"/>
              </w:rPr>
              <w:t>Fondurile asigurării obligatorii de asistență medicală</w:t>
            </w:r>
          </w:p>
        </w:tc>
        <w:tc>
          <w:tcPr>
            <w:tcW w:w="953" w:type="dxa"/>
            <w:gridSpan w:val="2"/>
            <w:tcBorders>
              <w:top w:val="single" w:sz="8" w:space="0" w:color="4BACC6"/>
              <w:bottom w:val="single" w:sz="8" w:space="0" w:color="4BACC6"/>
            </w:tcBorders>
            <w:shd w:val="clear" w:color="auto" w:fill="auto"/>
            <w:vAlign w:val="center"/>
          </w:tcPr>
          <w:p w:rsidR="00C32872" w:rsidRPr="00012CA3" w:rsidRDefault="00C32872" w:rsidP="007E5FF2">
            <w:pPr>
              <w:spacing w:after="0"/>
              <w:ind w:left="-51"/>
              <w:jc w:val="center"/>
            </w:pPr>
            <w:r w:rsidRPr="00012CA3">
              <w:rPr>
                <w:rFonts w:ascii="Times New Roman" w:hAnsi="Times New Roman"/>
                <w:b/>
                <w:color w:val="171717"/>
                <w:sz w:val="20"/>
                <w:szCs w:val="20"/>
              </w:rPr>
              <w:t>Bugetele locale</w:t>
            </w:r>
          </w:p>
        </w:tc>
      </w:tr>
      <w:tr w:rsidR="00C32872" w:rsidRPr="00012CA3" w:rsidTr="00122E74">
        <w:trPr>
          <w:trHeight w:val="427"/>
          <w:jc w:val="center"/>
        </w:trPr>
        <w:tc>
          <w:tcPr>
            <w:tcW w:w="3103" w:type="dxa"/>
            <w:tcBorders>
              <w:top w:val="single" w:sz="8" w:space="0" w:color="4BACC6"/>
              <w:bottom w:val="single" w:sz="8" w:space="0" w:color="4BACC6"/>
            </w:tcBorders>
            <w:shd w:val="clear" w:color="auto" w:fill="auto"/>
            <w:vAlign w:val="center"/>
          </w:tcPr>
          <w:p w:rsidR="00C32872" w:rsidRPr="00012CA3" w:rsidRDefault="00C32872" w:rsidP="007E5FF2">
            <w:pPr>
              <w:tabs>
                <w:tab w:val="left" w:pos="4305"/>
              </w:tabs>
              <w:spacing w:after="0"/>
              <w:jc w:val="both"/>
            </w:pPr>
            <w:r w:rsidRPr="00012CA3">
              <w:rPr>
                <w:rFonts w:ascii="Times New Roman" w:hAnsi="Times New Roman"/>
                <w:b/>
                <w:bCs/>
                <w:color w:val="171717"/>
                <w:sz w:val="20"/>
                <w:szCs w:val="20"/>
              </w:rPr>
              <w:t>Deficit (-)/ Surplus (+)</w:t>
            </w:r>
          </w:p>
        </w:tc>
        <w:tc>
          <w:tcPr>
            <w:tcW w:w="892" w:type="dxa"/>
            <w:tcBorders>
              <w:top w:val="single" w:sz="8" w:space="0" w:color="4BACC6"/>
              <w:bottom w:val="single" w:sz="8" w:space="0" w:color="4BACC6"/>
            </w:tcBorders>
            <w:shd w:val="clear" w:color="auto" w:fill="auto"/>
            <w:vAlign w:val="center"/>
          </w:tcPr>
          <w:p w:rsidR="00C32872" w:rsidRPr="00012CA3" w:rsidRDefault="001375BD" w:rsidP="00F1410F">
            <w:pPr>
              <w:tabs>
                <w:tab w:val="left" w:pos="4305"/>
              </w:tabs>
              <w:spacing w:after="0"/>
              <w:jc w:val="center"/>
            </w:pPr>
            <w:r w:rsidRPr="00012CA3">
              <w:rPr>
                <w:rFonts w:ascii="Times New Roman" w:hAnsi="Times New Roman"/>
                <w:b/>
                <w:sz w:val="20"/>
                <w:szCs w:val="20"/>
              </w:rPr>
              <w:t>-</w:t>
            </w:r>
            <w:r w:rsidR="00C32872" w:rsidRPr="00012CA3">
              <w:rPr>
                <w:rFonts w:ascii="Times New Roman" w:hAnsi="Times New Roman"/>
                <w:b/>
                <w:sz w:val="20"/>
                <w:szCs w:val="20"/>
              </w:rPr>
              <w:t>5</w:t>
            </w:r>
            <w:r w:rsidR="00F1410F" w:rsidRPr="00012CA3">
              <w:rPr>
                <w:rFonts w:ascii="Times New Roman" w:hAnsi="Times New Roman"/>
                <w:b/>
                <w:sz w:val="20"/>
                <w:szCs w:val="20"/>
              </w:rPr>
              <w:t> </w:t>
            </w:r>
            <w:r w:rsidR="006D648F" w:rsidRPr="00012CA3">
              <w:rPr>
                <w:rFonts w:ascii="Times New Roman" w:hAnsi="Times New Roman"/>
                <w:b/>
                <w:sz w:val="20"/>
                <w:szCs w:val="20"/>
              </w:rPr>
              <w:t>7</w:t>
            </w:r>
            <w:r w:rsidR="00F1410F" w:rsidRPr="00012CA3">
              <w:rPr>
                <w:rFonts w:ascii="Times New Roman" w:hAnsi="Times New Roman"/>
                <w:b/>
                <w:sz w:val="20"/>
                <w:szCs w:val="20"/>
              </w:rPr>
              <w:t>60,9</w:t>
            </w:r>
          </w:p>
        </w:tc>
        <w:tc>
          <w:tcPr>
            <w:tcW w:w="1288" w:type="dxa"/>
            <w:tcBorders>
              <w:top w:val="single" w:sz="8" w:space="0" w:color="4BACC6"/>
              <w:bottom w:val="single" w:sz="8" w:space="0" w:color="4BACC6"/>
            </w:tcBorders>
            <w:shd w:val="clear" w:color="auto" w:fill="auto"/>
            <w:vAlign w:val="center"/>
          </w:tcPr>
          <w:p w:rsidR="00C32872" w:rsidRPr="00012CA3" w:rsidRDefault="001375BD" w:rsidP="00F1410F">
            <w:pPr>
              <w:tabs>
                <w:tab w:val="left" w:pos="4305"/>
              </w:tabs>
              <w:spacing w:after="0"/>
              <w:jc w:val="right"/>
            </w:pPr>
            <w:r w:rsidRPr="00012CA3">
              <w:rPr>
                <w:rFonts w:ascii="Times New Roman" w:hAnsi="Times New Roman"/>
                <w:b/>
                <w:sz w:val="20"/>
                <w:szCs w:val="20"/>
              </w:rPr>
              <w:t>-</w:t>
            </w:r>
            <w:r w:rsidR="006D648F" w:rsidRPr="00012CA3">
              <w:rPr>
                <w:rFonts w:ascii="Times New Roman" w:hAnsi="Times New Roman"/>
                <w:b/>
                <w:sz w:val="20"/>
                <w:szCs w:val="20"/>
              </w:rPr>
              <w:t>7</w:t>
            </w:r>
            <w:r w:rsidR="00F1410F" w:rsidRPr="00012CA3">
              <w:rPr>
                <w:rFonts w:ascii="Times New Roman" w:hAnsi="Times New Roman"/>
                <w:b/>
                <w:sz w:val="20"/>
                <w:szCs w:val="20"/>
              </w:rPr>
              <w:t> 609,9</w:t>
            </w:r>
          </w:p>
        </w:tc>
        <w:tc>
          <w:tcPr>
            <w:tcW w:w="1107" w:type="dxa"/>
            <w:tcBorders>
              <w:top w:val="single" w:sz="8" w:space="0" w:color="4BACC6"/>
              <w:bottom w:val="single" w:sz="8" w:space="0" w:color="4BACC6"/>
            </w:tcBorders>
            <w:shd w:val="clear" w:color="auto" w:fill="auto"/>
            <w:vAlign w:val="center"/>
          </w:tcPr>
          <w:p w:rsidR="00C32872" w:rsidRPr="00012CA3" w:rsidRDefault="00C32872" w:rsidP="006D648F">
            <w:pPr>
              <w:tabs>
                <w:tab w:val="left" w:pos="4305"/>
              </w:tabs>
              <w:spacing w:after="0"/>
              <w:jc w:val="right"/>
            </w:pPr>
            <w:r w:rsidRPr="00012CA3">
              <w:rPr>
                <w:rFonts w:ascii="Times New Roman" w:hAnsi="Times New Roman"/>
                <w:b/>
                <w:sz w:val="20"/>
                <w:szCs w:val="20"/>
              </w:rPr>
              <w:t>1</w:t>
            </w:r>
            <w:r w:rsidR="006D648F" w:rsidRPr="00012CA3">
              <w:rPr>
                <w:rFonts w:ascii="Times New Roman" w:hAnsi="Times New Roman"/>
                <w:b/>
                <w:sz w:val="20"/>
                <w:szCs w:val="20"/>
              </w:rPr>
              <w:t> 535,8</w:t>
            </w:r>
          </w:p>
        </w:tc>
        <w:tc>
          <w:tcPr>
            <w:tcW w:w="1599" w:type="dxa"/>
            <w:tcBorders>
              <w:top w:val="single" w:sz="8" w:space="0" w:color="4BACC6"/>
              <w:bottom w:val="single" w:sz="8" w:space="0" w:color="4BACC6"/>
            </w:tcBorders>
            <w:shd w:val="clear" w:color="auto" w:fill="auto"/>
            <w:vAlign w:val="center"/>
          </w:tcPr>
          <w:p w:rsidR="00C32872" w:rsidRPr="00012CA3" w:rsidRDefault="00C32872" w:rsidP="006D648F">
            <w:pPr>
              <w:tabs>
                <w:tab w:val="left" w:pos="4305"/>
              </w:tabs>
              <w:spacing w:after="0"/>
              <w:jc w:val="right"/>
            </w:pPr>
            <w:r w:rsidRPr="00012CA3">
              <w:rPr>
                <w:rFonts w:ascii="Times New Roman" w:hAnsi="Times New Roman"/>
                <w:b/>
                <w:sz w:val="20"/>
                <w:szCs w:val="20"/>
              </w:rPr>
              <w:t>-1</w:t>
            </w:r>
            <w:r w:rsidR="006D648F" w:rsidRPr="00012CA3">
              <w:rPr>
                <w:rFonts w:ascii="Times New Roman" w:hAnsi="Times New Roman"/>
                <w:b/>
                <w:sz w:val="20"/>
                <w:szCs w:val="20"/>
              </w:rPr>
              <w:t> 442,7</w:t>
            </w:r>
          </w:p>
        </w:tc>
        <w:tc>
          <w:tcPr>
            <w:tcW w:w="1030" w:type="dxa"/>
            <w:gridSpan w:val="3"/>
            <w:tcBorders>
              <w:top w:val="single" w:sz="8" w:space="0" w:color="4BACC6"/>
              <w:bottom w:val="single" w:sz="8" w:space="0" w:color="4BACC6"/>
            </w:tcBorders>
            <w:shd w:val="clear" w:color="auto" w:fill="auto"/>
            <w:vAlign w:val="center"/>
          </w:tcPr>
          <w:p w:rsidR="00C32872" w:rsidRPr="00012CA3" w:rsidRDefault="00C32872" w:rsidP="006D648F">
            <w:pPr>
              <w:tabs>
                <w:tab w:val="left" w:pos="4305"/>
              </w:tabs>
              <w:spacing w:after="0"/>
              <w:jc w:val="right"/>
            </w:pPr>
            <w:r w:rsidRPr="00012CA3">
              <w:rPr>
                <w:rFonts w:ascii="Times New Roman" w:hAnsi="Times New Roman"/>
                <w:b/>
                <w:sz w:val="20"/>
                <w:szCs w:val="20"/>
              </w:rPr>
              <w:t>1</w:t>
            </w:r>
            <w:r w:rsidR="006D648F" w:rsidRPr="00012CA3">
              <w:rPr>
                <w:rFonts w:ascii="Times New Roman" w:hAnsi="Times New Roman"/>
                <w:b/>
                <w:sz w:val="20"/>
                <w:szCs w:val="20"/>
              </w:rPr>
              <w:t> 755,9</w:t>
            </w:r>
          </w:p>
        </w:tc>
      </w:tr>
      <w:tr w:rsidR="00C32872" w:rsidRPr="00012CA3" w:rsidTr="00122E74">
        <w:trPr>
          <w:trHeight w:val="231"/>
          <w:jc w:val="center"/>
        </w:trPr>
        <w:tc>
          <w:tcPr>
            <w:tcW w:w="3103" w:type="dxa"/>
            <w:tcBorders>
              <w:top w:val="single" w:sz="8" w:space="0" w:color="4BACC6"/>
            </w:tcBorders>
            <w:shd w:val="clear" w:color="auto" w:fill="auto"/>
            <w:vAlign w:val="center"/>
          </w:tcPr>
          <w:p w:rsidR="00C32872" w:rsidRPr="00012CA3" w:rsidRDefault="00C32872" w:rsidP="007E5FF2">
            <w:pPr>
              <w:tabs>
                <w:tab w:val="left" w:pos="4305"/>
              </w:tabs>
              <w:spacing w:after="0"/>
              <w:jc w:val="both"/>
            </w:pPr>
            <w:r w:rsidRPr="00012CA3">
              <w:rPr>
                <w:rFonts w:ascii="Times New Roman" w:hAnsi="Times New Roman"/>
                <w:b/>
                <w:bCs/>
                <w:color w:val="171717"/>
                <w:sz w:val="20"/>
                <w:szCs w:val="20"/>
              </w:rPr>
              <w:t>Surse de finanțare, total</w:t>
            </w:r>
          </w:p>
        </w:tc>
        <w:tc>
          <w:tcPr>
            <w:tcW w:w="892" w:type="dxa"/>
            <w:tcBorders>
              <w:top w:val="single" w:sz="8" w:space="0" w:color="4BACC6"/>
            </w:tcBorders>
            <w:shd w:val="clear" w:color="auto" w:fill="auto"/>
            <w:vAlign w:val="center"/>
          </w:tcPr>
          <w:p w:rsidR="00C32872" w:rsidRPr="00012CA3" w:rsidRDefault="00C32872" w:rsidP="00B914ED">
            <w:pPr>
              <w:tabs>
                <w:tab w:val="left" w:pos="4305"/>
              </w:tabs>
              <w:spacing w:after="0"/>
              <w:jc w:val="right"/>
            </w:pPr>
            <w:r w:rsidRPr="00012CA3">
              <w:rPr>
                <w:rFonts w:ascii="Times New Roman" w:hAnsi="Times New Roman"/>
                <w:b/>
                <w:sz w:val="20"/>
                <w:szCs w:val="20"/>
              </w:rPr>
              <w:t>5</w:t>
            </w:r>
            <w:r w:rsidR="00B914ED" w:rsidRPr="00012CA3">
              <w:rPr>
                <w:rFonts w:ascii="Times New Roman" w:hAnsi="Times New Roman"/>
                <w:b/>
                <w:sz w:val="20"/>
                <w:szCs w:val="20"/>
              </w:rPr>
              <w:t> 760,9</w:t>
            </w:r>
          </w:p>
        </w:tc>
        <w:tc>
          <w:tcPr>
            <w:tcW w:w="1288" w:type="dxa"/>
            <w:tcBorders>
              <w:top w:val="single" w:sz="8" w:space="0" w:color="4BACC6"/>
            </w:tcBorders>
            <w:shd w:val="clear" w:color="auto" w:fill="auto"/>
            <w:vAlign w:val="center"/>
          </w:tcPr>
          <w:p w:rsidR="00C32872" w:rsidRPr="00012CA3" w:rsidRDefault="006D648F" w:rsidP="00B914ED">
            <w:pPr>
              <w:tabs>
                <w:tab w:val="left" w:pos="4305"/>
              </w:tabs>
              <w:spacing w:after="0"/>
              <w:jc w:val="right"/>
            </w:pPr>
            <w:r w:rsidRPr="00012CA3">
              <w:rPr>
                <w:rFonts w:ascii="Times New Roman" w:hAnsi="Times New Roman"/>
                <w:b/>
                <w:sz w:val="20"/>
                <w:szCs w:val="20"/>
              </w:rPr>
              <w:t>7</w:t>
            </w:r>
            <w:r w:rsidR="00B914ED" w:rsidRPr="00012CA3">
              <w:rPr>
                <w:rFonts w:ascii="Times New Roman" w:hAnsi="Times New Roman"/>
                <w:b/>
                <w:sz w:val="20"/>
                <w:szCs w:val="20"/>
              </w:rPr>
              <w:t> 609,9</w:t>
            </w:r>
          </w:p>
        </w:tc>
        <w:tc>
          <w:tcPr>
            <w:tcW w:w="1107" w:type="dxa"/>
            <w:tcBorders>
              <w:top w:val="single" w:sz="8" w:space="0" w:color="4BACC6"/>
            </w:tcBorders>
            <w:shd w:val="clear" w:color="auto" w:fill="auto"/>
            <w:vAlign w:val="center"/>
          </w:tcPr>
          <w:p w:rsidR="00C32872" w:rsidRPr="00012CA3" w:rsidRDefault="00C32872" w:rsidP="006D648F">
            <w:pPr>
              <w:tabs>
                <w:tab w:val="left" w:pos="4305"/>
              </w:tabs>
              <w:spacing w:after="0"/>
              <w:jc w:val="right"/>
            </w:pPr>
            <w:r w:rsidRPr="00012CA3">
              <w:rPr>
                <w:rFonts w:ascii="Times New Roman" w:hAnsi="Times New Roman"/>
                <w:b/>
                <w:sz w:val="20"/>
                <w:szCs w:val="20"/>
              </w:rPr>
              <w:t>-1</w:t>
            </w:r>
            <w:r w:rsidR="006D648F" w:rsidRPr="00012CA3">
              <w:rPr>
                <w:rFonts w:ascii="Times New Roman" w:hAnsi="Times New Roman"/>
                <w:b/>
                <w:sz w:val="20"/>
                <w:szCs w:val="20"/>
              </w:rPr>
              <w:t> 535,8</w:t>
            </w:r>
          </w:p>
        </w:tc>
        <w:tc>
          <w:tcPr>
            <w:tcW w:w="1599" w:type="dxa"/>
            <w:tcBorders>
              <w:top w:val="single" w:sz="8" w:space="0" w:color="4BACC6"/>
            </w:tcBorders>
            <w:shd w:val="clear" w:color="auto" w:fill="auto"/>
            <w:vAlign w:val="center"/>
          </w:tcPr>
          <w:p w:rsidR="00C32872" w:rsidRPr="00012CA3" w:rsidRDefault="00C32872" w:rsidP="006D648F">
            <w:pPr>
              <w:tabs>
                <w:tab w:val="left" w:pos="4305"/>
              </w:tabs>
              <w:spacing w:after="0"/>
              <w:jc w:val="right"/>
            </w:pPr>
            <w:r w:rsidRPr="00012CA3">
              <w:rPr>
                <w:rFonts w:ascii="Times New Roman" w:hAnsi="Times New Roman"/>
                <w:b/>
                <w:sz w:val="20"/>
                <w:szCs w:val="20"/>
              </w:rPr>
              <w:t>1</w:t>
            </w:r>
            <w:r w:rsidR="006D648F" w:rsidRPr="00012CA3">
              <w:rPr>
                <w:rFonts w:ascii="Times New Roman" w:hAnsi="Times New Roman"/>
                <w:b/>
                <w:sz w:val="20"/>
                <w:szCs w:val="20"/>
              </w:rPr>
              <w:t> 442,7</w:t>
            </w:r>
          </w:p>
        </w:tc>
        <w:tc>
          <w:tcPr>
            <w:tcW w:w="1030" w:type="dxa"/>
            <w:gridSpan w:val="3"/>
            <w:tcBorders>
              <w:top w:val="single" w:sz="8" w:space="0" w:color="4BACC6"/>
            </w:tcBorders>
            <w:shd w:val="clear" w:color="auto" w:fill="auto"/>
            <w:vAlign w:val="bottom"/>
          </w:tcPr>
          <w:p w:rsidR="00C32872" w:rsidRPr="00012CA3" w:rsidRDefault="00C32872" w:rsidP="006D648F">
            <w:pPr>
              <w:tabs>
                <w:tab w:val="left" w:pos="4305"/>
              </w:tabs>
              <w:spacing w:after="0"/>
              <w:jc w:val="right"/>
            </w:pPr>
            <w:r w:rsidRPr="00012CA3">
              <w:rPr>
                <w:rFonts w:ascii="Times New Roman" w:hAnsi="Times New Roman"/>
                <w:b/>
                <w:sz w:val="20"/>
                <w:szCs w:val="20"/>
              </w:rPr>
              <w:t>-1</w:t>
            </w:r>
            <w:r w:rsidR="006D648F" w:rsidRPr="00012CA3">
              <w:rPr>
                <w:rFonts w:ascii="Times New Roman" w:hAnsi="Times New Roman"/>
                <w:b/>
                <w:sz w:val="20"/>
                <w:szCs w:val="20"/>
              </w:rPr>
              <w:t> 755,9</w:t>
            </w:r>
          </w:p>
        </w:tc>
      </w:tr>
      <w:tr w:rsidR="00C32872" w:rsidRPr="00012CA3" w:rsidTr="00122E74">
        <w:trPr>
          <w:trHeight w:val="231"/>
          <w:jc w:val="center"/>
        </w:trPr>
        <w:tc>
          <w:tcPr>
            <w:tcW w:w="3103" w:type="dxa"/>
            <w:shd w:val="clear" w:color="auto" w:fill="auto"/>
            <w:vAlign w:val="center"/>
          </w:tcPr>
          <w:p w:rsidR="00C32872" w:rsidRPr="00012CA3" w:rsidRDefault="00C32872" w:rsidP="007E5FF2">
            <w:pPr>
              <w:tabs>
                <w:tab w:val="left" w:pos="4305"/>
              </w:tabs>
              <w:spacing w:after="0"/>
              <w:jc w:val="both"/>
            </w:pPr>
            <w:r w:rsidRPr="00012CA3">
              <w:rPr>
                <w:rFonts w:ascii="Times New Roman" w:hAnsi="Times New Roman"/>
                <w:bCs/>
                <w:i/>
                <w:sz w:val="20"/>
                <w:szCs w:val="20"/>
              </w:rPr>
              <w:t>1. Surse interne</w:t>
            </w:r>
          </w:p>
        </w:tc>
        <w:tc>
          <w:tcPr>
            <w:tcW w:w="892" w:type="dxa"/>
            <w:shd w:val="clear" w:color="auto" w:fill="auto"/>
            <w:vAlign w:val="center"/>
          </w:tcPr>
          <w:p w:rsidR="00C32872" w:rsidRPr="00012CA3" w:rsidRDefault="0053278F" w:rsidP="00611218">
            <w:pPr>
              <w:spacing w:after="0"/>
              <w:ind w:left="-108"/>
              <w:jc w:val="right"/>
            </w:pPr>
            <w:r w:rsidRPr="00012CA3">
              <w:rPr>
                <w:rFonts w:ascii="Times New Roman" w:hAnsi="Times New Roman"/>
                <w:sz w:val="20"/>
                <w:szCs w:val="20"/>
              </w:rPr>
              <w:t>1</w:t>
            </w:r>
            <w:r w:rsidR="004A353A">
              <w:rPr>
                <w:rFonts w:ascii="Times New Roman" w:hAnsi="Times New Roman"/>
                <w:sz w:val="20"/>
                <w:szCs w:val="20"/>
              </w:rPr>
              <w:t>0</w:t>
            </w:r>
            <w:r w:rsidR="00611218">
              <w:rPr>
                <w:rFonts w:ascii="Times New Roman" w:hAnsi="Times New Roman"/>
                <w:sz w:val="20"/>
                <w:szCs w:val="20"/>
              </w:rPr>
              <w:t> </w:t>
            </w:r>
            <w:r w:rsidR="004A353A">
              <w:rPr>
                <w:rFonts w:ascii="Times New Roman" w:hAnsi="Times New Roman"/>
                <w:sz w:val="20"/>
                <w:szCs w:val="20"/>
              </w:rPr>
              <w:t>126</w:t>
            </w:r>
            <w:r w:rsidR="00611218">
              <w:rPr>
                <w:rFonts w:ascii="Times New Roman" w:hAnsi="Times New Roman"/>
                <w:sz w:val="20"/>
                <w:szCs w:val="20"/>
              </w:rPr>
              <w:t>,</w:t>
            </w:r>
            <w:r w:rsidR="004A353A">
              <w:rPr>
                <w:rFonts w:ascii="Times New Roman" w:hAnsi="Times New Roman"/>
                <w:sz w:val="20"/>
                <w:szCs w:val="20"/>
              </w:rPr>
              <w:t>2</w:t>
            </w:r>
          </w:p>
        </w:tc>
        <w:tc>
          <w:tcPr>
            <w:tcW w:w="1288" w:type="dxa"/>
            <w:shd w:val="clear" w:color="auto" w:fill="auto"/>
            <w:vAlign w:val="center"/>
          </w:tcPr>
          <w:p w:rsidR="00C32872" w:rsidRPr="00012CA3" w:rsidRDefault="0053278F" w:rsidP="003C65D5">
            <w:pPr>
              <w:spacing w:after="0"/>
              <w:ind w:right="-44"/>
              <w:jc w:val="right"/>
            </w:pPr>
            <w:r w:rsidRPr="00012CA3">
              <w:rPr>
                <w:rFonts w:ascii="Times New Roman" w:hAnsi="Times New Roman"/>
                <w:sz w:val="20"/>
                <w:szCs w:val="20"/>
              </w:rPr>
              <w:t>1</w:t>
            </w:r>
            <w:r w:rsidR="00EB0A8C">
              <w:rPr>
                <w:rFonts w:ascii="Times New Roman" w:hAnsi="Times New Roman"/>
                <w:sz w:val="20"/>
                <w:szCs w:val="20"/>
              </w:rPr>
              <w:t>0</w:t>
            </w:r>
            <w:r w:rsidR="003C65D5">
              <w:rPr>
                <w:rFonts w:ascii="Times New Roman" w:hAnsi="Times New Roman"/>
                <w:sz w:val="20"/>
                <w:szCs w:val="20"/>
              </w:rPr>
              <w:t> </w:t>
            </w:r>
            <w:r w:rsidR="00EB0A8C">
              <w:rPr>
                <w:rFonts w:ascii="Times New Roman" w:hAnsi="Times New Roman"/>
                <w:sz w:val="20"/>
                <w:szCs w:val="20"/>
              </w:rPr>
              <w:t>383</w:t>
            </w:r>
            <w:r w:rsidR="003C65D5">
              <w:rPr>
                <w:rFonts w:ascii="Times New Roman" w:hAnsi="Times New Roman"/>
                <w:sz w:val="20"/>
                <w:szCs w:val="20"/>
              </w:rPr>
              <w:t>,</w:t>
            </w:r>
            <w:r w:rsidR="00EB0A8C">
              <w:rPr>
                <w:rFonts w:ascii="Times New Roman" w:hAnsi="Times New Roman"/>
                <w:sz w:val="20"/>
                <w:szCs w:val="20"/>
              </w:rPr>
              <w:t>2</w:t>
            </w:r>
          </w:p>
        </w:tc>
        <w:tc>
          <w:tcPr>
            <w:tcW w:w="1107" w:type="dxa"/>
            <w:shd w:val="clear" w:color="auto" w:fill="auto"/>
            <w:vAlign w:val="center"/>
          </w:tcPr>
          <w:p w:rsidR="00C32872" w:rsidRPr="00012CA3" w:rsidRDefault="00C32872" w:rsidP="00122E74">
            <w:pPr>
              <w:spacing w:after="0"/>
              <w:jc w:val="right"/>
            </w:pPr>
            <w:r w:rsidRPr="00012CA3">
              <w:rPr>
                <w:rFonts w:ascii="Times New Roman" w:hAnsi="Times New Roman"/>
                <w:sz w:val="20"/>
                <w:szCs w:val="20"/>
              </w:rPr>
              <w:t>-</w:t>
            </w:r>
            <w:r w:rsidR="00122E74" w:rsidRPr="00012CA3">
              <w:rPr>
                <w:rFonts w:ascii="Times New Roman" w:hAnsi="Times New Roman"/>
                <w:sz w:val="20"/>
                <w:szCs w:val="20"/>
              </w:rPr>
              <w:t>124,1</w:t>
            </w:r>
          </w:p>
        </w:tc>
        <w:tc>
          <w:tcPr>
            <w:tcW w:w="1599" w:type="dxa"/>
            <w:shd w:val="clear" w:color="auto" w:fill="auto"/>
            <w:vAlign w:val="center"/>
          </w:tcPr>
          <w:p w:rsidR="00C32872" w:rsidRPr="00012CA3" w:rsidRDefault="00C32872" w:rsidP="007E5FF2">
            <w:pPr>
              <w:tabs>
                <w:tab w:val="left" w:pos="465"/>
              </w:tabs>
              <w:snapToGrid w:val="0"/>
              <w:spacing w:after="0"/>
              <w:jc w:val="right"/>
              <w:rPr>
                <w:rFonts w:ascii="Times New Roman" w:hAnsi="Times New Roman"/>
                <w:color w:val="FF0000"/>
                <w:sz w:val="20"/>
                <w:szCs w:val="20"/>
              </w:rPr>
            </w:pPr>
          </w:p>
        </w:tc>
        <w:tc>
          <w:tcPr>
            <w:tcW w:w="1030" w:type="dxa"/>
            <w:gridSpan w:val="3"/>
            <w:shd w:val="clear" w:color="auto" w:fill="auto"/>
            <w:vAlign w:val="center"/>
          </w:tcPr>
          <w:p w:rsidR="00C32872" w:rsidRPr="00012CA3" w:rsidRDefault="00C32872" w:rsidP="006508A7">
            <w:pPr>
              <w:tabs>
                <w:tab w:val="left" w:pos="465"/>
                <w:tab w:val="left" w:pos="793"/>
              </w:tabs>
              <w:spacing w:after="0"/>
              <w:jc w:val="right"/>
            </w:pPr>
            <w:r w:rsidRPr="00012CA3">
              <w:rPr>
                <w:rFonts w:ascii="Times New Roman" w:hAnsi="Times New Roman"/>
                <w:sz w:val="20"/>
                <w:szCs w:val="20"/>
              </w:rPr>
              <w:t>-</w:t>
            </w:r>
            <w:r w:rsidR="0053278F" w:rsidRPr="00012CA3">
              <w:rPr>
                <w:rFonts w:ascii="Times New Roman" w:hAnsi="Times New Roman"/>
                <w:sz w:val="20"/>
                <w:szCs w:val="20"/>
              </w:rPr>
              <w:t>1</w:t>
            </w:r>
            <w:r w:rsidR="003C65D5">
              <w:rPr>
                <w:rFonts w:ascii="Times New Roman" w:hAnsi="Times New Roman"/>
                <w:sz w:val="20"/>
                <w:szCs w:val="20"/>
              </w:rPr>
              <w:t>3</w:t>
            </w:r>
            <w:r w:rsidR="006508A7">
              <w:rPr>
                <w:rFonts w:ascii="Times New Roman" w:hAnsi="Times New Roman"/>
                <w:sz w:val="20"/>
                <w:szCs w:val="20"/>
              </w:rPr>
              <w:t>2</w:t>
            </w:r>
            <w:r w:rsidR="003C65D5">
              <w:rPr>
                <w:rFonts w:ascii="Times New Roman" w:hAnsi="Times New Roman"/>
                <w:sz w:val="20"/>
                <w:szCs w:val="20"/>
              </w:rPr>
              <w:t>,</w:t>
            </w:r>
            <w:r w:rsidR="00573EAD">
              <w:rPr>
                <w:rFonts w:ascii="Times New Roman" w:hAnsi="Times New Roman"/>
                <w:sz w:val="20"/>
                <w:szCs w:val="20"/>
              </w:rPr>
              <w:t>9</w:t>
            </w:r>
          </w:p>
        </w:tc>
      </w:tr>
      <w:tr w:rsidR="00C32872" w:rsidRPr="00012CA3" w:rsidTr="00122E74">
        <w:trPr>
          <w:trHeight w:val="231"/>
          <w:jc w:val="center"/>
        </w:trPr>
        <w:tc>
          <w:tcPr>
            <w:tcW w:w="3103" w:type="dxa"/>
            <w:shd w:val="clear" w:color="auto" w:fill="auto"/>
            <w:vAlign w:val="center"/>
          </w:tcPr>
          <w:p w:rsidR="00C32872" w:rsidRPr="00012CA3" w:rsidRDefault="00C32872" w:rsidP="007E5FF2">
            <w:pPr>
              <w:tabs>
                <w:tab w:val="left" w:pos="4305"/>
              </w:tabs>
              <w:spacing w:after="0"/>
              <w:jc w:val="both"/>
            </w:pPr>
            <w:r w:rsidRPr="00012CA3">
              <w:rPr>
                <w:rFonts w:ascii="Times New Roman" w:hAnsi="Times New Roman"/>
                <w:bCs/>
                <w:i/>
                <w:sz w:val="20"/>
                <w:szCs w:val="20"/>
              </w:rPr>
              <w:t>2. Surse externe</w:t>
            </w:r>
          </w:p>
        </w:tc>
        <w:tc>
          <w:tcPr>
            <w:tcW w:w="892" w:type="dxa"/>
            <w:shd w:val="clear" w:color="auto" w:fill="auto"/>
            <w:vAlign w:val="center"/>
          </w:tcPr>
          <w:p w:rsidR="00C32872" w:rsidRPr="00012CA3" w:rsidRDefault="00765A61" w:rsidP="00611218">
            <w:pPr>
              <w:spacing w:after="0"/>
              <w:ind w:left="-108"/>
              <w:jc w:val="right"/>
              <w:rPr>
                <w:rFonts w:ascii="Times New Roman" w:hAnsi="Times New Roman"/>
                <w:sz w:val="20"/>
                <w:szCs w:val="20"/>
              </w:rPr>
            </w:pPr>
            <w:r w:rsidRPr="00012CA3">
              <w:rPr>
                <w:rFonts w:ascii="Times New Roman" w:hAnsi="Times New Roman"/>
                <w:sz w:val="20"/>
                <w:szCs w:val="20"/>
              </w:rPr>
              <w:t>1</w:t>
            </w:r>
            <w:r w:rsidR="00611218">
              <w:rPr>
                <w:rFonts w:ascii="Times New Roman" w:hAnsi="Times New Roman"/>
                <w:sz w:val="20"/>
                <w:szCs w:val="20"/>
              </w:rPr>
              <w:t> </w:t>
            </w:r>
            <w:r w:rsidR="004A353A">
              <w:rPr>
                <w:rFonts w:ascii="Times New Roman" w:hAnsi="Times New Roman"/>
                <w:sz w:val="20"/>
                <w:szCs w:val="20"/>
              </w:rPr>
              <w:t>809</w:t>
            </w:r>
            <w:r w:rsidR="00611218">
              <w:rPr>
                <w:rFonts w:ascii="Times New Roman" w:hAnsi="Times New Roman"/>
                <w:sz w:val="20"/>
                <w:szCs w:val="20"/>
              </w:rPr>
              <w:t>,</w:t>
            </w:r>
            <w:r w:rsidR="004A353A">
              <w:rPr>
                <w:rFonts w:ascii="Times New Roman" w:hAnsi="Times New Roman"/>
                <w:sz w:val="20"/>
                <w:szCs w:val="20"/>
              </w:rPr>
              <w:t>9</w:t>
            </w:r>
          </w:p>
        </w:tc>
        <w:tc>
          <w:tcPr>
            <w:tcW w:w="1288" w:type="dxa"/>
            <w:shd w:val="clear" w:color="auto" w:fill="auto"/>
            <w:vAlign w:val="center"/>
          </w:tcPr>
          <w:p w:rsidR="00C32872" w:rsidRPr="00012CA3" w:rsidRDefault="00765A61" w:rsidP="003C65D5">
            <w:pPr>
              <w:spacing w:after="0"/>
              <w:ind w:right="-44"/>
              <w:jc w:val="right"/>
              <w:rPr>
                <w:rFonts w:ascii="Times New Roman" w:hAnsi="Times New Roman"/>
                <w:sz w:val="20"/>
                <w:szCs w:val="20"/>
              </w:rPr>
            </w:pPr>
            <w:r w:rsidRPr="00012CA3">
              <w:rPr>
                <w:rFonts w:ascii="Times New Roman" w:hAnsi="Times New Roman"/>
                <w:sz w:val="20"/>
                <w:szCs w:val="20"/>
              </w:rPr>
              <w:t>1</w:t>
            </w:r>
            <w:r w:rsidR="003C65D5">
              <w:rPr>
                <w:rFonts w:ascii="Times New Roman" w:hAnsi="Times New Roman"/>
                <w:sz w:val="20"/>
                <w:szCs w:val="20"/>
              </w:rPr>
              <w:t> </w:t>
            </w:r>
            <w:r w:rsidR="00EB0A8C">
              <w:rPr>
                <w:rFonts w:ascii="Times New Roman" w:hAnsi="Times New Roman"/>
                <w:sz w:val="20"/>
                <w:szCs w:val="20"/>
              </w:rPr>
              <w:t>874</w:t>
            </w:r>
            <w:r w:rsidR="003C65D5">
              <w:rPr>
                <w:rFonts w:ascii="Times New Roman" w:hAnsi="Times New Roman"/>
                <w:sz w:val="20"/>
                <w:szCs w:val="20"/>
              </w:rPr>
              <w:t>,</w:t>
            </w:r>
            <w:r w:rsidR="00EB0A8C">
              <w:rPr>
                <w:rFonts w:ascii="Times New Roman" w:hAnsi="Times New Roman"/>
                <w:sz w:val="20"/>
                <w:szCs w:val="20"/>
              </w:rPr>
              <w:t>9</w:t>
            </w:r>
          </w:p>
        </w:tc>
        <w:tc>
          <w:tcPr>
            <w:tcW w:w="1107" w:type="dxa"/>
            <w:shd w:val="clear" w:color="auto" w:fill="auto"/>
            <w:vAlign w:val="center"/>
          </w:tcPr>
          <w:p w:rsidR="00C32872" w:rsidRPr="00012CA3" w:rsidRDefault="00C32872" w:rsidP="007E5FF2">
            <w:pPr>
              <w:snapToGrid w:val="0"/>
              <w:spacing w:after="0"/>
              <w:jc w:val="right"/>
              <w:rPr>
                <w:rFonts w:ascii="Times New Roman" w:hAnsi="Times New Roman"/>
                <w:sz w:val="20"/>
                <w:szCs w:val="20"/>
              </w:rPr>
            </w:pPr>
          </w:p>
        </w:tc>
        <w:tc>
          <w:tcPr>
            <w:tcW w:w="1599" w:type="dxa"/>
            <w:shd w:val="clear" w:color="auto" w:fill="auto"/>
            <w:vAlign w:val="center"/>
          </w:tcPr>
          <w:p w:rsidR="00C32872" w:rsidRPr="00012CA3" w:rsidRDefault="00C32872" w:rsidP="007E5FF2">
            <w:pPr>
              <w:snapToGrid w:val="0"/>
              <w:spacing w:after="0"/>
              <w:jc w:val="right"/>
              <w:rPr>
                <w:rFonts w:ascii="Times New Roman" w:hAnsi="Times New Roman"/>
                <w:sz w:val="20"/>
                <w:szCs w:val="20"/>
              </w:rPr>
            </w:pPr>
          </w:p>
        </w:tc>
        <w:tc>
          <w:tcPr>
            <w:tcW w:w="1030" w:type="dxa"/>
            <w:gridSpan w:val="3"/>
            <w:shd w:val="clear" w:color="auto" w:fill="auto"/>
            <w:vAlign w:val="center"/>
          </w:tcPr>
          <w:p w:rsidR="00C32872" w:rsidRPr="00012CA3" w:rsidRDefault="00C32872" w:rsidP="00765A61">
            <w:pPr>
              <w:tabs>
                <w:tab w:val="left" w:pos="793"/>
              </w:tabs>
              <w:spacing w:after="0"/>
              <w:jc w:val="right"/>
            </w:pPr>
            <w:r w:rsidRPr="00012CA3">
              <w:rPr>
                <w:rFonts w:ascii="Times New Roman" w:hAnsi="Times New Roman"/>
                <w:sz w:val="20"/>
                <w:szCs w:val="20"/>
              </w:rPr>
              <w:t>-</w:t>
            </w:r>
            <w:r w:rsidR="00765A61" w:rsidRPr="00012CA3">
              <w:rPr>
                <w:rFonts w:ascii="Times New Roman" w:hAnsi="Times New Roman"/>
                <w:sz w:val="20"/>
                <w:szCs w:val="20"/>
              </w:rPr>
              <w:t>65,0</w:t>
            </w:r>
          </w:p>
        </w:tc>
      </w:tr>
      <w:tr w:rsidR="00C32872" w:rsidRPr="00012CA3" w:rsidTr="00122E74">
        <w:trPr>
          <w:trHeight w:val="883"/>
          <w:jc w:val="center"/>
        </w:trPr>
        <w:tc>
          <w:tcPr>
            <w:tcW w:w="3103" w:type="dxa"/>
            <w:tcBorders>
              <w:bottom w:val="single" w:sz="4" w:space="0" w:color="548DD4"/>
            </w:tcBorders>
            <w:shd w:val="clear" w:color="auto" w:fill="auto"/>
            <w:vAlign w:val="center"/>
          </w:tcPr>
          <w:p w:rsidR="00C32872" w:rsidRPr="00012CA3" w:rsidRDefault="00C32872" w:rsidP="007E5FF2">
            <w:pPr>
              <w:tabs>
                <w:tab w:val="left" w:pos="4305"/>
              </w:tabs>
              <w:spacing w:after="0"/>
              <w:jc w:val="both"/>
            </w:pPr>
            <w:r w:rsidRPr="00012CA3">
              <w:rPr>
                <w:rFonts w:ascii="Times New Roman" w:hAnsi="Times New Roman"/>
                <w:bCs/>
                <w:i/>
                <w:color w:val="171717"/>
                <w:sz w:val="20"/>
                <w:szCs w:val="20"/>
              </w:rPr>
              <w:t>3. Modificarea soldurilor la conturi</w:t>
            </w:r>
          </w:p>
          <w:p w:rsidR="00C32872" w:rsidRPr="00012CA3" w:rsidRDefault="00C32872" w:rsidP="007E5FF2">
            <w:pPr>
              <w:tabs>
                <w:tab w:val="left" w:pos="4305"/>
              </w:tabs>
              <w:spacing w:after="0"/>
              <w:jc w:val="both"/>
            </w:pPr>
            <w:r w:rsidRPr="00012CA3">
              <w:rPr>
                <w:rFonts w:ascii="Times New Roman" w:hAnsi="Times New Roman"/>
                <w:bCs/>
                <w:i/>
                <w:color w:val="171717"/>
                <w:sz w:val="20"/>
                <w:szCs w:val="20"/>
              </w:rPr>
              <w:t>(majorarea (-), micșorarea (+))</w:t>
            </w:r>
          </w:p>
        </w:tc>
        <w:tc>
          <w:tcPr>
            <w:tcW w:w="892" w:type="dxa"/>
            <w:tcBorders>
              <w:bottom w:val="single" w:sz="4" w:space="0" w:color="548DD4"/>
            </w:tcBorders>
            <w:shd w:val="clear" w:color="auto" w:fill="auto"/>
            <w:vAlign w:val="center"/>
          </w:tcPr>
          <w:p w:rsidR="00C32872" w:rsidRPr="00012CA3" w:rsidRDefault="00C32872" w:rsidP="005B3BC6">
            <w:pPr>
              <w:spacing w:after="0"/>
              <w:ind w:left="-108"/>
              <w:jc w:val="right"/>
            </w:pPr>
            <w:r w:rsidRPr="00012CA3">
              <w:rPr>
                <w:rFonts w:ascii="Times New Roman" w:hAnsi="Times New Roman"/>
                <w:sz w:val="20"/>
                <w:szCs w:val="20"/>
              </w:rPr>
              <w:t>-</w:t>
            </w:r>
            <w:r w:rsidR="005B3BC6" w:rsidRPr="00012CA3">
              <w:rPr>
                <w:rFonts w:ascii="Times New Roman" w:hAnsi="Times New Roman"/>
                <w:sz w:val="20"/>
                <w:szCs w:val="20"/>
              </w:rPr>
              <w:t>6 175,2</w:t>
            </w:r>
          </w:p>
        </w:tc>
        <w:tc>
          <w:tcPr>
            <w:tcW w:w="1288" w:type="dxa"/>
            <w:tcBorders>
              <w:bottom w:val="single" w:sz="4" w:space="0" w:color="548DD4"/>
            </w:tcBorders>
            <w:shd w:val="clear" w:color="auto" w:fill="auto"/>
            <w:vAlign w:val="center"/>
          </w:tcPr>
          <w:p w:rsidR="00C32872" w:rsidRPr="00012CA3" w:rsidRDefault="00C32872" w:rsidP="005B3BC6">
            <w:pPr>
              <w:spacing w:after="0"/>
              <w:ind w:right="-44"/>
              <w:jc w:val="right"/>
            </w:pPr>
            <w:r w:rsidRPr="00012CA3">
              <w:rPr>
                <w:rFonts w:ascii="Times New Roman" w:hAnsi="Times New Roman"/>
                <w:sz w:val="20"/>
                <w:szCs w:val="20"/>
              </w:rPr>
              <w:t>-</w:t>
            </w:r>
            <w:r w:rsidR="005B3BC6" w:rsidRPr="00012CA3">
              <w:rPr>
                <w:rFonts w:ascii="Times New Roman" w:hAnsi="Times New Roman"/>
                <w:sz w:val="20"/>
                <w:szCs w:val="20"/>
              </w:rPr>
              <w:t>4 648,2</w:t>
            </w:r>
          </w:p>
        </w:tc>
        <w:tc>
          <w:tcPr>
            <w:tcW w:w="1107" w:type="dxa"/>
            <w:tcBorders>
              <w:bottom w:val="single" w:sz="4" w:space="0" w:color="548DD4"/>
            </w:tcBorders>
            <w:shd w:val="clear" w:color="auto" w:fill="auto"/>
            <w:vAlign w:val="center"/>
          </w:tcPr>
          <w:p w:rsidR="00C32872" w:rsidRPr="00012CA3" w:rsidRDefault="00C32872" w:rsidP="009415BA">
            <w:pPr>
              <w:spacing w:after="0"/>
              <w:jc w:val="right"/>
            </w:pPr>
            <w:r w:rsidRPr="00012CA3">
              <w:rPr>
                <w:rFonts w:ascii="Times New Roman" w:hAnsi="Times New Roman"/>
                <w:sz w:val="20"/>
                <w:szCs w:val="20"/>
              </w:rPr>
              <w:t>-1</w:t>
            </w:r>
            <w:r w:rsidR="009415BA" w:rsidRPr="00012CA3">
              <w:rPr>
                <w:rFonts w:ascii="Times New Roman" w:hAnsi="Times New Roman"/>
                <w:sz w:val="20"/>
                <w:szCs w:val="20"/>
              </w:rPr>
              <w:t> 411,7</w:t>
            </w:r>
          </w:p>
        </w:tc>
        <w:tc>
          <w:tcPr>
            <w:tcW w:w="1599" w:type="dxa"/>
            <w:tcBorders>
              <w:bottom w:val="single" w:sz="4" w:space="0" w:color="548DD4"/>
            </w:tcBorders>
            <w:shd w:val="clear" w:color="auto" w:fill="auto"/>
            <w:vAlign w:val="center"/>
          </w:tcPr>
          <w:p w:rsidR="00C32872" w:rsidRPr="00012CA3" w:rsidRDefault="00C32872" w:rsidP="009415BA">
            <w:pPr>
              <w:spacing w:after="0"/>
              <w:jc w:val="right"/>
            </w:pPr>
            <w:r w:rsidRPr="00012CA3">
              <w:rPr>
                <w:rFonts w:ascii="Times New Roman" w:hAnsi="Times New Roman"/>
                <w:sz w:val="20"/>
                <w:szCs w:val="20"/>
              </w:rPr>
              <w:t>1</w:t>
            </w:r>
            <w:r w:rsidR="009415BA" w:rsidRPr="00012CA3">
              <w:rPr>
                <w:rFonts w:ascii="Times New Roman" w:hAnsi="Times New Roman"/>
                <w:sz w:val="20"/>
                <w:szCs w:val="20"/>
              </w:rPr>
              <w:t> 442,7</w:t>
            </w:r>
          </w:p>
        </w:tc>
        <w:tc>
          <w:tcPr>
            <w:tcW w:w="1030" w:type="dxa"/>
            <w:gridSpan w:val="3"/>
            <w:tcBorders>
              <w:bottom w:val="single" w:sz="4" w:space="0" w:color="548DD4"/>
            </w:tcBorders>
            <w:shd w:val="clear" w:color="auto" w:fill="auto"/>
            <w:vAlign w:val="center"/>
          </w:tcPr>
          <w:p w:rsidR="00C32872" w:rsidRPr="00012CA3" w:rsidRDefault="00C32872" w:rsidP="009415BA">
            <w:pPr>
              <w:tabs>
                <w:tab w:val="left" w:pos="793"/>
              </w:tabs>
              <w:spacing w:after="0"/>
              <w:jc w:val="right"/>
            </w:pPr>
            <w:r w:rsidRPr="00012CA3">
              <w:rPr>
                <w:rFonts w:ascii="Times New Roman" w:hAnsi="Times New Roman"/>
                <w:sz w:val="20"/>
                <w:szCs w:val="20"/>
              </w:rPr>
              <w:t>-1</w:t>
            </w:r>
            <w:r w:rsidR="009415BA" w:rsidRPr="00012CA3">
              <w:rPr>
                <w:rFonts w:ascii="Times New Roman" w:hAnsi="Times New Roman"/>
                <w:sz w:val="20"/>
                <w:szCs w:val="20"/>
              </w:rPr>
              <w:t> 558,0</w:t>
            </w:r>
          </w:p>
        </w:tc>
      </w:tr>
    </w:tbl>
    <w:p w:rsidR="00C82F48" w:rsidRPr="00012CA3" w:rsidRDefault="00C82F48">
      <w:pPr>
        <w:spacing w:after="0" w:line="276" w:lineRule="auto"/>
        <w:ind w:left="-180" w:firstLine="747"/>
        <w:jc w:val="both"/>
        <w:rPr>
          <w:rFonts w:ascii="Times New Roman" w:hAnsi="Times New Roman"/>
          <w:sz w:val="28"/>
          <w:szCs w:val="28"/>
        </w:rPr>
      </w:pPr>
    </w:p>
    <w:p w:rsidR="00C82F48" w:rsidRPr="00012CA3" w:rsidRDefault="00861D35">
      <w:pPr>
        <w:spacing w:after="0" w:line="276" w:lineRule="auto"/>
        <w:ind w:firstLine="567"/>
        <w:jc w:val="both"/>
      </w:pPr>
      <w:r w:rsidRPr="00012CA3">
        <w:rPr>
          <w:rFonts w:ascii="Times New Roman" w:hAnsi="Times New Roman"/>
          <w:sz w:val="28"/>
          <w:szCs w:val="28"/>
        </w:rPr>
        <w:t>La situația din 30 iunie 202</w:t>
      </w:r>
      <w:r w:rsidR="00D45A4E" w:rsidRPr="00012CA3">
        <w:rPr>
          <w:rFonts w:ascii="Times New Roman" w:hAnsi="Times New Roman"/>
          <w:sz w:val="28"/>
          <w:szCs w:val="28"/>
        </w:rPr>
        <w:t>5</w:t>
      </w:r>
      <w:r w:rsidRPr="00012CA3">
        <w:rPr>
          <w:rFonts w:ascii="Times New Roman" w:hAnsi="Times New Roman"/>
          <w:sz w:val="28"/>
          <w:szCs w:val="28"/>
        </w:rPr>
        <w:t xml:space="preserve">, la bugetul public național s-au înregistrat </w:t>
      </w:r>
      <w:r w:rsidR="00C82F48" w:rsidRPr="00012CA3">
        <w:rPr>
          <w:rFonts w:ascii="Times New Roman" w:hAnsi="Times New Roman"/>
          <w:b/>
          <w:i/>
          <w:sz w:val="28"/>
          <w:szCs w:val="28"/>
        </w:rPr>
        <w:t>creanțe cu termen expirat</w:t>
      </w:r>
      <w:r w:rsidR="00C82F48" w:rsidRPr="00012CA3">
        <w:rPr>
          <w:rFonts w:ascii="Times New Roman" w:hAnsi="Times New Roman"/>
          <w:sz w:val="28"/>
          <w:szCs w:val="28"/>
        </w:rPr>
        <w:t xml:space="preserve">  </w:t>
      </w:r>
      <w:r w:rsidR="00D45A4E" w:rsidRPr="00012CA3">
        <w:rPr>
          <w:rFonts w:ascii="Times New Roman" w:hAnsi="Times New Roman"/>
          <w:sz w:val="28"/>
          <w:szCs w:val="28"/>
          <w:lang w:val="ro-MD"/>
        </w:rPr>
        <w:t>în sumă de 5,9 mil. lei, care comparativ cu 1 ianuarie 2025 s-au micșorat cu 32,4 mil. lei sau cu 84,6 la sută.</w:t>
      </w:r>
    </w:p>
    <w:p w:rsidR="00AC64F3" w:rsidRPr="00012CA3" w:rsidRDefault="00C82F48" w:rsidP="00AC64F3">
      <w:pPr>
        <w:spacing w:after="0" w:line="276" w:lineRule="auto"/>
        <w:ind w:firstLine="567"/>
        <w:jc w:val="both"/>
        <w:rPr>
          <w:rFonts w:ascii="Times New Roman" w:hAnsi="Times New Roman"/>
          <w:sz w:val="28"/>
          <w:szCs w:val="28"/>
          <w:lang w:val="ro-MD"/>
        </w:rPr>
      </w:pPr>
      <w:r w:rsidRPr="00012CA3">
        <w:rPr>
          <w:rFonts w:ascii="Times New Roman" w:hAnsi="Times New Roman"/>
          <w:b/>
          <w:i/>
          <w:sz w:val="28"/>
          <w:szCs w:val="28"/>
        </w:rPr>
        <w:lastRenderedPageBreak/>
        <w:t>Datoriile cu termen de achitare expirat</w:t>
      </w:r>
      <w:r w:rsidRPr="00012CA3">
        <w:rPr>
          <w:rFonts w:ascii="Times New Roman" w:hAnsi="Times New Roman"/>
          <w:sz w:val="28"/>
          <w:szCs w:val="28"/>
        </w:rPr>
        <w:t xml:space="preserve"> (arierate) </w:t>
      </w:r>
      <w:r w:rsidR="004441B1" w:rsidRPr="00012CA3">
        <w:rPr>
          <w:rFonts w:ascii="Times New Roman" w:hAnsi="Times New Roman"/>
          <w:sz w:val="28"/>
          <w:szCs w:val="28"/>
        </w:rPr>
        <w:t>ale bugetului public național la situația din 30 iunie 202</w:t>
      </w:r>
      <w:r w:rsidR="00AC64F3" w:rsidRPr="00012CA3">
        <w:rPr>
          <w:rFonts w:ascii="Times New Roman" w:hAnsi="Times New Roman"/>
          <w:sz w:val="28"/>
          <w:szCs w:val="28"/>
        </w:rPr>
        <w:t>5</w:t>
      </w:r>
      <w:r w:rsidR="004441B1" w:rsidRPr="00012CA3">
        <w:rPr>
          <w:rFonts w:ascii="Times New Roman" w:hAnsi="Times New Roman"/>
          <w:sz w:val="28"/>
          <w:szCs w:val="28"/>
        </w:rPr>
        <w:t xml:space="preserve"> </w:t>
      </w:r>
      <w:r w:rsidR="00AC64F3" w:rsidRPr="00012CA3">
        <w:rPr>
          <w:rFonts w:ascii="Times New Roman" w:hAnsi="Times New Roman"/>
          <w:sz w:val="28"/>
          <w:szCs w:val="28"/>
          <w:lang w:val="en-GB"/>
        </w:rPr>
        <w:t xml:space="preserve">au </w:t>
      </w:r>
      <w:r w:rsidR="00AC64F3" w:rsidRPr="00012CA3">
        <w:rPr>
          <w:rFonts w:ascii="Times New Roman" w:hAnsi="Times New Roman"/>
          <w:sz w:val="28"/>
          <w:szCs w:val="28"/>
          <w:lang w:val="ro-MD"/>
        </w:rPr>
        <w:t>constituit 74,6 mil. lei. În comparație cu 1 ianuarie 2025, acestea s-au majorat cu 12,1 mil. lei sau cu 19,4 la sută.</w:t>
      </w:r>
    </w:p>
    <w:p w:rsidR="00C82F48" w:rsidRPr="00012CA3" w:rsidRDefault="00F326CB">
      <w:pPr>
        <w:spacing w:after="0" w:line="276" w:lineRule="auto"/>
        <w:ind w:firstLine="567"/>
        <w:jc w:val="both"/>
      </w:pPr>
      <w:r w:rsidRPr="00012CA3">
        <w:rPr>
          <w:rFonts w:ascii="Times New Roman" w:hAnsi="Times New Roman"/>
          <w:sz w:val="28"/>
          <w:szCs w:val="28"/>
        </w:rPr>
        <w:t>La situația din 30 iunie 202</w:t>
      </w:r>
      <w:r w:rsidR="00AF53F0" w:rsidRPr="00012CA3">
        <w:rPr>
          <w:rFonts w:ascii="Times New Roman" w:hAnsi="Times New Roman"/>
          <w:sz w:val="28"/>
          <w:szCs w:val="28"/>
        </w:rPr>
        <w:t>5</w:t>
      </w:r>
      <w:r w:rsidR="00C82F48" w:rsidRPr="00012CA3">
        <w:rPr>
          <w:rFonts w:ascii="Times New Roman" w:hAnsi="Times New Roman"/>
          <w:sz w:val="28"/>
          <w:szCs w:val="28"/>
        </w:rPr>
        <w:t xml:space="preserve">, </w:t>
      </w:r>
      <w:r w:rsidR="00C82F48" w:rsidRPr="00012CA3">
        <w:rPr>
          <w:rFonts w:ascii="Times New Roman" w:hAnsi="Times New Roman"/>
          <w:b/>
          <w:i/>
          <w:sz w:val="28"/>
          <w:szCs w:val="28"/>
        </w:rPr>
        <w:t>soldurile mijloacelor bănești</w:t>
      </w:r>
      <w:r w:rsidR="00C82F48" w:rsidRPr="00012CA3">
        <w:rPr>
          <w:rFonts w:ascii="Times New Roman" w:hAnsi="Times New Roman"/>
          <w:i/>
          <w:sz w:val="28"/>
          <w:szCs w:val="28"/>
        </w:rPr>
        <w:t xml:space="preserve"> </w:t>
      </w:r>
      <w:r w:rsidR="00C82F48" w:rsidRPr="00012CA3">
        <w:rPr>
          <w:rFonts w:ascii="Times New Roman" w:hAnsi="Times New Roman"/>
          <w:sz w:val="28"/>
          <w:szCs w:val="28"/>
        </w:rPr>
        <w:t xml:space="preserve">în conturile bugetelor componente ale bugetului public național au constituit </w:t>
      </w:r>
      <w:r w:rsidR="00AF53F0" w:rsidRPr="00012CA3">
        <w:rPr>
          <w:rFonts w:ascii="Times New Roman" w:hAnsi="Times New Roman"/>
          <w:sz w:val="28"/>
          <w:szCs w:val="28"/>
        </w:rPr>
        <w:t>16 990,3 mil.lei, dintre care 1 0</w:t>
      </w:r>
      <w:r w:rsidR="00556985">
        <w:rPr>
          <w:rFonts w:ascii="Times New Roman" w:hAnsi="Times New Roman"/>
          <w:sz w:val="28"/>
          <w:szCs w:val="28"/>
        </w:rPr>
        <w:t>71</w:t>
      </w:r>
      <w:r w:rsidR="00AF53F0" w:rsidRPr="00012CA3">
        <w:rPr>
          <w:rFonts w:ascii="Times New Roman" w:hAnsi="Times New Roman"/>
          <w:sz w:val="28"/>
          <w:szCs w:val="28"/>
        </w:rPr>
        <w:t>,3</w:t>
      </w:r>
      <w:r w:rsidR="00AF53F0" w:rsidRPr="00012CA3">
        <w:rPr>
          <w:rFonts w:ascii="Times New Roman" w:hAnsi="Times New Roman"/>
          <w:sz w:val="28"/>
          <w:szCs w:val="28"/>
          <w:lang w:val="ro-MD"/>
        </w:rPr>
        <w:t xml:space="preserve"> mil.lei sunt înregistrate la proiecte finanțate din surse externe</w:t>
      </w:r>
      <w:r w:rsidR="00AF53F0" w:rsidRPr="00012CA3">
        <w:rPr>
          <w:rFonts w:ascii="Times New Roman" w:hAnsi="Times New Roman"/>
          <w:sz w:val="28"/>
          <w:szCs w:val="28"/>
        </w:rPr>
        <w:t>.</w:t>
      </w:r>
    </w:p>
    <w:p w:rsidR="00C82F48" w:rsidRPr="00012CA3" w:rsidRDefault="00C82F48">
      <w:pPr>
        <w:pStyle w:val="Heading1"/>
        <w:spacing w:line="276" w:lineRule="auto"/>
        <w:rPr>
          <w:rStyle w:val="FontStyle28"/>
          <w:color w:val="171717"/>
          <w:sz w:val="32"/>
          <w:szCs w:val="32"/>
        </w:rPr>
      </w:pPr>
      <w:bookmarkStart w:id="4" w:name="_Toc175311670"/>
      <w:r w:rsidRPr="00012CA3">
        <w:rPr>
          <w:rStyle w:val="FontStyle28"/>
          <w:color w:val="171717"/>
          <w:sz w:val="32"/>
          <w:szCs w:val="32"/>
        </w:rPr>
        <w:t>Executarea bugetului de stat în semestrul I al anului 202</w:t>
      </w:r>
      <w:bookmarkEnd w:id="4"/>
      <w:r w:rsidR="00CB17AB" w:rsidRPr="00012CA3">
        <w:rPr>
          <w:rStyle w:val="FontStyle28"/>
          <w:color w:val="171717"/>
          <w:sz w:val="32"/>
          <w:szCs w:val="32"/>
        </w:rPr>
        <w:t>5</w:t>
      </w:r>
    </w:p>
    <w:p w:rsidR="00C82F48" w:rsidRPr="00012CA3" w:rsidRDefault="00C82F48"/>
    <w:p w:rsidR="00C82F48" w:rsidRPr="00012CA3" w:rsidRDefault="00C82F48">
      <w:pPr>
        <w:pStyle w:val="Heading1"/>
        <w:tabs>
          <w:tab w:val="left" w:pos="567"/>
        </w:tabs>
        <w:spacing w:before="0" w:line="276" w:lineRule="auto"/>
        <w:jc w:val="both"/>
      </w:pPr>
      <w:r w:rsidRPr="00012CA3">
        <w:rPr>
          <w:rFonts w:ascii="Calibri" w:hAnsi="Calibri" w:cs="Calibri"/>
          <w:b w:val="0"/>
          <w:bCs w:val="0"/>
          <w:color w:val="000000"/>
          <w:sz w:val="24"/>
          <w:szCs w:val="24"/>
        </w:rPr>
        <w:tab/>
      </w:r>
      <w:bookmarkStart w:id="5" w:name="_Toc175311671"/>
      <w:r w:rsidRPr="00012CA3">
        <w:rPr>
          <w:rFonts w:ascii="Times New Roman" w:hAnsi="Times New Roman"/>
          <w:b w:val="0"/>
          <w:bCs w:val="0"/>
          <w:color w:val="000000"/>
        </w:rPr>
        <w:t>La situația din 30 iunie 202</w:t>
      </w:r>
      <w:r w:rsidR="00FE19DE" w:rsidRPr="00012CA3">
        <w:rPr>
          <w:rFonts w:ascii="Times New Roman" w:hAnsi="Times New Roman"/>
          <w:b w:val="0"/>
          <w:bCs w:val="0"/>
          <w:color w:val="000000"/>
        </w:rPr>
        <w:t>4</w:t>
      </w:r>
      <w:r w:rsidRPr="00012CA3">
        <w:rPr>
          <w:rFonts w:ascii="Times New Roman" w:hAnsi="Times New Roman"/>
          <w:b w:val="0"/>
          <w:bCs w:val="0"/>
          <w:color w:val="000000"/>
        </w:rPr>
        <w:t xml:space="preserve">, parametrii </w:t>
      </w:r>
      <w:r w:rsidR="00443A4E" w:rsidRPr="00012CA3">
        <w:rPr>
          <w:rFonts w:ascii="Times New Roman" w:hAnsi="Times New Roman"/>
          <w:b w:val="0"/>
          <w:bCs w:val="0"/>
          <w:color w:val="000000"/>
        </w:rPr>
        <w:t>executa</w:t>
      </w:r>
      <w:r w:rsidR="005203AC">
        <w:rPr>
          <w:rFonts w:ascii="Times New Roman" w:hAnsi="Times New Roman"/>
          <w:b w:val="0"/>
          <w:bCs w:val="0"/>
          <w:color w:val="000000"/>
          <w:lang w:val="ro-MD"/>
        </w:rPr>
        <w:t>ț</w:t>
      </w:r>
      <w:r w:rsidR="00443A4E" w:rsidRPr="00012CA3">
        <w:rPr>
          <w:rFonts w:ascii="Times New Roman" w:hAnsi="Times New Roman"/>
          <w:b w:val="0"/>
          <w:bCs w:val="0"/>
          <w:color w:val="000000"/>
        </w:rPr>
        <w:t xml:space="preserve">i ai </w:t>
      </w:r>
      <w:r w:rsidRPr="00012CA3">
        <w:rPr>
          <w:rFonts w:ascii="Times New Roman" w:hAnsi="Times New Roman"/>
          <w:b w:val="0"/>
          <w:bCs w:val="0"/>
          <w:color w:val="000000"/>
        </w:rPr>
        <w:t xml:space="preserve">bugetului de stat au constituit, la partea de la </w:t>
      </w:r>
      <w:r w:rsidRPr="00012CA3">
        <w:rPr>
          <w:rFonts w:ascii="Times New Roman" w:hAnsi="Times New Roman"/>
          <w:bCs w:val="0"/>
          <w:i/>
          <w:color w:val="000000"/>
        </w:rPr>
        <w:t>venituri</w:t>
      </w:r>
      <w:r w:rsidRPr="00012CA3">
        <w:rPr>
          <w:rFonts w:ascii="Times New Roman" w:hAnsi="Times New Roman"/>
          <w:b w:val="0"/>
          <w:bCs w:val="0"/>
          <w:color w:val="000000"/>
        </w:rPr>
        <w:t xml:space="preserve"> – </w:t>
      </w:r>
      <w:bookmarkEnd w:id="5"/>
      <w:r w:rsidR="0035323E" w:rsidRPr="00012CA3">
        <w:rPr>
          <w:rFonts w:ascii="Times New Roman" w:hAnsi="Times New Roman"/>
          <w:bCs w:val="0"/>
          <w:i/>
          <w:color w:val="000000"/>
        </w:rPr>
        <w:t>36 759,6 mil.lei, la partea de cheltuieli – 44 369,5 mil.lei și soldul bugetar (deficit) - 7 609,9 mil.lei.</w:t>
      </w:r>
    </w:p>
    <w:p w:rsidR="00C82F48" w:rsidRPr="00012CA3" w:rsidRDefault="00C82F48">
      <w:pPr>
        <w:pStyle w:val="Heading1"/>
        <w:tabs>
          <w:tab w:val="left" w:pos="567"/>
        </w:tabs>
        <w:spacing w:before="0" w:line="276" w:lineRule="auto"/>
        <w:jc w:val="both"/>
      </w:pPr>
      <w:r w:rsidRPr="00012CA3">
        <w:rPr>
          <w:rFonts w:ascii="Times New Roman" w:hAnsi="Times New Roman"/>
        </w:rPr>
        <w:t xml:space="preserve"> </w:t>
      </w:r>
      <w:r w:rsidRPr="00012CA3">
        <w:rPr>
          <w:rFonts w:ascii="Times New Roman" w:hAnsi="Times New Roman"/>
        </w:rPr>
        <w:tab/>
      </w:r>
      <w:bookmarkStart w:id="6" w:name="_Toc175311672"/>
      <w:r w:rsidRPr="00012CA3">
        <w:rPr>
          <w:rFonts w:ascii="Times New Roman" w:hAnsi="Times New Roman"/>
          <w:b w:val="0"/>
          <w:bCs w:val="0"/>
          <w:color w:val="000000"/>
        </w:rPr>
        <w:t>Executarea indicatorilor principali ai bugetului de stat în semestrul I al anului 202</w:t>
      </w:r>
      <w:r w:rsidR="00FB359F" w:rsidRPr="00012CA3">
        <w:rPr>
          <w:rFonts w:ascii="Times New Roman" w:hAnsi="Times New Roman"/>
          <w:b w:val="0"/>
          <w:bCs w:val="0"/>
          <w:color w:val="000000"/>
        </w:rPr>
        <w:t>5</w:t>
      </w:r>
      <w:r w:rsidRPr="00012CA3">
        <w:rPr>
          <w:rFonts w:ascii="Times New Roman" w:hAnsi="Times New Roman"/>
          <w:b w:val="0"/>
          <w:bCs w:val="0"/>
          <w:color w:val="000000"/>
        </w:rPr>
        <w:t xml:space="preserve"> se prezintă în tabelul următor.</w:t>
      </w:r>
      <w:bookmarkEnd w:id="6"/>
      <w:r w:rsidRPr="00012CA3">
        <w:rPr>
          <w:rFonts w:ascii="Times New Roman" w:hAnsi="Times New Roman"/>
        </w:rPr>
        <w:tab/>
      </w:r>
    </w:p>
    <w:p w:rsidR="00C82F48" w:rsidRPr="009B2184" w:rsidRDefault="00C82F48" w:rsidP="003225B6">
      <w:pPr>
        <w:pStyle w:val="12"/>
        <w:spacing w:after="0"/>
        <w:ind w:left="7791" w:firstLine="709"/>
        <w:jc w:val="right"/>
        <w:rPr>
          <w:rFonts w:ascii="Times New Roman" w:hAnsi="Times New Roman"/>
        </w:rPr>
      </w:pPr>
      <w:r w:rsidRPr="00012CA3">
        <w:rPr>
          <w:rFonts w:cs="Calibri"/>
          <w:color w:val="000000"/>
          <w:sz w:val="24"/>
          <w:szCs w:val="24"/>
          <w:lang w:val="ro-MD"/>
        </w:rPr>
        <w:t xml:space="preserve">                                                                                                                                  </w:t>
      </w:r>
      <w:r w:rsidR="00846FED" w:rsidRPr="00012CA3">
        <w:rPr>
          <w:rFonts w:cs="Calibri"/>
          <w:color w:val="000000"/>
          <w:sz w:val="24"/>
          <w:szCs w:val="24"/>
          <w:lang w:val="ro-MD"/>
        </w:rPr>
        <w:t xml:space="preserve">                </w:t>
      </w:r>
      <w:bookmarkStart w:id="7" w:name="_Toc175311673"/>
      <w:r w:rsidR="009B2184">
        <w:rPr>
          <w:rFonts w:cs="Calibri"/>
          <w:color w:val="000000"/>
          <w:sz w:val="24"/>
          <w:szCs w:val="24"/>
          <w:lang w:val="ro-MD"/>
        </w:rPr>
        <w:t xml:space="preserve">   </w:t>
      </w:r>
      <w:r w:rsidRPr="009B2184">
        <w:rPr>
          <w:rFonts w:ascii="Times New Roman" w:hAnsi="Times New Roman"/>
        </w:rPr>
        <w:t>mil. lei</w:t>
      </w:r>
      <w:bookmarkEnd w:id="7"/>
      <w:r w:rsidRPr="009B2184">
        <w:rPr>
          <w:rFonts w:ascii="Times New Roman" w:hAnsi="Times New Roman"/>
          <w:color w:val="000000"/>
          <w:sz w:val="24"/>
          <w:szCs w:val="24"/>
          <w:lang w:val="ro-MD"/>
        </w:rPr>
        <w:t xml:space="preserve"> </w:t>
      </w:r>
    </w:p>
    <w:tbl>
      <w:tblPr>
        <w:tblW w:w="4950" w:type="pct"/>
        <w:tblLayout w:type="fixed"/>
        <w:tblLook w:val="0000" w:firstRow="0" w:lastRow="0" w:firstColumn="0" w:lastColumn="0" w:noHBand="0" w:noVBand="0"/>
      </w:tblPr>
      <w:tblGrid>
        <w:gridCol w:w="3771"/>
        <w:gridCol w:w="1886"/>
        <w:gridCol w:w="1885"/>
        <w:gridCol w:w="1932"/>
      </w:tblGrid>
      <w:tr w:rsidR="00C82F48" w:rsidRPr="000375D2" w:rsidTr="00846FED">
        <w:trPr>
          <w:trHeight w:val="484"/>
        </w:trPr>
        <w:tc>
          <w:tcPr>
            <w:tcW w:w="36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2F48" w:rsidRPr="000375D2" w:rsidRDefault="00C82F48">
            <w:pPr>
              <w:spacing w:after="0" w:line="240" w:lineRule="auto"/>
              <w:contextualSpacing/>
              <w:jc w:val="center"/>
            </w:pPr>
            <w:r w:rsidRPr="000375D2">
              <w:rPr>
                <w:rFonts w:ascii="Times New Roman" w:hAnsi="Times New Roman"/>
                <w:lang w:val="ro-MD"/>
              </w:rPr>
              <w:tab/>
            </w:r>
            <w:r w:rsidRPr="000375D2">
              <w:rPr>
                <w:rFonts w:ascii="Times New Roman" w:hAnsi="Times New Roman"/>
                <w:lang w:val="ro-MD"/>
              </w:rPr>
              <w:tab/>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2F48" w:rsidRPr="000375D2" w:rsidRDefault="00BC2055">
            <w:pPr>
              <w:spacing w:after="0" w:line="240" w:lineRule="auto"/>
              <w:contextualSpacing/>
              <w:jc w:val="center"/>
            </w:pPr>
            <w:r w:rsidRPr="000375D2">
              <w:rPr>
                <w:rFonts w:ascii="Times New Roman" w:hAnsi="Times New Roman"/>
                <w:b/>
                <w:lang w:val="ro-MD"/>
              </w:rPr>
              <w:t>Modificat</w:t>
            </w:r>
          </w:p>
        </w:tc>
        <w:tc>
          <w:tcPr>
            <w:tcW w:w="1842" w:type="dxa"/>
            <w:tcBorders>
              <w:top w:val="single" w:sz="4" w:space="0" w:color="000000"/>
              <w:left w:val="none" w:sz="0" w:space="0" w:color="000000"/>
              <w:bottom w:val="single" w:sz="4" w:space="0" w:color="000000"/>
              <w:right w:val="single" w:sz="4" w:space="0" w:color="000000"/>
            </w:tcBorders>
            <w:shd w:val="clear" w:color="auto" w:fill="FFFFFF"/>
            <w:vAlign w:val="center"/>
          </w:tcPr>
          <w:p w:rsidR="00C82F48" w:rsidRPr="000375D2" w:rsidRDefault="00C82F48" w:rsidP="006C2708">
            <w:pPr>
              <w:spacing w:after="0"/>
              <w:contextualSpacing/>
              <w:jc w:val="center"/>
            </w:pPr>
            <w:r w:rsidRPr="000375D2">
              <w:rPr>
                <w:rFonts w:ascii="Times New Roman" w:hAnsi="Times New Roman"/>
                <w:b/>
                <w:lang w:val="ro-MD"/>
              </w:rPr>
              <w:t>Executat la 30.06.202</w:t>
            </w:r>
            <w:r w:rsidR="006C2708" w:rsidRPr="000375D2">
              <w:rPr>
                <w:rFonts w:ascii="Times New Roman" w:hAnsi="Times New Roman"/>
                <w:b/>
                <w:lang w:val="ro-MD"/>
              </w:rPr>
              <w:t>5</w:t>
            </w:r>
          </w:p>
        </w:tc>
        <w:tc>
          <w:tcPr>
            <w:tcW w:w="1888" w:type="dxa"/>
            <w:tcBorders>
              <w:top w:val="single" w:sz="4" w:space="0" w:color="000000"/>
              <w:left w:val="none" w:sz="0" w:space="0" w:color="000000"/>
              <w:bottom w:val="single" w:sz="4" w:space="0" w:color="000000"/>
              <w:right w:val="single" w:sz="4" w:space="0" w:color="000000"/>
            </w:tcBorders>
            <w:shd w:val="clear" w:color="auto" w:fill="FFFFFF"/>
            <w:vAlign w:val="center"/>
          </w:tcPr>
          <w:p w:rsidR="00C82F48" w:rsidRPr="000375D2" w:rsidRDefault="00C82F48">
            <w:pPr>
              <w:spacing w:after="0"/>
              <w:contextualSpacing/>
              <w:jc w:val="center"/>
            </w:pPr>
            <w:r w:rsidRPr="000375D2">
              <w:rPr>
                <w:rFonts w:ascii="Times New Roman" w:hAnsi="Times New Roman"/>
                <w:b/>
                <w:lang w:val="ro-MD"/>
              </w:rPr>
              <w:t>% executării</w:t>
            </w:r>
          </w:p>
        </w:tc>
      </w:tr>
      <w:tr w:rsidR="00C82F48" w:rsidRPr="000375D2">
        <w:trPr>
          <w:trHeight w:val="344"/>
        </w:trPr>
        <w:tc>
          <w:tcPr>
            <w:tcW w:w="3687" w:type="dxa"/>
            <w:tcBorders>
              <w:top w:val="none" w:sz="0" w:space="0" w:color="000000"/>
              <w:left w:val="single" w:sz="4" w:space="0" w:color="000000"/>
              <w:bottom w:val="single" w:sz="4" w:space="0" w:color="000000"/>
              <w:right w:val="single" w:sz="4" w:space="0" w:color="000000"/>
            </w:tcBorders>
            <w:shd w:val="clear" w:color="auto" w:fill="FFFFFF"/>
            <w:vAlign w:val="center"/>
          </w:tcPr>
          <w:p w:rsidR="00C82F48" w:rsidRPr="000375D2" w:rsidRDefault="00C82F48">
            <w:pPr>
              <w:spacing w:after="0" w:line="240" w:lineRule="auto"/>
              <w:contextualSpacing/>
            </w:pPr>
            <w:r w:rsidRPr="000375D2">
              <w:rPr>
                <w:rFonts w:ascii="Times New Roman" w:hAnsi="Times New Roman"/>
                <w:color w:val="000000"/>
                <w:lang w:val="ro-MD" w:eastAsia="en-GB"/>
              </w:rPr>
              <w:t>Venituri</w:t>
            </w:r>
          </w:p>
        </w:tc>
        <w:tc>
          <w:tcPr>
            <w:tcW w:w="1843" w:type="dxa"/>
            <w:tcBorders>
              <w:top w:val="none" w:sz="0" w:space="0" w:color="000000"/>
              <w:left w:val="single" w:sz="4" w:space="0" w:color="000000"/>
              <w:bottom w:val="single" w:sz="4" w:space="0" w:color="000000"/>
              <w:right w:val="single" w:sz="4" w:space="0" w:color="000000"/>
            </w:tcBorders>
            <w:shd w:val="clear" w:color="auto" w:fill="FFFFFF"/>
            <w:vAlign w:val="center"/>
          </w:tcPr>
          <w:p w:rsidR="00C82F48" w:rsidRPr="000375D2" w:rsidRDefault="00FE519C" w:rsidP="00846FED">
            <w:pPr>
              <w:spacing w:after="0"/>
              <w:contextualSpacing/>
              <w:jc w:val="right"/>
            </w:pPr>
            <w:r w:rsidRPr="000375D2">
              <w:rPr>
                <w:rFonts w:ascii="Times New Roman" w:hAnsi="Times New Roman"/>
                <w:lang w:val="ro-MD"/>
              </w:rPr>
              <w:t>75 284,8</w:t>
            </w:r>
          </w:p>
        </w:tc>
        <w:tc>
          <w:tcPr>
            <w:tcW w:w="1842" w:type="dxa"/>
            <w:tcBorders>
              <w:top w:val="none" w:sz="0" w:space="0" w:color="000000"/>
              <w:left w:val="none" w:sz="0" w:space="0" w:color="000000"/>
              <w:bottom w:val="single" w:sz="4" w:space="0" w:color="000000"/>
              <w:right w:val="single" w:sz="4" w:space="0" w:color="000000"/>
            </w:tcBorders>
            <w:shd w:val="clear" w:color="auto" w:fill="FFFFFF"/>
            <w:vAlign w:val="center"/>
          </w:tcPr>
          <w:p w:rsidR="00C82F48" w:rsidRPr="000375D2" w:rsidRDefault="00EB7E63">
            <w:pPr>
              <w:spacing w:after="0"/>
              <w:contextualSpacing/>
              <w:jc w:val="right"/>
            </w:pPr>
            <w:r w:rsidRPr="000375D2">
              <w:rPr>
                <w:rFonts w:ascii="Times New Roman" w:hAnsi="Times New Roman"/>
                <w:lang w:val="ro-MD"/>
              </w:rPr>
              <w:t>36 759,6</w:t>
            </w:r>
          </w:p>
        </w:tc>
        <w:tc>
          <w:tcPr>
            <w:tcW w:w="1888" w:type="dxa"/>
            <w:tcBorders>
              <w:top w:val="none" w:sz="0" w:space="0" w:color="000000"/>
              <w:left w:val="none" w:sz="0" w:space="0" w:color="000000"/>
              <w:bottom w:val="single" w:sz="4" w:space="0" w:color="000000"/>
              <w:right w:val="single" w:sz="4" w:space="0" w:color="000000"/>
            </w:tcBorders>
            <w:shd w:val="clear" w:color="auto" w:fill="FFFFFF"/>
            <w:vAlign w:val="center"/>
          </w:tcPr>
          <w:p w:rsidR="00C82F48" w:rsidRPr="000375D2" w:rsidRDefault="00A74278">
            <w:pPr>
              <w:spacing w:after="0"/>
              <w:contextualSpacing/>
              <w:jc w:val="right"/>
            </w:pPr>
            <w:r w:rsidRPr="000375D2">
              <w:rPr>
                <w:rFonts w:ascii="Times New Roman" w:hAnsi="Times New Roman"/>
                <w:lang w:val="ro-MD"/>
              </w:rPr>
              <w:t>48,8</w:t>
            </w:r>
            <w:r w:rsidR="00C82F48" w:rsidRPr="000375D2">
              <w:rPr>
                <w:rFonts w:ascii="Times New Roman" w:hAnsi="Times New Roman"/>
                <w:lang w:val="ro-MD"/>
              </w:rPr>
              <w:t>%</w:t>
            </w:r>
          </w:p>
        </w:tc>
      </w:tr>
      <w:tr w:rsidR="00C82F48" w:rsidRPr="000375D2">
        <w:trPr>
          <w:trHeight w:val="360"/>
        </w:trPr>
        <w:tc>
          <w:tcPr>
            <w:tcW w:w="3687" w:type="dxa"/>
            <w:tcBorders>
              <w:top w:val="none" w:sz="0" w:space="0" w:color="000000"/>
              <w:left w:val="single" w:sz="4" w:space="0" w:color="000000"/>
              <w:bottom w:val="single" w:sz="4" w:space="0" w:color="000000"/>
              <w:right w:val="single" w:sz="4" w:space="0" w:color="000000"/>
            </w:tcBorders>
            <w:shd w:val="clear" w:color="auto" w:fill="FFFFFF"/>
            <w:vAlign w:val="center"/>
          </w:tcPr>
          <w:p w:rsidR="00C82F48" w:rsidRPr="000375D2" w:rsidRDefault="00C82F48">
            <w:pPr>
              <w:spacing w:after="0" w:line="240" w:lineRule="auto"/>
              <w:contextualSpacing/>
            </w:pPr>
            <w:r w:rsidRPr="000375D2">
              <w:rPr>
                <w:rFonts w:ascii="Times New Roman" w:hAnsi="Times New Roman"/>
                <w:color w:val="000000"/>
                <w:lang w:val="ro-MD" w:eastAsia="en-GB"/>
              </w:rPr>
              <w:t>Cheltuieli</w:t>
            </w:r>
          </w:p>
        </w:tc>
        <w:tc>
          <w:tcPr>
            <w:tcW w:w="1843" w:type="dxa"/>
            <w:tcBorders>
              <w:top w:val="none" w:sz="0" w:space="0" w:color="000000"/>
              <w:left w:val="single" w:sz="4" w:space="0" w:color="000000"/>
              <w:bottom w:val="single" w:sz="4" w:space="0" w:color="000000"/>
              <w:right w:val="single" w:sz="4" w:space="0" w:color="000000"/>
            </w:tcBorders>
            <w:shd w:val="clear" w:color="auto" w:fill="FFFFFF"/>
            <w:vAlign w:val="center"/>
          </w:tcPr>
          <w:p w:rsidR="00C82F48" w:rsidRPr="000375D2" w:rsidRDefault="00FE519C">
            <w:pPr>
              <w:spacing w:after="0"/>
              <w:contextualSpacing/>
              <w:jc w:val="right"/>
            </w:pPr>
            <w:r w:rsidRPr="000375D2">
              <w:rPr>
                <w:rFonts w:ascii="Times New Roman" w:hAnsi="Times New Roman"/>
                <w:lang w:val="ro-MD"/>
              </w:rPr>
              <w:t>93 191,1</w:t>
            </w:r>
          </w:p>
        </w:tc>
        <w:tc>
          <w:tcPr>
            <w:tcW w:w="1842" w:type="dxa"/>
            <w:tcBorders>
              <w:top w:val="none" w:sz="0" w:space="0" w:color="000000"/>
              <w:left w:val="none" w:sz="0" w:space="0" w:color="000000"/>
              <w:bottom w:val="single" w:sz="4" w:space="0" w:color="000000"/>
              <w:right w:val="single" w:sz="4" w:space="0" w:color="000000"/>
            </w:tcBorders>
            <w:shd w:val="clear" w:color="auto" w:fill="FFFFFF"/>
            <w:vAlign w:val="center"/>
          </w:tcPr>
          <w:p w:rsidR="00C82F48" w:rsidRPr="000375D2" w:rsidRDefault="00EB7E63">
            <w:pPr>
              <w:spacing w:after="0"/>
              <w:contextualSpacing/>
              <w:jc w:val="right"/>
              <w:rPr>
                <w:rFonts w:ascii="Times New Roman" w:hAnsi="Times New Roman"/>
                <w:lang w:val="ro-MD"/>
              </w:rPr>
            </w:pPr>
            <w:r w:rsidRPr="000375D2">
              <w:rPr>
                <w:rFonts w:ascii="Times New Roman" w:hAnsi="Times New Roman"/>
                <w:lang w:val="ro-MD"/>
              </w:rPr>
              <w:t>44 369,5</w:t>
            </w:r>
          </w:p>
        </w:tc>
        <w:tc>
          <w:tcPr>
            <w:tcW w:w="1888" w:type="dxa"/>
            <w:tcBorders>
              <w:top w:val="none" w:sz="0" w:space="0" w:color="000000"/>
              <w:left w:val="none" w:sz="0" w:space="0" w:color="000000"/>
              <w:bottom w:val="single" w:sz="4" w:space="0" w:color="000000"/>
              <w:right w:val="single" w:sz="4" w:space="0" w:color="000000"/>
            </w:tcBorders>
            <w:shd w:val="clear" w:color="auto" w:fill="FFFFFF"/>
            <w:vAlign w:val="center"/>
          </w:tcPr>
          <w:p w:rsidR="00C82F48" w:rsidRPr="000375D2" w:rsidRDefault="00A74278">
            <w:pPr>
              <w:spacing w:after="0"/>
              <w:contextualSpacing/>
              <w:jc w:val="right"/>
            </w:pPr>
            <w:r w:rsidRPr="000375D2">
              <w:rPr>
                <w:rFonts w:ascii="Times New Roman" w:hAnsi="Times New Roman"/>
                <w:lang w:val="ro-MD"/>
              </w:rPr>
              <w:t>47,6</w:t>
            </w:r>
            <w:r w:rsidR="00C82F48" w:rsidRPr="000375D2">
              <w:rPr>
                <w:rFonts w:ascii="Times New Roman" w:hAnsi="Times New Roman"/>
                <w:lang w:val="ro-MD"/>
              </w:rPr>
              <w:t>%</w:t>
            </w:r>
          </w:p>
        </w:tc>
      </w:tr>
      <w:tr w:rsidR="00C82F48" w:rsidRPr="000375D2">
        <w:trPr>
          <w:trHeight w:val="389"/>
        </w:trPr>
        <w:tc>
          <w:tcPr>
            <w:tcW w:w="3687" w:type="dxa"/>
            <w:tcBorders>
              <w:top w:val="none" w:sz="0" w:space="0" w:color="000000"/>
              <w:left w:val="single" w:sz="4" w:space="0" w:color="000000"/>
              <w:bottom w:val="single" w:sz="4" w:space="0" w:color="000000"/>
              <w:right w:val="single" w:sz="4" w:space="0" w:color="000000"/>
            </w:tcBorders>
            <w:shd w:val="clear" w:color="auto" w:fill="FFFFFF"/>
            <w:vAlign w:val="center"/>
          </w:tcPr>
          <w:p w:rsidR="00C82F48" w:rsidRPr="000375D2" w:rsidRDefault="00C82F48">
            <w:pPr>
              <w:spacing w:after="0" w:line="240" w:lineRule="auto"/>
              <w:contextualSpacing/>
            </w:pPr>
            <w:r w:rsidRPr="000375D2">
              <w:rPr>
                <w:rFonts w:ascii="Times New Roman" w:hAnsi="Times New Roman"/>
                <w:color w:val="000000"/>
                <w:lang w:val="ro-MD" w:eastAsia="en-GB"/>
              </w:rPr>
              <w:t xml:space="preserve">Sold bugetar (deficit) </w:t>
            </w:r>
          </w:p>
        </w:tc>
        <w:tc>
          <w:tcPr>
            <w:tcW w:w="1843" w:type="dxa"/>
            <w:tcBorders>
              <w:top w:val="none" w:sz="0" w:space="0" w:color="000000"/>
              <w:left w:val="single" w:sz="4" w:space="0" w:color="000000"/>
              <w:bottom w:val="single" w:sz="4" w:space="0" w:color="000000"/>
              <w:right w:val="single" w:sz="4" w:space="0" w:color="000000"/>
            </w:tcBorders>
            <w:shd w:val="clear" w:color="auto" w:fill="FFFFFF"/>
            <w:vAlign w:val="center"/>
          </w:tcPr>
          <w:p w:rsidR="00C82F48" w:rsidRPr="000375D2" w:rsidRDefault="00C82F48" w:rsidP="00FE519C">
            <w:pPr>
              <w:spacing w:after="0"/>
              <w:contextualSpacing/>
              <w:jc w:val="right"/>
            </w:pPr>
            <w:r w:rsidRPr="000375D2">
              <w:rPr>
                <w:rFonts w:ascii="Times New Roman" w:hAnsi="Times New Roman"/>
                <w:lang w:val="ro-MD"/>
              </w:rPr>
              <w:t>-</w:t>
            </w:r>
            <w:r w:rsidR="002B5F1B" w:rsidRPr="000375D2">
              <w:rPr>
                <w:rFonts w:ascii="Times New Roman" w:hAnsi="Times New Roman"/>
                <w:lang w:val="ro-MD"/>
              </w:rPr>
              <w:t>1</w:t>
            </w:r>
            <w:r w:rsidR="00FE519C" w:rsidRPr="000375D2">
              <w:rPr>
                <w:rFonts w:ascii="Times New Roman" w:hAnsi="Times New Roman"/>
                <w:lang w:val="ro-MD"/>
              </w:rPr>
              <w:t>7 906,3</w:t>
            </w:r>
          </w:p>
        </w:tc>
        <w:tc>
          <w:tcPr>
            <w:tcW w:w="1842" w:type="dxa"/>
            <w:tcBorders>
              <w:top w:val="none" w:sz="0" w:space="0" w:color="000000"/>
              <w:left w:val="none" w:sz="0" w:space="0" w:color="000000"/>
              <w:bottom w:val="single" w:sz="4" w:space="0" w:color="000000"/>
              <w:right w:val="single" w:sz="4" w:space="0" w:color="000000"/>
            </w:tcBorders>
            <w:shd w:val="clear" w:color="auto" w:fill="FFFFFF"/>
            <w:vAlign w:val="center"/>
          </w:tcPr>
          <w:p w:rsidR="00C82F48" w:rsidRPr="000375D2" w:rsidRDefault="00C82F48" w:rsidP="00EB7E63">
            <w:pPr>
              <w:spacing w:after="0"/>
              <w:contextualSpacing/>
              <w:jc w:val="right"/>
            </w:pPr>
            <w:r w:rsidRPr="000375D2">
              <w:rPr>
                <w:rFonts w:ascii="Times New Roman" w:hAnsi="Times New Roman"/>
                <w:lang w:val="ro-MD"/>
              </w:rPr>
              <w:t>-</w:t>
            </w:r>
            <w:r w:rsidR="00EB7E63" w:rsidRPr="000375D2">
              <w:rPr>
                <w:rFonts w:ascii="Times New Roman" w:hAnsi="Times New Roman"/>
                <w:lang w:val="ro-MD"/>
              </w:rPr>
              <w:t>7 609,9</w:t>
            </w:r>
          </w:p>
        </w:tc>
        <w:tc>
          <w:tcPr>
            <w:tcW w:w="1888" w:type="dxa"/>
            <w:tcBorders>
              <w:top w:val="none" w:sz="0" w:space="0" w:color="000000"/>
              <w:left w:val="none" w:sz="0" w:space="0" w:color="000000"/>
              <w:bottom w:val="single" w:sz="4" w:space="0" w:color="000000"/>
              <w:right w:val="single" w:sz="4" w:space="0" w:color="000000"/>
            </w:tcBorders>
            <w:shd w:val="clear" w:color="auto" w:fill="FFFFFF"/>
            <w:vAlign w:val="center"/>
          </w:tcPr>
          <w:p w:rsidR="00C82F48" w:rsidRPr="000375D2" w:rsidRDefault="00A74278">
            <w:pPr>
              <w:spacing w:after="0"/>
              <w:contextualSpacing/>
              <w:jc w:val="right"/>
            </w:pPr>
            <w:r w:rsidRPr="000375D2">
              <w:rPr>
                <w:rFonts w:ascii="Times New Roman" w:hAnsi="Times New Roman"/>
                <w:lang w:val="ro-MD"/>
              </w:rPr>
              <w:t>42,5</w:t>
            </w:r>
            <w:r w:rsidR="00C82F48" w:rsidRPr="000375D2">
              <w:rPr>
                <w:rFonts w:ascii="Times New Roman" w:hAnsi="Times New Roman"/>
                <w:lang w:val="ro-MD"/>
              </w:rPr>
              <w:t>%</w:t>
            </w:r>
          </w:p>
        </w:tc>
      </w:tr>
    </w:tbl>
    <w:p w:rsidR="00C82F48" w:rsidRPr="00012CA3" w:rsidRDefault="00C82F48">
      <w:pPr>
        <w:pStyle w:val="12"/>
        <w:tabs>
          <w:tab w:val="left" w:pos="4820"/>
          <w:tab w:val="left" w:pos="5103"/>
        </w:tabs>
        <w:spacing w:after="0" w:line="276" w:lineRule="auto"/>
        <w:ind w:left="0" w:firstLine="567"/>
        <w:jc w:val="both"/>
        <w:rPr>
          <w:rFonts w:ascii="Times New Roman" w:hAnsi="Times New Roman"/>
          <w:sz w:val="28"/>
          <w:szCs w:val="28"/>
          <w:lang w:val="ro-MD"/>
        </w:rPr>
      </w:pPr>
    </w:p>
    <w:p w:rsidR="00C82F48" w:rsidRPr="00012CA3" w:rsidRDefault="00C82F48">
      <w:pPr>
        <w:pStyle w:val="12"/>
        <w:tabs>
          <w:tab w:val="left" w:pos="4820"/>
          <w:tab w:val="left" w:pos="5103"/>
        </w:tabs>
        <w:spacing w:after="0" w:line="276" w:lineRule="auto"/>
        <w:ind w:left="0" w:firstLine="567"/>
        <w:jc w:val="both"/>
      </w:pPr>
      <w:r w:rsidRPr="00012CA3">
        <w:rPr>
          <w:rFonts w:ascii="Times New Roman" w:hAnsi="Times New Roman"/>
          <w:sz w:val="28"/>
          <w:szCs w:val="28"/>
          <w:lang w:val="ro-MD"/>
        </w:rPr>
        <w:t>În semestru I al anului 202</w:t>
      </w:r>
      <w:r w:rsidR="0030674E" w:rsidRPr="00012CA3">
        <w:rPr>
          <w:rFonts w:ascii="Times New Roman" w:hAnsi="Times New Roman"/>
          <w:sz w:val="28"/>
          <w:szCs w:val="28"/>
          <w:lang w:val="ro-MD"/>
        </w:rPr>
        <w:t>5</w:t>
      </w:r>
      <w:r w:rsidRPr="00012CA3">
        <w:rPr>
          <w:rFonts w:ascii="Times New Roman" w:hAnsi="Times New Roman"/>
          <w:sz w:val="28"/>
          <w:szCs w:val="28"/>
          <w:lang w:val="ro-MD"/>
        </w:rPr>
        <w:t>,</w:t>
      </w:r>
      <w:r w:rsidRPr="00012CA3">
        <w:rPr>
          <w:rFonts w:ascii="Times New Roman" w:hAnsi="Times New Roman"/>
          <w:b/>
          <w:i/>
          <w:sz w:val="28"/>
          <w:szCs w:val="28"/>
          <w:lang w:val="ro-MD"/>
        </w:rPr>
        <w:t xml:space="preserve"> veniturile totale ale bugetului de stat</w:t>
      </w:r>
      <w:r w:rsidRPr="00012CA3">
        <w:rPr>
          <w:rFonts w:ascii="Times New Roman" w:hAnsi="Times New Roman"/>
          <w:sz w:val="28"/>
          <w:szCs w:val="28"/>
          <w:lang w:val="ro-MD"/>
        </w:rPr>
        <w:t xml:space="preserve"> au constituit </w:t>
      </w:r>
      <w:r w:rsidR="003252ED" w:rsidRPr="00012CA3">
        <w:rPr>
          <w:rFonts w:ascii="Times New Roman" w:hAnsi="Times New Roman"/>
          <w:sz w:val="28"/>
          <w:szCs w:val="28"/>
          <w:lang w:val="ro-MD"/>
        </w:rPr>
        <w:t>3</w:t>
      </w:r>
      <w:r w:rsidR="0030674E" w:rsidRPr="00012CA3">
        <w:rPr>
          <w:rFonts w:ascii="Times New Roman" w:hAnsi="Times New Roman"/>
          <w:sz w:val="28"/>
          <w:szCs w:val="28"/>
          <w:lang w:val="ro-MD"/>
        </w:rPr>
        <w:t>6 759,6</w:t>
      </w:r>
      <w:r w:rsidR="003252ED" w:rsidRPr="00012CA3">
        <w:rPr>
          <w:rFonts w:ascii="Times New Roman" w:hAnsi="Times New Roman"/>
          <w:sz w:val="28"/>
          <w:szCs w:val="28"/>
          <w:lang w:val="ro-MD"/>
        </w:rPr>
        <w:t xml:space="preserve"> </w:t>
      </w:r>
      <w:r w:rsidRPr="00012CA3">
        <w:rPr>
          <w:rFonts w:ascii="Times New Roman" w:hAnsi="Times New Roman"/>
          <w:sz w:val="28"/>
          <w:szCs w:val="28"/>
          <w:lang w:val="ro-MD"/>
        </w:rPr>
        <w:t>mil. lei, inclusiv:</w:t>
      </w:r>
    </w:p>
    <w:p w:rsidR="00C82F48" w:rsidRPr="00012CA3" w:rsidRDefault="00C82F48">
      <w:pPr>
        <w:pStyle w:val="12"/>
        <w:numPr>
          <w:ilvl w:val="0"/>
          <w:numId w:val="5"/>
        </w:numPr>
        <w:tabs>
          <w:tab w:val="left" w:pos="567"/>
          <w:tab w:val="left" w:pos="851"/>
          <w:tab w:val="left" w:pos="4820"/>
          <w:tab w:val="left" w:pos="5103"/>
        </w:tabs>
        <w:spacing w:after="0" w:line="276" w:lineRule="auto"/>
        <w:ind w:hanging="503"/>
        <w:contextualSpacing/>
        <w:jc w:val="both"/>
      </w:pPr>
      <w:r w:rsidRPr="00012CA3">
        <w:rPr>
          <w:rFonts w:ascii="Times New Roman" w:hAnsi="Times New Roman"/>
          <w:sz w:val="28"/>
          <w:szCs w:val="28"/>
          <w:lang w:val="ro-MD"/>
        </w:rPr>
        <w:t xml:space="preserve"> veniturile generale și colectate – </w:t>
      </w:r>
      <w:r w:rsidR="00986CC0" w:rsidRPr="00012CA3">
        <w:rPr>
          <w:rFonts w:ascii="Times New Roman" w:hAnsi="Times New Roman"/>
          <w:sz w:val="28"/>
          <w:szCs w:val="28"/>
          <w:lang w:val="ro-MD"/>
        </w:rPr>
        <w:t xml:space="preserve">36 490,7 </w:t>
      </w:r>
      <w:r w:rsidR="00AA088A" w:rsidRPr="00012CA3">
        <w:rPr>
          <w:rFonts w:ascii="Times New Roman" w:hAnsi="Times New Roman"/>
          <w:sz w:val="28"/>
          <w:szCs w:val="28"/>
          <w:lang w:val="ro-MD"/>
        </w:rPr>
        <w:t xml:space="preserve">mil. lei,  </w:t>
      </w:r>
      <w:r w:rsidRPr="00012CA3">
        <w:rPr>
          <w:rFonts w:ascii="Times New Roman" w:hAnsi="Times New Roman"/>
          <w:sz w:val="28"/>
          <w:szCs w:val="28"/>
          <w:lang w:val="ro-MD"/>
        </w:rPr>
        <w:t xml:space="preserve">  </w:t>
      </w:r>
    </w:p>
    <w:p w:rsidR="00C82F48" w:rsidRPr="00012CA3" w:rsidRDefault="00C82F48">
      <w:pPr>
        <w:pStyle w:val="12"/>
        <w:numPr>
          <w:ilvl w:val="0"/>
          <w:numId w:val="5"/>
        </w:numPr>
        <w:tabs>
          <w:tab w:val="left" w:pos="567"/>
          <w:tab w:val="left" w:pos="851"/>
          <w:tab w:val="left" w:pos="4820"/>
          <w:tab w:val="left" w:pos="5103"/>
        </w:tabs>
        <w:spacing w:after="0" w:line="276" w:lineRule="auto"/>
        <w:ind w:hanging="503"/>
        <w:jc w:val="both"/>
      </w:pPr>
      <w:r w:rsidRPr="00012CA3">
        <w:rPr>
          <w:rFonts w:ascii="Times New Roman" w:hAnsi="Times New Roman"/>
          <w:sz w:val="28"/>
          <w:szCs w:val="28"/>
          <w:lang w:val="ro-MD"/>
        </w:rPr>
        <w:t xml:space="preserve"> veniturile proiectelor finanțate din surse externe – </w:t>
      </w:r>
      <w:r w:rsidR="00986CC0" w:rsidRPr="00012CA3">
        <w:rPr>
          <w:rFonts w:ascii="Times New Roman" w:hAnsi="Times New Roman"/>
          <w:sz w:val="28"/>
          <w:szCs w:val="28"/>
          <w:lang w:val="ro-MD"/>
        </w:rPr>
        <w:t xml:space="preserve">268,9 </w:t>
      </w:r>
      <w:r w:rsidR="00AA088A" w:rsidRPr="00012CA3">
        <w:rPr>
          <w:rFonts w:ascii="Times New Roman" w:hAnsi="Times New Roman"/>
          <w:sz w:val="28"/>
          <w:szCs w:val="28"/>
          <w:lang w:val="ro-MD"/>
        </w:rPr>
        <w:t>mil. lei</w:t>
      </w:r>
      <w:r w:rsidRPr="00012CA3">
        <w:rPr>
          <w:rFonts w:ascii="Times New Roman" w:hAnsi="Times New Roman"/>
          <w:sz w:val="28"/>
          <w:szCs w:val="28"/>
          <w:lang w:val="ro-MD"/>
        </w:rPr>
        <w:t>.</w:t>
      </w:r>
    </w:p>
    <w:p w:rsidR="00264711" w:rsidRPr="00012CA3" w:rsidRDefault="00E363E0" w:rsidP="00264711">
      <w:pPr>
        <w:spacing w:after="120" w:line="276" w:lineRule="auto"/>
        <w:ind w:firstLine="567"/>
        <w:contextualSpacing/>
        <w:jc w:val="both"/>
      </w:pPr>
      <w:r w:rsidRPr="00012CA3">
        <w:rPr>
          <w:rFonts w:ascii="Times New Roman" w:hAnsi="Times New Roman"/>
          <w:sz w:val="28"/>
          <w:szCs w:val="28"/>
          <w:lang w:val="ro-MD"/>
        </w:rPr>
        <w:t xml:space="preserve">Față de prevederile anuale, veniturile bugetului de stat în perioada vizată au înregistrat un grad de realizare de </w:t>
      </w:r>
      <w:r w:rsidR="00402438">
        <w:rPr>
          <w:rFonts w:ascii="Times New Roman" w:hAnsi="Times New Roman"/>
          <w:sz w:val="28"/>
          <w:szCs w:val="28"/>
          <w:lang w:val="ro-MD"/>
        </w:rPr>
        <w:t>48,8</w:t>
      </w:r>
      <w:r w:rsidR="00CF1145">
        <w:rPr>
          <w:rFonts w:ascii="Times New Roman" w:hAnsi="Times New Roman"/>
          <w:sz w:val="28"/>
          <w:szCs w:val="28"/>
          <w:lang w:val="ro-MD"/>
        </w:rPr>
        <w:t xml:space="preserve"> la sută</w:t>
      </w:r>
      <w:r w:rsidRPr="00012CA3">
        <w:rPr>
          <w:rFonts w:ascii="Times New Roman" w:hAnsi="Times New Roman"/>
          <w:sz w:val="28"/>
          <w:szCs w:val="28"/>
          <w:lang w:val="ro-MD"/>
        </w:rPr>
        <w:t xml:space="preserve">. </w:t>
      </w:r>
      <w:r w:rsidR="003C0B0B" w:rsidRPr="003C0B0B">
        <w:rPr>
          <w:rFonts w:ascii="Times New Roman" w:hAnsi="Times New Roman"/>
          <w:sz w:val="28"/>
          <w:szCs w:val="28"/>
          <w:lang w:val="ro-MD"/>
        </w:rPr>
        <w:t xml:space="preserve">Comparativ cu perioada similară a anului precedent încasările date s-au majorat cu </w:t>
      </w:r>
      <w:r w:rsidR="003C0B0B">
        <w:rPr>
          <w:rFonts w:ascii="Times New Roman" w:hAnsi="Times New Roman"/>
          <w:sz w:val="28"/>
          <w:szCs w:val="28"/>
          <w:lang w:val="ro-MD"/>
        </w:rPr>
        <w:t>17,6</w:t>
      </w:r>
      <w:r w:rsidR="003C0B0B" w:rsidRPr="003C0B0B">
        <w:rPr>
          <w:rFonts w:ascii="Times New Roman" w:hAnsi="Times New Roman"/>
          <w:sz w:val="28"/>
          <w:szCs w:val="28"/>
          <w:lang w:val="ro-MD"/>
        </w:rPr>
        <w:t>%, iar veniturile proiectelor finanțate din surse externe</w:t>
      </w:r>
      <w:r w:rsidR="003C0B0B">
        <w:rPr>
          <w:rFonts w:ascii="Times New Roman" w:hAnsi="Times New Roman"/>
          <w:sz w:val="28"/>
          <w:szCs w:val="28"/>
          <w:lang w:val="ro-MD"/>
        </w:rPr>
        <w:t xml:space="preserve"> sau diminuat </w:t>
      </w:r>
      <w:r w:rsidR="003C0B0B" w:rsidRPr="003C0B0B">
        <w:rPr>
          <w:rFonts w:ascii="Times New Roman" w:hAnsi="Times New Roman"/>
          <w:sz w:val="28"/>
          <w:szCs w:val="28"/>
          <w:lang w:val="ro-MD"/>
        </w:rPr>
        <w:t xml:space="preserve"> cu </w:t>
      </w:r>
      <w:r w:rsidR="003C0B0B">
        <w:rPr>
          <w:rFonts w:ascii="Times New Roman" w:hAnsi="Times New Roman"/>
          <w:sz w:val="28"/>
          <w:szCs w:val="28"/>
          <w:lang w:val="ro-MD"/>
        </w:rPr>
        <w:t>1</w:t>
      </w:r>
      <w:r w:rsidR="003C0B0B" w:rsidRPr="003C0B0B">
        <w:rPr>
          <w:rFonts w:ascii="Times New Roman" w:hAnsi="Times New Roman"/>
          <w:sz w:val="28"/>
          <w:szCs w:val="28"/>
          <w:lang w:val="ro-MD"/>
        </w:rPr>
        <w:t>9,</w:t>
      </w:r>
      <w:r w:rsidR="003C0B0B">
        <w:rPr>
          <w:rFonts w:ascii="Times New Roman" w:hAnsi="Times New Roman"/>
          <w:sz w:val="28"/>
          <w:szCs w:val="28"/>
          <w:lang w:val="ro-MD"/>
        </w:rPr>
        <w:t>9</w:t>
      </w:r>
      <w:r w:rsidR="003C0B0B" w:rsidRPr="003C0B0B">
        <w:rPr>
          <w:rFonts w:ascii="Times New Roman" w:hAnsi="Times New Roman"/>
          <w:sz w:val="28"/>
          <w:szCs w:val="28"/>
          <w:lang w:val="ro-MD"/>
        </w:rPr>
        <w:t xml:space="preserve"> la sută.</w:t>
      </w:r>
    </w:p>
    <w:p w:rsidR="00264711" w:rsidRPr="00012CA3" w:rsidRDefault="00264711" w:rsidP="00264711">
      <w:pPr>
        <w:spacing w:after="120" w:line="276" w:lineRule="auto"/>
        <w:ind w:firstLine="567"/>
        <w:contextualSpacing/>
        <w:jc w:val="both"/>
      </w:pPr>
      <w:r w:rsidRPr="00012CA3">
        <w:rPr>
          <w:rFonts w:ascii="Times New Roman" w:hAnsi="Times New Roman"/>
          <w:sz w:val="28"/>
          <w:szCs w:val="28"/>
          <w:lang w:val="ro-MD"/>
        </w:rPr>
        <w:t xml:space="preserve">Din suma totală a veniturilor bugetului de stat, ponderea cea mai mare le revine impozitelor și taxelor – </w:t>
      </w:r>
      <w:r w:rsidR="004E4968" w:rsidRPr="00012CA3">
        <w:rPr>
          <w:rFonts w:ascii="Times New Roman" w:hAnsi="Times New Roman"/>
          <w:sz w:val="28"/>
          <w:szCs w:val="28"/>
          <w:lang w:val="ro-MD"/>
        </w:rPr>
        <w:t>86,1</w:t>
      </w:r>
      <w:r w:rsidRPr="00012CA3">
        <w:rPr>
          <w:rFonts w:ascii="Times New Roman" w:hAnsi="Times New Roman"/>
          <w:sz w:val="28"/>
          <w:szCs w:val="28"/>
          <w:lang w:val="ro-MD"/>
        </w:rPr>
        <w:t xml:space="preserve">% sau </w:t>
      </w:r>
      <w:r w:rsidR="004E4968" w:rsidRPr="00012CA3">
        <w:rPr>
          <w:rFonts w:ascii="Times New Roman" w:hAnsi="Times New Roman"/>
          <w:sz w:val="28"/>
          <w:szCs w:val="28"/>
          <w:lang w:val="ro-MD"/>
        </w:rPr>
        <w:t>31 665,6</w:t>
      </w:r>
      <w:r w:rsidRPr="00012CA3">
        <w:rPr>
          <w:rFonts w:ascii="Times New Roman" w:hAnsi="Times New Roman"/>
          <w:sz w:val="28"/>
          <w:szCs w:val="28"/>
          <w:lang w:val="ro-MD"/>
        </w:rPr>
        <w:t xml:space="preserve"> mil. lei, altor venituri – </w:t>
      </w:r>
      <w:r w:rsidR="00143652">
        <w:rPr>
          <w:rFonts w:ascii="Times New Roman" w:hAnsi="Times New Roman"/>
          <w:sz w:val="28"/>
          <w:szCs w:val="28"/>
          <w:lang w:val="ro-MD"/>
        </w:rPr>
        <w:t>6,2</w:t>
      </w:r>
      <w:r w:rsidRPr="00012CA3">
        <w:rPr>
          <w:rFonts w:ascii="Times New Roman" w:hAnsi="Times New Roman"/>
          <w:sz w:val="28"/>
          <w:szCs w:val="28"/>
          <w:lang w:val="ro-MD"/>
        </w:rPr>
        <w:t>%                                                                                                                                                                                                                                                                                                                                                                                                                                                                                                                                                                                                                                                                                                                                                                                                                                                                                                                                                                                                                                                                                                                                                                                                                                                                                                                                                                                                                                                                                                                                                                                                                                                                                                                                                                                                                                                                                                                                                                                                                                                                                                                                                                                                                                                                                                                                                                                                                                                    (</w:t>
      </w:r>
      <w:r w:rsidR="00330B34" w:rsidRPr="00012CA3">
        <w:rPr>
          <w:rFonts w:ascii="Times New Roman" w:hAnsi="Times New Roman"/>
          <w:sz w:val="28"/>
          <w:szCs w:val="28"/>
          <w:lang w:val="ro-MD"/>
        </w:rPr>
        <w:t>2 290,3</w:t>
      </w:r>
      <w:r w:rsidRPr="00012CA3">
        <w:rPr>
          <w:rFonts w:ascii="Times New Roman" w:hAnsi="Times New Roman"/>
          <w:sz w:val="28"/>
          <w:szCs w:val="28"/>
          <w:lang w:val="ro-MD"/>
        </w:rPr>
        <w:t xml:space="preserve"> mil. lei) și granturilor – </w:t>
      </w:r>
      <w:r w:rsidR="00143652">
        <w:rPr>
          <w:rFonts w:ascii="Times New Roman" w:hAnsi="Times New Roman"/>
          <w:sz w:val="28"/>
          <w:szCs w:val="28"/>
          <w:lang w:val="ro-MD"/>
        </w:rPr>
        <w:t>7,6</w:t>
      </w:r>
      <w:r w:rsidRPr="00012CA3">
        <w:rPr>
          <w:rFonts w:ascii="Times New Roman" w:hAnsi="Times New Roman"/>
          <w:sz w:val="28"/>
          <w:szCs w:val="28"/>
          <w:lang w:val="ro-MD"/>
        </w:rPr>
        <w:t>% (</w:t>
      </w:r>
      <w:r w:rsidR="00330B34" w:rsidRPr="00012CA3">
        <w:rPr>
          <w:rFonts w:ascii="Times New Roman" w:hAnsi="Times New Roman"/>
          <w:sz w:val="28"/>
          <w:szCs w:val="28"/>
          <w:lang w:val="ro-MD"/>
        </w:rPr>
        <w:t>2 796,8</w:t>
      </w:r>
      <w:r w:rsidRPr="00012CA3">
        <w:rPr>
          <w:rFonts w:ascii="Times New Roman" w:hAnsi="Times New Roman"/>
          <w:sz w:val="28"/>
          <w:szCs w:val="28"/>
          <w:lang w:val="ro-MD"/>
        </w:rPr>
        <w:t xml:space="preserve"> mil. lei).</w:t>
      </w:r>
    </w:p>
    <w:p w:rsidR="00264711" w:rsidRPr="00012CA3" w:rsidRDefault="00374246" w:rsidP="00264711">
      <w:pPr>
        <w:spacing w:after="120" w:line="276" w:lineRule="auto"/>
        <w:ind w:firstLine="567"/>
        <w:contextualSpacing/>
        <w:jc w:val="both"/>
        <w:rPr>
          <w:rFonts w:ascii="Times New Roman" w:hAnsi="Times New Roman"/>
          <w:sz w:val="28"/>
          <w:szCs w:val="28"/>
          <w:lang w:val="ro-MD"/>
        </w:rPr>
      </w:pPr>
      <w:r w:rsidRPr="00012CA3">
        <w:rPr>
          <w:rFonts w:ascii="Times New Roman" w:hAnsi="Times New Roman"/>
          <w:sz w:val="28"/>
          <w:szCs w:val="28"/>
          <w:lang w:val="ro-MD"/>
        </w:rPr>
        <w:t>Comparativ cu semestrul I al anului 2024, în anul curent s-au majorat: încasările de la impozite și taxe cu 2 750,2 mil. lei sau cu 9,5% , încasările din granturi primite cu 2 287,8 mil.lei sau de 5 ori mai mult și încasările din alte venituri cu 453,9 mil.lei sau cu 24,7</w:t>
      </w:r>
      <w:r w:rsidR="004A6A88">
        <w:rPr>
          <w:rFonts w:ascii="Times New Roman" w:hAnsi="Times New Roman"/>
          <w:sz w:val="28"/>
          <w:szCs w:val="28"/>
          <w:lang w:val="ro-MD"/>
        </w:rPr>
        <w:t xml:space="preserve"> la sută</w:t>
      </w:r>
      <w:r w:rsidRPr="00012CA3">
        <w:rPr>
          <w:rFonts w:ascii="Times New Roman" w:hAnsi="Times New Roman"/>
          <w:sz w:val="28"/>
          <w:szCs w:val="28"/>
          <w:lang w:val="ro-MD"/>
        </w:rPr>
        <w:t xml:space="preserve">.  </w:t>
      </w:r>
    </w:p>
    <w:p w:rsidR="00264711" w:rsidRPr="00012CA3" w:rsidRDefault="00264711" w:rsidP="00264711">
      <w:pPr>
        <w:spacing w:after="120" w:line="276" w:lineRule="auto"/>
        <w:ind w:firstLine="567"/>
        <w:contextualSpacing/>
        <w:jc w:val="both"/>
      </w:pPr>
      <w:r w:rsidRPr="00012CA3">
        <w:rPr>
          <w:rFonts w:ascii="Times New Roman" w:hAnsi="Times New Roman"/>
          <w:sz w:val="28"/>
          <w:szCs w:val="28"/>
          <w:lang w:val="ro-MD"/>
        </w:rPr>
        <w:t xml:space="preserve"> Diagrama 4 prezintă evoluția principalelor tipuri de venituri ale bugetului de stat comparativ cu perioada similară a anului precedent.</w:t>
      </w:r>
    </w:p>
    <w:p w:rsidR="00C82F48" w:rsidRPr="00012CA3" w:rsidRDefault="00C82F48">
      <w:pPr>
        <w:pStyle w:val="Heading2"/>
        <w:spacing w:before="0"/>
        <w:jc w:val="center"/>
      </w:pPr>
      <w:r w:rsidRPr="00012CA3">
        <w:rPr>
          <w:rFonts w:ascii="Times New Roman" w:hAnsi="Times New Roman"/>
          <w:i/>
          <w:color w:val="323E4F"/>
          <w:sz w:val="28"/>
          <w:szCs w:val="24"/>
        </w:rPr>
        <w:lastRenderedPageBreak/>
        <w:t>Diagrama 4. Evoluția principalelor tipuri de venituri ale bugetului de stat</w:t>
      </w:r>
    </w:p>
    <w:p w:rsidR="00C82F48" w:rsidRPr="00012CA3" w:rsidRDefault="00C82F48">
      <w:pPr>
        <w:pStyle w:val="Heading2"/>
        <w:spacing w:before="0"/>
        <w:jc w:val="center"/>
      </w:pPr>
      <w:r w:rsidRPr="00012CA3">
        <w:rPr>
          <w:rFonts w:ascii="Times New Roman" w:hAnsi="Times New Roman"/>
          <w:i/>
          <w:color w:val="323E4F"/>
          <w:sz w:val="28"/>
          <w:szCs w:val="24"/>
        </w:rPr>
        <w:t>în semestrul I 202</w:t>
      </w:r>
      <w:r w:rsidR="00926BD6" w:rsidRPr="00012CA3">
        <w:rPr>
          <w:rFonts w:ascii="Times New Roman" w:hAnsi="Times New Roman"/>
          <w:i/>
          <w:color w:val="323E4F"/>
          <w:sz w:val="28"/>
          <w:szCs w:val="24"/>
        </w:rPr>
        <w:t>5</w:t>
      </w:r>
      <w:r w:rsidRPr="00012CA3">
        <w:rPr>
          <w:rFonts w:ascii="Times New Roman" w:hAnsi="Times New Roman"/>
          <w:i/>
          <w:color w:val="323E4F"/>
          <w:sz w:val="28"/>
          <w:szCs w:val="24"/>
        </w:rPr>
        <w:t xml:space="preserve"> comparativ cu semestrul I 202</w:t>
      </w:r>
      <w:r w:rsidR="00926BD6" w:rsidRPr="00012CA3">
        <w:rPr>
          <w:rFonts w:ascii="Times New Roman" w:hAnsi="Times New Roman"/>
          <w:i/>
          <w:color w:val="323E4F"/>
          <w:sz w:val="28"/>
          <w:szCs w:val="24"/>
        </w:rPr>
        <w:t>4</w:t>
      </w:r>
    </w:p>
    <w:p w:rsidR="00C82F48" w:rsidRPr="00012CA3" w:rsidRDefault="00792FFF" w:rsidP="00C16363">
      <w:pPr>
        <w:ind w:hanging="426"/>
        <w:rPr>
          <w:rFonts w:ascii="Times New Roman" w:hAnsi="Times New Roman"/>
          <w:b/>
          <w:i/>
          <w:sz w:val="28"/>
          <w:szCs w:val="28"/>
        </w:rPr>
      </w:pPr>
      <w:r>
        <w:rPr>
          <w:rFonts w:ascii="Times New Roman" w:hAnsi="Times New Roman"/>
          <w:b/>
          <w:i/>
          <w:noProof/>
          <w:sz w:val="28"/>
          <w:szCs w:val="28"/>
          <w:lang w:val="en-US" w:eastAsia="en-US"/>
        </w:rPr>
        <w:drawing>
          <wp:inline distT="0" distB="0" distL="0" distR="0">
            <wp:extent cx="5819775" cy="275018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9775" cy="2750185"/>
                    </a:xfrm>
                    <a:prstGeom prst="rect">
                      <a:avLst/>
                    </a:prstGeom>
                    <a:noFill/>
                  </pic:spPr>
                </pic:pic>
              </a:graphicData>
            </a:graphic>
          </wp:inline>
        </w:drawing>
      </w:r>
    </w:p>
    <w:p w:rsidR="00C82F48" w:rsidRPr="00012CA3" w:rsidRDefault="00C82F48">
      <w:pPr>
        <w:ind w:firstLine="708"/>
        <w:jc w:val="both"/>
      </w:pPr>
      <w:r w:rsidRPr="00012CA3">
        <w:rPr>
          <w:rFonts w:ascii="Times New Roman" w:hAnsi="Times New Roman"/>
          <w:b/>
          <w:i/>
          <w:sz w:val="28"/>
          <w:szCs w:val="28"/>
        </w:rPr>
        <w:t>Factorii care au influențat încasarea veniturilor bugetului de stat în semestrul I 202</w:t>
      </w:r>
      <w:r w:rsidR="008C4BEA" w:rsidRPr="00012CA3">
        <w:rPr>
          <w:rFonts w:ascii="Times New Roman" w:hAnsi="Times New Roman"/>
          <w:b/>
          <w:i/>
          <w:sz w:val="28"/>
          <w:szCs w:val="28"/>
        </w:rPr>
        <w:t>5</w:t>
      </w:r>
      <w:r w:rsidRPr="00012CA3">
        <w:rPr>
          <w:rFonts w:ascii="Times New Roman" w:hAnsi="Times New Roman"/>
          <w:b/>
          <w:i/>
          <w:sz w:val="28"/>
          <w:szCs w:val="28"/>
        </w:rPr>
        <w:t xml:space="preserve">    </w:t>
      </w:r>
    </w:p>
    <w:p w:rsidR="00B71013" w:rsidRPr="00012CA3" w:rsidRDefault="00B71013" w:rsidP="00B71013">
      <w:pPr>
        <w:ind w:firstLine="708"/>
        <w:jc w:val="both"/>
      </w:pPr>
      <w:r w:rsidRPr="00012CA3">
        <w:rPr>
          <w:rFonts w:ascii="Times New Roman" w:hAnsi="Times New Roman"/>
          <w:sz w:val="28"/>
          <w:szCs w:val="28"/>
        </w:rPr>
        <w:t xml:space="preserve">În continuare se prezintă </w:t>
      </w:r>
      <w:r w:rsidR="00A9786C" w:rsidRPr="00012CA3">
        <w:rPr>
          <w:rFonts w:ascii="Times New Roman" w:hAnsi="Times New Roman"/>
          <w:sz w:val="28"/>
          <w:szCs w:val="28"/>
        </w:rPr>
        <w:t xml:space="preserve">evoluția încasării principalelor tipuri de venituri și </w:t>
      </w:r>
      <w:r w:rsidRPr="00012CA3">
        <w:rPr>
          <w:rFonts w:ascii="Times New Roman" w:hAnsi="Times New Roman"/>
          <w:sz w:val="28"/>
          <w:szCs w:val="28"/>
        </w:rPr>
        <w:t>factori</w:t>
      </w:r>
      <w:r w:rsidR="00A9786C" w:rsidRPr="00012CA3">
        <w:rPr>
          <w:rFonts w:ascii="Times New Roman" w:hAnsi="Times New Roman"/>
          <w:sz w:val="28"/>
          <w:szCs w:val="28"/>
        </w:rPr>
        <w:t>i</w:t>
      </w:r>
      <w:r w:rsidRPr="00012CA3">
        <w:rPr>
          <w:rFonts w:ascii="Times New Roman" w:hAnsi="Times New Roman"/>
          <w:sz w:val="28"/>
          <w:szCs w:val="28"/>
        </w:rPr>
        <w:t xml:space="preserve"> </w:t>
      </w:r>
      <w:r w:rsidR="00A9786C" w:rsidRPr="00012CA3">
        <w:rPr>
          <w:rFonts w:ascii="Times New Roman" w:hAnsi="Times New Roman"/>
          <w:sz w:val="28"/>
          <w:szCs w:val="28"/>
        </w:rPr>
        <w:t xml:space="preserve">esențiali </w:t>
      </w:r>
      <w:r w:rsidRPr="00012CA3">
        <w:rPr>
          <w:rFonts w:ascii="Times New Roman" w:hAnsi="Times New Roman"/>
          <w:sz w:val="28"/>
          <w:szCs w:val="28"/>
        </w:rPr>
        <w:t xml:space="preserve">care au influențat evoluția </w:t>
      </w:r>
      <w:r w:rsidR="00A9786C" w:rsidRPr="00012CA3">
        <w:rPr>
          <w:rFonts w:ascii="Times New Roman" w:hAnsi="Times New Roman"/>
          <w:sz w:val="28"/>
          <w:szCs w:val="28"/>
        </w:rPr>
        <w:t>acestora</w:t>
      </w:r>
      <w:r w:rsidRPr="00012CA3">
        <w:rPr>
          <w:rFonts w:ascii="Times New Roman" w:hAnsi="Times New Roman"/>
          <w:sz w:val="28"/>
          <w:szCs w:val="28"/>
        </w:rPr>
        <w:t xml:space="preserve"> în semestrul I al anului 202</w:t>
      </w:r>
      <w:r w:rsidR="00CD3229" w:rsidRPr="00012CA3">
        <w:rPr>
          <w:rFonts w:ascii="Times New Roman" w:hAnsi="Times New Roman"/>
          <w:sz w:val="28"/>
          <w:szCs w:val="28"/>
        </w:rPr>
        <w:t>5</w:t>
      </w:r>
      <w:r w:rsidRPr="00012CA3">
        <w:rPr>
          <w:rFonts w:ascii="Times New Roman" w:hAnsi="Times New Roman"/>
          <w:sz w:val="28"/>
          <w:szCs w:val="28"/>
        </w:rPr>
        <w:t xml:space="preserve">, comparativ cu perioada similară a anului precedent. </w:t>
      </w:r>
    </w:p>
    <w:p w:rsidR="00C82F48" w:rsidRPr="00012CA3" w:rsidRDefault="00C82F48" w:rsidP="00197BF7">
      <w:pPr>
        <w:spacing w:line="276" w:lineRule="auto"/>
        <w:ind w:left="142" w:right="194" w:firstLine="284"/>
        <w:jc w:val="both"/>
      </w:pPr>
      <w:r w:rsidRPr="00012CA3">
        <w:rPr>
          <w:rFonts w:ascii="Times New Roman" w:hAnsi="Times New Roman"/>
          <w:b/>
          <w:i/>
          <w:sz w:val="28"/>
          <w:szCs w:val="28"/>
        </w:rPr>
        <w:t>Impozitul pe venitul persoanelor fizice</w:t>
      </w:r>
    </w:p>
    <w:p w:rsidR="0059376C" w:rsidRDefault="0059376C" w:rsidP="0059376C">
      <w:pPr>
        <w:spacing w:after="0" w:line="276" w:lineRule="auto"/>
        <w:ind w:left="142" w:right="193" w:firstLine="566"/>
        <w:contextualSpacing/>
        <w:jc w:val="both"/>
        <w:rPr>
          <w:rFonts w:ascii="Times New Roman" w:hAnsi="Times New Roman"/>
          <w:sz w:val="28"/>
          <w:szCs w:val="28"/>
        </w:rPr>
      </w:pPr>
      <w:r w:rsidRPr="00012CA3">
        <w:rPr>
          <w:rFonts w:ascii="Times New Roman" w:hAnsi="Times New Roman"/>
          <w:sz w:val="28"/>
          <w:szCs w:val="28"/>
        </w:rPr>
        <w:t>Încasările la bugetul de stat de la impozitul pe venitul persoanelor fizice în semestrul I 2025 față de perioada similară a anului 2024 s-au majorat cu 218,5 mil. lei sau cu 14,9 la sută.</w:t>
      </w:r>
    </w:p>
    <w:p w:rsidR="006A5A6F" w:rsidRPr="00012CA3" w:rsidRDefault="006A5A6F" w:rsidP="0059376C">
      <w:pPr>
        <w:spacing w:after="0" w:line="276" w:lineRule="auto"/>
        <w:ind w:left="142" w:right="193" w:firstLine="566"/>
        <w:contextualSpacing/>
        <w:jc w:val="both"/>
      </w:pPr>
    </w:p>
    <w:p w:rsidR="0059376C" w:rsidRPr="00DB7941" w:rsidRDefault="0059376C" w:rsidP="0059376C">
      <w:pPr>
        <w:spacing w:after="0" w:line="276" w:lineRule="auto"/>
        <w:ind w:left="142" w:right="193" w:firstLine="566"/>
        <w:contextualSpacing/>
        <w:jc w:val="both"/>
        <w:rPr>
          <w:rFonts w:ascii="Times New Roman" w:hAnsi="Times New Roman"/>
          <w:i/>
          <w:sz w:val="28"/>
          <w:szCs w:val="28"/>
        </w:rPr>
      </w:pPr>
      <w:r w:rsidRPr="00DB7941">
        <w:rPr>
          <w:rFonts w:ascii="Times New Roman" w:hAnsi="Times New Roman"/>
          <w:i/>
          <w:sz w:val="28"/>
          <w:szCs w:val="28"/>
        </w:rPr>
        <w:t>Factorii care reprezintă majorarea dată sunt:</w:t>
      </w:r>
    </w:p>
    <w:p w:rsidR="00B11A71" w:rsidRPr="00B11A71" w:rsidRDefault="00B11A71" w:rsidP="00B11A71">
      <w:pPr>
        <w:tabs>
          <w:tab w:val="left" w:pos="993"/>
        </w:tabs>
        <w:spacing w:after="0" w:line="276" w:lineRule="auto"/>
        <w:ind w:left="142" w:right="193" w:firstLine="566"/>
        <w:contextualSpacing/>
        <w:jc w:val="both"/>
        <w:rPr>
          <w:rFonts w:ascii="Times New Roman" w:hAnsi="Times New Roman"/>
          <w:sz w:val="28"/>
          <w:szCs w:val="28"/>
        </w:rPr>
      </w:pPr>
      <w:r w:rsidRPr="00865ED4">
        <w:rPr>
          <w:rFonts w:ascii="Times New Roman" w:hAnsi="Times New Roman"/>
          <w:sz w:val="28"/>
          <w:szCs w:val="28"/>
        </w:rPr>
        <w:t>•</w:t>
      </w:r>
      <w:r w:rsidR="00A745FC">
        <w:rPr>
          <w:rFonts w:ascii="Times New Roman" w:hAnsi="Times New Roman"/>
          <w:sz w:val="28"/>
          <w:szCs w:val="28"/>
        </w:rPr>
        <w:t xml:space="preserve"> </w:t>
      </w:r>
      <w:r w:rsidRPr="00B11A71">
        <w:rPr>
          <w:rFonts w:ascii="Times New Roman" w:hAnsi="Times New Roman"/>
          <w:sz w:val="28"/>
          <w:szCs w:val="28"/>
        </w:rPr>
        <w:t>creșterea fondului de remunerarea a muncii pe țară cu 12,5 la sută;</w:t>
      </w:r>
    </w:p>
    <w:p w:rsidR="00B11A71" w:rsidRPr="00B11A71" w:rsidRDefault="00B11A71" w:rsidP="00B11A71">
      <w:pPr>
        <w:tabs>
          <w:tab w:val="left" w:pos="1134"/>
        </w:tabs>
        <w:spacing w:after="0" w:line="276" w:lineRule="auto"/>
        <w:ind w:left="142" w:right="193" w:firstLine="566"/>
        <w:contextualSpacing/>
        <w:jc w:val="both"/>
        <w:rPr>
          <w:rFonts w:ascii="Times New Roman" w:hAnsi="Times New Roman"/>
          <w:sz w:val="28"/>
          <w:szCs w:val="28"/>
        </w:rPr>
      </w:pPr>
      <w:r w:rsidRPr="00B11A71">
        <w:rPr>
          <w:rFonts w:ascii="Times New Roman" w:hAnsi="Times New Roman"/>
          <w:sz w:val="28"/>
          <w:szCs w:val="28"/>
        </w:rPr>
        <w:t>•</w:t>
      </w:r>
      <w:r w:rsidR="003504D9">
        <w:rPr>
          <w:rFonts w:ascii="Times New Roman" w:hAnsi="Times New Roman"/>
          <w:sz w:val="28"/>
          <w:szCs w:val="28"/>
        </w:rPr>
        <w:t xml:space="preserve"> </w:t>
      </w:r>
      <w:r w:rsidRPr="00B11A71">
        <w:rPr>
          <w:rFonts w:ascii="Times New Roman" w:hAnsi="Times New Roman"/>
          <w:sz w:val="28"/>
          <w:szCs w:val="28"/>
        </w:rPr>
        <w:t>creșterea salariului mediu lunar nominal brut cu 10,6% în trimestrul I al anului 2025, în valoare nominală constituind suma de 14 567,5 lei. În sectorul bugetar câștigul salarial mediu lunar în trimestrul I 2025 a crescut cu 13,2%, iar în sectorul real –  cu 9,8% față de perioada similară a anului precedent.</w:t>
      </w:r>
    </w:p>
    <w:p w:rsidR="00B11A71" w:rsidRPr="00012CA3" w:rsidRDefault="00B11A71" w:rsidP="00B11A71">
      <w:pPr>
        <w:tabs>
          <w:tab w:val="left" w:pos="1134"/>
        </w:tabs>
        <w:spacing w:after="0" w:line="276" w:lineRule="auto"/>
        <w:ind w:left="142" w:right="193" w:firstLine="566"/>
        <w:contextualSpacing/>
        <w:jc w:val="both"/>
      </w:pPr>
      <w:r w:rsidRPr="00B11A71">
        <w:rPr>
          <w:rFonts w:ascii="Times New Roman" w:hAnsi="Times New Roman"/>
          <w:sz w:val="28"/>
          <w:szCs w:val="28"/>
        </w:rPr>
        <w:t xml:space="preserve"> • rezultatele obținute din prezentarea declarațiilor pe venit pentru anul 2024 (+43,8%).</w:t>
      </w:r>
    </w:p>
    <w:p w:rsidR="00C82F48" w:rsidRPr="00700C12" w:rsidRDefault="00C82F48" w:rsidP="00700C12">
      <w:pPr>
        <w:pStyle w:val="12"/>
        <w:spacing w:after="0"/>
        <w:ind w:left="7791" w:firstLine="709"/>
        <w:jc w:val="right"/>
        <w:rPr>
          <w:rFonts w:ascii="Times New Roman" w:hAnsi="Times New Roman"/>
        </w:rPr>
      </w:pPr>
      <w:r w:rsidRPr="00700C12">
        <w:rPr>
          <w:rFonts w:ascii="Times New Roman" w:hAnsi="Times New Roman"/>
        </w:rPr>
        <w:t>mil.lei</w:t>
      </w:r>
    </w:p>
    <w:tbl>
      <w:tblPr>
        <w:tblW w:w="0" w:type="auto"/>
        <w:jc w:val="center"/>
        <w:tblLayout w:type="fixed"/>
        <w:tblLook w:val="0000" w:firstRow="0" w:lastRow="0" w:firstColumn="0" w:lastColumn="0" w:noHBand="0" w:noVBand="0"/>
      </w:tblPr>
      <w:tblGrid>
        <w:gridCol w:w="4687"/>
        <w:gridCol w:w="1222"/>
        <w:gridCol w:w="1235"/>
        <w:gridCol w:w="1026"/>
        <w:gridCol w:w="1125"/>
      </w:tblGrid>
      <w:tr w:rsidR="006A4ECD" w:rsidRPr="003264FF" w:rsidTr="00494DE5">
        <w:trPr>
          <w:trHeight w:val="213"/>
          <w:tblHeader/>
          <w:jc w:val="center"/>
        </w:trPr>
        <w:tc>
          <w:tcPr>
            <w:tcW w:w="4687" w:type="dxa"/>
            <w:vMerge w:val="restart"/>
            <w:tcBorders>
              <w:top w:val="single" w:sz="4" w:space="0" w:color="000000"/>
              <w:left w:val="single" w:sz="4" w:space="0" w:color="000000"/>
              <w:bottom w:val="single" w:sz="4" w:space="0" w:color="000000"/>
              <w:right w:val="single" w:sz="4" w:space="0" w:color="000000"/>
            </w:tcBorders>
            <w:shd w:val="clear" w:color="auto" w:fill="E5E5E5"/>
            <w:vAlign w:val="bottom"/>
          </w:tcPr>
          <w:p w:rsidR="006A4ECD" w:rsidRPr="003264FF" w:rsidRDefault="006A4ECD" w:rsidP="00494DE5">
            <w:pPr>
              <w:snapToGrid w:val="0"/>
              <w:spacing w:after="0" w:line="240" w:lineRule="auto"/>
              <w:jc w:val="center"/>
              <w:rPr>
                <w:rFonts w:ascii="Times New Roman" w:hAnsi="Times New Roman"/>
                <w:color w:val="000000"/>
                <w:lang w:eastAsia="ro-RO"/>
              </w:rPr>
            </w:pPr>
          </w:p>
        </w:tc>
        <w:tc>
          <w:tcPr>
            <w:tcW w:w="1222" w:type="dxa"/>
            <w:tcBorders>
              <w:top w:val="single" w:sz="4" w:space="0" w:color="000000"/>
              <w:bottom w:val="single" w:sz="4" w:space="0" w:color="000000"/>
              <w:right w:val="single" w:sz="4" w:space="0" w:color="000000"/>
            </w:tcBorders>
            <w:shd w:val="clear" w:color="auto" w:fill="E5E5E5"/>
            <w:vAlign w:val="bottom"/>
          </w:tcPr>
          <w:p w:rsidR="006A4ECD" w:rsidRPr="003264FF" w:rsidRDefault="006A4ECD" w:rsidP="00494DE5">
            <w:pPr>
              <w:spacing w:after="0" w:line="240" w:lineRule="auto"/>
              <w:jc w:val="center"/>
            </w:pPr>
            <w:r w:rsidRPr="003264FF">
              <w:rPr>
                <w:rFonts w:ascii="Times New Roman" w:hAnsi="Times New Roman"/>
                <w:b/>
                <w:i/>
                <w:color w:val="000000"/>
                <w:lang w:eastAsia="ro-RO"/>
              </w:rPr>
              <w:t>2024</w:t>
            </w:r>
          </w:p>
        </w:tc>
        <w:tc>
          <w:tcPr>
            <w:tcW w:w="1235" w:type="dxa"/>
            <w:tcBorders>
              <w:top w:val="single" w:sz="4" w:space="0" w:color="000000"/>
              <w:bottom w:val="single" w:sz="4" w:space="0" w:color="000000"/>
              <w:right w:val="single" w:sz="4" w:space="0" w:color="000000"/>
            </w:tcBorders>
            <w:shd w:val="clear" w:color="auto" w:fill="E5E5E5"/>
            <w:vAlign w:val="bottom"/>
          </w:tcPr>
          <w:p w:rsidR="006A4ECD" w:rsidRPr="003264FF" w:rsidRDefault="006A4ECD" w:rsidP="00494DE5">
            <w:pPr>
              <w:spacing w:after="0" w:line="240" w:lineRule="auto"/>
              <w:jc w:val="center"/>
            </w:pPr>
            <w:r w:rsidRPr="003264FF">
              <w:rPr>
                <w:rFonts w:ascii="Times New Roman" w:hAnsi="Times New Roman"/>
                <w:b/>
                <w:i/>
                <w:color w:val="000000"/>
                <w:lang w:eastAsia="ro-RO"/>
              </w:rPr>
              <w:t>2025</w:t>
            </w:r>
          </w:p>
        </w:tc>
        <w:tc>
          <w:tcPr>
            <w:tcW w:w="2151" w:type="dxa"/>
            <w:gridSpan w:val="2"/>
            <w:tcBorders>
              <w:top w:val="single" w:sz="4" w:space="0" w:color="000000"/>
              <w:bottom w:val="single" w:sz="4" w:space="0" w:color="000000"/>
              <w:right w:val="single" w:sz="4" w:space="0" w:color="000000"/>
            </w:tcBorders>
            <w:shd w:val="clear" w:color="auto" w:fill="E5E5E5"/>
            <w:vAlign w:val="bottom"/>
          </w:tcPr>
          <w:p w:rsidR="006A4ECD" w:rsidRPr="003264FF" w:rsidRDefault="006A4ECD" w:rsidP="00494DE5">
            <w:pPr>
              <w:spacing w:after="0" w:line="240" w:lineRule="auto"/>
              <w:jc w:val="center"/>
            </w:pPr>
            <w:r w:rsidRPr="003264FF">
              <w:rPr>
                <w:rFonts w:ascii="Times New Roman" w:hAnsi="Times New Roman"/>
                <w:b/>
                <w:i/>
                <w:color w:val="000000"/>
                <w:lang w:eastAsia="ro-RO"/>
              </w:rPr>
              <w:t>devieri</w:t>
            </w:r>
          </w:p>
        </w:tc>
      </w:tr>
      <w:tr w:rsidR="006A4ECD" w:rsidRPr="003264FF" w:rsidTr="00494DE5">
        <w:trPr>
          <w:trHeight w:val="114"/>
          <w:tblHeader/>
          <w:jc w:val="center"/>
        </w:trPr>
        <w:tc>
          <w:tcPr>
            <w:tcW w:w="4687" w:type="dxa"/>
            <w:vMerge/>
            <w:tcBorders>
              <w:top w:val="single" w:sz="4" w:space="0" w:color="000000"/>
              <w:left w:val="single" w:sz="4" w:space="0" w:color="000000"/>
              <w:bottom w:val="single" w:sz="4" w:space="0" w:color="000000"/>
              <w:right w:val="single" w:sz="4" w:space="0" w:color="000000"/>
            </w:tcBorders>
            <w:shd w:val="clear" w:color="auto" w:fill="E5E5E5"/>
            <w:vAlign w:val="bottom"/>
          </w:tcPr>
          <w:p w:rsidR="006A4ECD" w:rsidRPr="003264FF" w:rsidRDefault="006A4ECD" w:rsidP="00494DE5">
            <w:pPr>
              <w:snapToGrid w:val="0"/>
              <w:spacing w:after="0" w:line="240" w:lineRule="auto"/>
              <w:jc w:val="center"/>
              <w:rPr>
                <w:rFonts w:ascii="Times New Roman" w:hAnsi="Times New Roman"/>
                <w:b/>
                <w:i/>
                <w:color w:val="000000"/>
                <w:lang w:eastAsia="ro-RO"/>
              </w:rPr>
            </w:pPr>
          </w:p>
        </w:tc>
        <w:tc>
          <w:tcPr>
            <w:tcW w:w="2457" w:type="dxa"/>
            <w:gridSpan w:val="2"/>
            <w:tcBorders>
              <w:top w:val="single" w:sz="4" w:space="0" w:color="000000"/>
              <w:bottom w:val="single" w:sz="4" w:space="0" w:color="000000"/>
              <w:right w:val="single" w:sz="4" w:space="0" w:color="000000"/>
            </w:tcBorders>
            <w:shd w:val="clear" w:color="auto" w:fill="E5E5E5"/>
            <w:vAlign w:val="center"/>
          </w:tcPr>
          <w:p w:rsidR="006A4ECD" w:rsidRPr="003264FF" w:rsidRDefault="006A4ECD" w:rsidP="00494DE5">
            <w:pPr>
              <w:spacing w:after="0" w:line="240" w:lineRule="auto"/>
              <w:jc w:val="center"/>
            </w:pPr>
            <w:r w:rsidRPr="003264FF">
              <w:rPr>
                <w:rFonts w:ascii="Times New Roman" w:hAnsi="Times New Roman"/>
                <w:color w:val="000000"/>
                <w:lang w:eastAsia="ro-RO"/>
              </w:rPr>
              <w:t>semestrul I</w:t>
            </w:r>
          </w:p>
        </w:tc>
        <w:tc>
          <w:tcPr>
            <w:tcW w:w="1026" w:type="dxa"/>
            <w:tcBorders>
              <w:bottom w:val="single" w:sz="4" w:space="0" w:color="000000"/>
              <w:right w:val="single" w:sz="4" w:space="0" w:color="000000"/>
            </w:tcBorders>
            <w:shd w:val="clear" w:color="auto" w:fill="E5E5E5"/>
            <w:vAlign w:val="center"/>
          </w:tcPr>
          <w:p w:rsidR="006A4ECD" w:rsidRPr="003264FF" w:rsidRDefault="006A4ECD" w:rsidP="00494DE5">
            <w:pPr>
              <w:spacing w:after="0" w:line="240" w:lineRule="auto"/>
              <w:jc w:val="center"/>
            </w:pPr>
            <w:r w:rsidRPr="003264FF">
              <w:rPr>
                <w:rFonts w:ascii="Times New Roman" w:hAnsi="Times New Roman"/>
                <w:color w:val="000000"/>
                <w:lang w:eastAsia="ro-RO"/>
              </w:rPr>
              <w:t>+,-</w:t>
            </w:r>
          </w:p>
        </w:tc>
        <w:tc>
          <w:tcPr>
            <w:tcW w:w="1125" w:type="dxa"/>
            <w:tcBorders>
              <w:bottom w:val="single" w:sz="4" w:space="0" w:color="000000"/>
              <w:right w:val="single" w:sz="4" w:space="0" w:color="000000"/>
            </w:tcBorders>
            <w:shd w:val="clear" w:color="auto" w:fill="E5E5E5"/>
            <w:vAlign w:val="center"/>
          </w:tcPr>
          <w:p w:rsidR="006A4ECD" w:rsidRPr="003264FF" w:rsidRDefault="006A4ECD" w:rsidP="00494DE5">
            <w:pPr>
              <w:spacing w:after="0" w:line="240" w:lineRule="auto"/>
              <w:jc w:val="center"/>
            </w:pPr>
            <w:r w:rsidRPr="003264FF">
              <w:rPr>
                <w:rFonts w:ascii="Times New Roman" w:hAnsi="Times New Roman"/>
                <w:color w:val="000000"/>
                <w:lang w:eastAsia="ro-RO"/>
              </w:rPr>
              <w:t>%</w:t>
            </w:r>
          </w:p>
        </w:tc>
      </w:tr>
      <w:tr w:rsidR="006A4ECD" w:rsidRPr="003264FF" w:rsidTr="00494DE5">
        <w:trPr>
          <w:trHeight w:val="394"/>
          <w:jc w:val="center"/>
        </w:trPr>
        <w:tc>
          <w:tcPr>
            <w:tcW w:w="4687" w:type="dxa"/>
            <w:tcBorders>
              <w:left w:val="single" w:sz="4" w:space="0" w:color="000000"/>
              <w:bottom w:val="single" w:sz="4" w:space="0" w:color="000000"/>
              <w:right w:val="single" w:sz="4" w:space="0" w:color="000000"/>
            </w:tcBorders>
            <w:shd w:val="clear" w:color="auto" w:fill="auto"/>
            <w:vAlign w:val="center"/>
          </w:tcPr>
          <w:p w:rsidR="006A4ECD" w:rsidRPr="003264FF" w:rsidRDefault="006A4ECD" w:rsidP="00494DE5">
            <w:pPr>
              <w:spacing w:after="0" w:line="240" w:lineRule="auto"/>
            </w:pPr>
            <w:r w:rsidRPr="003264FF">
              <w:rPr>
                <w:rFonts w:ascii="Times New Roman" w:hAnsi="Times New Roman"/>
                <w:b/>
                <w:bCs/>
                <w:iCs/>
                <w:color w:val="000000"/>
                <w:lang w:eastAsia="ro-RO"/>
              </w:rPr>
              <w:t>Impozitul pe venitul persoanelor fizice</w:t>
            </w:r>
          </w:p>
        </w:tc>
        <w:tc>
          <w:tcPr>
            <w:tcW w:w="1222" w:type="dxa"/>
            <w:tcBorders>
              <w:bottom w:val="single" w:sz="4" w:space="0" w:color="000000"/>
              <w:right w:val="single" w:sz="4" w:space="0" w:color="000000"/>
            </w:tcBorders>
            <w:shd w:val="clear" w:color="auto" w:fill="auto"/>
            <w:vAlign w:val="center"/>
          </w:tcPr>
          <w:p w:rsidR="006A4ECD" w:rsidRPr="003264FF" w:rsidRDefault="006A4ECD" w:rsidP="00494DE5">
            <w:pPr>
              <w:spacing w:after="0" w:line="240" w:lineRule="auto"/>
              <w:jc w:val="center"/>
            </w:pPr>
            <w:r w:rsidRPr="003264FF">
              <w:rPr>
                <w:rFonts w:ascii="Times New Roman" w:hAnsi="Times New Roman"/>
                <w:color w:val="000000"/>
                <w:lang w:eastAsia="ro-RO"/>
              </w:rPr>
              <w:t>1 461,8</w:t>
            </w:r>
          </w:p>
        </w:tc>
        <w:tc>
          <w:tcPr>
            <w:tcW w:w="1235" w:type="dxa"/>
            <w:tcBorders>
              <w:bottom w:val="single" w:sz="4" w:space="0" w:color="000000"/>
              <w:right w:val="single" w:sz="4" w:space="0" w:color="000000"/>
            </w:tcBorders>
            <w:shd w:val="clear" w:color="auto" w:fill="auto"/>
            <w:vAlign w:val="center"/>
          </w:tcPr>
          <w:p w:rsidR="006A4ECD" w:rsidRPr="003264FF" w:rsidRDefault="006A4ECD" w:rsidP="00494DE5">
            <w:pPr>
              <w:spacing w:after="0" w:line="240" w:lineRule="auto"/>
              <w:jc w:val="center"/>
            </w:pPr>
            <w:r w:rsidRPr="003264FF">
              <w:rPr>
                <w:rFonts w:ascii="Times New Roman" w:hAnsi="Times New Roman"/>
                <w:color w:val="000000"/>
                <w:lang w:eastAsia="ro-RO"/>
              </w:rPr>
              <w:t>1 680,3</w:t>
            </w:r>
          </w:p>
        </w:tc>
        <w:tc>
          <w:tcPr>
            <w:tcW w:w="1026" w:type="dxa"/>
            <w:tcBorders>
              <w:bottom w:val="single" w:sz="4" w:space="0" w:color="000000"/>
              <w:right w:val="single" w:sz="4" w:space="0" w:color="000000"/>
            </w:tcBorders>
            <w:shd w:val="clear" w:color="auto" w:fill="auto"/>
            <w:vAlign w:val="center"/>
          </w:tcPr>
          <w:p w:rsidR="006A4ECD" w:rsidRPr="003264FF" w:rsidRDefault="006A4ECD" w:rsidP="00494DE5">
            <w:pPr>
              <w:spacing w:after="0" w:line="240" w:lineRule="auto"/>
              <w:jc w:val="center"/>
            </w:pPr>
            <w:r w:rsidRPr="003264FF">
              <w:rPr>
                <w:rFonts w:ascii="Times New Roman" w:hAnsi="Times New Roman"/>
                <w:color w:val="000000"/>
                <w:lang w:eastAsia="ro-RO"/>
              </w:rPr>
              <w:t>218,5</w:t>
            </w:r>
          </w:p>
        </w:tc>
        <w:tc>
          <w:tcPr>
            <w:tcW w:w="1125" w:type="dxa"/>
            <w:tcBorders>
              <w:bottom w:val="single" w:sz="4" w:space="0" w:color="000000"/>
              <w:right w:val="single" w:sz="4" w:space="0" w:color="000000"/>
            </w:tcBorders>
            <w:shd w:val="clear" w:color="auto" w:fill="auto"/>
            <w:vAlign w:val="center"/>
          </w:tcPr>
          <w:p w:rsidR="006A4ECD" w:rsidRPr="003264FF" w:rsidRDefault="006A4ECD" w:rsidP="00494DE5">
            <w:pPr>
              <w:spacing w:after="0" w:line="240" w:lineRule="auto"/>
              <w:jc w:val="center"/>
            </w:pPr>
            <w:r w:rsidRPr="003264FF">
              <w:rPr>
                <w:rFonts w:ascii="Times New Roman" w:hAnsi="Times New Roman"/>
                <w:color w:val="000000"/>
                <w:lang w:eastAsia="ro-RO"/>
              </w:rPr>
              <w:t>114,9</w:t>
            </w:r>
          </w:p>
        </w:tc>
      </w:tr>
    </w:tbl>
    <w:p w:rsidR="009F768B" w:rsidRDefault="009F768B" w:rsidP="000956CD">
      <w:pPr>
        <w:ind w:firstLine="426"/>
        <w:jc w:val="both"/>
        <w:rPr>
          <w:rFonts w:ascii="Times New Roman" w:hAnsi="Times New Roman"/>
          <w:b/>
          <w:bCs/>
          <w:i/>
          <w:sz w:val="28"/>
          <w:szCs w:val="28"/>
        </w:rPr>
      </w:pPr>
    </w:p>
    <w:p w:rsidR="006A5A6F" w:rsidRDefault="006A5A6F" w:rsidP="000956CD">
      <w:pPr>
        <w:ind w:firstLine="426"/>
        <w:jc w:val="both"/>
        <w:rPr>
          <w:rFonts w:ascii="Times New Roman" w:hAnsi="Times New Roman"/>
          <w:b/>
          <w:bCs/>
          <w:i/>
          <w:sz w:val="28"/>
          <w:szCs w:val="28"/>
        </w:rPr>
      </w:pPr>
    </w:p>
    <w:p w:rsidR="00C82F48" w:rsidRPr="00012CA3" w:rsidRDefault="00C82F48" w:rsidP="000956CD">
      <w:pPr>
        <w:ind w:firstLine="426"/>
        <w:jc w:val="both"/>
      </w:pPr>
      <w:r w:rsidRPr="00012CA3">
        <w:rPr>
          <w:rFonts w:ascii="Times New Roman" w:hAnsi="Times New Roman"/>
          <w:b/>
          <w:bCs/>
          <w:i/>
          <w:sz w:val="28"/>
          <w:szCs w:val="28"/>
        </w:rPr>
        <w:lastRenderedPageBreak/>
        <w:t>Impozitul pe venitul persoanelor juridice</w:t>
      </w:r>
    </w:p>
    <w:p w:rsidR="006E2133" w:rsidRDefault="001F30F4" w:rsidP="006E2133">
      <w:pPr>
        <w:ind w:firstLine="708"/>
        <w:jc w:val="both"/>
        <w:rPr>
          <w:rFonts w:ascii="Times New Roman" w:hAnsi="Times New Roman"/>
          <w:sz w:val="28"/>
          <w:szCs w:val="28"/>
          <w:lang w:val="ro-MD"/>
        </w:rPr>
      </w:pPr>
      <w:r w:rsidRPr="00012CA3">
        <w:rPr>
          <w:rFonts w:ascii="Times New Roman" w:hAnsi="Times New Roman"/>
          <w:sz w:val="28"/>
          <w:szCs w:val="28"/>
          <w:lang w:val="ro-MD"/>
        </w:rPr>
        <w:t>În primele 6 luni ale anului 2025 încasările din impozitul pe venitul persoanelor juridice a constituit suma de 4 887,9 mil.lei, înregistrând o creștere cu 159,9 mil.lei sau +3,4% față de perioada similară a anului precedent.</w:t>
      </w:r>
      <w:r w:rsidR="006E2133" w:rsidRPr="00012CA3">
        <w:rPr>
          <w:rFonts w:ascii="Times New Roman" w:hAnsi="Times New Roman"/>
          <w:sz w:val="28"/>
          <w:szCs w:val="28"/>
          <w:lang w:val="ro-MD"/>
        </w:rPr>
        <w:t xml:space="preserve"> </w:t>
      </w:r>
    </w:p>
    <w:p w:rsidR="00C82F48" w:rsidRPr="00700C12" w:rsidRDefault="00C82F48" w:rsidP="00700C12">
      <w:pPr>
        <w:pStyle w:val="12"/>
        <w:spacing w:after="0"/>
        <w:ind w:left="7791" w:firstLine="709"/>
        <w:jc w:val="right"/>
        <w:rPr>
          <w:rFonts w:ascii="Times New Roman" w:hAnsi="Times New Roman"/>
        </w:rPr>
      </w:pPr>
      <w:r w:rsidRPr="00700C12">
        <w:rPr>
          <w:rFonts w:ascii="Times New Roman" w:hAnsi="Times New Roman"/>
        </w:rPr>
        <w:t>mil.lei</w:t>
      </w:r>
    </w:p>
    <w:tbl>
      <w:tblPr>
        <w:tblW w:w="9603" w:type="dxa"/>
        <w:jc w:val="center"/>
        <w:tblLayout w:type="fixed"/>
        <w:tblLook w:val="0000" w:firstRow="0" w:lastRow="0" w:firstColumn="0" w:lastColumn="0" w:noHBand="0" w:noVBand="0"/>
      </w:tblPr>
      <w:tblGrid>
        <w:gridCol w:w="5255"/>
        <w:gridCol w:w="1260"/>
        <w:gridCol w:w="1080"/>
        <w:gridCol w:w="1081"/>
        <w:gridCol w:w="927"/>
      </w:tblGrid>
      <w:tr w:rsidR="00C9273A" w:rsidRPr="00E25346" w:rsidTr="00021461">
        <w:trPr>
          <w:trHeight w:val="63"/>
          <w:tblHeader/>
          <w:jc w:val="center"/>
        </w:trPr>
        <w:tc>
          <w:tcPr>
            <w:tcW w:w="5255" w:type="dxa"/>
            <w:vMerge w:val="restart"/>
            <w:tcBorders>
              <w:top w:val="single" w:sz="4" w:space="0" w:color="000000"/>
              <w:left w:val="single" w:sz="4" w:space="0" w:color="000000"/>
              <w:bottom w:val="single" w:sz="4" w:space="0" w:color="000000"/>
              <w:right w:val="single" w:sz="4" w:space="0" w:color="000000"/>
            </w:tcBorders>
            <w:shd w:val="clear" w:color="auto" w:fill="E5E5E5"/>
            <w:vAlign w:val="bottom"/>
          </w:tcPr>
          <w:p w:rsidR="00C9273A" w:rsidRPr="00E25346" w:rsidRDefault="00C9273A" w:rsidP="00494DE5">
            <w:pPr>
              <w:spacing w:after="0" w:line="240" w:lineRule="auto"/>
              <w:jc w:val="center"/>
            </w:pPr>
            <w:r w:rsidRPr="00E25346">
              <w:rPr>
                <w:rFonts w:ascii="Times New Roman" w:hAnsi="Times New Roman"/>
                <w:color w:val="000000"/>
                <w:lang w:eastAsia="ro-RO"/>
              </w:rPr>
              <w:t> </w:t>
            </w:r>
          </w:p>
        </w:tc>
        <w:tc>
          <w:tcPr>
            <w:tcW w:w="1260" w:type="dxa"/>
            <w:tcBorders>
              <w:top w:val="single" w:sz="4" w:space="0" w:color="000000"/>
              <w:bottom w:val="single" w:sz="4" w:space="0" w:color="000000"/>
              <w:right w:val="single" w:sz="4" w:space="0" w:color="000000"/>
            </w:tcBorders>
            <w:shd w:val="clear" w:color="auto" w:fill="E5E5E5"/>
            <w:vAlign w:val="bottom"/>
          </w:tcPr>
          <w:p w:rsidR="00C9273A" w:rsidRPr="00E25346" w:rsidRDefault="00C9273A" w:rsidP="00494DE5">
            <w:pPr>
              <w:spacing w:after="0" w:line="240" w:lineRule="auto"/>
              <w:jc w:val="center"/>
            </w:pPr>
            <w:r w:rsidRPr="00E25346">
              <w:rPr>
                <w:rFonts w:ascii="Times New Roman" w:hAnsi="Times New Roman"/>
                <w:b/>
                <w:i/>
                <w:color w:val="000000"/>
                <w:lang w:eastAsia="ro-RO"/>
              </w:rPr>
              <w:t>2024</w:t>
            </w:r>
          </w:p>
        </w:tc>
        <w:tc>
          <w:tcPr>
            <w:tcW w:w="1080" w:type="dxa"/>
            <w:tcBorders>
              <w:top w:val="single" w:sz="4" w:space="0" w:color="000000"/>
              <w:bottom w:val="single" w:sz="4" w:space="0" w:color="000000"/>
              <w:right w:val="single" w:sz="4" w:space="0" w:color="000000"/>
            </w:tcBorders>
            <w:shd w:val="clear" w:color="auto" w:fill="E5E5E5"/>
            <w:vAlign w:val="bottom"/>
          </w:tcPr>
          <w:p w:rsidR="00C9273A" w:rsidRPr="00E25346" w:rsidRDefault="00C9273A" w:rsidP="00494DE5">
            <w:pPr>
              <w:spacing w:after="0" w:line="240" w:lineRule="auto"/>
              <w:jc w:val="center"/>
            </w:pPr>
            <w:r w:rsidRPr="00E25346">
              <w:rPr>
                <w:rFonts w:ascii="Times New Roman" w:hAnsi="Times New Roman"/>
                <w:b/>
                <w:i/>
                <w:color w:val="000000"/>
                <w:lang w:eastAsia="ro-RO"/>
              </w:rPr>
              <w:t>2025</w:t>
            </w:r>
          </w:p>
        </w:tc>
        <w:tc>
          <w:tcPr>
            <w:tcW w:w="2008" w:type="dxa"/>
            <w:gridSpan w:val="2"/>
            <w:tcBorders>
              <w:top w:val="single" w:sz="4" w:space="0" w:color="000000"/>
              <w:bottom w:val="single" w:sz="4" w:space="0" w:color="000000"/>
              <w:right w:val="single" w:sz="4" w:space="0" w:color="000000"/>
            </w:tcBorders>
            <w:shd w:val="clear" w:color="auto" w:fill="E5E5E5"/>
            <w:vAlign w:val="bottom"/>
          </w:tcPr>
          <w:p w:rsidR="00C9273A" w:rsidRPr="00E25346" w:rsidRDefault="00C9273A" w:rsidP="00494DE5">
            <w:pPr>
              <w:spacing w:after="0" w:line="240" w:lineRule="auto"/>
              <w:jc w:val="center"/>
            </w:pPr>
            <w:r w:rsidRPr="00E25346">
              <w:rPr>
                <w:rFonts w:ascii="Times New Roman" w:hAnsi="Times New Roman"/>
                <w:b/>
                <w:i/>
                <w:color w:val="000000"/>
                <w:lang w:eastAsia="ro-RO"/>
              </w:rPr>
              <w:t>devieri</w:t>
            </w:r>
          </w:p>
        </w:tc>
      </w:tr>
      <w:tr w:rsidR="00C9273A" w:rsidRPr="00E25346" w:rsidTr="00021461">
        <w:trPr>
          <w:trHeight w:val="112"/>
          <w:tblHeader/>
          <w:jc w:val="center"/>
        </w:trPr>
        <w:tc>
          <w:tcPr>
            <w:tcW w:w="5255" w:type="dxa"/>
            <w:vMerge/>
            <w:tcBorders>
              <w:top w:val="single" w:sz="4" w:space="0" w:color="000000"/>
              <w:left w:val="single" w:sz="4" w:space="0" w:color="000000"/>
              <w:bottom w:val="single" w:sz="4" w:space="0" w:color="000000"/>
              <w:right w:val="single" w:sz="4" w:space="0" w:color="000000"/>
            </w:tcBorders>
            <w:shd w:val="clear" w:color="auto" w:fill="E5E5E5"/>
            <w:vAlign w:val="bottom"/>
          </w:tcPr>
          <w:p w:rsidR="00C9273A" w:rsidRPr="00E25346" w:rsidRDefault="00C9273A" w:rsidP="00494DE5">
            <w:pPr>
              <w:snapToGrid w:val="0"/>
              <w:spacing w:after="0" w:line="240" w:lineRule="auto"/>
              <w:rPr>
                <w:rFonts w:ascii="Times New Roman" w:hAnsi="Times New Roman"/>
                <w:b/>
                <w:i/>
                <w:color w:val="000000"/>
                <w:lang w:eastAsia="ro-RO"/>
              </w:rPr>
            </w:pPr>
          </w:p>
        </w:tc>
        <w:tc>
          <w:tcPr>
            <w:tcW w:w="2340" w:type="dxa"/>
            <w:gridSpan w:val="2"/>
            <w:tcBorders>
              <w:top w:val="single" w:sz="4" w:space="0" w:color="000000"/>
              <w:bottom w:val="single" w:sz="4" w:space="0" w:color="000000"/>
              <w:right w:val="single" w:sz="4" w:space="0" w:color="000000"/>
            </w:tcBorders>
            <w:shd w:val="clear" w:color="auto" w:fill="E5E5E5"/>
            <w:vAlign w:val="center"/>
          </w:tcPr>
          <w:p w:rsidR="00C9273A" w:rsidRPr="00E25346" w:rsidRDefault="00C9273A" w:rsidP="00494DE5">
            <w:pPr>
              <w:spacing w:after="0" w:line="240" w:lineRule="auto"/>
              <w:jc w:val="center"/>
            </w:pPr>
            <w:r w:rsidRPr="00E25346">
              <w:rPr>
                <w:rFonts w:ascii="Times New Roman" w:hAnsi="Times New Roman"/>
                <w:color w:val="000000"/>
                <w:lang w:eastAsia="ro-RO"/>
              </w:rPr>
              <w:t>semestrul I</w:t>
            </w:r>
          </w:p>
        </w:tc>
        <w:tc>
          <w:tcPr>
            <w:tcW w:w="1081" w:type="dxa"/>
            <w:tcBorders>
              <w:bottom w:val="single" w:sz="4" w:space="0" w:color="000000"/>
              <w:right w:val="single" w:sz="4" w:space="0" w:color="000000"/>
            </w:tcBorders>
            <w:shd w:val="clear" w:color="auto" w:fill="E5E5E5"/>
            <w:vAlign w:val="center"/>
          </w:tcPr>
          <w:p w:rsidR="00C9273A" w:rsidRPr="00E25346" w:rsidRDefault="00C9273A" w:rsidP="00494DE5">
            <w:pPr>
              <w:spacing w:after="0" w:line="240" w:lineRule="auto"/>
              <w:jc w:val="center"/>
            </w:pPr>
            <w:r w:rsidRPr="00E25346">
              <w:rPr>
                <w:rFonts w:ascii="Times New Roman" w:hAnsi="Times New Roman"/>
                <w:color w:val="000000"/>
                <w:lang w:eastAsia="ro-RO"/>
              </w:rPr>
              <w:t>+,-</w:t>
            </w:r>
          </w:p>
        </w:tc>
        <w:tc>
          <w:tcPr>
            <w:tcW w:w="927" w:type="dxa"/>
            <w:tcBorders>
              <w:bottom w:val="single" w:sz="4" w:space="0" w:color="000000"/>
              <w:right w:val="single" w:sz="4" w:space="0" w:color="000000"/>
            </w:tcBorders>
            <w:shd w:val="clear" w:color="auto" w:fill="E5E5E5"/>
            <w:vAlign w:val="center"/>
          </w:tcPr>
          <w:p w:rsidR="00C9273A" w:rsidRPr="00E25346" w:rsidRDefault="00C9273A" w:rsidP="00494DE5">
            <w:pPr>
              <w:spacing w:after="0" w:line="240" w:lineRule="auto"/>
              <w:jc w:val="center"/>
            </w:pPr>
            <w:r w:rsidRPr="00E25346">
              <w:rPr>
                <w:rFonts w:ascii="Times New Roman" w:hAnsi="Times New Roman"/>
                <w:color w:val="000000"/>
                <w:lang w:eastAsia="ro-RO"/>
              </w:rPr>
              <w:t>%</w:t>
            </w:r>
          </w:p>
        </w:tc>
      </w:tr>
      <w:tr w:rsidR="00C9273A" w:rsidRPr="00E25346" w:rsidTr="00494DE5">
        <w:trPr>
          <w:trHeight w:val="387"/>
          <w:jc w:val="center"/>
        </w:trPr>
        <w:tc>
          <w:tcPr>
            <w:tcW w:w="5255" w:type="dxa"/>
            <w:tcBorders>
              <w:left w:val="single" w:sz="4" w:space="0" w:color="000000"/>
              <w:bottom w:val="single" w:sz="4" w:space="0" w:color="000000"/>
              <w:right w:val="single" w:sz="4" w:space="0" w:color="000000"/>
            </w:tcBorders>
            <w:shd w:val="clear" w:color="auto" w:fill="auto"/>
            <w:vAlign w:val="bottom"/>
          </w:tcPr>
          <w:p w:rsidR="00C9273A" w:rsidRPr="00E25346" w:rsidRDefault="00C9273A" w:rsidP="00494DE5">
            <w:pPr>
              <w:spacing w:after="0" w:line="240" w:lineRule="auto"/>
            </w:pPr>
            <w:r w:rsidRPr="00E25346">
              <w:rPr>
                <w:rFonts w:ascii="Times New Roman" w:hAnsi="Times New Roman"/>
                <w:b/>
                <w:bCs/>
                <w:iCs/>
                <w:color w:val="000000"/>
                <w:lang w:eastAsia="ro-RO"/>
              </w:rPr>
              <w:t>Impozitul pe venitul persoanelor juridice</w:t>
            </w:r>
          </w:p>
        </w:tc>
        <w:tc>
          <w:tcPr>
            <w:tcW w:w="1260" w:type="dxa"/>
            <w:tcBorders>
              <w:bottom w:val="single" w:sz="4" w:space="0" w:color="000000"/>
              <w:right w:val="single" w:sz="4" w:space="0" w:color="000000"/>
            </w:tcBorders>
            <w:shd w:val="clear" w:color="auto" w:fill="auto"/>
            <w:vAlign w:val="center"/>
          </w:tcPr>
          <w:p w:rsidR="00C9273A" w:rsidRPr="00E25346" w:rsidRDefault="00C9273A" w:rsidP="00494DE5">
            <w:pPr>
              <w:spacing w:after="0" w:line="240" w:lineRule="auto"/>
              <w:jc w:val="center"/>
            </w:pPr>
            <w:r w:rsidRPr="00E25346">
              <w:rPr>
                <w:rFonts w:ascii="Times New Roman" w:hAnsi="Times New Roman"/>
                <w:color w:val="000000"/>
                <w:lang w:eastAsia="ro-RO"/>
              </w:rPr>
              <w:t>4 728,0</w:t>
            </w:r>
          </w:p>
        </w:tc>
        <w:tc>
          <w:tcPr>
            <w:tcW w:w="1080" w:type="dxa"/>
            <w:tcBorders>
              <w:bottom w:val="single" w:sz="4" w:space="0" w:color="000000"/>
              <w:right w:val="single" w:sz="4" w:space="0" w:color="000000"/>
            </w:tcBorders>
            <w:shd w:val="clear" w:color="auto" w:fill="auto"/>
            <w:vAlign w:val="center"/>
          </w:tcPr>
          <w:p w:rsidR="00C9273A" w:rsidRPr="00E25346" w:rsidRDefault="00C9273A" w:rsidP="00494DE5">
            <w:pPr>
              <w:spacing w:after="0" w:line="240" w:lineRule="auto"/>
              <w:jc w:val="center"/>
            </w:pPr>
            <w:r w:rsidRPr="00E25346">
              <w:rPr>
                <w:rFonts w:ascii="Times New Roman" w:hAnsi="Times New Roman"/>
                <w:color w:val="000000"/>
                <w:lang w:eastAsia="ro-RO"/>
              </w:rPr>
              <w:t>4 887,9</w:t>
            </w:r>
          </w:p>
        </w:tc>
        <w:tc>
          <w:tcPr>
            <w:tcW w:w="1081" w:type="dxa"/>
            <w:tcBorders>
              <w:bottom w:val="single" w:sz="4" w:space="0" w:color="000000"/>
              <w:right w:val="single" w:sz="4" w:space="0" w:color="000000"/>
            </w:tcBorders>
            <w:shd w:val="clear" w:color="auto" w:fill="auto"/>
            <w:vAlign w:val="center"/>
          </w:tcPr>
          <w:p w:rsidR="00C9273A" w:rsidRPr="00E25346" w:rsidRDefault="00C9273A" w:rsidP="00494DE5">
            <w:pPr>
              <w:spacing w:after="0" w:line="240" w:lineRule="auto"/>
            </w:pPr>
            <w:r w:rsidRPr="00E25346">
              <w:rPr>
                <w:rFonts w:ascii="Times New Roman" w:hAnsi="Times New Roman"/>
                <w:color w:val="000000"/>
                <w:lang w:eastAsia="ro-RO"/>
              </w:rPr>
              <w:t>+159,9</w:t>
            </w:r>
          </w:p>
        </w:tc>
        <w:tc>
          <w:tcPr>
            <w:tcW w:w="927" w:type="dxa"/>
            <w:tcBorders>
              <w:bottom w:val="single" w:sz="4" w:space="0" w:color="000000"/>
              <w:right w:val="single" w:sz="4" w:space="0" w:color="000000"/>
            </w:tcBorders>
            <w:shd w:val="clear" w:color="auto" w:fill="auto"/>
            <w:vAlign w:val="center"/>
          </w:tcPr>
          <w:p w:rsidR="00C9273A" w:rsidRPr="00E25346" w:rsidRDefault="00C9273A" w:rsidP="00494DE5">
            <w:pPr>
              <w:spacing w:after="0" w:line="240" w:lineRule="auto"/>
              <w:jc w:val="center"/>
            </w:pPr>
            <w:r w:rsidRPr="00E25346">
              <w:rPr>
                <w:rFonts w:ascii="Times New Roman" w:hAnsi="Times New Roman"/>
                <w:color w:val="000000"/>
                <w:lang w:eastAsia="ro-RO"/>
              </w:rPr>
              <w:t>103,4</w:t>
            </w:r>
          </w:p>
        </w:tc>
      </w:tr>
    </w:tbl>
    <w:p w:rsidR="007356A0" w:rsidRPr="00012CA3" w:rsidRDefault="007356A0">
      <w:pPr>
        <w:keepNext/>
        <w:keepLines/>
        <w:spacing w:after="120" w:line="276" w:lineRule="auto"/>
        <w:ind w:right="194"/>
        <w:outlineLvl w:val="1"/>
        <w:rPr>
          <w:rFonts w:ascii="Times New Roman" w:hAnsi="Times New Roman"/>
          <w:b/>
          <w:bCs/>
          <w:i/>
          <w:sz w:val="28"/>
          <w:szCs w:val="28"/>
        </w:rPr>
      </w:pPr>
    </w:p>
    <w:p w:rsidR="00C82F48" w:rsidRPr="00012CA3" w:rsidRDefault="00C82F48" w:rsidP="000956CD">
      <w:pPr>
        <w:keepNext/>
        <w:keepLines/>
        <w:spacing w:after="120" w:line="276" w:lineRule="auto"/>
        <w:ind w:right="194" w:firstLine="426"/>
        <w:outlineLvl w:val="1"/>
      </w:pPr>
      <w:r w:rsidRPr="00012CA3">
        <w:rPr>
          <w:rFonts w:ascii="Times New Roman" w:hAnsi="Times New Roman"/>
          <w:b/>
          <w:bCs/>
          <w:i/>
          <w:sz w:val="28"/>
          <w:szCs w:val="28"/>
        </w:rPr>
        <w:t>Taxa pe valoarea adăugată</w:t>
      </w:r>
    </w:p>
    <w:p w:rsidR="00412B5A" w:rsidRPr="00012CA3" w:rsidRDefault="00EE2FC8" w:rsidP="00E75052">
      <w:pPr>
        <w:keepNext/>
        <w:keepLines/>
        <w:spacing w:after="0" w:line="276" w:lineRule="auto"/>
        <w:ind w:left="142" w:right="194" w:firstLine="566"/>
        <w:jc w:val="both"/>
        <w:outlineLvl w:val="1"/>
        <w:rPr>
          <w:rFonts w:ascii="Times New Roman" w:hAnsi="Times New Roman"/>
          <w:bCs/>
          <w:sz w:val="28"/>
          <w:szCs w:val="28"/>
        </w:rPr>
      </w:pPr>
      <w:r w:rsidRPr="00012CA3">
        <w:rPr>
          <w:rFonts w:ascii="Times New Roman" w:hAnsi="Times New Roman"/>
          <w:bCs/>
          <w:sz w:val="28"/>
          <w:szCs w:val="28"/>
        </w:rPr>
        <w:t xml:space="preserve">În I semestru 2025 încasările din TVA au crescut cu 1 901,0 mil.lei sau 12,2%, dintre care </w:t>
      </w:r>
      <w:r w:rsidR="00D301AB" w:rsidRPr="00D301AB">
        <w:rPr>
          <w:rFonts w:ascii="Times New Roman" w:hAnsi="Times New Roman"/>
          <w:bCs/>
          <w:sz w:val="28"/>
          <w:szCs w:val="28"/>
        </w:rPr>
        <w:t xml:space="preserve">la mărfurile produse </w:t>
      </w:r>
      <w:r w:rsidR="00D301AB">
        <w:rPr>
          <w:rFonts w:ascii="Times New Roman" w:hAnsi="Times New Roman"/>
          <w:bCs/>
          <w:sz w:val="28"/>
          <w:szCs w:val="28"/>
        </w:rPr>
        <w:t>ș</w:t>
      </w:r>
      <w:r w:rsidR="00D301AB" w:rsidRPr="00D301AB">
        <w:rPr>
          <w:rFonts w:ascii="Times New Roman" w:hAnsi="Times New Roman"/>
          <w:bCs/>
          <w:sz w:val="28"/>
          <w:szCs w:val="28"/>
        </w:rPr>
        <w:t>i serviciile prestate pe teritoriul Republicii Moldova</w:t>
      </w:r>
      <w:r w:rsidR="00D301AB">
        <w:rPr>
          <w:rFonts w:ascii="Times New Roman" w:hAnsi="Times New Roman"/>
          <w:bCs/>
          <w:sz w:val="28"/>
          <w:szCs w:val="28"/>
        </w:rPr>
        <w:t xml:space="preserve"> </w:t>
      </w:r>
      <w:r w:rsidRPr="00012CA3">
        <w:rPr>
          <w:rFonts w:ascii="Times New Roman" w:hAnsi="Times New Roman"/>
          <w:bCs/>
          <w:sz w:val="28"/>
          <w:szCs w:val="28"/>
        </w:rPr>
        <w:t xml:space="preserve">TVA </w:t>
      </w:r>
      <w:r w:rsidR="00D301AB" w:rsidRPr="00D301AB">
        <w:rPr>
          <w:rFonts w:ascii="Times New Roman" w:hAnsi="Times New Roman"/>
          <w:bCs/>
          <w:sz w:val="28"/>
          <w:szCs w:val="28"/>
        </w:rPr>
        <w:t>–</w:t>
      </w:r>
      <w:r w:rsidR="00D301AB">
        <w:rPr>
          <w:rFonts w:ascii="Times New Roman" w:hAnsi="Times New Roman"/>
          <w:bCs/>
          <w:sz w:val="28"/>
          <w:szCs w:val="28"/>
        </w:rPr>
        <w:t xml:space="preserve"> </w:t>
      </w:r>
      <w:r w:rsidRPr="00012CA3">
        <w:rPr>
          <w:rFonts w:ascii="Times New Roman" w:hAnsi="Times New Roman"/>
          <w:bCs/>
          <w:sz w:val="28"/>
          <w:szCs w:val="28"/>
        </w:rPr>
        <w:t>cu 921,0 mil.lei (+15,8%) și TVA la</w:t>
      </w:r>
      <w:r w:rsidR="00A91D97" w:rsidRPr="00A91D97">
        <w:t xml:space="preserve"> </w:t>
      </w:r>
      <w:r w:rsidR="00A91D97" w:rsidRPr="00A91D97">
        <w:rPr>
          <w:rFonts w:ascii="Times New Roman" w:hAnsi="Times New Roman"/>
          <w:bCs/>
          <w:sz w:val="28"/>
          <w:szCs w:val="28"/>
        </w:rPr>
        <w:t>mărfurile</w:t>
      </w:r>
      <w:r w:rsidRPr="00012CA3">
        <w:rPr>
          <w:rFonts w:ascii="Times New Roman" w:hAnsi="Times New Roman"/>
          <w:bCs/>
          <w:sz w:val="28"/>
          <w:szCs w:val="28"/>
        </w:rPr>
        <w:t xml:space="preserve"> import</w:t>
      </w:r>
      <w:r w:rsidR="00A91D97">
        <w:rPr>
          <w:rFonts w:ascii="Times New Roman" w:hAnsi="Times New Roman"/>
          <w:bCs/>
          <w:sz w:val="28"/>
          <w:szCs w:val="28"/>
        </w:rPr>
        <w:t xml:space="preserve">e </w:t>
      </w:r>
      <w:r w:rsidR="00A91D97" w:rsidRPr="00A91D97">
        <w:rPr>
          <w:rFonts w:ascii="Times New Roman" w:hAnsi="Times New Roman"/>
          <w:bCs/>
          <w:sz w:val="28"/>
          <w:szCs w:val="28"/>
        </w:rPr>
        <w:t>–</w:t>
      </w:r>
      <w:r w:rsidRPr="00012CA3">
        <w:rPr>
          <w:rFonts w:ascii="Times New Roman" w:hAnsi="Times New Roman"/>
          <w:bCs/>
          <w:sz w:val="28"/>
          <w:szCs w:val="28"/>
        </w:rPr>
        <w:t xml:space="preserve"> cu 992,2 mil.lei (+8,3%) </w:t>
      </w:r>
      <w:r w:rsidR="00412B5A" w:rsidRPr="00012CA3">
        <w:rPr>
          <w:rFonts w:ascii="Times New Roman" w:hAnsi="Times New Roman"/>
          <w:bCs/>
          <w:sz w:val="28"/>
          <w:szCs w:val="28"/>
        </w:rPr>
        <w:t xml:space="preserve">și restituirea TVA </w:t>
      </w:r>
      <w:r w:rsidR="00D301AB" w:rsidRPr="00012CA3">
        <w:rPr>
          <w:rFonts w:ascii="Times New Roman" w:hAnsi="Times New Roman"/>
          <w:bCs/>
          <w:sz w:val="28"/>
          <w:szCs w:val="28"/>
        </w:rPr>
        <w:t>–</w:t>
      </w:r>
      <w:r w:rsidR="00D301AB">
        <w:rPr>
          <w:rFonts w:ascii="Times New Roman" w:hAnsi="Times New Roman"/>
          <w:bCs/>
          <w:sz w:val="28"/>
          <w:szCs w:val="28"/>
        </w:rPr>
        <w:t xml:space="preserve"> </w:t>
      </w:r>
      <w:r w:rsidR="00412B5A" w:rsidRPr="00012CA3">
        <w:rPr>
          <w:rFonts w:ascii="Times New Roman" w:hAnsi="Times New Roman"/>
          <w:bCs/>
          <w:sz w:val="28"/>
          <w:szCs w:val="28"/>
        </w:rPr>
        <w:t>cu  12,2 mil.lei (+0,5%).</w:t>
      </w:r>
    </w:p>
    <w:p w:rsidR="00E036F1" w:rsidRDefault="00E036F1" w:rsidP="00E75052">
      <w:pPr>
        <w:keepNext/>
        <w:keepLines/>
        <w:spacing w:after="0" w:line="276" w:lineRule="auto"/>
        <w:ind w:left="142" w:right="194" w:firstLine="566"/>
        <w:jc w:val="both"/>
        <w:outlineLvl w:val="1"/>
        <w:rPr>
          <w:rFonts w:ascii="Times New Roman" w:hAnsi="Times New Roman"/>
          <w:bCs/>
          <w:sz w:val="28"/>
          <w:szCs w:val="28"/>
        </w:rPr>
      </w:pPr>
      <w:r w:rsidRPr="00E036F1">
        <w:rPr>
          <w:rFonts w:ascii="Times New Roman" w:hAnsi="Times New Roman"/>
          <w:bCs/>
          <w:sz w:val="28"/>
          <w:szCs w:val="28"/>
        </w:rPr>
        <w:t>Majorarea încasărilor din TVA în semestrul I al anului 2025, cu 1 901,0 mil. lei (+12,2%), se datorează</w:t>
      </w:r>
      <w:r>
        <w:rPr>
          <w:rFonts w:ascii="Times New Roman" w:hAnsi="Times New Roman"/>
          <w:bCs/>
          <w:sz w:val="28"/>
          <w:szCs w:val="28"/>
        </w:rPr>
        <w:t xml:space="preserve"> </w:t>
      </w:r>
      <w:r w:rsidRPr="00E036F1">
        <w:rPr>
          <w:rFonts w:ascii="Times New Roman" w:hAnsi="Times New Roman"/>
          <w:bCs/>
          <w:sz w:val="28"/>
          <w:szCs w:val="28"/>
        </w:rPr>
        <w:t>creșterii volumului de vânzări în comerțul cu amănuntul și ridicata, atât la produsele alimentare, cât și la cele nealimentare, precum și majorării prețurilor de vânzare ale acestora.</w:t>
      </w:r>
    </w:p>
    <w:p w:rsidR="00E75052" w:rsidRPr="00012CA3" w:rsidRDefault="005D7023" w:rsidP="00E75052">
      <w:pPr>
        <w:keepNext/>
        <w:keepLines/>
        <w:spacing w:after="0" w:line="276" w:lineRule="auto"/>
        <w:ind w:left="142" w:right="194" w:firstLine="566"/>
        <w:jc w:val="both"/>
        <w:outlineLvl w:val="1"/>
        <w:rPr>
          <w:sz w:val="28"/>
          <w:szCs w:val="28"/>
        </w:rPr>
      </w:pPr>
      <w:r w:rsidRPr="005D7023">
        <w:rPr>
          <w:rFonts w:ascii="Times New Roman" w:hAnsi="Times New Roman"/>
          <w:bCs/>
          <w:color w:val="000000"/>
          <w:sz w:val="28"/>
          <w:szCs w:val="28"/>
        </w:rPr>
        <w:t xml:space="preserve">De asemenea, s-a înregistrat o majorare a încasărilor din TVA la import, ca urmare a creșterii importurilor în primele </w:t>
      </w:r>
      <w:r w:rsidR="00551DD2">
        <w:rPr>
          <w:rFonts w:ascii="Times New Roman" w:hAnsi="Times New Roman"/>
          <w:bCs/>
          <w:color w:val="000000"/>
          <w:sz w:val="28"/>
          <w:szCs w:val="28"/>
        </w:rPr>
        <w:t>5</w:t>
      </w:r>
      <w:r w:rsidRPr="005D7023">
        <w:rPr>
          <w:rFonts w:ascii="Times New Roman" w:hAnsi="Times New Roman"/>
          <w:bCs/>
          <w:color w:val="000000"/>
          <w:sz w:val="28"/>
          <w:szCs w:val="28"/>
        </w:rPr>
        <w:t xml:space="preserve"> luni ale anului </w:t>
      </w:r>
      <w:r w:rsidRPr="00551DD2">
        <w:rPr>
          <w:rFonts w:ascii="Times New Roman" w:hAnsi="Times New Roman"/>
          <w:bCs/>
          <w:color w:val="000000"/>
          <w:sz w:val="28"/>
          <w:szCs w:val="28"/>
        </w:rPr>
        <w:t xml:space="preserve">2025, </w:t>
      </w:r>
      <w:r w:rsidR="00551DD2" w:rsidRPr="00551DD2">
        <w:rPr>
          <w:rFonts w:ascii="Times New Roman" w:hAnsi="Times New Roman"/>
          <w:bCs/>
          <w:color w:val="000000"/>
          <w:sz w:val="28"/>
          <w:szCs w:val="28"/>
        </w:rPr>
        <w:t xml:space="preserve">cu 17,7% </w:t>
      </w:r>
      <w:r w:rsidRPr="00551DD2">
        <w:rPr>
          <w:rFonts w:ascii="Times New Roman" w:hAnsi="Times New Roman"/>
          <w:bCs/>
          <w:color w:val="000000"/>
          <w:sz w:val="28"/>
          <w:szCs w:val="28"/>
        </w:rPr>
        <w:t>față</w:t>
      </w:r>
      <w:r w:rsidRPr="005D7023">
        <w:rPr>
          <w:rFonts w:ascii="Times New Roman" w:hAnsi="Times New Roman"/>
          <w:bCs/>
          <w:color w:val="000000"/>
          <w:sz w:val="28"/>
          <w:szCs w:val="28"/>
        </w:rPr>
        <w:t xml:space="preserve"> de perioada similară a anului precedent.</w:t>
      </w:r>
      <w:r w:rsidR="004272B5" w:rsidRPr="00012CA3">
        <w:rPr>
          <w:rFonts w:ascii="Times New Roman" w:hAnsi="Times New Roman"/>
          <w:b/>
          <w:bCs/>
          <w:color w:val="000000"/>
          <w:sz w:val="28"/>
          <w:szCs w:val="28"/>
        </w:rPr>
        <w:t xml:space="preserve"> </w:t>
      </w:r>
      <w:r w:rsidR="00E75052" w:rsidRPr="00012CA3">
        <w:rPr>
          <w:rFonts w:ascii="Times New Roman" w:hAnsi="Times New Roman"/>
          <w:b/>
          <w:bCs/>
          <w:color w:val="4F81BD"/>
          <w:sz w:val="28"/>
          <w:szCs w:val="28"/>
        </w:rPr>
        <w:t xml:space="preserve"> </w:t>
      </w:r>
    </w:p>
    <w:p w:rsidR="00C82F48" w:rsidRPr="00012CA3" w:rsidRDefault="00C82F48">
      <w:pPr>
        <w:spacing w:after="0" w:line="240" w:lineRule="auto"/>
        <w:jc w:val="center"/>
        <w:rPr>
          <w:b/>
        </w:rPr>
      </w:pPr>
      <w:r w:rsidRPr="00012CA3">
        <w:rPr>
          <w:rFonts w:ascii="Times New Roman" w:hAnsi="Times New Roman"/>
          <w:b/>
          <w:i/>
          <w:sz w:val="28"/>
          <w:szCs w:val="28"/>
        </w:rPr>
        <w:t xml:space="preserve">                                                                                                                            </w:t>
      </w:r>
      <w:r w:rsidRPr="00012CA3">
        <w:rPr>
          <w:b/>
        </w:rPr>
        <w:t>mil. lei</w:t>
      </w:r>
    </w:p>
    <w:tbl>
      <w:tblPr>
        <w:tblW w:w="0" w:type="auto"/>
        <w:jc w:val="center"/>
        <w:tblLayout w:type="fixed"/>
        <w:tblLook w:val="0000" w:firstRow="0" w:lastRow="0" w:firstColumn="0" w:lastColumn="0" w:noHBand="0" w:noVBand="0"/>
      </w:tblPr>
      <w:tblGrid>
        <w:gridCol w:w="4218"/>
        <w:gridCol w:w="1427"/>
        <w:gridCol w:w="1380"/>
        <w:gridCol w:w="1302"/>
        <w:gridCol w:w="1174"/>
      </w:tblGrid>
      <w:tr w:rsidR="00184CD6" w:rsidRPr="001A16B8" w:rsidTr="00AC63FC">
        <w:trPr>
          <w:cantSplit/>
          <w:trHeight w:val="44"/>
          <w:jc w:val="center"/>
        </w:trPr>
        <w:tc>
          <w:tcPr>
            <w:tcW w:w="4218" w:type="dxa"/>
            <w:tcBorders>
              <w:top w:val="single" w:sz="4" w:space="0" w:color="000000"/>
              <w:left w:val="single" w:sz="4" w:space="0" w:color="000000"/>
              <w:bottom w:val="single" w:sz="4" w:space="0" w:color="000000"/>
              <w:right w:val="single" w:sz="4" w:space="0" w:color="000000"/>
            </w:tcBorders>
            <w:shd w:val="clear" w:color="auto" w:fill="E5E5E5"/>
            <w:vAlign w:val="bottom"/>
          </w:tcPr>
          <w:p w:rsidR="00184CD6" w:rsidRPr="001A16B8" w:rsidRDefault="00184CD6" w:rsidP="00494DE5">
            <w:pPr>
              <w:spacing w:after="0" w:line="240" w:lineRule="auto"/>
              <w:jc w:val="center"/>
            </w:pPr>
            <w:r w:rsidRPr="001A16B8">
              <w:rPr>
                <w:rFonts w:ascii="Times New Roman" w:hAnsi="Times New Roman"/>
                <w:color w:val="000000"/>
                <w:lang w:eastAsia="ro-RO"/>
              </w:rPr>
              <w:t> </w:t>
            </w:r>
          </w:p>
        </w:tc>
        <w:tc>
          <w:tcPr>
            <w:tcW w:w="1427" w:type="dxa"/>
            <w:tcBorders>
              <w:top w:val="single" w:sz="4" w:space="0" w:color="000000"/>
              <w:bottom w:val="single" w:sz="4" w:space="0" w:color="000000"/>
              <w:right w:val="single" w:sz="4" w:space="0" w:color="000000"/>
            </w:tcBorders>
            <w:shd w:val="clear" w:color="auto" w:fill="E5E5E5"/>
            <w:vAlign w:val="bottom"/>
          </w:tcPr>
          <w:p w:rsidR="00184CD6" w:rsidRPr="001A16B8" w:rsidRDefault="00184CD6" w:rsidP="00494DE5">
            <w:pPr>
              <w:spacing w:after="0" w:line="240" w:lineRule="auto"/>
              <w:jc w:val="center"/>
            </w:pPr>
            <w:r w:rsidRPr="001A16B8">
              <w:rPr>
                <w:rFonts w:ascii="Times New Roman" w:hAnsi="Times New Roman"/>
                <w:b/>
                <w:i/>
                <w:color w:val="000000"/>
                <w:lang w:eastAsia="ro-RO"/>
              </w:rPr>
              <w:t>2024</w:t>
            </w:r>
          </w:p>
        </w:tc>
        <w:tc>
          <w:tcPr>
            <w:tcW w:w="1380" w:type="dxa"/>
            <w:tcBorders>
              <w:top w:val="single" w:sz="4" w:space="0" w:color="000000"/>
              <w:bottom w:val="single" w:sz="4" w:space="0" w:color="000000"/>
              <w:right w:val="single" w:sz="4" w:space="0" w:color="000000"/>
            </w:tcBorders>
            <w:shd w:val="clear" w:color="auto" w:fill="E5E5E5"/>
            <w:vAlign w:val="bottom"/>
          </w:tcPr>
          <w:p w:rsidR="00184CD6" w:rsidRPr="001A16B8" w:rsidRDefault="00184CD6" w:rsidP="00494DE5">
            <w:pPr>
              <w:spacing w:after="0" w:line="240" w:lineRule="auto"/>
              <w:jc w:val="center"/>
            </w:pPr>
            <w:r w:rsidRPr="001A16B8">
              <w:rPr>
                <w:rFonts w:ascii="Times New Roman" w:hAnsi="Times New Roman"/>
                <w:b/>
                <w:i/>
                <w:color w:val="000000"/>
                <w:lang w:eastAsia="ro-RO"/>
              </w:rPr>
              <w:t>2025</w:t>
            </w:r>
          </w:p>
        </w:tc>
        <w:tc>
          <w:tcPr>
            <w:tcW w:w="2476" w:type="dxa"/>
            <w:gridSpan w:val="2"/>
            <w:tcBorders>
              <w:top w:val="single" w:sz="4" w:space="0" w:color="000000"/>
              <w:bottom w:val="single" w:sz="4" w:space="0" w:color="000000"/>
              <w:right w:val="single" w:sz="4" w:space="0" w:color="000000"/>
            </w:tcBorders>
            <w:shd w:val="clear" w:color="auto" w:fill="E5E5E5"/>
            <w:vAlign w:val="bottom"/>
          </w:tcPr>
          <w:p w:rsidR="00184CD6" w:rsidRPr="001A16B8" w:rsidRDefault="00184CD6" w:rsidP="00494DE5">
            <w:pPr>
              <w:spacing w:after="0" w:line="240" w:lineRule="auto"/>
              <w:jc w:val="center"/>
            </w:pPr>
            <w:r w:rsidRPr="001A16B8">
              <w:rPr>
                <w:rFonts w:ascii="Times New Roman" w:hAnsi="Times New Roman"/>
                <w:b/>
                <w:i/>
                <w:color w:val="000000"/>
                <w:lang w:eastAsia="ro-RO"/>
              </w:rPr>
              <w:t>devieri</w:t>
            </w:r>
          </w:p>
        </w:tc>
      </w:tr>
      <w:tr w:rsidR="00184CD6" w:rsidRPr="001A16B8" w:rsidTr="00AC63FC">
        <w:trPr>
          <w:trHeight w:val="50"/>
          <w:jc w:val="center"/>
        </w:trPr>
        <w:tc>
          <w:tcPr>
            <w:tcW w:w="4218" w:type="dxa"/>
            <w:tcBorders>
              <w:top w:val="single" w:sz="4" w:space="0" w:color="000000"/>
              <w:left w:val="single" w:sz="4" w:space="0" w:color="000000"/>
              <w:bottom w:val="single" w:sz="4" w:space="0" w:color="000000"/>
              <w:right w:val="single" w:sz="4" w:space="0" w:color="000000"/>
            </w:tcBorders>
            <w:shd w:val="clear" w:color="auto" w:fill="E5E5E5"/>
            <w:vAlign w:val="center"/>
          </w:tcPr>
          <w:p w:rsidR="00184CD6" w:rsidRPr="001A16B8" w:rsidRDefault="00184CD6" w:rsidP="00494DE5">
            <w:pPr>
              <w:snapToGrid w:val="0"/>
              <w:spacing w:after="0" w:line="240" w:lineRule="auto"/>
              <w:jc w:val="center"/>
              <w:rPr>
                <w:rFonts w:ascii="Times New Roman" w:hAnsi="Times New Roman"/>
                <w:b/>
                <w:i/>
                <w:color w:val="000000"/>
                <w:lang w:eastAsia="ro-RO"/>
              </w:rPr>
            </w:pPr>
          </w:p>
        </w:tc>
        <w:tc>
          <w:tcPr>
            <w:tcW w:w="2807" w:type="dxa"/>
            <w:gridSpan w:val="2"/>
            <w:tcBorders>
              <w:top w:val="single" w:sz="4" w:space="0" w:color="000000"/>
              <w:bottom w:val="single" w:sz="4" w:space="0" w:color="000000"/>
              <w:right w:val="single" w:sz="4" w:space="0" w:color="000000"/>
            </w:tcBorders>
            <w:shd w:val="clear" w:color="auto" w:fill="E5E5E5"/>
            <w:vAlign w:val="center"/>
          </w:tcPr>
          <w:p w:rsidR="00184CD6" w:rsidRPr="001A16B8" w:rsidRDefault="00184CD6" w:rsidP="00494DE5">
            <w:pPr>
              <w:spacing w:after="0" w:line="240" w:lineRule="auto"/>
              <w:jc w:val="center"/>
            </w:pPr>
            <w:r w:rsidRPr="001A16B8">
              <w:rPr>
                <w:rFonts w:ascii="Times New Roman" w:hAnsi="Times New Roman"/>
                <w:color w:val="000000"/>
                <w:lang w:eastAsia="ro-RO"/>
              </w:rPr>
              <w:t>semestrul I</w:t>
            </w:r>
          </w:p>
        </w:tc>
        <w:tc>
          <w:tcPr>
            <w:tcW w:w="1302" w:type="dxa"/>
            <w:tcBorders>
              <w:bottom w:val="single" w:sz="4" w:space="0" w:color="000000"/>
              <w:right w:val="single" w:sz="4" w:space="0" w:color="000000"/>
            </w:tcBorders>
            <w:shd w:val="clear" w:color="auto" w:fill="E5E5E5"/>
            <w:vAlign w:val="center"/>
          </w:tcPr>
          <w:p w:rsidR="00184CD6" w:rsidRPr="001A16B8" w:rsidRDefault="00184CD6" w:rsidP="00494DE5">
            <w:pPr>
              <w:spacing w:after="0" w:line="240" w:lineRule="auto"/>
              <w:jc w:val="center"/>
            </w:pPr>
            <w:r w:rsidRPr="001A16B8">
              <w:rPr>
                <w:rFonts w:ascii="Times New Roman" w:hAnsi="Times New Roman"/>
                <w:color w:val="000000"/>
                <w:lang w:eastAsia="ro-RO"/>
              </w:rPr>
              <w:t>+,-</w:t>
            </w:r>
          </w:p>
        </w:tc>
        <w:tc>
          <w:tcPr>
            <w:tcW w:w="1174" w:type="dxa"/>
            <w:tcBorders>
              <w:bottom w:val="single" w:sz="4" w:space="0" w:color="000000"/>
              <w:right w:val="single" w:sz="4" w:space="0" w:color="000000"/>
            </w:tcBorders>
            <w:shd w:val="clear" w:color="auto" w:fill="E5E5E5"/>
            <w:vAlign w:val="center"/>
          </w:tcPr>
          <w:p w:rsidR="00184CD6" w:rsidRPr="001A16B8" w:rsidRDefault="00184CD6" w:rsidP="00494DE5">
            <w:pPr>
              <w:spacing w:after="0" w:line="240" w:lineRule="auto"/>
              <w:jc w:val="center"/>
            </w:pPr>
            <w:r w:rsidRPr="001A16B8">
              <w:rPr>
                <w:rFonts w:ascii="Times New Roman" w:hAnsi="Times New Roman"/>
                <w:color w:val="000000"/>
                <w:lang w:eastAsia="ro-RO"/>
              </w:rPr>
              <w:t>%</w:t>
            </w:r>
          </w:p>
        </w:tc>
      </w:tr>
      <w:tr w:rsidR="00184CD6" w:rsidRPr="001A16B8" w:rsidTr="00AC63FC">
        <w:trPr>
          <w:trHeight w:val="243"/>
          <w:jc w:val="center"/>
        </w:trPr>
        <w:tc>
          <w:tcPr>
            <w:tcW w:w="4218" w:type="dxa"/>
            <w:tcBorders>
              <w:left w:val="single" w:sz="4" w:space="0" w:color="000000"/>
              <w:bottom w:val="single" w:sz="4" w:space="0" w:color="000000"/>
              <w:right w:val="single" w:sz="4" w:space="0" w:color="000000"/>
            </w:tcBorders>
            <w:shd w:val="clear" w:color="auto" w:fill="auto"/>
            <w:vAlign w:val="bottom"/>
          </w:tcPr>
          <w:p w:rsidR="00184CD6" w:rsidRPr="001A16B8" w:rsidRDefault="00184CD6" w:rsidP="00494DE5">
            <w:pPr>
              <w:spacing w:after="0" w:line="240" w:lineRule="auto"/>
            </w:pPr>
            <w:r w:rsidRPr="001A16B8">
              <w:rPr>
                <w:rFonts w:ascii="Times New Roman" w:hAnsi="Times New Roman"/>
                <w:b/>
                <w:color w:val="000000"/>
                <w:lang w:eastAsia="ro-RO"/>
              </w:rPr>
              <w:t>Total TVA</w:t>
            </w:r>
          </w:p>
        </w:tc>
        <w:tc>
          <w:tcPr>
            <w:tcW w:w="1427" w:type="dxa"/>
            <w:tcBorders>
              <w:bottom w:val="single" w:sz="4" w:space="0" w:color="000000"/>
              <w:right w:val="single" w:sz="4" w:space="0" w:color="000000"/>
            </w:tcBorders>
            <w:shd w:val="clear" w:color="auto" w:fill="auto"/>
            <w:vAlign w:val="bottom"/>
          </w:tcPr>
          <w:p w:rsidR="00184CD6" w:rsidRPr="001A16B8" w:rsidRDefault="00184CD6" w:rsidP="00494DE5">
            <w:pPr>
              <w:spacing w:after="0" w:line="240" w:lineRule="auto"/>
              <w:jc w:val="center"/>
            </w:pPr>
            <w:r w:rsidRPr="001A16B8">
              <w:rPr>
                <w:rFonts w:ascii="Times New Roman" w:hAnsi="Times New Roman"/>
                <w:b/>
                <w:color w:val="000000"/>
                <w:lang w:eastAsia="ro-RO"/>
              </w:rPr>
              <w:t>15 530,3</w:t>
            </w:r>
          </w:p>
        </w:tc>
        <w:tc>
          <w:tcPr>
            <w:tcW w:w="1380" w:type="dxa"/>
            <w:tcBorders>
              <w:bottom w:val="single" w:sz="4" w:space="0" w:color="000000"/>
              <w:right w:val="single" w:sz="4" w:space="0" w:color="000000"/>
            </w:tcBorders>
            <w:shd w:val="clear" w:color="auto" w:fill="auto"/>
            <w:vAlign w:val="bottom"/>
          </w:tcPr>
          <w:p w:rsidR="00184CD6" w:rsidRPr="001A16B8" w:rsidRDefault="00184CD6" w:rsidP="00494DE5">
            <w:pPr>
              <w:spacing w:after="0" w:line="240" w:lineRule="auto"/>
              <w:jc w:val="center"/>
            </w:pPr>
            <w:r w:rsidRPr="001A16B8">
              <w:rPr>
                <w:rFonts w:ascii="Times New Roman" w:hAnsi="Times New Roman"/>
                <w:b/>
                <w:color w:val="000000"/>
                <w:lang w:eastAsia="ro-RO"/>
              </w:rPr>
              <w:t>17 431,3</w:t>
            </w:r>
          </w:p>
        </w:tc>
        <w:tc>
          <w:tcPr>
            <w:tcW w:w="1302" w:type="dxa"/>
            <w:tcBorders>
              <w:bottom w:val="single" w:sz="4" w:space="0" w:color="000000"/>
              <w:right w:val="single" w:sz="4" w:space="0" w:color="000000"/>
            </w:tcBorders>
            <w:shd w:val="clear" w:color="auto" w:fill="auto"/>
            <w:vAlign w:val="bottom"/>
          </w:tcPr>
          <w:p w:rsidR="00184CD6" w:rsidRPr="001A16B8" w:rsidRDefault="00184CD6" w:rsidP="00494DE5">
            <w:pPr>
              <w:spacing w:after="0" w:line="240" w:lineRule="auto"/>
              <w:jc w:val="center"/>
            </w:pPr>
            <w:r w:rsidRPr="001A16B8">
              <w:rPr>
                <w:rFonts w:ascii="Times New Roman" w:hAnsi="Times New Roman"/>
                <w:b/>
                <w:color w:val="000000"/>
                <w:lang w:eastAsia="ro-RO"/>
              </w:rPr>
              <w:t>1 901,0</w:t>
            </w:r>
          </w:p>
        </w:tc>
        <w:tc>
          <w:tcPr>
            <w:tcW w:w="1174" w:type="dxa"/>
            <w:tcBorders>
              <w:bottom w:val="single" w:sz="4" w:space="0" w:color="000000"/>
              <w:right w:val="single" w:sz="4" w:space="0" w:color="000000"/>
            </w:tcBorders>
            <w:shd w:val="clear" w:color="auto" w:fill="auto"/>
            <w:vAlign w:val="bottom"/>
          </w:tcPr>
          <w:p w:rsidR="00184CD6" w:rsidRPr="001A16B8" w:rsidRDefault="00184CD6" w:rsidP="00494DE5">
            <w:pPr>
              <w:spacing w:after="0" w:line="240" w:lineRule="auto"/>
              <w:jc w:val="center"/>
            </w:pPr>
            <w:r w:rsidRPr="001A16B8">
              <w:rPr>
                <w:rFonts w:ascii="Times New Roman" w:hAnsi="Times New Roman"/>
                <w:b/>
                <w:lang w:eastAsia="ro-RO"/>
              </w:rPr>
              <w:t>112,2</w:t>
            </w:r>
          </w:p>
        </w:tc>
      </w:tr>
      <w:tr w:rsidR="00184CD6" w:rsidRPr="001A16B8" w:rsidTr="00AC63FC">
        <w:trPr>
          <w:trHeight w:val="310"/>
          <w:jc w:val="center"/>
        </w:trPr>
        <w:tc>
          <w:tcPr>
            <w:tcW w:w="42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4CD6" w:rsidRPr="001A16B8" w:rsidRDefault="009171D7" w:rsidP="00494DE5">
            <w:pPr>
              <w:spacing w:after="0" w:line="240" w:lineRule="auto"/>
            </w:pPr>
            <w:r w:rsidRPr="001A16B8">
              <w:rPr>
                <w:rFonts w:ascii="Times New Roman" w:hAnsi="Times New Roman"/>
                <w:color w:val="000000"/>
                <w:lang w:eastAsia="ro-RO"/>
              </w:rPr>
              <w:t>TVA la mărfurile produse şi serviciile prestate pe teritoriul Republicii Moldova</w:t>
            </w:r>
          </w:p>
        </w:tc>
        <w:tc>
          <w:tcPr>
            <w:tcW w:w="1427" w:type="dxa"/>
            <w:tcBorders>
              <w:top w:val="single" w:sz="4" w:space="0" w:color="000000"/>
              <w:bottom w:val="single" w:sz="4" w:space="0" w:color="000000"/>
              <w:right w:val="single" w:sz="4" w:space="0" w:color="000000"/>
            </w:tcBorders>
            <w:shd w:val="clear" w:color="auto" w:fill="auto"/>
            <w:vAlign w:val="bottom"/>
          </w:tcPr>
          <w:p w:rsidR="00184CD6" w:rsidRPr="001A16B8" w:rsidRDefault="00184CD6" w:rsidP="00494DE5">
            <w:pPr>
              <w:spacing w:after="0" w:line="240" w:lineRule="auto"/>
              <w:jc w:val="center"/>
            </w:pPr>
            <w:r w:rsidRPr="001A16B8">
              <w:rPr>
                <w:rFonts w:ascii="Times New Roman" w:hAnsi="Times New Roman"/>
                <w:color w:val="000000"/>
                <w:lang w:eastAsia="ro-RO"/>
              </w:rPr>
              <w:t>5 829,2</w:t>
            </w:r>
          </w:p>
        </w:tc>
        <w:tc>
          <w:tcPr>
            <w:tcW w:w="1380" w:type="dxa"/>
            <w:tcBorders>
              <w:top w:val="single" w:sz="4" w:space="0" w:color="000000"/>
              <w:bottom w:val="single" w:sz="4" w:space="0" w:color="000000"/>
              <w:right w:val="single" w:sz="4" w:space="0" w:color="000000"/>
            </w:tcBorders>
            <w:shd w:val="clear" w:color="auto" w:fill="auto"/>
            <w:vAlign w:val="bottom"/>
          </w:tcPr>
          <w:p w:rsidR="00184CD6" w:rsidRPr="001A16B8" w:rsidRDefault="00184CD6" w:rsidP="00494DE5">
            <w:pPr>
              <w:spacing w:after="0" w:line="240" w:lineRule="auto"/>
              <w:jc w:val="center"/>
            </w:pPr>
            <w:r w:rsidRPr="001A16B8">
              <w:rPr>
                <w:rFonts w:ascii="Times New Roman" w:hAnsi="Times New Roman"/>
                <w:color w:val="000000"/>
                <w:lang w:eastAsia="ro-RO"/>
              </w:rPr>
              <w:t>6 750,2</w:t>
            </w:r>
          </w:p>
        </w:tc>
        <w:tc>
          <w:tcPr>
            <w:tcW w:w="1302" w:type="dxa"/>
            <w:tcBorders>
              <w:top w:val="single" w:sz="4" w:space="0" w:color="000000"/>
              <w:bottom w:val="single" w:sz="4" w:space="0" w:color="000000"/>
              <w:right w:val="single" w:sz="4" w:space="0" w:color="000000"/>
            </w:tcBorders>
            <w:shd w:val="clear" w:color="auto" w:fill="auto"/>
            <w:vAlign w:val="bottom"/>
          </w:tcPr>
          <w:p w:rsidR="00184CD6" w:rsidRPr="001A16B8" w:rsidRDefault="00184CD6" w:rsidP="00494DE5">
            <w:pPr>
              <w:spacing w:after="0" w:line="240" w:lineRule="auto"/>
              <w:jc w:val="center"/>
            </w:pPr>
            <w:r w:rsidRPr="001A16B8">
              <w:rPr>
                <w:rFonts w:ascii="Times New Roman" w:hAnsi="Times New Roman"/>
                <w:color w:val="000000"/>
                <w:lang w:eastAsia="ro-RO"/>
              </w:rPr>
              <w:t>921,0</w:t>
            </w:r>
          </w:p>
        </w:tc>
        <w:tc>
          <w:tcPr>
            <w:tcW w:w="1174" w:type="dxa"/>
            <w:tcBorders>
              <w:top w:val="single" w:sz="4" w:space="0" w:color="000000"/>
              <w:bottom w:val="single" w:sz="4" w:space="0" w:color="000000"/>
              <w:right w:val="single" w:sz="4" w:space="0" w:color="000000"/>
            </w:tcBorders>
            <w:shd w:val="clear" w:color="auto" w:fill="auto"/>
            <w:vAlign w:val="bottom"/>
          </w:tcPr>
          <w:p w:rsidR="00184CD6" w:rsidRPr="001A16B8" w:rsidRDefault="00184CD6" w:rsidP="00494DE5">
            <w:pPr>
              <w:spacing w:after="0" w:line="240" w:lineRule="auto"/>
              <w:jc w:val="center"/>
            </w:pPr>
            <w:r w:rsidRPr="001A16B8">
              <w:rPr>
                <w:rFonts w:ascii="Times New Roman" w:hAnsi="Times New Roman"/>
                <w:lang w:eastAsia="ro-RO"/>
              </w:rPr>
              <w:t>115,8</w:t>
            </w:r>
          </w:p>
        </w:tc>
      </w:tr>
      <w:tr w:rsidR="00184CD6" w:rsidRPr="001A16B8" w:rsidTr="00AC63FC">
        <w:trPr>
          <w:trHeight w:val="251"/>
          <w:jc w:val="center"/>
        </w:trPr>
        <w:tc>
          <w:tcPr>
            <w:tcW w:w="4218" w:type="dxa"/>
            <w:tcBorders>
              <w:left w:val="single" w:sz="4" w:space="0" w:color="000000"/>
              <w:bottom w:val="single" w:sz="4" w:space="0" w:color="000000"/>
              <w:right w:val="single" w:sz="4" w:space="0" w:color="000000"/>
            </w:tcBorders>
            <w:shd w:val="clear" w:color="auto" w:fill="auto"/>
            <w:vAlign w:val="bottom"/>
          </w:tcPr>
          <w:p w:rsidR="00184CD6" w:rsidRPr="001A16B8" w:rsidRDefault="00C71F4F" w:rsidP="009171D7">
            <w:pPr>
              <w:spacing w:after="0" w:line="240" w:lineRule="auto"/>
            </w:pPr>
            <w:r w:rsidRPr="001A16B8">
              <w:rPr>
                <w:rFonts w:ascii="Times New Roman" w:hAnsi="Times New Roman"/>
                <w:color w:val="000000"/>
                <w:lang w:eastAsia="ro-RO"/>
              </w:rPr>
              <w:t>T</w:t>
            </w:r>
            <w:r w:rsidR="009171D7" w:rsidRPr="001A16B8">
              <w:rPr>
                <w:rFonts w:ascii="Times New Roman" w:hAnsi="Times New Roman"/>
                <w:color w:val="000000"/>
                <w:lang w:eastAsia="ro-RO"/>
              </w:rPr>
              <w:t>VA</w:t>
            </w:r>
            <w:r w:rsidRPr="001A16B8">
              <w:rPr>
                <w:rFonts w:ascii="Times New Roman" w:hAnsi="Times New Roman"/>
                <w:color w:val="000000"/>
                <w:lang w:eastAsia="ro-RO"/>
              </w:rPr>
              <w:t xml:space="preserve"> la m</w:t>
            </w:r>
            <w:r w:rsidR="009171D7" w:rsidRPr="001A16B8">
              <w:rPr>
                <w:rFonts w:ascii="Times New Roman" w:hAnsi="Times New Roman"/>
                <w:color w:val="000000"/>
                <w:lang w:eastAsia="ro-RO"/>
              </w:rPr>
              <w:t>ă</w:t>
            </w:r>
            <w:r w:rsidRPr="001A16B8">
              <w:rPr>
                <w:rFonts w:ascii="Times New Roman" w:hAnsi="Times New Roman"/>
                <w:color w:val="000000"/>
                <w:lang w:eastAsia="ro-RO"/>
              </w:rPr>
              <w:t>rfurile importate</w:t>
            </w:r>
          </w:p>
        </w:tc>
        <w:tc>
          <w:tcPr>
            <w:tcW w:w="1427" w:type="dxa"/>
            <w:tcBorders>
              <w:bottom w:val="single" w:sz="4" w:space="0" w:color="000000"/>
              <w:right w:val="single" w:sz="4" w:space="0" w:color="000000"/>
            </w:tcBorders>
            <w:shd w:val="clear" w:color="auto" w:fill="auto"/>
            <w:vAlign w:val="bottom"/>
          </w:tcPr>
          <w:p w:rsidR="00184CD6" w:rsidRPr="001A16B8" w:rsidRDefault="00184CD6" w:rsidP="00494DE5">
            <w:pPr>
              <w:spacing w:after="0" w:line="240" w:lineRule="auto"/>
              <w:jc w:val="center"/>
            </w:pPr>
            <w:r w:rsidRPr="001A16B8">
              <w:rPr>
                <w:rFonts w:ascii="Times New Roman" w:hAnsi="Times New Roman"/>
                <w:color w:val="000000"/>
                <w:lang w:eastAsia="ro-RO"/>
              </w:rPr>
              <w:t>11 925,7</w:t>
            </w:r>
          </w:p>
        </w:tc>
        <w:tc>
          <w:tcPr>
            <w:tcW w:w="1380" w:type="dxa"/>
            <w:tcBorders>
              <w:bottom w:val="single" w:sz="4" w:space="0" w:color="000000"/>
              <w:right w:val="single" w:sz="4" w:space="0" w:color="000000"/>
            </w:tcBorders>
            <w:shd w:val="clear" w:color="auto" w:fill="auto"/>
            <w:vAlign w:val="bottom"/>
          </w:tcPr>
          <w:p w:rsidR="00184CD6" w:rsidRPr="001A16B8" w:rsidRDefault="00184CD6" w:rsidP="00494DE5">
            <w:pPr>
              <w:spacing w:after="0" w:line="240" w:lineRule="auto"/>
              <w:jc w:val="center"/>
            </w:pPr>
            <w:r w:rsidRPr="001A16B8">
              <w:rPr>
                <w:rFonts w:ascii="Times New Roman" w:hAnsi="Times New Roman"/>
                <w:color w:val="000000"/>
                <w:lang w:eastAsia="ro-RO"/>
              </w:rPr>
              <w:t>12 917,9</w:t>
            </w:r>
          </w:p>
        </w:tc>
        <w:tc>
          <w:tcPr>
            <w:tcW w:w="1302" w:type="dxa"/>
            <w:tcBorders>
              <w:bottom w:val="single" w:sz="4" w:space="0" w:color="000000"/>
              <w:right w:val="single" w:sz="4" w:space="0" w:color="000000"/>
            </w:tcBorders>
            <w:shd w:val="clear" w:color="auto" w:fill="auto"/>
            <w:vAlign w:val="bottom"/>
          </w:tcPr>
          <w:p w:rsidR="00184CD6" w:rsidRPr="001A16B8" w:rsidRDefault="00184CD6" w:rsidP="00494DE5">
            <w:pPr>
              <w:spacing w:after="0" w:line="240" w:lineRule="auto"/>
              <w:jc w:val="center"/>
            </w:pPr>
            <w:r w:rsidRPr="001A16B8">
              <w:rPr>
                <w:rFonts w:ascii="Times New Roman" w:hAnsi="Times New Roman"/>
                <w:color w:val="000000"/>
                <w:lang w:eastAsia="ro-RO"/>
              </w:rPr>
              <w:t>992,2</w:t>
            </w:r>
          </w:p>
        </w:tc>
        <w:tc>
          <w:tcPr>
            <w:tcW w:w="1174" w:type="dxa"/>
            <w:tcBorders>
              <w:bottom w:val="single" w:sz="4" w:space="0" w:color="000000"/>
              <w:right w:val="single" w:sz="4" w:space="0" w:color="000000"/>
            </w:tcBorders>
            <w:shd w:val="clear" w:color="auto" w:fill="auto"/>
            <w:vAlign w:val="bottom"/>
          </w:tcPr>
          <w:p w:rsidR="00184CD6" w:rsidRPr="001A16B8" w:rsidRDefault="00184CD6" w:rsidP="00494DE5">
            <w:pPr>
              <w:spacing w:after="0" w:line="240" w:lineRule="auto"/>
              <w:jc w:val="center"/>
            </w:pPr>
            <w:r w:rsidRPr="001A16B8">
              <w:rPr>
                <w:rFonts w:ascii="Times New Roman" w:hAnsi="Times New Roman"/>
                <w:lang w:eastAsia="ro-RO"/>
              </w:rPr>
              <w:t>108,3</w:t>
            </w:r>
          </w:p>
        </w:tc>
      </w:tr>
      <w:tr w:rsidR="00184CD6" w:rsidRPr="001A16B8" w:rsidTr="00AC63FC">
        <w:trPr>
          <w:trHeight w:val="219"/>
          <w:jc w:val="center"/>
        </w:trPr>
        <w:tc>
          <w:tcPr>
            <w:tcW w:w="4218" w:type="dxa"/>
            <w:tcBorders>
              <w:left w:val="single" w:sz="4" w:space="0" w:color="000000"/>
              <w:bottom w:val="single" w:sz="4" w:space="0" w:color="000000"/>
              <w:right w:val="single" w:sz="4" w:space="0" w:color="000000"/>
            </w:tcBorders>
            <w:shd w:val="clear" w:color="auto" w:fill="auto"/>
            <w:vAlign w:val="bottom"/>
          </w:tcPr>
          <w:p w:rsidR="00184CD6" w:rsidRPr="001A16B8" w:rsidRDefault="00B37904" w:rsidP="00B37904">
            <w:pPr>
              <w:spacing w:after="0" w:line="240" w:lineRule="auto"/>
            </w:pPr>
            <w:r w:rsidRPr="001A16B8">
              <w:rPr>
                <w:rFonts w:ascii="Times New Roman" w:hAnsi="Times New Roman"/>
                <w:color w:val="000000"/>
                <w:lang w:eastAsia="ro-RO"/>
              </w:rPr>
              <w:t>Restituirea TVA</w:t>
            </w:r>
          </w:p>
        </w:tc>
        <w:tc>
          <w:tcPr>
            <w:tcW w:w="1427" w:type="dxa"/>
            <w:tcBorders>
              <w:bottom w:val="single" w:sz="4" w:space="0" w:color="000000"/>
              <w:right w:val="single" w:sz="4" w:space="0" w:color="000000"/>
            </w:tcBorders>
            <w:shd w:val="clear" w:color="auto" w:fill="auto"/>
            <w:vAlign w:val="bottom"/>
          </w:tcPr>
          <w:p w:rsidR="00184CD6" w:rsidRPr="001A16B8" w:rsidRDefault="00184CD6" w:rsidP="00494DE5">
            <w:pPr>
              <w:spacing w:after="0" w:line="240" w:lineRule="auto"/>
              <w:jc w:val="center"/>
            </w:pPr>
            <w:r w:rsidRPr="001A16B8">
              <w:rPr>
                <w:rFonts w:ascii="Times New Roman" w:hAnsi="Times New Roman"/>
                <w:color w:val="000000"/>
                <w:lang w:eastAsia="ro-RO"/>
              </w:rPr>
              <w:t>-2 224,7</w:t>
            </w:r>
          </w:p>
        </w:tc>
        <w:tc>
          <w:tcPr>
            <w:tcW w:w="1380" w:type="dxa"/>
            <w:tcBorders>
              <w:bottom w:val="single" w:sz="4" w:space="0" w:color="000000"/>
              <w:right w:val="single" w:sz="4" w:space="0" w:color="000000"/>
            </w:tcBorders>
            <w:shd w:val="clear" w:color="auto" w:fill="auto"/>
            <w:vAlign w:val="bottom"/>
          </w:tcPr>
          <w:p w:rsidR="00184CD6" w:rsidRPr="001A16B8" w:rsidRDefault="00184CD6" w:rsidP="00494DE5">
            <w:pPr>
              <w:spacing w:after="0" w:line="240" w:lineRule="auto"/>
              <w:jc w:val="center"/>
            </w:pPr>
            <w:r w:rsidRPr="001A16B8">
              <w:rPr>
                <w:rFonts w:ascii="Times New Roman" w:hAnsi="Times New Roman"/>
                <w:color w:val="000000"/>
                <w:lang w:eastAsia="ro-RO"/>
              </w:rPr>
              <w:t>-2 236,8</w:t>
            </w:r>
          </w:p>
        </w:tc>
        <w:tc>
          <w:tcPr>
            <w:tcW w:w="1302" w:type="dxa"/>
            <w:tcBorders>
              <w:bottom w:val="single" w:sz="4" w:space="0" w:color="000000"/>
              <w:right w:val="single" w:sz="4" w:space="0" w:color="000000"/>
            </w:tcBorders>
            <w:shd w:val="clear" w:color="auto" w:fill="auto"/>
            <w:vAlign w:val="bottom"/>
          </w:tcPr>
          <w:p w:rsidR="00184CD6" w:rsidRPr="001A16B8" w:rsidRDefault="00184CD6" w:rsidP="00494DE5">
            <w:pPr>
              <w:spacing w:after="0" w:line="240" w:lineRule="auto"/>
              <w:jc w:val="center"/>
            </w:pPr>
            <w:r w:rsidRPr="001A16B8">
              <w:rPr>
                <w:rFonts w:ascii="Times New Roman" w:hAnsi="Times New Roman"/>
                <w:color w:val="000000"/>
                <w:lang w:eastAsia="ro-RO"/>
              </w:rPr>
              <w:t>-12,2</w:t>
            </w:r>
          </w:p>
        </w:tc>
        <w:tc>
          <w:tcPr>
            <w:tcW w:w="1174" w:type="dxa"/>
            <w:tcBorders>
              <w:bottom w:val="single" w:sz="4" w:space="0" w:color="000000"/>
              <w:right w:val="single" w:sz="4" w:space="0" w:color="000000"/>
            </w:tcBorders>
            <w:shd w:val="clear" w:color="auto" w:fill="auto"/>
            <w:vAlign w:val="bottom"/>
          </w:tcPr>
          <w:p w:rsidR="00184CD6" w:rsidRPr="001A16B8" w:rsidRDefault="00184CD6" w:rsidP="00494DE5">
            <w:pPr>
              <w:spacing w:after="0" w:line="240" w:lineRule="auto"/>
              <w:jc w:val="center"/>
            </w:pPr>
            <w:r w:rsidRPr="001A16B8">
              <w:rPr>
                <w:rFonts w:ascii="Times New Roman" w:hAnsi="Times New Roman"/>
                <w:lang w:eastAsia="ro-RO"/>
              </w:rPr>
              <w:t>100,5</w:t>
            </w:r>
          </w:p>
        </w:tc>
      </w:tr>
    </w:tbl>
    <w:p w:rsidR="00691400" w:rsidRDefault="00691400">
      <w:pPr>
        <w:keepNext/>
        <w:keepLines/>
        <w:tabs>
          <w:tab w:val="left" w:pos="0"/>
          <w:tab w:val="left" w:pos="709"/>
        </w:tabs>
        <w:spacing w:after="120" w:line="276" w:lineRule="auto"/>
        <w:ind w:left="142" w:right="232" w:firstLine="284"/>
        <w:outlineLvl w:val="1"/>
        <w:rPr>
          <w:rFonts w:ascii="Times New Roman" w:hAnsi="Times New Roman"/>
          <w:b/>
          <w:bCs/>
          <w:i/>
          <w:sz w:val="28"/>
          <w:szCs w:val="28"/>
        </w:rPr>
      </w:pPr>
    </w:p>
    <w:p w:rsidR="00C82F48" w:rsidRPr="00012CA3" w:rsidRDefault="00C82F48">
      <w:pPr>
        <w:keepNext/>
        <w:keepLines/>
        <w:tabs>
          <w:tab w:val="left" w:pos="0"/>
          <w:tab w:val="left" w:pos="709"/>
        </w:tabs>
        <w:spacing w:after="120" w:line="276" w:lineRule="auto"/>
        <w:ind w:left="142" w:right="232" w:firstLine="284"/>
        <w:outlineLvl w:val="1"/>
      </w:pPr>
      <w:r w:rsidRPr="00012CA3">
        <w:rPr>
          <w:rFonts w:ascii="Times New Roman" w:hAnsi="Times New Roman"/>
          <w:b/>
          <w:bCs/>
          <w:i/>
          <w:sz w:val="28"/>
          <w:szCs w:val="28"/>
        </w:rPr>
        <w:t>Accize</w:t>
      </w:r>
    </w:p>
    <w:p w:rsidR="0037031D" w:rsidRPr="00012CA3" w:rsidRDefault="00C82F48" w:rsidP="00CC64E1">
      <w:pPr>
        <w:tabs>
          <w:tab w:val="left" w:pos="0"/>
          <w:tab w:val="left" w:pos="567"/>
          <w:tab w:val="left" w:pos="709"/>
        </w:tabs>
        <w:spacing w:after="0" w:line="276" w:lineRule="auto"/>
        <w:ind w:left="142" w:right="231" w:firstLine="284"/>
        <w:jc w:val="both"/>
        <w:rPr>
          <w:rFonts w:ascii="Times New Roman" w:hAnsi="Times New Roman"/>
          <w:color w:val="171717"/>
          <w:sz w:val="28"/>
          <w:szCs w:val="28"/>
        </w:rPr>
      </w:pPr>
      <w:r w:rsidRPr="00012CA3">
        <w:rPr>
          <w:rFonts w:ascii="Times New Roman" w:hAnsi="Times New Roman"/>
          <w:color w:val="171717"/>
          <w:sz w:val="28"/>
          <w:szCs w:val="28"/>
        </w:rPr>
        <w:tab/>
      </w:r>
      <w:r w:rsidR="008C7156" w:rsidRPr="00012CA3">
        <w:rPr>
          <w:rFonts w:ascii="Times New Roman" w:hAnsi="Times New Roman"/>
          <w:color w:val="171717"/>
          <w:sz w:val="28"/>
          <w:szCs w:val="28"/>
        </w:rPr>
        <w:t xml:space="preserve">Încasările din accize în semestrul I 2025, față de perioada respectivă a anului 2024, s-au majorat cu 271,3 mil.lei sau 5,3 %, dintre care </w:t>
      </w:r>
      <w:r w:rsidR="008C7156" w:rsidRPr="00012CA3">
        <w:rPr>
          <w:rFonts w:ascii="Times New Roman" w:hAnsi="Times New Roman"/>
          <w:i/>
          <w:color w:val="171717"/>
          <w:sz w:val="28"/>
          <w:szCs w:val="28"/>
        </w:rPr>
        <w:t>accizele la mărfurile produse pe teritoriul Republicii Moldova</w:t>
      </w:r>
      <w:r w:rsidR="008C7156" w:rsidRPr="00012CA3">
        <w:rPr>
          <w:rFonts w:ascii="Times New Roman" w:hAnsi="Times New Roman"/>
          <w:color w:val="171717"/>
          <w:sz w:val="28"/>
          <w:szCs w:val="28"/>
        </w:rPr>
        <w:t xml:space="preserve"> </w:t>
      </w:r>
      <w:r w:rsidR="00562ABA" w:rsidRPr="00E70E8D">
        <w:rPr>
          <w:rFonts w:ascii="Times New Roman" w:hAnsi="Times New Roman"/>
          <w:bCs/>
          <w:color w:val="171717"/>
          <w:sz w:val="28"/>
          <w:szCs w:val="28"/>
        </w:rPr>
        <w:t>–</w:t>
      </w:r>
      <w:r w:rsidR="00562ABA">
        <w:rPr>
          <w:rFonts w:ascii="Times New Roman" w:hAnsi="Times New Roman"/>
          <w:bCs/>
          <w:color w:val="171717"/>
          <w:sz w:val="28"/>
          <w:szCs w:val="28"/>
        </w:rPr>
        <w:t xml:space="preserve"> </w:t>
      </w:r>
      <w:r w:rsidR="008C7156" w:rsidRPr="00012CA3">
        <w:rPr>
          <w:rFonts w:ascii="Times New Roman" w:hAnsi="Times New Roman"/>
          <w:color w:val="171717"/>
          <w:sz w:val="28"/>
          <w:szCs w:val="28"/>
        </w:rPr>
        <w:t>cu</w:t>
      </w:r>
      <w:r w:rsidR="00E70E8D">
        <w:rPr>
          <w:rFonts w:ascii="Times New Roman" w:hAnsi="Times New Roman"/>
          <w:color w:val="171717"/>
          <w:sz w:val="28"/>
          <w:szCs w:val="28"/>
        </w:rPr>
        <w:t xml:space="preserve"> </w:t>
      </w:r>
      <w:r w:rsidR="008C7156" w:rsidRPr="00012CA3">
        <w:rPr>
          <w:rFonts w:ascii="Times New Roman" w:hAnsi="Times New Roman"/>
          <w:color w:val="171717"/>
          <w:sz w:val="28"/>
          <w:szCs w:val="28"/>
        </w:rPr>
        <w:t xml:space="preserve">151,4 mil.lei sau cu 28,0% și la </w:t>
      </w:r>
      <w:r w:rsidR="008C7156" w:rsidRPr="00012CA3">
        <w:rPr>
          <w:rFonts w:ascii="Times New Roman" w:hAnsi="Times New Roman"/>
          <w:i/>
          <w:color w:val="171717"/>
          <w:sz w:val="28"/>
          <w:szCs w:val="28"/>
        </w:rPr>
        <w:t>accizele la mărfurile importate</w:t>
      </w:r>
      <w:r w:rsidR="008C7156" w:rsidRPr="00012CA3">
        <w:rPr>
          <w:rFonts w:ascii="Times New Roman" w:hAnsi="Times New Roman"/>
          <w:color w:val="171717"/>
          <w:sz w:val="28"/>
          <w:szCs w:val="28"/>
        </w:rPr>
        <w:t xml:space="preserve"> cu 123,7 mil.lei sau 2,7 la sută.</w:t>
      </w:r>
    </w:p>
    <w:p w:rsidR="00CC64E1" w:rsidRPr="00012CA3" w:rsidRDefault="00CC64E1" w:rsidP="00CC64E1">
      <w:pPr>
        <w:tabs>
          <w:tab w:val="left" w:pos="0"/>
          <w:tab w:val="left" w:pos="567"/>
          <w:tab w:val="left" w:pos="709"/>
        </w:tabs>
        <w:spacing w:after="0" w:line="276" w:lineRule="auto"/>
        <w:ind w:left="142" w:right="231" w:firstLine="284"/>
        <w:jc w:val="both"/>
        <w:rPr>
          <w:rFonts w:ascii="Times New Roman" w:hAnsi="Times New Roman"/>
          <w:color w:val="171717"/>
          <w:sz w:val="28"/>
          <w:szCs w:val="28"/>
        </w:rPr>
      </w:pPr>
      <w:r w:rsidRPr="00012CA3">
        <w:rPr>
          <w:rFonts w:ascii="Times New Roman" w:hAnsi="Times New Roman"/>
          <w:color w:val="171717"/>
          <w:sz w:val="28"/>
          <w:szCs w:val="28"/>
        </w:rPr>
        <w:t xml:space="preserve"> </w:t>
      </w:r>
    </w:p>
    <w:p w:rsidR="00CC64E1" w:rsidRPr="00012CA3" w:rsidRDefault="00CC64E1" w:rsidP="00CC64E1">
      <w:pPr>
        <w:tabs>
          <w:tab w:val="left" w:pos="0"/>
          <w:tab w:val="left" w:pos="567"/>
          <w:tab w:val="left" w:pos="709"/>
        </w:tabs>
        <w:spacing w:after="0" w:line="276" w:lineRule="auto"/>
        <w:ind w:left="142" w:right="231" w:firstLine="284"/>
        <w:jc w:val="both"/>
      </w:pPr>
      <w:r w:rsidRPr="00012CA3">
        <w:rPr>
          <w:rFonts w:ascii="Times New Roman" w:hAnsi="Times New Roman"/>
          <w:color w:val="171717"/>
          <w:sz w:val="28"/>
          <w:szCs w:val="28"/>
          <w:u w:val="single"/>
        </w:rPr>
        <w:t xml:space="preserve">Principalele majorări s-au </w:t>
      </w:r>
      <w:r w:rsidR="003F3FD4">
        <w:rPr>
          <w:rFonts w:ascii="Times New Roman" w:hAnsi="Times New Roman"/>
          <w:color w:val="171717"/>
          <w:sz w:val="28"/>
          <w:szCs w:val="28"/>
          <w:u w:val="single"/>
        </w:rPr>
        <w:t>înregistrat</w:t>
      </w:r>
      <w:r w:rsidRPr="00012CA3">
        <w:rPr>
          <w:rFonts w:ascii="Times New Roman" w:hAnsi="Times New Roman"/>
          <w:color w:val="171717"/>
          <w:sz w:val="28"/>
          <w:szCs w:val="28"/>
          <w:u w:val="single"/>
        </w:rPr>
        <w:t xml:space="preserve"> la următoarele tipuri de accize:</w:t>
      </w:r>
    </w:p>
    <w:p w:rsidR="0037031D" w:rsidRPr="00012CA3" w:rsidRDefault="0037031D" w:rsidP="0037031D">
      <w:pPr>
        <w:numPr>
          <w:ilvl w:val="0"/>
          <w:numId w:val="6"/>
        </w:numPr>
        <w:tabs>
          <w:tab w:val="num" w:pos="-426"/>
          <w:tab w:val="left" w:pos="0"/>
          <w:tab w:val="left" w:pos="360"/>
        </w:tabs>
        <w:spacing w:after="0" w:line="276" w:lineRule="auto"/>
        <w:ind w:left="180" w:right="231" w:firstLine="180"/>
        <w:jc w:val="both"/>
        <w:rPr>
          <w:rFonts w:ascii="Times New Roman" w:hAnsi="Times New Roman"/>
          <w:sz w:val="28"/>
          <w:szCs w:val="28"/>
        </w:rPr>
      </w:pPr>
      <w:r w:rsidRPr="00012CA3">
        <w:rPr>
          <w:rFonts w:ascii="Times New Roman" w:hAnsi="Times New Roman"/>
          <w:i/>
          <w:sz w:val="28"/>
          <w:szCs w:val="28"/>
        </w:rPr>
        <w:t>accizele la produsele petroliere importate</w:t>
      </w:r>
      <w:r w:rsidRPr="00012CA3">
        <w:rPr>
          <w:rFonts w:ascii="Times New Roman" w:hAnsi="Times New Roman"/>
          <w:sz w:val="28"/>
          <w:szCs w:val="28"/>
        </w:rPr>
        <w:t xml:space="preserve"> </w:t>
      </w:r>
      <w:r w:rsidR="00562ABA" w:rsidRPr="00E70E8D">
        <w:rPr>
          <w:rFonts w:ascii="Times New Roman" w:hAnsi="Times New Roman"/>
          <w:bCs/>
          <w:color w:val="171717"/>
          <w:sz w:val="28"/>
          <w:szCs w:val="28"/>
        </w:rPr>
        <w:t>–</w:t>
      </w:r>
      <w:r w:rsidR="00562ABA">
        <w:rPr>
          <w:rFonts w:ascii="Times New Roman" w:hAnsi="Times New Roman"/>
          <w:bCs/>
          <w:color w:val="171717"/>
          <w:sz w:val="28"/>
          <w:szCs w:val="28"/>
        </w:rPr>
        <w:t xml:space="preserve"> </w:t>
      </w:r>
      <w:r w:rsidRPr="00012CA3">
        <w:rPr>
          <w:rFonts w:ascii="Times New Roman" w:hAnsi="Times New Roman"/>
          <w:sz w:val="28"/>
          <w:szCs w:val="28"/>
        </w:rPr>
        <w:t xml:space="preserve">cu 257,4 mil.lei sau 14,1% reieșind din ajustarea cotelor la accize începând cu 01.01.2025 și majorării </w:t>
      </w:r>
      <w:r w:rsidRPr="00012CA3">
        <w:rPr>
          <w:rFonts w:ascii="Times New Roman" w:hAnsi="Times New Roman"/>
          <w:sz w:val="28"/>
          <w:szCs w:val="28"/>
        </w:rPr>
        <w:lastRenderedPageBreak/>
        <w:t>volumului importurilor de produse petroliere în semestrul I al anului 2025 față de perioada similară a anului precedent (2025 – 449,2 mii tone, 2024 –433,5 mii tone);</w:t>
      </w:r>
    </w:p>
    <w:p w:rsidR="00113D8D" w:rsidRPr="00012CA3" w:rsidRDefault="00113D8D" w:rsidP="00DE36ED">
      <w:pPr>
        <w:numPr>
          <w:ilvl w:val="0"/>
          <w:numId w:val="6"/>
        </w:numPr>
        <w:tabs>
          <w:tab w:val="num" w:pos="-426"/>
          <w:tab w:val="left" w:pos="0"/>
          <w:tab w:val="left" w:pos="360"/>
        </w:tabs>
        <w:spacing w:after="0" w:line="276" w:lineRule="auto"/>
        <w:ind w:left="180" w:right="231" w:firstLine="180"/>
        <w:jc w:val="both"/>
        <w:rPr>
          <w:rFonts w:ascii="Times New Roman" w:hAnsi="Times New Roman"/>
          <w:sz w:val="28"/>
          <w:szCs w:val="28"/>
        </w:rPr>
      </w:pPr>
      <w:r w:rsidRPr="00012CA3">
        <w:rPr>
          <w:rFonts w:ascii="Times New Roman" w:hAnsi="Times New Roman"/>
          <w:i/>
          <w:sz w:val="28"/>
          <w:szCs w:val="28"/>
        </w:rPr>
        <w:t>accizele la produsele din tutun produse pe teritoriul Republicii Moldova</w:t>
      </w:r>
      <w:r w:rsidRPr="00012CA3">
        <w:rPr>
          <w:rFonts w:ascii="Times New Roman" w:hAnsi="Times New Roman"/>
          <w:sz w:val="28"/>
          <w:szCs w:val="28"/>
        </w:rPr>
        <w:t xml:space="preserve">  </w:t>
      </w:r>
      <w:r w:rsidR="005529EB" w:rsidRPr="005529EB">
        <w:rPr>
          <w:rFonts w:ascii="Times New Roman" w:hAnsi="Times New Roman"/>
          <w:bCs/>
          <w:sz w:val="28"/>
          <w:szCs w:val="28"/>
        </w:rPr>
        <w:t>–</w:t>
      </w:r>
      <w:r w:rsidR="005529EB">
        <w:rPr>
          <w:rFonts w:ascii="Times New Roman" w:hAnsi="Times New Roman"/>
          <w:bCs/>
          <w:sz w:val="28"/>
          <w:szCs w:val="28"/>
        </w:rPr>
        <w:t xml:space="preserve"> </w:t>
      </w:r>
      <w:r w:rsidRPr="00012CA3">
        <w:rPr>
          <w:rFonts w:ascii="Times New Roman" w:hAnsi="Times New Roman"/>
          <w:sz w:val="28"/>
          <w:szCs w:val="28"/>
        </w:rPr>
        <w:t>cu 144,8 mil. lei, sau 49,7%, ca urmare a majorării volumului de produse din tutun expediat din antrepozitul fiscal.</w:t>
      </w:r>
    </w:p>
    <w:p w:rsidR="00C82F48" w:rsidRPr="004C28E2" w:rsidRDefault="00C82F48" w:rsidP="00AA7777">
      <w:pPr>
        <w:tabs>
          <w:tab w:val="left" w:pos="0"/>
          <w:tab w:val="left" w:pos="567"/>
          <w:tab w:val="left" w:pos="709"/>
        </w:tabs>
        <w:spacing w:after="0" w:line="276" w:lineRule="auto"/>
        <w:ind w:left="142" w:right="231" w:firstLine="284"/>
        <w:jc w:val="right"/>
      </w:pPr>
      <w:r w:rsidRPr="00012CA3">
        <w:rPr>
          <w:rFonts w:ascii="Times New Roman" w:hAnsi="Times New Roman"/>
          <w:b/>
          <w:i/>
          <w:color w:val="171717"/>
          <w:sz w:val="28"/>
          <w:szCs w:val="28"/>
        </w:rPr>
        <w:t xml:space="preserve">                                                                                                                                </w:t>
      </w:r>
      <w:r w:rsidRPr="004C28E2">
        <w:t>mil. lei</w:t>
      </w:r>
    </w:p>
    <w:tbl>
      <w:tblPr>
        <w:tblW w:w="0" w:type="auto"/>
        <w:jc w:val="center"/>
        <w:tblLayout w:type="fixed"/>
        <w:tblLook w:val="0000" w:firstRow="0" w:lastRow="0" w:firstColumn="0" w:lastColumn="0" w:noHBand="0" w:noVBand="0"/>
      </w:tblPr>
      <w:tblGrid>
        <w:gridCol w:w="3843"/>
        <w:gridCol w:w="1448"/>
        <w:gridCol w:w="1451"/>
        <w:gridCol w:w="1256"/>
        <w:gridCol w:w="1643"/>
      </w:tblGrid>
      <w:tr w:rsidR="00B23AC4" w:rsidRPr="00F91900" w:rsidTr="00494DE5">
        <w:trPr>
          <w:trHeight w:val="100"/>
          <w:jc w:val="center"/>
        </w:trPr>
        <w:tc>
          <w:tcPr>
            <w:tcW w:w="3843" w:type="dxa"/>
            <w:vMerge w:val="restart"/>
            <w:tcBorders>
              <w:top w:val="single" w:sz="4" w:space="0" w:color="000000"/>
              <w:left w:val="single" w:sz="4" w:space="0" w:color="000000"/>
              <w:bottom w:val="single" w:sz="4" w:space="0" w:color="000000"/>
              <w:right w:val="single" w:sz="4" w:space="0" w:color="000000"/>
            </w:tcBorders>
            <w:shd w:val="clear" w:color="auto" w:fill="E5E5E5"/>
            <w:vAlign w:val="bottom"/>
          </w:tcPr>
          <w:p w:rsidR="00B23AC4" w:rsidRPr="00F91900" w:rsidRDefault="00B23AC4" w:rsidP="00494DE5">
            <w:pPr>
              <w:tabs>
                <w:tab w:val="left" w:pos="0"/>
                <w:tab w:val="left" w:pos="567"/>
              </w:tabs>
              <w:spacing w:after="0" w:line="276" w:lineRule="auto"/>
              <w:jc w:val="center"/>
            </w:pPr>
            <w:r w:rsidRPr="00F91900">
              <w:rPr>
                <w:rFonts w:ascii="Times New Roman" w:hAnsi="Times New Roman"/>
                <w:color w:val="171717"/>
                <w:lang w:eastAsia="ro-RO"/>
              </w:rPr>
              <w:t> </w:t>
            </w:r>
          </w:p>
        </w:tc>
        <w:tc>
          <w:tcPr>
            <w:tcW w:w="1448" w:type="dxa"/>
            <w:tcBorders>
              <w:top w:val="single" w:sz="4" w:space="0" w:color="000000"/>
              <w:bottom w:val="single" w:sz="4" w:space="0" w:color="000000"/>
              <w:right w:val="single" w:sz="4" w:space="0" w:color="000000"/>
            </w:tcBorders>
            <w:shd w:val="clear" w:color="auto" w:fill="E5E5E5"/>
            <w:vAlign w:val="bottom"/>
          </w:tcPr>
          <w:p w:rsidR="00B23AC4" w:rsidRPr="00F91900" w:rsidRDefault="00B23AC4" w:rsidP="00494DE5">
            <w:pPr>
              <w:tabs>
                <w:tab w:val="left" w:pos="0"/>
                <w:tab w:val="left" w:pos="567"/>
              </w:tabs>
              <w:spacing w:after="0" w:line="240" w:lineRule="auto"/>
              <w:jc w:val="center"/>
            </w:pPr>
            <w:r w:rsidRPr="00F91900">
              <w:rPr>
                <w:rFonts w:ascii="Times New Roman" w:hAnsi="Times New Roman"/>
                <w:b/>
                <w:i/>
                <w:color w:val="171717"/>
                <w:lang w:eastAsia="ro-RO"/>
              </w:rPr>
              <w:t>2024</w:t>
            </w:r>
          </w:p>
        </w:tc>
        <w:tc>
          <w:tcPr>
            <w:tcW w:w="1451" w:type="dxa"/>
            <w:tcBorders>
              <w:top w:val="single" w:sz="4" w:space="0" w:color="000000"/>
              <w:bottom w:val="single" w:sz="4" w:space="0" w:color="000000"/>
              <w:right w:val="single" w:sz="4" w:space="0" w:color="000000"/>
            </w:tcBorders>
            <w:shd w:val="clear" w:color="auto" w:fill="E5E5E5"/>
            <w:vAlign w:val="bottom"/>
          </w:tcPr>
          <w:p w:rsidR="00B23AC4" w:rsidRPr="00F91900" w:rsidRDefault="00B23AC4" w:rsidP="00494DE5">
            <w:pPr>
              <w:tabs>
                <w:tab w:val="left" w:pos="0"/>
                <w:tab w:val="left" w:pos="567"/>
              </w:tabs>
              <w:spacing w:after="0" w:line="240" w:lineRule="auto"/>
              <w:jc w:val="center"/>
            </w:pPr>
            <w:r w:rsidRPr="00F91900">
              <w:rPr>
                <w:rFonts w:ascii="Times New Roman" w:hAnsi="Times New Roman"/>
                <w:b/>
                <w:i/>
                <w:color w:val="171717"/>
                <w:lang w:eastAsia="ro-RO"/>
              </w:rPr>
              <w:t>2025</w:t>
            </w:r>
          </w:p>
        </w:tc>
        <w:tc>
          <w:tcPr>
            <w:tcW w:w="2899" w:type="dxa"/>
            <w:gridSpan w:val="2"/>
            <w:tcBorders>
              <w:top w:val="single" w:sz="4" w:space="0" w:color="000000"/>
              <w:bottom w:val="single" w:sz="4" w:space="0" w:color="000000"/>
              <w:right w:val="single" w:sz="4" w:space="0" w:color="000000"/>
            </w:tcBorders>
            <w:shd w:val="clear" w:color="auto" w:fill="E5E5E5"/>
            <w:vAlign w:val="bottom"/>
          </w:tcPr>
          <w:p w:rsidR="00B23AC4" w:rsidRPr="00F91900" w:rsidRDefault="00B23AC4" w:rsidP="00494DE5">
            <w:pPr>
              <w:tabs>
                <w:tab w:val="left" w:pos="0"/>
                <w:tab w:val="left" w:pos="567"/>
              </w:tabs>
              <w:spacing w:after="0" w:line="240" w:lineRule="auto"/>
              <w:jc w:val="center"/>
            </w:pPr>
            <w:r w:rsidRPr="00F91900">
              <w:rPr>
                <w:rFonts w:ascii="Times New Roman" w:hAnsi="Times New Roman"/>
                <w:b/>
                <w:i/>
                <w:color w:val="171717"/>
                <w:lang w:eastAsia="ro-RO"/>
              </w:rPr>
              <w:t>devieri</w:t>
            </w:r>
          </w:p>
        </w:tc>
      </w:tr>
      <w:tr w:rsidR="00B23AC4" w:rsidRPr="00F91900" w:rsidTr="00494DE5">
        <w:trPr>
          <w:trHeight w:val="63"/>
          <w:jc w:val="center"/>
        </w:trPr>
        <w:tc>
          <w:tcPr>
            <w:tcW w:w="3843" w:type="dxa"/>
            <w:vMerge/>
            <w:tcBorders>
              <w:top w:val="single" w:sz="4" w:space="0" w:color="000000"/>
              <w:left w:val="single" w:sz="4" w:space="0" w:color="000000"/>
              <w:bottom w:val="single" w:sz="4" w:space="0" w:color="000000"/>
              <w:right w:val="single" w:sz="4" w:space="0" w:color="000000"/>
            </w:tcBorders>
            <w:shd w:val="clear" w:color="auto" w:fill="E5E5E5"/>
            <w:vAlign w:val="bottom"/>
          </w:tcPr>
          <w:p w:rsidR="00B23AC4" w:rsidRPr="00F91900" w:rsidRDefault="00B23AC4" w:rsidP="00494DE5">
            <w:pPr>
              <w:tabs>
                <w:tab w:val="left" w:pos="0"/>
                <w:tab w:val="left" w:pos="567"/>
              </w:tabs>
              <w:snapToGrid w:val="0"/>
              <w:spacing w:after="0" w:line="276" w:lineRule="auto"/>
              <w:rPr>
                <w:rFonts w:ascii="Times New Roman" w:hAnsi="Times New Roman"/>
                <w:b/>
                <w:i/>
                <w:color w:val="171717"/>
                <w:lang w:eastAsia="ro-RO"/>
              </w:rPr>
            </w:pPr>
          </w:p>
        </w:tc>
        <w:tc>
          <w:tcPr>
            <w:tcW w:w="2899" w:type="dxa"/>
            <w:gridSpan w:val="2"/>
            <w:tcBorders>
              <w:top w:val="single" w:sz="4" w:space="0" w:color="000000"/>
              <w:bottom w:val="single" w:sz="4" w:space="0" w:color="000000"/>
              <w:right w:val="single" w:sz="4" w:space="0" w:color="000000"/>
            </w:tcBorders>
            <w:shd w:val="clear" w:color="auto" w:fill="E5E5E5"/>
            <w:vAlign w:val="bottom"/>
          </w:tcPr>
          <w:p w:rsidR="00B23AC4" w:rsidRPr="00F91900" w:rsidRDefault="00B23AC4" w:rsidP="00494DE5">
            <w:pPr>
              <w:tabs>
                <w:tab w:val="left" w:pos="0"/>
                <w:tab w:val="left" w:pos="567"/>
              </w:tabs>
              <w:spacing w:after="0" w:line="240" w:lineRule="auto"/>
              <w:jc w:val="center"/>
            </w:pPr>
            <w:r w:rsidRPr="00F91900">
              <w:rPr>
                <w:rFonts w:ascii="Times New Roman" w:hAnsi="Times New Roman"/>
                <w:color w:val="171717"/>
                <w:lang w:eastAsia="ro-RO"/>
              </w:rPr>
              <w:t xml:space="preserve">semestrul I </w:t>
            </w:r>
          </w:p>
        </w:tc>
        <w:tc>
          <w:tcPr>
            <w:tcW w:w="1256" w:type="dxa"/>
            <w:tcBorders>
              <w:bottom w:val="single" w:sz="4" w:space="0" w:color="000000"/>
              <w:right w:val="single" w:sz="4" w:space="0" w:color="000000"/>
            </w:tcBorders>
            <w:shd w:val="clear" w:color="auto" w:fill="E5E5E5"/>
            <w:vAlign w:val="bottom"/>
          </w:tcPr>
          <w:p w:rsidR="00B23AC4" w:rsidRPr="00F91900" w:rsidRDefault="00B23AC4" w:rsidP="00494DE5">
            <w:pPr>
              <w:tabs>
                <w:tab w:val="left" w:pos="0"/>
                <w:tab w:val="left" w:pos="567"/>
              </w:tabs>
              <w:spacing w:after="0" w:line="240" w:lineRule="auto"/>
              <w:jc w:val="center"/>
            </w:pPr>
            <w:r w:rsidRPr="00F91900">
              <w:rPr>
                <w:rFonts w:ascii="Times New Roman" w:hAnsi="Times New Roman"/>
                <w:color w:val="171717"/>
                <w:lang w:eastAsia="ro-RO"/>
              </w:rPr>
              <w:t>+,-</w:t>
            </w:r>
          </w:p>
        </w:tc>
        <w:tc>
          <w:tcPr>
            <w:tcW w:w="1643" w:type="dxa"/>
            <w:tcBorders>
              <w:bottom w:val="single" w:sz="4" w:space="0" w:color="000000"/>
              <w:right w:val="single" w:sz="4" w:space="0" w:color="000000"/>
            </w:tcBorders>
            <w:shd w:val="clear" w:color="auto" w:fill="E5E5E5"/>
            <w:vAlign w:val="bottom"/>
          </w:tcPr>
          <w:p w:rsidR="00B23AC4" w:rsidRPr="00F91900" w:rsidRDefault="00B23AC4" w:rsidP="00494DE5">
            <w:pPr>
              <w:tabs>
                <w:tab w:val="left" w:pos="0"/>
                <w:tab w:val="left" w:pos="567"/>
              </w:tabs>
              <w:spacing w:after="0" w:line="240" w:lineRule="auto"/>
              <w:jc w:val="center"/>
            </w:pPr>
            <w:r w:rsidRPr="00F91900">
              <w:rPr>
                <w:rFonts w:ascii="Times New Roman" w:hAnsi="Times New Roman"/>
                <w:color w:val="171717"/>
                <w:lang w:eastAsia="ro-RO"/>
              </w:rPr>
              <w:t>%</w:t>
            </w:r>
          </w:p>
        </w:tc>
      </w:tr>
      <w:tr w:rsidR="00B23AC4" w:rsidRPr="00F91900" w:rsidTr="00494DE5">
        <w:trPr>
          <w:trHeight w:val="349"/>
          <w:jc w:val="center"/>
        </w:trPr>
        <w:tc>
          <w:tcPr>
            <w:tcW w:w="3843" w:type="dxa"/>
            <w:tcBorders>
              <w:left w:val="single" w:sz="4" w:space="0" w:color="000000"/>
              <w:bottom w:val="single" w:sz="4" w:space="0" w:color="000000"/>
              <w:right w:val="single" w:sz="4" w:space="0" w:color="000000"/>
            </w:tcBorders>
            <w:shd w:val="clear" w:color="auto" w:fill="auto"/>
            <w:vAlign w:val="bottom"/>
          </w:tcPr>
          <w:p w:rsidR="00B23AC4" w:rsidRPr="00F91900" w:rsidRDefault="00B23AC4" w:rsidP="00494DE5">
            <w:pPr>
              <w:tabs>
                <w:tab w:val="left" w:pos="0"/>
                <w:tab w:val="left" w:pos="567"/>
              </w:tabs>
              <w:spacing w:after="0" w:line="276" w:lineRule="auto"/>
            </w:pPr>
            <w:r w:rsidRPr="00F91900">
              <w:rPr>
                <w:rFonts w:ascii="Times New Roman" w:hAnsi="Times New Roman"/>
                <w:b/>
                <w:bCs/>
                <w:i/>
                <w:iCs/>
                <w:color w:val="171717"/>
                <w:lang w:eastAsia="ro-RO"/>
              </w:rPr>
              <w:t>Total accize</w:t>
            </w:r>
          </w:p>
        </w:tc>
        <w:tc>
          <w:tcPr>
            <w:tcW w:w="1448" w:type="dxa"/>
            <w:tcBorders>
              <w:bottom w:val="single" w:sz="4" w:space="0" w:color="000000"/>
              <w:right w:val="single" w:sz="4" w:space="0" w:color="000000"/>
            </w:tcBorders>
            <w:shd w:val="clear" w:color="auto" w:fill="auto"/>
            <w:vAlign w:val="bottom"/>
          </w:tcPr>
          <w:p w:rsidR="00B23AC4" w:rsidRPr="00F91900" w:rsidRDefault="00B23AC4" w:rsidP="00494DE5">
            <w:pPr>
              <w:tabs>
                <w:tab w:val="left" w:pos="0"/>
                <w:tab w:val="left" w:pos="567"/>
              </w:tabs>
              <w:spacing w:after="0" w:line="276" w:lineRule="auto"/>
              <w:jc w:val="center"/>
            </w:pPr>
            <w:r w:rsidRPr="00F91900">
              <w:rPr>
                <w:rFonts w:ascii="Times New Roman" w:hAnsi="Times New Roman"/>
                <w:b/>
                <w:color w:val="171717"/>
                <w:lang w:eastAsia="ro-RO"/>
              </w:rPr>
              <w:t>5 163,5</w:t>
            </w:r>
          </w:p>
        </w:tc>
        <w:tc>
          <w:tcPr>
            <w:tcW w:w="1451" w:type="dxa"/>
            <w:tcBorders>
              <w:bottom w:val="single" w:sz="4" w:space="0" w:color="000000"/>
              <w:right w:val="single" w:sz="4" w:space="0" w:color="000000"/>
            </w:tcBorders>
            <w:shd w:val="clear" w:color="auto" w:fill="auto"/>
            <w:vAlign w:val="bottom"/>
          </w:tcPr>
          <w:p w:rsidR="00B23AC4" w:rsidRPr="00F91900" w:rsidRDefault="00B23AC4" w:rsidP="00494DE5">
            <w:pPr>
              <w:tabs>
                <w:tab w:val="left" w:pos="0"/>
                <w:tab w:val="left" w:pos="567"/>
              </w:tabs>
              <w:spacing w:after="0" w:line="276" w:lineRule="auto"/>
              <w:jc w:val="center"/>
            </w:pPr>
            <w:r w:rsidRPr="00F91900">
              <w:rPr>
                <w:rFonts w:ascii="Times New Roman" w:hAnsi="Times New Roman"/>
                <w:b/>
                <w:color w:val="171717"/>
                <w:lang w:eastAsia="ro-RO"/>
              </w:rPr>
              <w:t>5 434,8</w:t>
            </w:r>
          </w:p>
        </w:tc>
        <w:tc>
          <w:tcPr>
            <w:tcW w:w="1256" w:type="dxa"/>
            <w:tcBorders>
              <w:bottom w:val="single" w:sz="4" w:space="0" w:color="000000"/>
              <w:right w:val="single" w:sz="4" w:space="0" w:color="000000"/>
            </w:tcBorders>
            <w:shd w:val="clear" w:color="auto" w:fill="auto"/>
            <w:vAlign w:val="bottom"/>
          </w:tcPr>
          <w:p w:rsidR="00B23AC4" w:rsidRPr="00F91900" w:rsidRDefault="00B23AC4" w:rsidP="00494DE5">
            <w:pPr>
              <w:tabs>
                <w:tab w:val="left" w:pos="0"/>
                <w:tab w:val="left" w:pos="567"/>
              </w:tabs>
              <w:spacing w:after="0" w:line="276" w:lineRule="auto"/>
              <w:jc w:val="center"/>
            </w:pPr>
            <w:r w:rsidRPr="00F91900">
              <w:rPr>
                <w:rFonts w:ascii="Times New Roman" w:hAnsi="Times New Roman"/>
                <w:b/>
                <w:color w:val="171717"/>
                <w:lang w:eastAsia="ro-RO"/>
              </w:rPr>
              <w:t>271,3</w:t>
            </w:r>
          </w:p>
        </w:tc>
        <w:tc>
          <w:tcPr>
            <w:tcW w:w="1643" w:type="dxa"/>
            <w:tcBorders>
              <w:bottom w:val="single" w:sz="4" w:space="0" w:color="000000"/>
              <w:right w:val="single" w:sz="4" w:space="0" w:color="000000"/>
            </w:tcBorders>
            <w:shd w:val="clear" w:color="auto" w:fill="auto"/>
            <w:vAlign w:val="bottom"/>
          </w:tcPr>
          <w:p w:rsidR="00B23AC4" w:rsidRPr="00F91900" w:rsidRDefault="00B23AC4" w:rsidP="00494DE5">
            <w:pPr>
              <w:tabs>
                <w:tab w:val="left" w:pos="0"/>
                <w:tab w:val="left" w:pos="567"/>
              </w:tabs>
              <w:spacing w:after="0" w:line="276" w:lineRule="auto"/>
              <w:jc w:val="center"/>
            </w:pPr>
            <w:r w:rsidRPr="00F91900">
              <w:rPr>
                <w:rFonts w:ascii="Times New Roman" w:hAnsi="Times New Roman"/>
                <w:b/>
                <w:color w:val="171717"/>
                <w:lang w:eastAsia="ro-RO"/>
              </w:rPr>
              <w:t>105,3</w:t>
            </w:r>
          </w:p>
        </w:tc>
      </w:tr>
      <w:tr w:rsidR="00B23AC4" w:rsidRPr="00F91900" w:rsidTr="00494DE5">
        <w:trPr>
          <w:trHeight w:val="273"/>
          <w:jc w:val="center"/>
        </w:trPr>
        <w:tc>
          <w:tcPr>
            <w:tcW w:w="3843" w:type="dxa"/>
            <w:tcBorders>
              <w:left w:val="single" w:sz="4" w:space="0" w:color="000000"/>
              <w:bottom w:val="single" w:sz="4" w:space="0" w:color="000000"/>
              <w:right w:val="single" w:sz="4" w:space="0" w:color="000000"/>
            </w:tcBorders>
            <w:shd w:val="clear" w:color="auto" w:fill="auto"/>
            <w:vAlign w:val="bottom"/>
          </w:tcPr>
          <w:p w:rsidR="00B23AC4" w:rsidRPr="00F91900" w:rsidRDefault="008461B4" w:rsidP="00494DE5">
            <w:pPr>
              <w:tabs>
                <w:tab w:val="left" w:pos="0"/>
                <w:tab w:val="left" w:pos="567"/>
              </w:tabs>
              <w:spacing w:after="0" w:line="276" w:lineRule="auto"/>
            </w:pPr>
            <w:r w:rsidRPr="00F91900">
              <w:rPr>
                <w:rFonts w:ascii="Times New Roman" w:hAnsi="Times New Roman"/>
                <w:color w:val="171717"/>
                <w:lang w:eastAsia="ro-RO"/>
              </w:rPr>
              <w:t>Accize la mărfurile produse pe teritoriul Republicii Moldova</w:t>
            </w:r>
          </w:p>
        </w:tc>
        <w:tc>
          <w:tcPr>
            <w:tcW w:w="1448" w:type="dxa"/>
            <w:tcBorders>
              <w:bottom w:val="single" w:sz="4" w:space="0" w:color="000000"/>
              <w:right w:val="single" w:sz="4" w:space="0" w:color="000000"/>
            </w:tcBorders>
            <w:shd w:val="clear" w:color="auto" w:fill="auto"/>
            <w:vAlign w:val="bottom"/>
          </w:tcPr>
          <w:p w:rsidR="00B23AC4" w:rsidRPr="00F91900" w:rsidRDefault="00B23AC4" w:rsidP="00494DE5">
            <w:pPr>
              <w:tabs>
                <w:tab w:val="left" w:pos="0"/>
                <w:tab w:val="left" w:pos="567"/>
              </w:tabs>
              <w:spacing w:after="0" w:line="276" w:lineRule="auto"/>
              <w:jc w:val="center"/>
            </w:pPr>
            <w:r w:rsidRPr="00F91900">
              <w:rPr>
                <w:rFonts w:ascii="Times New Roman" w:hAnsi="Times New Roman"/>
                <w:color w:val="171717"/>
                <w:lang w:eastAsia="ro-RO"/>
              </w:rPr>
              <w:t>541,1</w:t>
            </w:r>
          </w:p>
        </w:tc>
        <w:tc>
          <w:tcPr>
            <w:tcW w:w="1451" w:type="dxa"/>
            <w:tcBorders>
              <w:bottom w:val="single" w:sz="4" w:space="0" w:color="000000"/>
              <w:right w:val="single" w:sz="4" w:space="0" w:color="000000"/>
            </w:tcBorders>
            <w:shd w:val="clear" w:color="auto" w:fill="auto"/>
            <w:vAlign w:val="bottom"/>
          </w:tcPr>
          <w:p w:rsidR="00B23AC4" w:rsidRPr="00F91900" w:rsidRDefault="00B23AC4" w:rsidP="00494DE5">
            <w:pPr>
              <w:tabs>
                <w:tab w:val="left" w:pos="0"/>
                <w:tab w:val="left" w:pos="567"/>
              </w:tabs>
              <w:spacing w:after="0" w:line="276" w:lineRule="auto"/>
              <w:jc w:val="center"/>
            </w:pPr>
            <w:r w:rsidRPr="00F91900">
              <w:rPr>
                <w:rFonts w:ascii="Times New Roman" w:hAnsi="Times New Roman"/>
                <w:color w:val="171717"/>
                <w:lang w:eastAsia="ro-RO"/>
              </w:rPr>
              <w:t>692,5</w:t>
            </w:r>
          </w:p>
        </w:tc>
        <w:tc>
          <w:tcPr>
            <w:tcW w:w="1256" w:type="dxa"/>
            <w:tcBorders>
              <w:bottom w:val="single" w:sz="4" w:space="0" w:color="000000"/>
              <w:right w:val="single" w:sz="4" w:space="0" w:color="000000"/>
            </w:tcBorders>
            <w:shd w:val="clear" w:color="auto" w:fill="auto"/>
            <w:vAlign w:val="bottom"/>
          </w:tcPr>
          <w:p w:rsidR="00B23AC4" w:rsidRPr="00F91900" w:rsidRDefault="00B23AC4" w:rsidP="00494DE5">
            <w:pPr>
              <w:tabs>
                <w:tab w:val="left" w:pos="0"/>
                <w:tab w:val="left" w:pos="567"/>
              </w:tabs>
              <w:spacing w:after="0" w:line="276" w:lineRule="auto"/>
              <w:jc w:val="center"/>
            </w:pPr>
            <w:r w:rsidRPr="00F91900">
              <w:rPr>
                <w:rFonts w:ascii="Times New Roman" w:hAnsi="Times New Roman"/>
                <w:color w:val="171717"/>
                <w:lang w:eastAsia="ro-RO"/>
              </w:rPr>
              <w:t>151,4</w:t>
            </w:r>
          </w:p>
        </w:tc>
        <w:tc>
          <w:tcPr>
            <w:tcW w:w="1643" w:type="dxa"/>
            <w:tcBorders>
              <w:bottom w:val="single" w:sz="4" w:space="0" w:color="000000"/>
              <w:right w:val="single" w:sz="4" w:space="0" w:color="000000"/>
            </w:tcBorders>
            <w:shd w:val="clear" w:color="auto" w:fill="auto"/>
            <w:vAlign w:val="bottom"/>
          </w:tcPr>
          <w:p w:rsidR="00B23AC4" w:rsidRPr="00F91900" w:rsidRDefault="00B23AC4" w:rsidP="00494DE5">
            <w:pPr>
              <w:tabs>
                <w:tab w:val="left" w:pos="0"/>
                <w:tab w:val="left" w:pos="567"/>
              </w:tabs>
              <w:spacing w:after="0" w:line="276" w:lineRule="auto"/>
              <w:jc w:val="center"/>
            </w:pPr>
            <w:r w:rsidRPr="00F91900">
              <w:rPr>
                <w:rFonts w:ascii="Times New Roman" w:hAnsi="Times New Roman"/>
                <w:color w:val="171717"/>
                <w:lang w:eastAsia="ro-RO"/>
              </w:rPr>
              <w:t>128,0</w:t>
            </w:r>
          </w:p>
        </w:tc>
      </w:tr>
      <w:tr w:rsidR="00B23AC4" w:rsidRPr="00F91900" w:rsidTr="00494DE5">
        <w:trPr>
          <w:trHeight w:val="310"/>
          <w:jc w:val="center"/>
        </w:trPr>
        <w:tc>
          <w:tcPr>
            <w:tcW w:w="3843" w:type="dxa"/>
            <w:tcBorders>
              <w:left w:val="single" w:sz="4" w:space="0" w:color="000000"/>
              <w:bottom w:val="single" w:sz="4" w:space="0" w:color="000000"/>
              <w:right w:val="single" w:sz="4" w:space="0" w:color="000000"/>
            </w:tcBorders>
            <w:shd w:val="clear" w:color="auto" w:fill="auto"/>
            <w:vAlign w:val="bottom"/>
          </w:tcPr>
          <w:p w:rsidR="00B23AC4" w:rsidRPr="00F91900" w:rsidRDefault="0067701F" w:rsidP="0067701F">
            <w:pPr>
              <w:tabs>
                <w:tab w:val="left" w:pos="0"/>
                <w:tab w:val="left" w:pos="567"/>
              </w:tabs>
              <w:spacing w:after="0" w:line="276" w:lineRule="auto"/>
            </w:pPr>
            <w:r w:rsidRPr="00F91900">
              <w:rPr>
                <w:rFonts w:ascii="Times New Roman" w:hAnsi="Times New Roman"/>
                <w:color w:val="171717"/>
                <w:lang w:eastAsia="ro-RO"/>
              </w:rPr>
              <w:t>Accize la mărfurile importate</w:t>
            </w:r>
          </w:p>
        </w:tc>
        <w:tc>
          <w:tcPr>
            <w:tcW w:w="1448" w:type="dxa"/>
            <w:tcBorders>
              <w:bottom w:val="single" w:sz="4" w:space="0" w:color="000000"/>
              <w:right w:val="single" w:sz="4" w:space="0" w:color="000000"/>
            </w:tcBorders>
            <w:shd w:val="clear" w:color="auto" w:fill="auto"/>
            <w:vAlign w:val="bottom"/>
          </w:tcPr>
          <w:p w:rsidR="00B23AC4" w:rsidRPr="00F91900" w:rsidRDefault="00B23AC4" w:rsidP="00494DE5">
            <w:pPr>
              <w:tabs>
                <w:tab w:val="left" w:pos="0"/>
                <w:tab w:val="left" w:pos="567"/>
              </w:tabs>
              <w:spacing w:after="0" w:line="276" w:lineRule="auto"/>
              <w:jc w:val="center"/>
            </w:pPr>
            <w:r w:rsidRPr="00F91900">
              <w:rPr>
                <w:rFonts w:ascii="Times New Roman" w:hAnsi="Times New Roman"/>
                <w:color w:val="171717"/>
                <w:lang w:eastAsia="ro-RO"/>
              </w:rPr>
              <w:t>4 635,8</w:t>
            </w:r>
          </w:p>
        </w:tc>
        <w:tc>
          <w:tcPr>
            <w:tcW w:w="1451" w:type="dxa"/>
            <w:tcBorders>
              <w:bottom w:val="single" w:sz="4" w:space="0" w:color="000000"/>
              <w:right w:val="single" w:sz="4" w:space="0" w:color="000000"/>
            </w:tcBorders>
            <w:shd w:val="clear" w:color="auto" w:fill="auto"/>
            <w:vAlign w:val="bottom"/>
          </w:tcPr>
          <w:p w:rsidR="00B23AC4" w:rsidRPr="00F91900" w:rsidRDefault="00B23AC4" w:rsidP="00494DE5">
            <w:pPr>
              <w:tabs>
                <w:tab w:val="left" w:pos="0"/>
                <w:tab w:val="left" w:pos="567"/>
              </w:tabs>
              <w:spacing w:after="0" w:line="276" w:lineRule="auto"/>
              <w:jc w:val="center"/>
            </w:pPr>
            <w:r w:rsidRPr="00F91900">
              <w:rPr>
                <w:rFonts w:ascii="Times New Roman" w:hAnsi="Times New Roman"/>
                <w:color w:val="171717"/>
                <w:lang w:eastAsia="ro-RO"/>
              </w:rPr>
              <w:t>4 759,5</w:t>
            </w:r>
          </w:p>
        </w:tc>
        <w:tc>
          <w:tcPr>
            <w:tcW w:w="1256" w:type="dxa"/>
            <w:tcBorders>
              <w:bottom w:val="single" w:sz="4" w:space="0" w:color="000000"/>
              <w:right w:val="single" w:sz="4" w:space="0" w:color="000000"/>
            </w:tcBorders>
            <w:shd w:val="clear" w:color="auto" w:fill="auto"/>
            <w:vAlign w:val="bottom"/>
          </w:tcPr>
          <w:p w:rsidR="00B23AC4" w:rsidRPr="00F91900" w:rsidRDefault="00B23AC4" w:rsidP="00494DE5">
            <w:pPr>
              <w:tabs>
                <w:tab w:val="left" w:pos="0"/>
                <w:tab w:val="left" w:pos="567"/>
              </w:tabs>
              <w:spacing w:after="0" w:line="276" w:lineRule="auto"/>
              <w:jc w:val="center"/>
            </w:pPr>
            <w:r w:rsidRPr="00F91900">
              <w:rPr>
                <w:rFonts w:ascii="Times New Roman" w:hAnsi="Times New Roman"/>
                <w:color w:val="171717"/>
                <w:lang w:eastAsia="ro-RO"/>
              </w:rPr>
              <w:t>123,7</w:t>
            </w:r>
          </w:p>
        </w:tc>
        <w:tc>
          <w:tcPr>
            <w:tcW w:w="1643" w:type="dxa"/>
            <w:tcBorders>
              <w:bottom w:val="single" w:sz="4" w:space="0" w:color="000000"/>
              <w:right w:val="single" w:sz="4" w:space="0" w:color="000000"/>
            </w:tcBorders>
            <w:shd w:val="clear" w:color="auto" w:fill="auto"/>
            <w:vAlign w:val="bottom"/>
          </w:tcPr>
          <w:p w:rsidR="00B23AC4" w:rsidRPr="00F91900" w:rsidRDefault="00B23AC4" w:rsidP="00494DE5">
            <w:pPr>
              <w:tabs>
                <w:tab w:val="left" w:pos="0"/>
                <w:tab w:val="left" w:pos="567"/>
              </w:tabs>
              <w:spacing w:after="0" w:line="276" w:lineRule="auto"/>
              <w:jc w:val="center"/>
            </w:pPr>
            <w:r w:rsidRPr="00F91900">
              <w:rPr>
                <w:rFonts w:ascii="Times New Roman" w:hAnsi="Times New Roman"/>
                <w:color w:val="171717"/>
                <w:lang w:eastAsia="ro-RO"/>
              </w:rPr>
              <w:t>102,7</w:t>
            </w:r>
          </w:p>
        </w:tc>
      </w:tr>
      <w:tr w:rsidR="00B23AC4" w:rsidRPr="00F91900" w:rsidTr="00494DE5">
        <w:trPr>
          <w:trHeight w:val="151"/>
          <w:jc w:val="center"/>
        </w:trPr>
        <w:tc>
          <w:tcPr>
            <w:tcW w:w="3843" w:type="dxa"/>
            <w:tcBorders>
              <w:left w:val="single" w:sz="4" w:space="0" w:color="000000"/>
              <w:bottom w:val="single" w:sz="4" w:space="0" w:color="000000"/>
              <w:right w:val="single" w:sz="4" w:space="0" w:color="000000"/>
            </w:tcBorders>
            <w:shd w:val="clear" w:color="auto" w:fill="auto"/>
            <w:vAlign w:val="bottom"/>
          </w:tcPr>
          <w:p w:rsidR="00B23AC4" w:rsidRPr="00F91900" w:rsidRDefault="00B94549" w:rsidP="00494DE5">
            <w:pPr>
              <w:tabs>
                <w:tab w:val="left" w:pos="0"/>
                <w:tab w:val="left" w:pos="567"/>
              </w:tabs>
              <w:spacing w:after="0" w:line="276" w:lineRule="auto"/>
            </w:pPr>
            <w:r w:rsidRPr="00F91900">
              <w:rPr>
                <w:rFonts w:ascii="Times New Roman" w:hAnsi="Times New Roman"/>
                <w:color w:val="000000"/>
                <w:lang w:eastAsia="ro-RO"/>
              </w:rPr>
              <w:t>R</w:t>
            </w:r>
            <w:r w:rsidR="00B23AC4" w:rsidRPr="00F91900">
              <w:rPr>
                <w:rFonts w:ascii="Times New Roman" w:hAnsi="Times New Roman"/>
                <w:color w:val="000000"/>
                <w:lang w:eastAsia="ro-RO"/>
              </w:rPr>
              <w:t>estituirea accizelor</w:t>
            </w:r>
          </w:p>
        </w:tc>
        <w:tc>
          <w:tcPr>
            <w:tcW w:w="1448" w:type="dxa"/>
            <w:tcBorders>
              <w:bottom w:val="single" w:sz="4" w:space="0" w:color="000000"/>
              <w:right w:val="single" w:sz="4" w:space="0" w:color="000000"/>
            </w:tcBorders>
            <w:shd w:val="clear" w:color="auto" w:fill="auto"/>
            <w:vAlign w:val="bottom"/>
          </w:tcPr>
          <w:p w:rsidR="00B23AC4" w:rsidRPr="00F91900" w:rsidRDefault="00B23AC4" w:rsidP="00494DE5">
            <w:pPr>
              <w:tabs>
                <w:tab w:val="left" w:pos="0"/>
                <w:tab w:val="left" w:pos="567"/>
              </w:tabs>
              <w:spacing w:after="0" w:line="276" w:lineRule="auto"/>
              <w:jc w:val="center"/>
            </w:pPr>
            <w:r w:rsidRPr="00F91900">
              <w:rPr>
                <w:rFonts w:ascii="Times New Roman" w:hAnsi="Times New Roman"/>
                <w:color w:val="000000"/>
                <w:lang w:eastAsia="ro-RO"/>
              </w:rPr>
              <w:t>-13,4</w:t>
            </w:r>
          </w:p>
        </w:tc>
        <w:tc>
          <w:tcPr>
            <w:tcW w:w="1451" w:type="dxa"/>
            <w:tcBorders>
              <w:bottom w:val="single" w:sz="4" w:space="0" w:color="000000"/>
              <w:right w:val="single" w:sz="4" w:space="0" w:color="000000"/>
            </w:tcBorders>
            <w:shd w:val="clear" w:color="auto" w:fill="auto"/>
            <w:vAlign w:val="bottom"/>
          </w:tcPr>
          <w:p w:rsidR="00B23AC4" w:rsidRPr="00F91900" w:rsidRDefault="00B23AC4" w:rsidP="00494DE5">
            <w:pPr>
              <w:tabs>
                <w:tab w:val="left" w:pos="0"/>
                <w:tab w:val="left" w:pos="567"/>
              </w:tabs>
              <w:spacing w:after="0" w:line="276" w:lineRule="auto"/>
              <w:jc w:val="center"/>
            </w:pPr>
            <w:r w:rsidRPr="00F91900">
              <w:rPr>
                <w:rFonts w:ascii="Times New Roman" w:hAnsi="Times New Roman"/>
                <w:color w:val="000000"/>
                <w:lang w:eastAsia="ro-RO"/>
              </w:rPr>
              <w:t>-17,2</w:t>
            </w:r>
          </w:p>
        </w:tc>
        <w:tc>
          <w:tcPr>
            <w:tcW w:w="1256" w:type="dxa"/>
            <w:tcBorders>
              <w:bottom w:val="single" w:sz="4" w:space="0" w:color="000000"/>
              <w:right w:val="single" w:sz="4" w:space="0" w:color="000000"/>
            </w:tcBorders>
            <w:shd w:val="clear" w:color="auto" w:fill="auto"/>
            <w:vAlign w:val="bottom"/>
          </w:tcPr>
          <w:p w:rsidR="00B23AC4" w:rsidRPr="00F91900" w:rsidRDefault="00B23AC4" w:rsidP="00494DE5">
            <w:pPr>
              <w:tabs>
                <w:tab w:val="left" w:pos="0"/>
                <w:tab w:val="left" w:pos="567"/>
              </w:tabs>
              <w:spacing w:after="0" w:line="276" w:lineRule="auto"/>
              <w:jc w:val="center"/>
            </w:pPr>
            <w:r w:rsidRPr="00F91900">
              <w:rPr>
                <w:rFonts w:ascii="Times New Roman" w:hAnsi="Times New Roman"/>
                <w:color w:val="000000"/>
                <w:lang w:eastAsia="ro-RO"/>
              </w:rPr>
              <w:t>-3,8</w:t>
            </w:r>
          </w:p>
        </w:tc>
        <w:tc>
          <w:tcPr>
            <w:tcW w:w="1643" w:type="dxa"/>
            <w:tcBorders>
              <w:bottom w:val="single" w:sz="4" w:space="0" w:color="000000"/>
              <w:right w:val="single" w:sz="4" w:space="0" w:color="000000"/>
            </w:tcBorders>
            <w:shd w:val="clear" w:color="auto" w:fill="auto"/>
            <w:vAlign w:val="bottom"/>
          </w:tcPr>
          <w:p w:rsidR="00B23AC4" w:rsidRPr="00F91900" w:rsidRDefault="00B23AC4" w:rsidP="00494DE5">
            <w:pPr>
              <w:tabs>
                <w:tab w:val="left" w:pos="0"/>
                <w:tab w:val="left" w:pos="567"/>
              </w:tabs>
              <w:spacing w:after="0" w:line="276" w:lineRule="auto"/>
              <w:jc w:val="center"/>
              <w:rPr>
                <w:rFonts w:ascii="Times New Roman" w:hAnsi="Times New Roman"/>
              </w:rPr>
            </w:pPr>
            <w:r w:rsidRPr="00F91900">
              <w:rPr>
                <w:rFonts w:ascii="Times New Roman" w:hAnsi="Times New Roman"/>
              </w:rPr>
              <w:t>128,4</w:t>
            </w:r>
          </w:p>
        </w:tc>
      </w:tr>
    </w:tbl>
    <w:p w:rsidR="004C28E2" w:rsidRDefault="00C82F48" w:rsidP="00AA7777">
      <w:pPr>
        <w:keepNext/>
        <w:keepLines/>
        <w:tabs>
          <w:tab w:val="left" w:pos="0"/>
          <w:tab w:val="left" w:pos="567"/>
          <w:tab w:val="left" w:pos="709"/>
          <w:tab w:val="left" w:pos="851"/>
        </w:tabs>
        <w:spacing w:after="0" w:line="276" w:lineRule="auto"/>
        <w:outlineLvl w:val="1"/>
        <w:rPr>
          <w:rFonts w:ascii="Times New Roman" w:hAnsi="Times New Roman"/>
          <w:sz w:val="28"/>
          <w:szCs w:val="28"/>
        </w:rPr>
      </w:pPr>
      <w:r w:rsidRPr="00012CA3">
        <w:rPr>
          <w:rFonts w:ascii="Times New Roman" w:hAnsi="Times New Roman"/>
          <w:sz w:val="28"/>
          <w:szCs w:val="28"/>
        </w:rPr>
        <w:t xml:space="preserve">     </w:t>
      </w:r>
    </w:p>
    <w:p w:rsidR="00C82F48" w:rsidRPr="00012CA3" w:rsidRDefault="00C82F48" w:rsidP="00AA7777">
      <w:pPr>
        <w:keepNext/>
        <w:keepLines/>
        <w:tabs>
          <w:tab w:val="left" w:pos="0"/>
          <w:tab w:val="left" w:pos="567"/>
          <w:tab w:val="left" w:pos="709"/>
          <w:tab w:val="left" w:pos="851"/>
        </w:tabs>
        <w:spacing w:after="0" w:line="276" w:lineRule="auto"/>
        <w:outlineLvl w:val="1"/>
      </w:pPr>
      <w:r w:rsidRPr="00012CA3">
        <w:rPr>
          <w:rFonts w:ascii="Times New Roman" w:hAnsi="Times New Roman"/>
          <w:b/>
          <w:bCs/>
          <w:i/>
          <w:sz w:val="28"/>
          <w:szCs w:val="28"/>
        </w:rPr>
        <w:t>Taxa asupra comerțului exterior și operațiunilor externe</w:t>
      </w:r>
    </w:p>
    <w:p w:rsidR="00CE4B5D" w:rsidRPr="00012CA3" w:rsidRDefault="00C82F48" w:rsidP="00CE4B5D">
      <w:pPr>
        <w:tabs>
          <w:tab w:val="left" w:pos="0"/>
          <w:tab w:val="left" w:pos="567"/>
        </w:tabs>
        <w:spacing w:after="0" w:line="276" w:lineRule="auto"/>
        <w:jc w:val="both"/>
        <w:rPr>
          <w:rFonts w:ascii="Times New Roman" w:hAnsi="Times New Roman"/>
          <w:b/>
          <w:i/>
          <w:sz w:val="28"/>
          <w:szCs w:val="28"/>
        </w:rPr>
      </w:pPr>
      <w:r w:rsidRPr="00012CA3">
        <w:rPr>
          <w:rFonts w:ascii="Times New Roman" w:hAnsi="Times New Roman"/>
          <w:sz w:val="28"/>
          <w:szCs w:val="28"/>
        </w:rPr>
        <w:tab/>
      </w:r>
      <w:r w:rsidRPr="00012CA3">
        <w:rPr>
          <w:rFonts w:ascii="Times New Roman" w:hAnsi="Times New Roman"/>
          <w:sz w:val="28"/>
          <w:szCs w:val="28"/>
        </w:rPr>
        <w:tab/>
      </w:r>
      <w:r w:rsidR="00ED1D07" w:rsidRPr="00012CA3">
        <w:rPr>
          <w:rFonts w:ascii="Times New Roman" w:hAnsi="Times New Roman"/>
          <w:bCs/>
          <w:sz w:val="28"/>
          <w:szCs w:val="28"/>
        </w:rPr>
        <w:t xml:space="preserve">Taxa asupra comerțului exterior în semestrul I 2025 s-a majorat cu 167,8 mil lei sau cu 14,2% față de aceeași perioadă a anului 2024. Creșterea valorii taxelor colectate este rezultatul intensificării activităților de import, susținută de redresarea cererii interne, de majorarea prețurilor internaționale la anumite categorii de bunuri. </w:t>
      </w:r>
      <w:r w:rsidR="00257071" w:rsidRPr="00257071">
        <w:rPr>
          <w:rFonts w:ascii="Times New Roman" w:hAnsi="Times New Roman"/>
          <w:bCs/>
          <w:sz w:val="28"/>
          <w:szCs w:val="28"/>
        </w:rPr>
        <w:t>Totodată, în perioada ianuarie-mai 2025 importurile de mărfuri au crescut cu 17,7% față de nivel realizat în perioada similară din anul 2024.</w:t>
      </w:r>
    </w:p>
    <w:p w:rsidR="00C82F48" w:rsidRPr="00012CA3" w:rsidRDefault="00C82F48" w:rsidP="002A7B4E">
      <w:pPr>
        <w:tabs>
          <w:tab w:val="left" w:pos="0"/>
          <w:tab w:val="left" w:pos="567"/>
          <w:tab w:val="left" w:pos="709"/>
        </w:tabs>
        <w:spacing w:after="0" w:line="276" w:lineRule="auto"/>
        <w:ind w:left="142" w:right="231" w:firstLine="284"/>
        <w:jc w:val="right"/>
        <w:rPr>
          <w:b/>
        </w:rPr>
      </w:pPr>
      <w:r w:rsidRPr="00012CA3">
        <w:rPr>
          <w:b/>
        </w:rPr>
        <w:t xml:space="preserve">                                                                                                                </w:t>
      </w:r>
      <w:r w:rsidR="00CE4B5D" w:rsidRPr="002A7B4E">
        <w:t>mil.lei</w:t>
      </w:r>
      <w:r w:rsidRPr="00012CA3">
        <w:rPr>
          <w:rFonts w:ascii="Times New Roman" w:hAnsi="Times New Roman"/>
          <w:b/>
          <w:i/>
          <w:sz w:val="28"/>
          <w:szCs w:val="28"/>
        </w:rPr>
        <w:t xml:space="preserve">                          </w:t>
      </w:r>
      <w:r w:rsidR="00CE4B5D" w:rsidRPr="00012CA3">
        <w:rPr>
          <w:rFonts w:ascii="Times New Roman" w:hAnsi="Times New Roman"/>
          <w:b/>
          <w:i/>
          <w:sz w:val="28"/>
          <w:szCs w:val="28"/>
        </w:rPr>
        <w:t xml:space="preserve">               </w:t>
      </w:r>
    </w:p>
    <w:tbl>
      <w:tblPr>
        <w:tblW w:w="0" w:type="auto"/>
        <w:jc w:val="center"/>
        <w:tblLayout w:type="fixed"/>
        <w:tblLook w:val="0000" w:firstRow="0" w:lastRow="0" w:firstColumn="0" w:lastColumn="0" w:noHBand="0" w:noVBand="0"/>
      </w:tblPr>
      <w:tblGrid>
        <w:gridCol w:w="5393"/>
        <w:gridCol w:w="1148"/>
        <w:gridCol w:w="1148"/>
        <w:gridCol w:w="924"/>
        <w:gridCol w:w="924"/>
      </w:tblGrid>
      <w:tr w:rsidR="00CE4B5D" w:rsidRPr="00C3617A" w:rsidTr="00494DE5">
        <w:trPr>
          <w:trHeight w:val="211"/>
          <w:jc w:val="center"/>
        </w:trPr>
        <w:tc>
          <w:tcPr>
            <w:tcW w:w="5393" w:type="dxa"/>
            <w:vMerge w:val="restart"/>
            <w:tcBorders>
              <w:top w:val="single" w:sz="4" w:space="0" w:color="000000"/>
              <w:left w:val="single" w:sz="4" w:space="0" w:color="000000"/>
              <w:bottom w:val="single" w:sz="4" w:space="0" w:color="000000"/>
              <w:right w:val="single" w:sz="4" w:space="0" w:color="000000"/>
            </w:tcBorders>
            <w:shd w:val="clear" w:color="auto" w:fill="E5E5E5"/>
            <w:vAlign w:val="bottom"/>
          </w:tcPr>
          <w:p w:rsidR="00CE4B5D" w:rsidRPr="00C3617A" w:rsidRDefault="00CE4B5D" w:rsidP="00494DE5">
            <w:pPr>
              <w:tabs>
                <w:tab w:val="left" w:pos="0"/>
              </w:tabs>
              <w:spacing w:after="0" w:line="276" w:lineRule="auto"/>
              <w:jc w:val="center"/>
            </w:pPr>
            <w:r w:rsidRPr="00C3617A">
              <w:rPr>
                <w:rFonts w:ascii="Times New Roman" w:hAnsi="Times New Roman"/>
                <w:color w:val="000000"/>
                <w:lang w:eastAsia="ro-RO"/>
              </w:rPr>
              <w:t> </w:t>
            </w:r>
          </w:p>
        </w:tc>
        <w:tc>
          <w:tcPr>
            <w:tcW w:w="1148" w:type="dxa"/>
            <w:tcBorders>
              <w:top w:val="single" w:sz="4" w:space="0" w:color="000000"/>
              <w:bottom w:val="single" w:sz="4" w:space="0" w:color="000000"/>
              <w:right w:val="single" w:sz="4" w:space="0" w:color="000000"/>
            </w:tcBorders>
            <w:shd w:val="clear" w:color="auto" w:fill="E5E5E5"/>
            <w:vAlign w:val="bottom"/>
          </w:tcPr>
          <w:p w:rsidR="00CE4B5D" w:rsidRPr="00C3617A" w:rsidRDefault="00CE4B5D" w:rsidP="00494DE5">
            <w:pPr>
              <w:tabs>
                <w:tab w:val="left" w:pos="0"/>
              </w:tabs>
              <w:spacing w:after="0" w:line="240" w:lineRule="auto"/>
              <w:jc w:val="center"/>
            </w:pPr>
            <w:r w:rsidRPr="00C3617A">
              <w:rPr>
                <w:rFonts w:ascii="Times New Roman" w:hAnsi="Times New Roman"/>
                <w:b/>
                <w:i/>
                <w:color w:val="000000"/>
                <w:lang w:eastAsia="ro-RO"/>
              </w:rPr>
              <w:t>2024</w:t>
            </w:r>
          </w:p>
        </w:tc>
        <w:tc>
          <w:tcPr>
            <w:tcW w:w="1148" w:type="dxa"/>
            <w:tcBorders>
              <w:top w:val="single" w:sz="4" w:space="0" w:color="000000"/>
              <w:bottom w:val="single" w:sz="4" w:space="0" w:color="000000"/>
              <w:right w:val="single" w:sz="4" w:space="0" w:color="000000"/>
            </w:tcBorders>
            <w:shd w:val="clear" w:color="auto" w:fill="E5E5E5"/>
            <w:vAlign w:val="bottom"/>
          </w:tcPr>
          <w:p w:rsidR="00CE4B5D" w:rsidRPr="00C3617A" w:rsidRDefault="00CE4B5D" w:rsidP="00494DE5">
            <w:pPr>
              <w:tabs>
                <w:tab w:val="left" w:pos="0"/>
              </w:tabs>
              <w:spacing w:after="0" w:line="240" w:lineRule="auto"/>
              <w:jc w:val="center"/>
            </w:pPr>
            <w:r w:rsidRPr="00C3617A">
              <w:rPr>
                <w:rFonts w:ascii="Times New Roman" w:hAnsi="Times New Roman"/>
                <w:b/>
                <w:i/>
                <w:color w:val="000000"/>
                <w:lang w:eastAsia="ro-RO"/>
              </w:rPr>
              <w:t>2025</w:t>
            </w:r>
          </w:p>
        </w:tc>
        <w:tc>
          <w:tcPr>
            <w:tcW w:w="1848" w:type="dxa"/>
            <w:gridSpan w:val="2"/>
            <w:tcBorders>
              <w:top w:val="single" w:sz="4" w:space="0" w:color="000000"/>
              <w:bottom w:val="single" w:sz="4" w:space="0" w:color="000000"/>
              <w:right w:val="single" w:sz="4" w:space="0" w:color="000000"/>
            </w:tcBorders>
            <w:shd w:val="clear" w:color="auto" w:fill="E5E5E5"/>
            <w:vAlign w:val="bottom"/>
          </w:tcPr>
          <w:p w:rsidR="00CE4B5D" w:rsidRPr="00C3617A" w:rsidRDefault="00CE4B5D" w:rsidP="00494DE5">
            <w:pPr>
              <w:tabs>
                <w:tab w:val="left" w:pos="0"/>
              </w:tabs>
              <w:spacing w:after="0" w:line="240" w:lineRule="auto"/>
              <w:jc w:val="center"/>
            </w:pPr>
            <w:r w:rsidRPr="00C3617A">
              <w:rPr>
                <w:rFonts w:ascii="Times New Roman" w:hAnsi="Times New Roman"/>
                <w:b/>
                <w:i/>
                <w:color w:val="000000"/>
                <w:lang w:eastAsia="ro-RO"/>
              </w:rPr>
              <w:t>devieri</w:t>
            </w:r>
          </w:p>
        </w:tc>
      </w:tr>
      <w:tr w:rsidR="00CE4B5D" w:rsidRPr="00C3617A" w:rsidTr="00494DE5">
        <w:trPr>
          <w:trHeight w:val="92"/>
          <w:jc w:val="center"/>
        </w:trPr>
        <w:tc>
          <w:tcPr>
            <w:tcW w:w="5393" w:type="dxa"/>
            <w:vMerge/>
            <w:tcBorders>
              <w:top w:val="single" w:sz="4" w:space="0" w:color="000000"/>
              <w:left w:val="single" w:sz="4" w:space="0" w:color="000000"/>
              <w:bottom w:val="single" w:sz="4" w:space="0" w:color="000000"/>
              <w:right w:val="single" w:sz="4" w:space="0" w:color="000000"/>
            </w:tcBorders>
            <w:shd w:val="clear" w:color="auto" w:fill="E5E5E5"/>
            <w:vAlign w:val="bottom"/>
          </w:tcPr>
          <w:p w:rsidR="00CE4B5D" w:rsidRPr="00C3617A" w:rsidRDefault="00CE4B5D" w:rsidP="00494DE5">
            <w:pPr>
              <w:tabs>
                <w:tab w:val="left" w:pos="0"/>
              </w:tabs>
              <w:snapToGrid w:val="0"/>
              <w:spacing w:after="0" w:line="276" w:lineRule="auto"/>
              <w:rPr>
                <w:rFonts w:ascii="Times New Roman" w:hAnsi="Times New Roman"/>
                <w:b/>
                <w:i/>
                <w:color w:val="000000"/>
                <w:lang w:eastAsia="ro-RO"/>
              </w:rPr>
            </w:pPr>
          </w:p>
        </w:tc>
        <w:tc>
          <w:tcPr>
            <w:tcW w:w="2296" w:type="dxa"/>
            <w:gridSpan w:val="2"/>
            <w:tcBorders>
              <w:top w:val="single" w:sz="4" w:space="0" w:color="000000"/>
              <w:bottom w:val="single" w:sz="4" w:space="0" w:color="000000"/>
              <w:right w:val="single" w:sz="4" w:space="0" w:color="000000"/>
            </w:tcBorders>
            <w:shd w:val="clear" w:color="auto" w:fill="E5E5E5"/>
            <w:vAlign w:val="bottom"/>
          </w:tcPr>
          <w:p w:rsidR="00CE4B5D" w:rsidRPr="00C3617A" w:rsidRDefault="00CE4B5D" w:rsidP="00494DE5">
            <w:pPr>
              <w:tabs>
                <w:tab w:val="left" w:pos="0"/>
              </w:tabs>
              <w:spacing w:after="0" w:line="240" w:lineRule="auto"/>
              <w:jc w:val="center"/>
            </w:pPr>
            <w:r w:rsidRPr="00C3617A">
              <w:rPr>
                <w:rFonts w:ascii="Times New Roman" w:hAnsi="Times New Roman"/>
                <w:color w:val="000000"/>
                <w:lang w:eastAsia="ro-RO"/>
              </w:rPr>
              <w:t xml:space="preserve">semestrul I </w:t>
            </w:r>
          </w:p>
        </w:tc>
        <w:tc>
          <w:tcPr>
            <w:tcW w:w="924" w:type="dxa"/>
            <w:tcBorders>
              <w:bottom w:val="single" w:sz="4" w:space="0" w:color="000000"/>
              <w:right w:val="single" w:sz="4" w:space="0" w:color="000000"/>
            </w:tcBorders>
            <w:shd w:val="clear" w:color="auto" w:fill="E5E5E5"/>
            <w:vAlign w:val="bottom"/>
          </w:tcPr>
          <w:p w:rsidR="00CE4B5D" w:rsidRPr="00C3617A" w:rsidRDefault="00CE4B5D" w:rsidP="00494DE5">
            <w:pPr>
              <w:tabs>
                <w:tab w:val="left" w:pos="0"/>
              </w:tabs>
              <w:spacing w:after="0" w:line="240" w:lineRule="auto"/>
              <w:jc w:val="center"/>
            </w:pPr>
            <w:r w:rsidRPr="00C3617A">
              <w:rPr>
                <w:rFonts w:ascii="Times New Roman" w:hAnsi="Times New Roman"/>
                <w:color w:val="000000"/>
                <w:lang w:eastAsia="ro-RO"/>
              </w:rPr>
              <w:t>+,-</w:t>
            </w:r>
          </w:p>
        </w:tc>
        <w:tc>
          <w:tcPr>
            <w:tcW w:w="924" w:type="dxa"/>
            <w:tcBorders>
              <w:bottom w:val="single" w:sz="4" w:space="0" w:color="000000"/>
              <w:right w:val="single" w:sz="4" w:space="0" w:color="000000"/>
            </w:tcBorders>
            <w:shd w:val="clear" w:color="auto" w:fill="E5E5E5"/>
            <w:vAlign w:val="bottom"/>
          </w:tcPr>
          <w:p w:rsidR="00CE4B5D" w:rsidRPr="00C3617A" w:rsidRDefault="00CE4B5D" w:rsidP="00494DE5">
            <w:pPr>
              <w:tabs>
                <w:tab w:val="left" w:pos="0"/>
              </w:tabs>
              <w:spacing w:after="0" w:line="240" w:lineRule="auto"/>
              <w:jc w:val="center"/>
            </w:pPr>
            <w:r w:rsidRPr="00C3617A">
              <w:rPr>
                <w:rFonts w:ascii="Times New Roman" w:hAnsi="Times New Roman"/>
                <w:color w:val="000000"/>
                <w:lang w:eastAsia="ro-RO"/>
              </w:rPr>
              <w:t>%</w:t>
            </w:r>
          </w:p>
        </w:tc>
      </w:tr>
      <w:tr w:rsidR="00CE4B5D" w:rsidRPr="00C3617A" w:rsidTr="00494DE5">
        <w:trPr>
          <w:trHeight w:val="319"/>
          <w:jc w:val="center"/>
        </w:trPr>
        <w:tc>
          <w:tcPr>
            <w:tcW w:w="5393" w:type="dxa"/>
            <w:tcBorders>
              <w:left w:val="single" w:sz="4" w:space="0" w:color="000000"/>
              <w:bottom w:val="single" w:sz="4" w:space="0" w:color="000000"/>
              <w:right w:val="single" w:sz="4" w:space="0" w:color="000000"/>
            </w:tcBorders>
            <w:shd w:val="clear" w:color="auto" w:fill="auto"/>
            <w:vAlign w:val="bottom"/>
          </w:tcPr>
          <w:p w:rsidR="00CE4B5D" w:rsidRPr="00C3617A" w:rsidRDefault="00CE4B5D" w:rsidP="00494DE5">
            <w:pPr>
              <w:tabs>
                <w:tab w:val="left" w:pos="0"/>
              </w:tabs>
              <w:spacing w:after="0" w:line="276" w:lineRule="auto"/>
            </w:pPr>
            <w:r w:rsidRPr="00C3617A">
              <w:rPr>
                <w:rFonts w:ascii="Times New Roman" w:hAnsi="Times New Roman"/>
                <w:b/>
                <w:bCs/>
                <w:i/>
                <w:iCs/>
                <w:color w:val="000000"/>
                <w:lang w:eastAsia="ro-RO"/>
              </w:rPr>
              <w:t xml:space="preserve">Total </w:t>
            </w:r>
          </w:p>
        </w:tc>
        <w:tc>
          <w:tcPr>
            <w:tcW w:w="1148" w:type="dxa"/>
            <w:tcBorders>
              <w:bottom w:val="single" w:sz="4" w:space="0" w:color="000000"/>
              <w:right w:val="single" w:sz="4" w:space="0" w:color="000000"/>
            </w:tcBorders>
            <w:shd w:val="clear" w:color="auto" w:fill="auto"/>
            <w:vAlign w:val="bottom"/>
          </w:tcPr>
          <w:p w:rsidR="00CE4B5D" w:rsidRPr="00C3617A" w:rsidRDefault="00CE4B5D" w:rsidP="00494DE5">
            <w:pPr>
              <w:tabs>
                <w:tab w:val="left" w:pos="0"/>
              </w:tabs>
              <w:spacing w:after="0" w:line="276" w:lineRule="auto"/>
              <w:jc w:val="center"/>
            </w:pPr>
            <w:r w:rsidRPr="00C3617A">
              <w:rPr>
                <w:rFonts w:ascii="Times New Roman" w:hAnsi="Times New Roman"/>
                <w:b/>
                <w:color w:val="000000"/>
                <w:lang w:eastAsia="ro-RO"/>
              </w:rPr>
              <w:t>1 178,2</w:t>
            </w:r>
          </w:p>
        </w:tc>
        <w:tc>
          <w:tcPr>
            <w:tcW w:w="1148" w:type="dxa"/>
            <w:tcBorders>
              <w:bottom w:val="single" w:sz="4" w:space="0" w:color="000000"/>
              <w:right w:val="single" w:sz="4" w:space="0" w:color="000000"/>
            </w:tcBorders>
            <w:shd w:val="clear" w:color="auto" w:fill="auto"/>
            <w:vAlign w:val="bottom"/>
          </w:tcPr>
          <w:p w:rsidR="00CE4B5D" w:rsidRPr="00C3617A" w:rsidRDefault="00CE4B5D" w:rsidP="00494DE5">
            <w:pPr>
              <w:tabs>
                <w:tab w:val="left" w:pos="0"/>
              </w:tabs>
              <w:spacing w:after="0" w:line="276" w:lineRule="auto"/>
              <w:jc w:val="center"/>
            </w:pPr>
            <w:r w:rsidRPr="00C3617A">
              <w:rPr>
                <w:rFonts w:ascii="Times New Roman" w:hAnsi="Times New Roman"/>
                <w:b/>
                <w:color w:val="000000"/>
                <w:lang w:eastAsia="ro-RO"/>
              </w:rPr>
              <w:t>1 346,0</w:t>
            </w:r>
          </w:p>
        </w:tc>
        <w:tc>
          <w:tcPr>
            <w:tcW w:w="924" w:type="dxa"/>
            <w:tcBorders>
              <w:bottom w:val="single" w:sz="4" w:space="0" w:color="000000"/>
              <w:right w:val="single" w:sz="4" w:space="0" w:color="000000"/>
            </w:tcBorders>
            <w:shd w:val="clear" w:color="auto" w:fill="auto"/>
            <w:vAlign w:val="bottom"/>
          </w:tcPr>
          <w:p w:rsidR="00CE4B5D" w:rsidRPr="00C3617A" w:rsidRDefault="00CE4B5D" w:rsidP="00494DE5">
            <w:pPr>
              <w:tabs>
                <w:tab w:val="left" w:pos="0"/>
              </w:tabs>
              <w:spacing w:after="0" w:line="276" w:lineRule="auto"/>
              <w:jc w:val="center"/>
            </w:pPr>
            <w:r w:rsidRPr="00C3617A">
              <w:rPr>
                <w:rFonts w:ascii="Times New Roman" w:hAnsi="Times New Roman"/>
                <w:b/>
                <w:color w:val="000000"/>
                <w:lang w:eastAsia="ro-RO"/>
              </w:rPr>
              <w:t>167,8</w:t>
            </w:r>
          </w:p>
        </w:tc>
        <w:tc>
          <w:tcPr>
            <w:tcW w:w="924" w:type="dxa"/>
            <w:tcBorders>
              <w:bottom w:val="single" w:sz="4" w:space="0" w:color="000000"/>
              <w:right w:val="single" w:sz="4" w:space="0" w:color="000000"/>
            </w:tcBorders>
            <w:shd w:val="clear" w:color="auto" w:fill="auto"/>
            <w:vAlign w:val="bottom"/>
          </w:tcPr>
          <w:p w:rsidR="00CE4B5D" w:rsidRPr="00C3617A" w:rsidRDefault="00CE4B5D" w:rsidP="00494DE5">
            <w:pPr>
              <w:tabs>
                <w:tab w:val="left" w:pos="0"/>
              </w:tabs>
              <w:spacing w:after="0" w:line="276" w:lineRule="auto"/>
              <w:jc w:val="center"/>
            </w:pPr>
            <w:r w:rsidRPr="00C3617A">
              <w:rPr>
                <w:rFonts w:ascii="Times New Roman" w:hAnsi="Times New Roman"/>
                <w:b/>
                <w:lang w:eastAsia="ro-RO"/>
              </w:rPr>
              <w:t>114,2</w:t>
            </w:r>
          </w:p>
        </w:tc>
      </w:tr>
      <w:tr w:rsidR="00CE4B5D" w:rsidRPr="00C3617A" w:rsidTr="00494DE5">
        <w:trPr>
          <w:trHeight w:val="244"/>
          <w:jc w:val="center"/>
        </w:trPr>
        <w:tc>
          <w:tcPr>
            <w:tcW w:w="5393" w:type="dxa"/>
            <w:tcBorders>
              <w:left w:val="single" w:sz="4" w:space="0" w:color="000000"/>
              <w:bottom w:val="single" w:sz="4" w:space="0" w:color="000000"/>
              <w:right w:val="single" w:sz="4" w:space="0" w:color="000000"/>
            </w:tcBorders>
            <w:shd w:val="clear" w:color="auto" w:fill="auto"/>
            <w:vAlign w:val="bottom"/>
          </w:tcPr>
          <w:p w:rsidR="00CE4B5D" w:rsidRPr="00C3617A" w:rsidRDefault="001B4E5F" w:rsidP="00494DE5">
            <w:pPr>
              <w:tabs>
                <w:tab w:val="left" w:pos="0"/>
              </w:tabs>
              <w:spacing w:after="0" w:line="276" w:lineRule="auto"/>
            </w:pPr>
            <w:r w:rsidRPr="00C3617A">
              <w:rPr>
                <w:rFonts w:ascii="Times New Roman" w:hAnsi="Times New Roman"/>
                <w:color w:val="000000"/>
                <w:lang w:eastAsia="ro-RO"/>
              </w:rPr>
              <w:t>T</w:t>
            </w:r>
            <w:r w:rsidR="00CE4B5D" w:rsidRPr="00C3617A">
              <w:rPr>
                <w:rFonts w:ascii="Times New Roman" w:hAnsi="Times New Roman"/>
                <w:color w:val="000000"/>
                <w:lang w:eastAsia="ro-RO"/>
              </w:rPr>
              <w:t>axa vamală</w:t>
            </w:r>
          </w:p>
        </w:tc>
        <w:tc>
          <w:tcPr>
            <w:tcW w:w="1148" w:type="dxa"/>
            <w:tcBorders>
              <w:bottom w:val="single" w:sz="4" w:space="0" w:color="000000"/>
              <w:right w:val="single" w:sz="4" w:space="0" w:color="000000"/>
            </w:tcBorders>
            <w:shd w:val="clear" w:color="auto" w:fill="auto"/>
            <w:vAlign w:val="bottom"/>
          </w:tcPr>
          <w:p w:rsidR="00CE4B5D" w:rsidRPr="00C3617A" w:rsidRDefault="00CE4B5D" w:rsidP="00494DE5">
            <w:pPr>
              <w:tabs>
                <w:tab w:val="left" w:pos="0"/>
              </w:tabs>
              <w:spacing w:after="0" w:line="276" w:lineRule="auto"/>
              <w:jc w:val="center"/>
            </w:pPr>
            <w:r w:rsidRPr="00C3617A">
              <w:rPr>
                <w:rFonts w:ascii="Times New Roman" w:hAnsi="Times New Roman"/>
                <w:color w:val="000000"/>
                <w:lang w:eastAsia="ro-RO"/>
              </w:rPr>
              <w:t>1 121,0</w:t>
            </w:r>
          </w:p>
        </w:tc>
        <w:tc>
          <w:tcPr>
            <w:tcW w:w="1148" w:type="dxa"/>
            <w:tcBorders>
              <w:bottom w:val="single" w:sz="4" w:space="0" w:color="000000"/>
              <w:right w:val="single" w:sz="4" w:space="0" w:color="000000"/>
            </w:tcBorders>
            <w:shd w:val="clear" w:color="auto" w:fill="auto"/>
            <w:vAlign w:val="bottom"/>
          </w:tcPr>
          <w:p w:rsidR="00CE4B5D" w:rsidRPr="00C3617A" w:rsidRDefault="00CE4B5D" w:rsidP="00494DE5">
            <w:pPr>
              <w:tabs>
                <w:tab w:val="left" w:pos="0"/>
              </w:tabs>
              <w:spacing w:after="0" w:line="276" w:lineRule="auto"/>
              <w:jc w:val="center"/>
            </w:pPr>
            <w:r w:rsidRPr="00C3617A">
              <w:rPr>
                <w:rFonts w:ascii="Times New Roman" w:hAnsi="Times New Roman"/>
                <w:color w:val="000000"/>
                <w:lang w:eastAsia="ro-RO"/>
              </w:rPr>
              <w:t>1 296,2</w:t>
            </w:r>
          </w:p>
        </w:tc>
        <w:tc>
          <w:tcPr>
            <w:tcW w:w="924" w:type="dxa"/>
            <w:tcBorders>
              <w:bottom w:val="single" w:sz="4" w:space="0" w:color="000000"/>
              <w:right w:val="single" w:sz="4" w:space="0" w:color="000000"/>
            </w:tcBorders>
            <w:shd w:val="clear" w:color="auto" w:fill="auto"/>
            <w:vAlign w:val="bottom"/>
          </w:tcPr>
          <w:p w:rsidR="00CE4B5D" w:rsidRPr="00C3617A" w:rsidRDefault="00CE4B5D" w:rsidP="00494DE5">
            <w:pPr>
              <w:tabs>
                <w:tab w:val="left" w:pos="0"/>
              </w:tabs>
              <w:spacing w:after="0" w:line="276" w:lineRule="auto"/>
              <w:jc w:val="center"/>
            </w:pPr>
            <w:r w:rsidRPr="00C3617A">
              <w:rPr>
                <w:rFonts w:ascii="Times New Roman" w:hAnsi="Times New Roman"/>
                <w:color w:val="000000"/>
                <w:lang w:eastAsia="ro-RO"/>
              </w:rPr>
              <w:t>175,1</w:t>
            </w:r>
          </w:p>
        </w:tc>
        <w:tc>
          <w:tcPr>
            <w:tcW w:w="924" w:type="dxa"/>
            <w:tcBorders>
              <w:bottom w:val="single" w:sz="4" w:space="0" w:color="000000"/>
              <w:right w:val="single" w:sz="4" w:space="0" w:color="000000"/>
            </w:tcBorders>
            <w:shd w:val="clear" w:color="auto" w:fill="auto"/>
            <w:vAlign w:val="bottom"/>
          </w:tcPr>
          <w:p w:rsidR="00CE4B5D" w:rsidRPr="00C3617A" w:rsidRDefault="00CE4B5D" w:rsidP="00494DE5">
            <w:pPr>
              <w:tabs>
                <w:tab w:val="left" w:pos="0"/>
              </w:tabs>
              <w:spacing w:after="0" w:line="276" w:lineRule="auto"/>
              <w:jc w:val="center"/>
            </w:pPr>
            <w:r w:rsidRPr="00C3617A">
              <w:rPr>
                <w:rFonts w:ascii="Times New Roman" w:hAnsi="Times New Roman"/>
                <w:lang w:eastAsia="ro-RO"/>
              </w:rPr>
              <w:t>115,6</w:t>
            </w:r>
          </w:p>
        </w:tc>
      </w:tr>
      <w:tr w:rsidR="00CE4B5D" w:rsidRPr="00C3617A" w:rsidTr="00494DE5">
        <w:trPr>
          <w:trHeight w:val="319"/>
          <w:jc w:val="center"/>
        </w:trPr>
        <w:tc>
          <w:tcPr>
            <w:tcW w:w="5393" w:type="dxa"/>
            <w:tcBorders>
              <w:left w:val="single" w:sz="4" w:space="0" w:color="000000"/>
              <w:bottom w:val="single" w:sz="4" w:space="0" w:color="000000"/>
              <w:right w:val="single" w:sz="4" w:space="0" w:color="000000"/>
            </w:tcBorders>
            <w:shd w:val="clear" w:color="auto" w:fill="auto"/>
            <w:vAlign w:val="bottom"/>
          </w:tcPr>
          <w:p w:rsidR="00CE4B5D" w:rsidRPr="00C3617A" w:rsidRDefault="001B4E5F" w:rsidP="00494DE5">
            <w:pPr>
              <w:tabs>
                <w:tab w:val="left" w:pos="0"/>
              </w:tabs>
              <w:spacing w:after="0" w:line="276" w:lineRule="auto"/>
            </w:pPr>
            <w:r w:rsidRPr="00C3617A">
              <w:rPr>
                <w:rFonts w:ascii="Times New Roman" w:hAnsi="Times New Roman"/>
                <w:color w:val="000000"/>
                <w:lang w:eastAsia="ro-RO"/>
              </w:rPr>
              <w:t>T</w:t>
            </w:r>
            <w:r w:rsidR="00CE4B5D" w:rsidRPr="00C3617A">
              <w:rPr>
                <w:rFonts w:ascii="Times New Roman" w:hAnsi="Times New Roman"/>
                <w:color w:val="000000"/>
                <w:lang w:eastAsia="ro-RO"/>
              </w:rPr>
              <w:t>axa pentru efectuarea procedurilor vamale</w:t>
            </w:r>
          </w:p>
        </w:tc>
        <w:tc>
          <w:tcPr>
            <w:tcW w:w="1148" w:type="dxa"/>
            <w:tcBorders>
              <w:bottom w:val="single" w:sz="4" w:space="0" w:color="000000"/>
              <w:right w:val="single" w:sz="4" w:space="0" w:color="000000"/>
            </w:tcBorders>
            <w:shd w:val="clear" w:color="auto" w:fill="auto"/>
            <w:vAlign w:val="bottom"/>
          </w:tcPr>
          <w:p w:rsidR="00CE4B5D" w:rsidRPr="00C3617A" w:rsidRDefault="00CE4B5D" w:rsidP="00494DE5">
            <w:pPr>
              <w:tabs>
                <w:tab w:val="left" w:pos="0"/>
              </w:tabs>
              <w:spacing w:after="0" w:line="276" w:lineRule="auto"/>
              <w:jc w:val="center"/>
            </w:pPr>
            <w:r w:rsidRPr="00C3617A">
              <w:rPr>
                <w:rFonts w:ascii="Times New Roman" w:hAnsi="Times New Roman"/>
                <w:color w:val="000000"/>
                <w:lang w:eastAsia="ro-RO"/>
              </w:rPr>
              <w:t>31,0</w:t>
            </w:r>
          </w:p>
        </w:tc>
        <w:tc>
          <w:tcPr>
            <w:tcW w:w="1148" w:type="dxa"/>
            <w:tcBorders>
              <w:bottom w:val="single" w:sz="4" w:space="0" w:color="000000"/>
              <w:right w:val="single" w:sz="4" w:space="0" w:color="000000"/>
            </w:tcBorders>
            <w:shd w:val="clear" w:color="auto" w:fill="auto"/>
            <w:vAlign w:val="bottom"/>
          </w:tcPr>
          <w:p w:rsidR="00CE4B5D" w:rsidRPr="00C3617A" w:rsidRDefault="00CE4B5D" w:rsidP="00494DE5">
            <w:pPr>
              <w:tabs>
                <w:tab w:val="left" w:pos="0"/>
              </w:tabs>
              <w:spacing w:after="0" w:line="276" w:lineRule="auto"/>
              <w:jc w:val="center"/>
            </w:pPr>
            <w:r w:rsidRPr="00C3617A">
              <w:rPr>
                <w:rFonts w:ascii="Times New Roman" w:hAnsi="Times New Roman"/>
                <w:color w:val="000000"/>
                <w:lang w:eastAsia="ro-RO"/>
              </w:rPr>
              <w:t>22,9</w:t>
            </w:r>
          </w:p>
        </w:tc>
        <w:tc>
          <w:tcPr>
            <w:tcW w:w="924" w:type="dxa"/>
            <w:tcBorders>
              <w:bottom w:val="single" w:sz="4" w:space="0" w:color="000000"/>
              <w:right w:val="single" w:sz="4" w:space="0" w:color="000000"/>
            </w:tcBorders>
            <w:shd w:val="clear" w:color="auto" w:fill="auto"/>
            <w:vAlign w:val="bottom"/>
          </w:tcPr>
          <w:p w:rsidR="00CE4B5D" w:rsidRPr="00C3617A" w:rsidRDefault="00CE4B5D" w:rsidP="00494DE5">
            <w:pPr>
              <w:tabs>
                <w:tab w:val="left" w:pos="0"/>
              </w:tabs>
              <w:spacing w:after="0" w:line="276" w:lineRule="auto"/>
              <w:jc w:val="center"/>
            </w:pPr>
            <w:r w:rsidRPr="00C3617A">
              <w:rPr>
                <w:rFonts w:ascii="Times New Roman" w:hAnsi="Times New Roman"/>
                <w:color w:val="000000"/>
                <w:lang w:eastAsia="ro-RO"/>
              </w:rPr>
              <w:t>-8,1</w:t>
            </w:r>
          </w:p>
        </w:tc>
        <w:tc>
          <w:tcPr>
            <w:tcW w:w="924" w:type="dxa"/>
            <w:tcBorders>
              <w:bottom w:val="single" w:sz="4" w:space="0" w:color="000000"/>
              <w:right w:val="single" w:sz="4" w:space="0" w:color="000000"/>
            </w:tcBorders>
            <w:shd w:val="clear" w:color="auto" w:fill="auto"/>
            <w:vAlign w:val="bottom"/>
          </w:tcPr>
          <w:p w:rsidR="00CE4B5D" w:rsidRPr="00C3617A" w:rsidRDefault="00CE4B5D" w:rsidP="00494DE5">
            <w:pPr>
              <w:tabs>
                <w:tab w:val="left" w:pos="0"/>
              </w:tabs>
              <w:spacing w:after="0" w:line="276" w:lineRule="auto"/>
              <w:jc w:val="center"/>
            </w:pPr>
            <w:r w:rsidRPr="00C3617A">
              <w:rPr>
                <w:rFonts w:ascii="Times New Roman" w:hAnsi="Times New Roman"/>
                <w:lang w:eastAsia="ro-RO"/>
              </w:rPr>
              <w:t>74,0</w:t>
            </w:r>
          </w:p>
        </w:tc>
      </w:tr>
      <w:tr w:rsidR="00CE4B5D" w:rsidRPr="00C3617A" w:rsidTr="00494DE5">
        <w:trPr>
          <w:trHeight w:val="241"/>
          <w:jc w:val="center"/>
        </w:trPr>
        <w:tc>
          <w:tcPr>
            <w:tcW w:w="5393" w:type="dxa"/>
            <w:tcBorders>
              <w:left w:val="single" w:sz="4" w:space="0" w:color="000000"/>
              <w:bottom w:val="single" w:sz="4" w:space="0" w:color="000000"/>
              <w:right w:val="single" w:sz="4" w:space="0" w:color="000000"/>
            </w:tcBorders>
            <w:shd w:val="clear" w:color="auto" w:fill="auto"/>
            <w:vAlign w:val="bottom"/>
          </w:tcPr>
          <w:p w:rsidR="00CE4B5D" w:rsidRPr="00C3617A" w:rsidRDefault="001B4E5F" w:rsidP="00494DE5">
            <w:pPr>
              <w:tabs>
                <w:tab w:val="left" w:pos="0"/>
              </w:tabs>
              <w:spacing w:after="0" w:line="276" w:lineRule="auto"/>
            </w:pPr>
            <w:r w:rsidRPr="00C3617A">
              <w:rPr>
                <w:rFonts w:ascii="Times New Roman" w:hAnsi="Times New Roman"/>
                <w:color w:val="000000"/>
                <w:lang w:eastAsia="ro-RO"/>
              </w:rPr>
              <w:t>T</w:t>
            </w:r>
            <w:r w:rsidR="00CE4B5D" w:rsidRPr="00C3617A">
              <w:rPr>
                <w:rFonts w:ascii="Times New Roman" w:hAnsi="Times New Roman"/>
                <w:color w:val="000000"/>
                <w:lang w:eastAsia="ro-RO"/>
              </w:rPr>
              <w:t>axa consulară</w:t>
            </w:r>
          </w:p>
        </w:tc>
        <w:tc>
          <w:tcPr>
            <w:tcW w:w="1148" w:type="dxa"/>
            <w:tcBorders>
              <w:bottom w:val="single" w:sz="4" w:space="0" w:color="000000"/>
              <w:right w:val="single" w:sz="4" w:space="0" w:color="000000"/>
            </w:tcBorders>
            <w:shd w:val="clear" w:color="auto" w:fill="auto"/>
            <w:vAlign w:val="bottom"/>
          </w:tcPr>
          <w:p w:rsidR="00CE4B5D" w:rsidRPr="00C3617A" w:rsidRDefault="00CE4B5D" w:rsidP="00494DE5">
            <w:pPr>
              <w:tabs>
                <w:tab w:val="left" w:pos="0"/>
              </w:tabs>
              <w:spacing w:after="0" w:line="276" w:lineRule="auto"/>
              <w:jc w:val="center"/>
            </w:pPr>
            <w:r w:rsidRPr="00C3617A">
              <w:rPr>
                <w:rFonts w:ascii="Times New Roman" w:hAnsi="Times New Roman"/>
                <w:color w:val="000000"/>
                <w:lang w:eastAsia="ro-RO"/>
              </w:rPr>
              <w:t>26,2</w:t>
            </w:r>
          </w:p>
        </w:tc>
        <w:tc>
          <w:tcPr>
            <w:tcW w:w="1148" w:type="dxa"/>
            <w:tcBorders>
              <w:bottom w:val="single" w:sz="4" w:space="0" w:color="000000"/>
              <w:right w:val="single" w:sz="4" w:space="0" w:color="000000"/>
            </w:tcBorders>
            <w:shd w:val="clear" w:color="auto" w:fill="auto"/>
            <w:vAlign w:val="bottom"/>
          </w:tcPr>
          <w:p w:rsidR="00CE4B5D" w:rsidRPr="00C3617A" w:rsidRDefault="00CE4B5D" w:rsidP="00494DE5">
            <w:pPr>
              <w:tabs>
                <w:tab w:val="left" w:pos="0"/>
              </w:tabs>
              <w:spacing w:after="0" w:line="276" w:lineRule="auto"/>
              <w:jc w:val="center"/>
            </w:pPr>
            <w:r w:rsidRPr="00C3617A">
              <w:rPr>
                <w:rFonts w:ascii="Times New Roman" w:hAnsi="Times New Roman"/>
                <w:color w:val="000000"/>
                <w:lang w:eastAsia="ro-RO"/>
              </w:rPr>
              <w:t>26,9</w:t>
            </w:r>
          </w:p>
        </w:tc>
        <w:tc>
          <w:tcPr>
            <w:tcW w:w="924" w:type="dxa"/>
            <w:tcBorders>
              <w:bottom w:val="single" w:sz="4" w:space="0" w:color="000000"/>
              <w:right w:val="single" w:sz="4" w:space="0" w:color="000000"/>
            </w:tcBorders>
            <w:shd w:val="clear" w:color="auto" w:fill="auto"/>
            <w:vAlign w:val="bottom"/>
          </w:tcPr>
          <w:p w:rsidR="00CE4B5D" w:rsidRPr="00C3617A" w:rsidRDefault="00CE4B5D" w:rsidP="00494DE5">
            <w:pPr>
              <w:tabs>
                <w:tab w:val="left" w:pos="0"/>
              </w:tabs>
              <w:spacing w:after="0" w:line="276" w:lineRule="auto"/>
              <w:jc w:val="center"/>
            </w:pPr>
            <w:r w:rsidRPr="00C3617A">
              <w:rPr>
                <w:rFonts w:ascii="Times New Roman" w:hAnsi="Times New Roman"/>
                <w:color w:val="000000"/>
                <w:lang w:eastAsia="ro-RO"/>
              </w:rPr>
              <w:t>0,7</w:t>
            </w:r>
          </w:p>
        </w:tc>
        <w:tc>
          <w:tcPr>
            <w:tcW w:w="924" w:type="dxa"/>
            <w:tcBorders>
              <w:bottom w:val="single" w:sz="4" w:space="0" w:color="000000"/>
              <w:right w:val="single" w:sz="4" w:space="0" w:color="000000"/>
            </w:tcBorders>
            <w:shd w:val="clear" w:color="auto" w:fill="auto"/>
            <w:vAlign w:val="bottom"/>
          </w:tcPr>
          <w:p w:rsidR="00CE4B5D" w:rsidRPr="00C3617A" w:rsidRDefault="00CE4B5D" w:rsidP="00494DE5">
            <w:pPr>
              <w:tabs>
                <w:tab w:val="left" w:pos="0"/>
              </w:tabs>
              <w:spacing w:after="0" w:line="276" w:lineRule="auto"/>
              <w:jc w:val="center"/>
              <w:rPr>
                <w:rFonts w:ascii="Times New Roman" w:hAnsi="Times New Roman"/>
              </w:rPr>
            </w:pPr>
            <w:r w:rsidRPr="00C3617A">
              <w:rPr>
                <w:rFonts w:ascii="Times New Roman" w:hAnsi="Times New Roman"/>
              </w:rPr>
              <w:t>102,8</w:t>
            </w:r>
          </w:p>
        </w:tc>
      </w:tr>
    </w:tbl>
    <w:p w:rsidR="001F01C1" w:rsidRPr="00012CA3" w:rsidRDefault="001F01C1">
      <w:pPr>
        <w:tabs>
          <w:tab w:val="left" w:pos="0"/>
          <w:tab w:val="left" w:pos="567"/>
        </w:tabs>
        <w:spacing w:after="0" w:line="276" w:lineRule="auto"/>
        <w:jc w:val="right"/>
        <w:rPr>
          <w:b/>
        </w:rPr>
      </w:pPr>
    </w:p>
    <w:p w:rsidR="00C524DC" w:rsidRPr="00C524DC" w:rsidRDefault="001F01C1" w:rsidP="00C524DC">
      <w:pPr>
        <w:tabs>
          <w:tab w:val="left" w:pos="0"/>
          <w:tab w:val="left" w:pos="567"/>
        </w:tabs>
        <w:spacing w:after="0" w:line="276" w:lineRule="auto"/>
        <w:jc w:val="both"/>
        <w:rPr>
          <w:rFonts w:ascii="Times New Roman" w:hAnsi="Times New Roman"/>
          <w:bCs/>
          <w:sz w:val="28"/>
          <w:szCs w:val="28"/>
        </w:rPr>
      </w:pPr>
      <w:r w:rsidRPr="00012CA3">
        <w:rPr>
          <w:rFonts w:ascii="Times New Roman" w:hAnsi="Times New Roman"/>
          <w:bCs/>
          <w:sz w:val="28"/>
          <w:szCs w:val="28"/>
        </w:rPr>
        <w:tab/>
      </w:r>
      <w:r w:rsidR="00CA0DC0" w:rsidRPr="00012CA3">
        <w:rPr>
          <w:rFonts w:ascii="Times New Roman" w:hAnsi="Times New Roman"/>
          <w:bCs/>
          <w:sz w:val="28"/>
          <w:szCs w:val="28"/>
        </w:rPr>
        <w:t xml:space="preserve">Pe parcursul semestrului I al anului 2025, au fost debursate granturi în sumă de 2 796,8 mil. lei (echivalentul a 158,7 mil. dolari SUA), cu 2 287,8 mil. lei (echivalentul a 130,1 mil. dolari SUA) </w:t>
      </w:r>
      <w:r w:rsidR="00C524DC" w:rsidRPr="00C524DC">
        <w:rPr>
          <w:rFonts w:ascii="Times New Roman" w:hAnsi="Times New Roman"/>
          <w:bCs/>
          <w:sz w:val="28"/>
          <w:szCs w:val="28"/>
        </w:rPr>
        <w:t>mai mult față de perioadă similară a anului 2024, primordial din contul volumului granturilor acordate sub formă de suport bugetar oferite pentru măsuri de reziliență energetică.</w:t>
      </w:r>
    </w:p>
    <w:p w:rsidR="00C524DC" w:rsidRDefault="00C524DC" w:rsidP="00C524DC">
      <w:pPr>
        <w:tabs>
          <w:tab w:val="left" w:pos="0"/>
          <w:tab w:val="left" w:pos="567"/>
        </w:tabs>
        <w:spacing w:after="0" w:line="276" w:lineRule="auto"/>
        <w:jc w:val="both"/>
        <w:rPr>
          <w:rFonts w:ascii="Times New Roman" w:hAnsi="Times New Roman"/>
          <w:bCs/>
          <w:sz w:val="28"/>
          <w:szCs w:val="28"/>
        </w:rPr>
      </w:pPr>
      <w:r w:rsidRPr="00C524DC">
        <w:rPr>
          <w:rFonts w:ascii="Times New Roman" w:hAnsi="Times New Roman"/>
          <w:bCs/>
          <w:sz w:val="28"/>
          <w:szCs w:val="28"/>
        </w:rPr>
        <w:tab/>
        <w:t>Granturile pentru susținerea bugetului au fost debursate în sumă de 2 624,5 mil. lei (echivalentul a 149,0 mil. dolari SUA), iar pentru proiecte finanțate din surse externe – granturi în sumă de 172,3 mil. lei (echivalentul a 9,7 mil. dolari SUA).</w:t>
      </w:r>
    </w:p>
    <w:p w:rsidR="00A66110" w:rsidRDefault="00A66110" w:rsidP="00C524DC">
      <w:pPr>
        <w:tabs>
          <w:tab w:val="left" w:pos="0"/>
          <w:tab w:val="left" w:pos="567"/>
        </w:tabs>
        <w:spacing w:after="0" w:line="276" w:lineRule="auto"/>
        <w:jc w:val="both"/>
        <w:rPr>
          <w:rFonts w:ascii="Times New Roman" w:hAnsi="Times New Roman"/>
          <w:bCs/>
          <w:sz w:val="28"/>
          <w:szCs w:val="28"/>
        </w:rPr>
      </w:pPr>
    </w:p>
    <w:p w:rsidR="00A66110" w:rsidRPr="00012CA3" w:rsidRDefault="00A66110" w:rsidP="00C524DC">
      <w:pPr>
        <w:tabs>
          <w:tab w:val="left" w:pos="0"/>
          <w:tab w:val="left" w:pos="567"/>
        </w:tabs>
        <w:spacing w:after="0" w:line="276" w:lineRule="auto"/>
        <w:jc w:val="both"/>
        <w:rPr>
          <w:rFonts w:ascii="Times New Roman" w:hAnsi="Times New Roman"/>
          <w:bCs/>
          <w:sz w:val="28"/>
          <w:szCs w:val="28"/>
        </w:rPr>
      </w:pPr>
    </w:p>
    <w:p w:rsidR="00C82F48" w:rsidRPr="00012CA3" w:rsidRDefault="00C82F48" w:rsidP="00C524DC">
      <w:pPr>
        <w:tabs>
          <w:tab w:val="left" w:pos="0"/>
          <w:tab w:val="left" w:pos="567"/>
        </w:tabs>
        <w:spacing w:after="0" w:line="276" w:lineRule="auto"/>
        <w:jc w:val="both"/>
      </w:pPr>
      <w:r w:rsidRPr="00012CA3">
        <w:rPr>
          <w:rFonts w:ascii="Times New Roman" w:hAnsi="Times New Roman"/>
          <w:b/>
          <w:bCs/>
          <w:i/>
          <w:sz w:val="28"/>
          <w:szCs w:val="28"/>
        </w:rPr>
        <w:lastRenderedPageBreak/>
        <w:t>Alte venituri</w:t>
      </w:r>
    </w:p>
    <w:p w:rsidR="008E16DF" w:rsidRPr="00012CA3" w:rsidRDefault="00C82F48" w:rsidP="008E16DF">
      <w:pPr>
        <w:tabs>
          <w:tab w:val="left" w:pos="0"/>
          <w:tab w:val="left" w:pos="567"/>
        </w:tabs>
        <w:spacing w:after="120" w:line="276" w:lineRule="auto"/>
        <w:ind w:left="142" w:right="232" w:firstLine="284"/>
        <w:jc w:val="both"/>
      </w:pPr>
      <w:r w:rsidRPr="00012CA3">
        <w:rPr>
          <w:rFonts w:ascii="Times New Roman" w:hAnsi="Times New Roman"/>
          <w:sz w:val="28"/>
          <w:szCs w:val="28"/>
        </w:rPr>
        <w:tab/>
      </w:r>
      <w:r w:rsidRPr="00012CA3">
        <w:rPr>
          <w:rFonts w:ascii="Times New Roman" w:hAnsi="Times New Roman"/>
          <w:sz w:val="28"/>
          <w:szCs w:val="28"/>
        </w:rPr>
        <w:tab/>
      </w:r>
      <w:r w:rsidR="008E16DF" w:rsidRPr="00012CA3">
        <w:rPr>
          <w:rFonts w:ascii="Times New Roman" w:hAnsi="Times New Roman"/>
          <w:sz w:val="28"/>
          <w:szCs w:val="28"/>
        </w:rPr>
        <w:t xml:space="preserve">Încasările din </w:t>
      </w:r>
      <w:r w:rsidR="008E16DF" w:rsidRPr="00012CA3">
        <w:rPr>
          <w:rFonts w:ascii="Times New Roman" w:hAnsi="Times New Roman"/>
          <w:i/>
          <w:sz w:val="28"/>
          <w:szCs w:val="28"/>
          <w:u w:val="single"/>
        </w:rPr>
        <w:t>taxele pentru folosirea drumurilor</w:t>
      </w:r>
      <w:r w:rsidR="008E16DF" w:rsidRPr="00012CA3">
        <w:rPr>
          <w:rFonts w:ascii="Times New Roman" w:hAnsi="Times New Roman"/>
          <w:sz w:val="28"/>
          <w:szCs w:val="28"/>
        </w:rPr>
        <w:t>, în semestrul I</w:t>
      </w:r>
      <w:r w:rsidR="005260EF" w:rsidRPr="00012CA3">
        <w:rPr>
          <w:rFonts w:ascii="Times New Roman" w:hAnsi="Times New Roman"/>
          <w:sz w:val="28"/>
          <w:szCs w:val="28"/>
        </w:rPr>
        <w:t xml:space="preserve"> 2025</w:t>
      </w:r>
      <w:r w:rsidR="008E16DF" w:rsidRPr="00012CA3">
        <w:rPr>
          <w:rFonts w:ascii="Times New Roman" w:hAnsi="Times New Roman"/>
          <w:sz w:val="28"/>
          <w:szCs w:val="28"/>
        </w:rPr>
        <w:t xml:space="preserve">, au constituit </w:t>
      </w:r>
      <w:r w:rsidR="005260EF" w:rsidRPr="00012CA3">
        <w:rPr>
          <w:rFonts w:ascii="Times New Roman" w:hAnsi="Times New Roman"/>
          <w:sz w:val="28"/>
          <w:szCs w:val="28"/>
        </w:rPr>
        <w:t xml:space="preserve">574,7 mil.lei, cu 28,6 mil. lei </w:t>
      </w:r>
      <w:r w:rsidR="005260EF" w:rsidRPr="00012CA3">
        <w:rPr>
          <w:rFonts w:ascii="Times New Roman" w:hAnsi="Times New Roman"/>
          <w:bCs/>
          <w:sz w:val="28"/>
          <w:szCs w:val="28"/>
        </w:rPr>
        <w:t>sau cu 5,2%</w:t>
      </w:r>
      <w:r w:rsidR="005260EF" w:rsidRPr="00012CA3">
        <w:rPr>
          <w:rFonts w:ascii="Times New Roman" w:hAnsi="Times New Roman"/>
          <w:sz w:val="28"/>
          <w:szCs w:val="28"/>
        </w:rPr>
        <w:t xml:space="preserve"> </w:t>
      </w:r>
      <w:r w:rsidR="005260EF" w:rsidRPr="00012CA3">
        <w:rPr>
          <w:rFonts w:ascii="Times New Roman" w:hAnsi="Times New Roman"/>
          <w:bCs/>
          <w:sz w:val="28"/>
          <w:szCs w:val="28"/>
        </w:rPr>
        <w:t>mai mult</w:t>
      </w:r>
      <w:r w:rsidR="005260EF" w:rsidRPr="00012CA3">
        <w:rPr>
          <w:rFonts w:ascii="Times New Roman" w:hAnsi="Times New Roman"/>
          <w:sz w:val="28"/>
          <w:szCs w:val="28"/>
        </w:rPr>
        <w:t xml:space="preserve"> față de semestrul I al anului precedent.</w:t>
      </w:r>
    </w:p>
    <w:p w:rsidR="00057636" w:rsidRPr="00012CA3" w:rsidRDefault="008E16DF" w:rsidP="00057636">
      <w:pPr>
        <w:spacing w:after="120" w:line="276" w:lineRule="auto"/>
        <w:ind w:left="142" w:right="232" w:firstLine="566"/>
        <w:jc w:val="both"/>
      </w:pPr>
      <w:r w:rsidRPr="00012CA3">
        <w:rPr>
          <w:rFonts w:ascii="Times New Roman" w:hAnsi="Times New Roman"/>
          <w:i/>
          <w:sz w:val="28"/>
          <w:szCs w:val="28"/>
          <w:u w:val="single"/>
        </w:rPr>
        <w:t xml:space="preserve"> Plățile pentru poluarea mediului</w:t>
      </w:r>
      <w:r w:rsidRPr="00012CA3">
        <w:rPr>
          <w:rFonts w:ascii="Times New Roman" w:hAnsi="Times New Roman"/>
          <w:sz w:val="28"/>
          <w:szCs w:val="28"/>
        </w:rPr>
        <w:t xml:space="preserve">, </w:t>
      </w:r>
      <w:r w:rsidR="00057636" w:rsidRPr="00012CA3">
        <w:rPr>
          <w:rFonts w:ascii="Times New Roman" w:hAnsi="Times New Roman"/>
          <w:sz w:val="28"/>
          <w:szCs w:val="28"/>
        </w:rPr>
        <w:t>în semestrul I 2025, au fost încasate în sumă de 143,1 mil.lei, cu 15,3 mil.lei (9,7%) mai puțin decât în semestrul I 2024 din contul micșorării importului și producerii mărfurilor care în procesul utilizării cauzează poluarea mediului.</w:t>
      </w:r>
    </w:p>
    <w:p w:rsidR="00092CE3" w:rsidRPr="00012CA3" w:rsidRDefault="008E16DF" w:rsidP="008E16DF">
      <w:pPr>
        <w:spacing w:after="120" w:line="276" w:lineRule="auto"/>
        <w:ind w:left="142" w:right="232" w:firstLine="566"/>
        <w:jc w:val="both"/>
        <w:rPr>
          <w:rFonts w:ascii="Times New Roman" w:hAnsi="Times New Roman"/>
          <w:sz w:val="28"/>
          <w:szCs w:val="28"/>
        </w:rPr>
      </w:pPr>
      <w:r w:rsidRPr="00012CA3">
        <w:rPr>
          <w:rFonts w:ascii="Times New Roman" w:hAnsi="Times New Roman"/>
          <w:i/>
          <w:sz w:val="28"/>
          <w:szCs w:val="28"/>
          <w:u w:val="single"/>
        </w:rPr>
        <w:t>Veniturile din proprietate</w:t>
      </w:r>
      <w:r w:rsidRPr="00012CA3">
        <w:rPr>
          <w:rFonts w:ascii="Times New Roman" w:hAnsi="Times New Roman"/>
          <w:sz w:val="28"/>
          <w:szCs w:val="28"/>
        </w:rPr>
        <w:t xml:space="preserve"> (dobânzi, dividende și defalcări din profitul net, soldul profitului net al BNM) în semestrul I al anului 202</w:t>
      </w:r>
      <w:r w:rsidR="000B7A92" w:rsidRPr="00012CA3">
        <w:rPr>
          <w:rFonts w:ascii="Times New Roman" w:hAnsi="Times New Roman"/>
          <w:sz w:val="28"/>
          <w:szCs w:val="28"/>
        </w:rPr>
        <w:t>5</w:t>
      </w:r>
      <w:r w:rsidRPr="00012CA3">
        <w:rPr>
          <w:rFonts w:ascii="Times New Roman" w:hAnsi="Times New Roman"/>
          <w:sz w:val="28"/>
          <w:szCs w:val="28"/>
        </w:rPr>
        <w:t xml:space="preserve"> au fost încasate în sumă de </w:t>
      </w:r>
      <w:r w:rsidR="000B7A92" w:rsidRPr="00012CA3">
        <w:rPr>
          <w:rFonts w:ascii="Times New Roman" w:hAnsi="Times New Roman"/>
          <w:sz w:val="28"/>
          <w:szCs w:val="28"/>
        </w:rPr>
        <w:t>699,8</w:t>
      </w:r>
      <w:r w:rsidRPr="00012CA3">
        <w:rPr>
          <w:rFonts w:ascii="Times New Roman" w:hAnsi="Times New Roman"/>
          <w:sz w:val="28"/>
          <w:szCs w:val="28"/>
        </w:rPr>
        <w:t xml:space="preserve"> mil. lei, majorând-se comparativ cu semestrul I 202</w:t>
      </w:r>
      <w:r w:rsidR="00212C63" w:rsidRPr="00012CA3">
        <w:rPr>
          <w:rFonts w:ascii="Times New Roman" w:hAnsi="Times New Roman"/>
          <w:sz w:val="28"/>
          <w:szCs w:val="28"/>
        </w:rPr>
        <w:t>4</w:t>
      </w:r>
      <w:r w:rsidRPr="00012CA3">
        <w:rPr>
          <w:rFonts w:ascii="Times New Roman" w:hAnsi="Times New Roman"/>
          <w:sz w:val="28"/>
          <w:szCs w:val="28"/>
        </w:rPr>
        <w:t xml:space="preserve"> cu </w:t>
      </w:r>
      <w:r w:rsidR="00212C63" w:rsidRPr="00012CA3">
        <w:rPr>
          <w:rFonts w:ascii="Times New Roman" w:hAnsi="Times New Roman"/>
          <w:sz w:val="28"/>
          <w:szCs w:val="28"/>
        </w:rPr>
        <w:t>66,6</w:t>
      </w:r>
      <w:r w:rsidRPr="00012CA3">
        <w:rPr>
          <w:rFonts w:ascii="Times New Roman" w:hAnsi="Times New Roman"/>
          <w:sz w:val="28"/>
          <w:szCs w:val="28"/>
        </w:rPr>
        <w:t xml:space="preserve"> mil.lei.</w:t>
      </w:r>
      <w:r w:rsidR="00212C63" w:rsidRPr="00012CA3">
        <w:rPr>
          <w:rFonts w:ascii="Times New Roman" w:hAnsi="Times New Roman"/>
          <w:sz w:val="28"/>
          <w:szCs w:val="28"/>
        </w:rPr>
        <w:t xml:space="preserve"> sau 10,5 la sută</w:t>
      </w:r>
      <w:r w:rsidRPr="00012CA3">
        <w:rPr>
          <w:rFonts w:ascii="Times New Roman" w:hAnsi="Times New Roman"/>
          <w:sz w:val="28"/>
          <w:szCs w:val="28"/>
        </w:rPr>
        <w:t xml:space="preserve"> Această majorare s-a produs în mare parte din încasările mai mari a dividendelor primite de la cota parte a proprietății publice în societățile pe acțiuni (</w:t>
      </w:r>
      <w:r w:rsidR="00092CE3" w:rsidRPr="00012CA3">
        <w:rPr>
          <w:rFonts w:ascii="Times New Roman" w:hAnsi="Times New Roman"/>
          <w:sz w:val="28"/>
          <w:szCs w:val="28"/>
        </w:rPr>
        <w:t>443,8</w:t>
      </w:r>
      <w:r w:rsidRPr="00012CA3">
        <w:rPr>
          <w:rFonts w:ascii="Times New Roman" w:hAnsi="Times New Roman"/>
          <w:sz w:val="28"/>
          <w:szCs w:val="28"/>
        </w:rPr>
        <w:t xml:space="preserve"> mil.lei)</w:t>
      </w:r>
      <w:r w:rsidR="00895B1C">
        <w:rPr>
          <w:rFonts w:ascii="Times New Roman" w:hAnsi="Times New Roman"/>
          <w:sz w:val="28"/>
          <w:szCs w:val="28"/>
        </w:rPr>
        <w:t>,</w:t>
      </w:r>
      <w:r w:rsidRPr="00012CA3">
        <w:rPr>
          <w:rFonts w:ascii="Times New Roman" w:hAnsi="Times New Roman"/>
          <w:sz w:val="28"/>
          <w:szCs w:val="28"/>
        </w:rPr>
        <w:t xml:space="preserve"> ca urmare a rezultatelor obținute din activitatea acestora în anul precedent.</w:t>
      </w:r>
    </w:p>
    <w:p w:rsidR="008E16DF" w:rsidRPr="00012CA3" w:rsidRDefault="008E16DF" w:rsidP="008E16DF">
      <w:pPr>
        <w:spacing w:after="120" w:line="276" w:lineRule="auto"/>
        <w:ind w:left="142" w:right="232" w:firstLine="566"/>
        <w:jc w:val="both"/>
      </w:pPr>
      <w:r w:rsidRPr="00012CA3">
        <w:rPr>
          <w:rFonts w:ascii="Times New Roman" w:hAnsi="Times New Roman"/>
          <w:sz w:val="28"/>
          <w:szCs w:val="28"/>
        </w:rPr>
        <w:tab/>
        <w:t xml:space="preserve">Încasările din </w:t>
      </w:r>
      <w:r w:rsidRPr="00012CA3">
        <w:rPr>
          <w:rFonts w:ascii="Times New Roman" w:hAnsi="Times New Roman"/>
          <w:i/>
          <w:sz w:val="28"/>
          <w:szCs w:val="28"/>
          <w:u w:val="single"/>
        </w:rPr>
        <w:t>amenzi și sancțiuni</w:t>
      </w:r>
      <w:r w:rsidRPr="00012CA3">
        <w:rPr>
          <w:rFonts w:ascii="Times New Roman" w:hAnsi="Times New Roman"/>
          <w:sz w:val="28"/>
          <w:szCs w:val="28"/>
        </w:rPr>
        <w:t xml:space="preserve"> </w:t>
      </w:r>
      <w:r w:rsidR="00BC5547" w:rsidRPr="00012CA3">
        <w:rPr>
          <w:rFonts w:ascii="Times New Roman" w:hAnsi="Times New Roman"/>
          <w:sz w:val="28"/>
          <w:szCs w:val="28"/>
        </w:rPr>
        <w:t>s-au majorat în semestrul I al anului 2025 față de perioada similară a anului 2024 cu circa 101,7 mil. lei sau cu 49,1%, în special din contul creșterii încasărilor din amenzile aplicate de organele de control cu 23,4 mil.lei sau 68,6% și creșterii încasărilor din amenzile pentru încălcarea traficului rutier  cu 21,0 mil.lei sau 27,4 la sută.</w:t>
      </w:r>
    </w:p>
    <w:p w:rsidR="008E16DF" w:rsidRPr="00012CA3" w:rsidRDefault="008E16DF" w:rsidP="00D62253">
      <w:pPr>
        <w:tabs>
          <w:tab w:val="left" w:pos="567"/>
        </w:tabs>
        <w:spacing w:line="276" w:lineRule="auto"/>
        <w:ind w:left="142" w:right="232" w:firstLine="425"/>
        <w:contextualSpacing/>
        <w:jc w:val="both"/>
        <w:rPr>
          <w:rFonts w:ascii="Times New Roman" w:hAnsi="Times New Roman"/>
          <w:sz w:val="28"/>
          <w:szCs w:val="28"/>
        </w:rPr>
      </w:pPr>
      <w:r w:rsidRPr="00012CA3">
        <w:rPr>
          <w:rFonts w:ascii="Times New Roman" w:hAnsi="Times New Roman"/>
          <w:i/>
          <w:sz w:val="28"/>
          <w:szCs w:val="28"/>
          <w:u w:val="single"/>
        </w:rPr>
        <w:t>Donațiile voluntare</w:t>
      </w:r>
      <w:r w:rsidRPr="00012CA3">
        <w:rPr>
          <w:rFonts w:ascii="Times New Roman" w:hAnsi="Times New Roman"/>
          <w:sz w:val="28"/>
          <w:szCs w:val="28"/>
        </w:rPr>
        <w:t xml:space="preserve"> </w:t>
      </w:r>
      <w:r w:rsidR="00D62253" w:rsidRPr="00012CA3">
        <w:rPr>
          <w:rFonts w:ascii="Times New Roman" w:hAnsi="Times New Roman"/>
          <w:sz w:val="28"/>
          <w:szCs w:val="28"/>
        </w:rPr>
        <w:t>în semestrul I 2025, au constituit 14,3 mil.lei. Față de semestrul I al anului precedent încasările respective s-au diminuat cu 4,1 mil. lei .</w:t>
      </w:r>
    </w:p>
    <w:p w:rsidR="00C82F48" w:rsidRPr="00012CA3" w:rsidRDefault="008E16DF" w:rsidP="00EA50AD">
      <w:pPr>
        <w:tabs>
          <w:tab w:val="left" w:pos="142"/>
          <w:tab w:val="left" w:pos="567"/>
          <w:tab w:val="left" w:pos="851"/>
        </w:tabs>
        <w:jc w:val="both"/>
        <w:rPr>
          <w:rFonts w:ascii="Times New Roman" w:hAnsi="Times New Roman"/>
          <w:sz w:val="28"/>
          <w:szCs w:val="28"/>
        </w:rPr>
      </w:pPr>
      <w:r w:rsidRPr="00012CA3">
        <w:rPr>
          <w:rFonts w:ascii="Times New Roman" w:hAnsi="Times New Roman"/>
          <w:b/>
          <w:i/>
          <w:color w:val="2E74B5"/>
          <w:sz w:val="24"/>
          <w:lang w:val="ro-MD"/>
        </w:rPr>
        <w:t xml:space="preserve">  </w:t>
      </w:r>
      <w:r w:rsidRPr="00012CA3">
        <w:rPr>
          <w:rFonts w:ascii="Times New Roman" w:hAnsi="Times New Roman"/>
          <w:b/>
          <w:i/>
          <w:color w:val="2E74B5"/>
          <w:sz w:val="24"/>
          <w:lang w:val="ro-MD"/>
        </w:rPr>
        <w:tab/>
        <w:t xml:space="preserve">  </w:t>
      </w:r>
      <w:r w:rsidRPr="00012CA3">
        <w:rPr>
          <w:rFonts w:ascii="Times New Roman" w:hAnsi="Times New Roman"/>
          <w:b/>
          <w:i/>
          <w:color w:val="2E74B5"/>
          <w:sz w:val="24"/>
          <w:lang w:val="ro-MD"/>
        </w:rPr>
        <w:tab/>
      </w:r>
      <w:r w:rsidRPr="00012CA3">
        <w:rPr>
          <w:rFonts w:ascii="Times New Roman" w:hAnsi="Times New Roman"/>
          <w:b/>
          <w:i/>
          <w:color w:val="171717"/>
          <w:sz w:val="28"/>
          <w:szCs w:val="28"/>
          <w:lang w:val="ro-MD"/>
        </w:rPr>
        <w:t>Restanțele la plata impozitelor și taxelor</w:t>
      </w:r>
      <w:r w:rsidRPr="00012CA3">
        <w:rPr>
          <w:rFonts w:ascii="Times New Roman" w:hAnsi="Times New Roman"/>
          <w:sz w:val="28"/>
          <w:szCs w:val="28"/>
          <w:lang w:val="ro-MD"/>
        </w:rPr>
        <w:t xml:space="preserve"> la bugetul de stat la </w:t>
      </w:r>
      <w:r w:rsidR="001C2EB2">
        <w:rPr>
          <w:rFonts w:ascii="Times New Roman" w:hAnsi="Times New Roman"/>
          <w:sz w:val="28"/>
          <w:szCs w:val="28"/>
          <w:lang w:val="ro-MD"/>
        </w:rPr>
        <w:t xml:space="preserve">situația din </w:t>
      </w:r>
      <w:r w:rsidRPr="00012CA3">
        <w:rPr>
          <w:rFonts w:ascii="Times New Roman" w:hAnsi="Times New Roman"/>
          <w:sz w:val="28"/>
          <w:szCs w:val="28"/>
          <w:lang w:val="ro-MD"/>
        </w:rPr>
        <w:t>30 iunie 202</w:t>
      </w:r>
      <w:r w:rsidR="00E65C33" w:rsidRPr="00012CA3">
        <w:rPr>
          <w:rFonts w:ascii="Times New Roman" w:hAnsi="Times New Roman"/>
          <w:sz w:val="28"/>
          <w:szCs w:val="28"/>
          <w:lang w:val="ro-MD"/>
        </w:rPr>
        <w:t>5</w:t>
      </w:r>
      <w:r w:rsidRPr="00012CA3">
        <w:rPr>
          <w:rFonts w:ascii="Times New Roman" w:hAnsi="Times New Roman"/>
          <w:sz w:val="28"/>
          <w:szCs w:val="28"/>
          <w:lang w:val="ro-MD"/>
        </w:rPr>
        <w:t>, au constituit 1</w:t>
      </w:r>
      <w:r w:rsidR="00E65C33" w:rsidRPr="00012CA3">
        <w:rPr>
          <w:rFonts w:ascii="Times New Roman" w:hAnsi="Times New Roman"/>
          <w:sz w:val="28"/>
          <w:szCs w:val="28"/>
          <w:lang w:val="ro-MD"/>
        </w:rPr>
        <w:t> 363,5</w:t>
      </w:r>
      <w:r w:rsidRPr="00012CA3">
        <w:rPr>
          <w:rFonts w:ascii="Times New Roman" w:hAnsi="Times New Roman"/>
          <w:sz w:val="28"/>
          <w:szCs w:val="28"/>
          <w:lang w:val="ro-MD"/>
        </w:rPr>
        <w:t xml:space="preserve"> mil. lei, majorând-se cu </w:t>
      </w:r>
      <w:r w:rsidR="00E65C33" w:rsidRPr="00012CA3">
        <w:rPr>
          <w:rFonts w:ascii="Times New Roman" w:hAnsi="Times New Roman"/>
          <w:sz w:val="28"/>
          <w:szCs w:val="28"/>
          <w:lang w:val="ro-MD"/>
        </w:rPr>
        <w:t>14,9</w:t>
      </w:r>
      <w:r w:rsidRPr="00012CA3">
        <w:rPr>
          <w:rFonts w:ascii="Times New Roman" w:hAnsi="Times New Roman"/>
          <w:sz w:val="28"/>
          <w:szCs w:val="28"/>
          <w:lang w:val="ro-MD"/>
        </w:rPr>
        <w:t xml:space="preserve"> mil. lei sau cu </w:t>
      </w:r>
      <w:r w:rsidR="00E65C33" w:rsidRPr="00012CA3">
        <w:rPr>
          <w:rFonts w:ascii="Times New Roman" w:hAnsi="Times New Roman"/>
          <w:sz w:val="28"/>
          <w:szCs w:val="28"/>
          <w:lang w:val="ro-MD"/>
        </w:rPr>
        <w:t>20,1</w:t>
      </w:r>
      <w:r w:rsidRPr="00012CA3">
        <w:rPr>
          <w:rFonts w:ascii="Times New Roman" w:hAnsi="Times New Roman"/>
          <w:sz w:val="28"/>
          <w:szCs w:val="28"/>
          <w:lang w:val="ro-MD"/>
        </w:rPr>
        <w:t xml:space="preserve">% față de situația de la începutul anului. </w:t>
      </w:r>
      <w:r w:rsidR="00B528FD" w:rsidRPr="00012CA3">
        <w:rPr>
          <w:rFonts w:ascii="Times New Roman" w:hAnsi="Times New Roman"/>
          <w:sz w:val="28"/>
          <w:szCs w:val="28"/>
        </w:rPr>
        <w:t>Volumul restanțelor aferente obligațiilor fiscale administrate de Serviciul Fiscal de Stat a crescut cu 1,6 milioane lei comparativ cu situația din 1 ianuarie 2025. Restanțele asociate veniturilor administrate de Serviciul Vamal au înregistrat o creștere cu 210,8 milioane lei. În același interval, restanțele la veniturile gestionate de Agenția Proprietăți Publice și de Agenția Națională Transport Auto (ANTA) au crescut cu 1,0 milio</w:t>
      </w:r>
      <w:r w:rsidR="00876BE0">
        <w:rPr>
          <w:rFonts w:ascii="Times New Roman" w:hAnsi="Times New Roman"/>
          <w:sz w:val="28"/>
          <w:szCs w:val="28"/>
        </w:rPr>
        <w:t xml:space="preserve">ane lei și, respectiv cu </w:t>
      </w:r>
      <w:r w:rsidR="00B528FD" w:rsidRPr="00012CA3">
        <w:rPr>
          <w:rFonts w:ascii="Times New Roman" w:hAnsi="Times New Roman"/>
          <w:sz w:val="28"/>
          <w:szCs w:val="28"/>
        </w:rPr>
        <w:t>0,1 milioane lei.</w:t>
      </w:r>
    </w:p>
    <w:p w:rsidR="00C82F48" w:rsidRPr="00012CA3" w:rsidRDefault="00C82F48">
      <w:pPr>
        <w:tabs>
          <w:tab w:val="left" w:pos="1134"/>
        </w:tabs>
        <w:spacing w:after="0" w:line="276" w:lineRule="auto"/>
        <w:ind w:firstLine="567"/>
        <w:jc w:val="both"/>
      </w:pPr>
      <w:r w:rsidRPr="00012CA3">
        <w:rPr>
          <w:rFonts w:ascii="Times New Roman" w:hAnsi="Times New Roman"/>
          <w:b/>
          <w:i/>
          <w:sz w:val="28"/>
          <w:szCs w:val="28"/>
        </w:rPr>
        <w:t>Cheltuielile bugetului de stat</w:t>
      </w:r>
      <w:r w:rsidRPr="00012CA3">
        <w:rPr>
          <w:rFonts w:ascii="Times New Roman" w:hAnsi="Times New Roman"/>
          <w:sz w:val="28"/>
          <w:szCs w:val="28"/>
        </w:rPr>
        <w:t xml:space="preserve"> în semestrul I 202</w:t>
      </w:r>
      <w:r w:rsidR="004B3662" w:rsidRPr="00012CA3">
        <w:rPr>
          <w:rFonts w:ascii="Times New Roman" w:hAnsi="Times New Roman"/>
          <w:sz w:val="28"/>
          <w:szCs w:val="28"/>
        </w:rPr>
        <w:t>5</w:t>
      </w:r>
      <w:r w:rsidRPr="00012CA3">
        <w:rPr>
          <w:rFonts w:ascii="Times New Roman" w:hAnsi="Times New Roman"/>
          <w:sz w:val="28"/>
          <w:szCs w:val="28"/>
        </w:rPr>
        <w:t xml:space="preserve"> au fost executate în sumă de </w:t>
      </w:r>
      <w:r w:rsidR="00C34A78" w:rsidRPr="00012CA3">
        <w:rPr>
          <w:rFonts w:ascii="Times New Roman" w:hAnsi="Times New Roman"/>
          <w:sz w:val="28"/>
          <w:szCs w:val="28"/>
        </w:rPr>
        <w:t>44 369,5</w:t>
      </w:r>
      <w:r w:rsidRPr="00012CA3">
        <w:rPr>
          <w:rFonts w:ascii="Times New Roman" w:hAnsi="Times New Roman"/>
          <w:sz w:val="28"/>
          <w:szCs w:val="28"/>
        </w:rPr>
        <w:t xml:space="preserve"> mil. lei, incluzând cheltuielile aferente proiectelor finanțate din surse externe în suma de </w:t>
      </w:r>
      <w:r w:rsidR="00CD1C96" w:rsidRPr="00012CA3">
        <w:rPr>
          <w:rFonts w:ascii="Times New Roman" w:hAnsi="Times New Roman"/>
          <w:sz w:val="28"/>
          <w:szCs w:val="28"/>
        </w:rPr>
        <w:t>953,4</w:t>
      </w:r>
      <w:r w:rsidRPr="00012CA3">
        <w:rPr>
          <w:rFonts w:ascii="Times New Roman" w:hAnsi="Times New Roman"/>
          <w:sz w:val="28"/>
          <w:szCs w:val="28"/>
        </w:rPr>
        <w:t xml:space="preserve"> mil. lei. Prevederile anuale la cheltuieli au fost realizate la nivel de </w:t>
      </w:r>
      <w:r w:rsidR="00A55660">
        <w:rPr>
          <w:rFonts w:ascii="Times New Roman" w:hAnsi="Times New Roman"/>
          <w:sz w:val="28"/>
          <w:szCs w:val="28"/>
        </w:rPr>
        <w:t>47,</w:t>
      </w:r>
      <w:r w:rsidR="00A3255C">
        <w:rPr>
          <w:rFonts w:ascii="Times New Roman" w:hAnsi="Times New Roman"/>
          <w:sz w:val="28"/>
          <w:szCs w:val="28"/>
        </w:rPr>
        <w:t>6</w:t>
      </w:r>
      <w:r w:rsidRPr="00012CA3">
        <w:rPr>
          <w:rFonts w:ascii="Times New Roman" w:hAnsi="Times New Roman"/>
          <w:sz w:val="28"/>
          <w:szCs w:val="28"/>
        </w:rPr>
        <w:t xml:space="preserve">%, inclusiv la proiecte finanțate din surse externe – </w:t>
      </w:r>
      <w:r w:rsidR="00995F19" w:rsidRPr="00012CA3">
        <w:rPr>
          <w:rFonts w:ascii="Times New Roman" w:hAnsi="Times New Roman"/>
          <w:sz w:val="28"/>
          <w:szCs w:val="28"/>
        </w:rPr>
        <w:t>2</w:t>
      </w:r>
      <w:r w:rsidR="00293E71">
        <w:rPr>
          <w:rFonts w:ascii="Times New Roman" w:hAnsi="Times New Roman"/>
          <w:sz w:val="28"/>
          <w:szCs w:val="28"/>
        </w:rPr>
        <w:t>3,</w:t>
      </w:r>
      <w:r w:rsidR="00564248">
        <w:rPr>
          <w:rFonts w:ascii="Times New Roman" w:hAnsi="Times New Roman"/>
          <w:sz w:val="28"/>
          <w:szCs w:val="28"/>
        </w:rPr>
        <w:t>5</w:t>
      </w:r>
      <w:r w:rsidR="00B27D5F">
        <w:rPr>
          <w:rFonts w:ascii="Times New Roman" w:hAnsi="Times New Roman"/>
          <w:sz w:val="28"/>
          <w:szCs w:val="28"/>
        </w:rPr>
        <w:t xml:space="preserve"> la sută</w:t>
      </w:r>
      <w:r w:rsidRPr="00012CA3">
        <w:rPr>
          <w:rFonts w:ascii="Times New Roman" w:hAnsi="Times New Roman"/>
          <w:sz w:val="28"/>
          <w:szCs w:val="28"/>
        </w:rPr>
        <w:t>. Totodată, în comparație cu perioada similară a anului 202</w:t>
      </w:r>
      <w:r w:rsidR="00AE5EC7" w:rsidRPr="00012CA3">
        <w:rPr>
          <w:rFonts w:ascii="Times New Roman" w:hAnsi="Times New Roman"/>
          <w:sz w:val="28"/>
          <w:szCs w:val="28"/>
        </w:rPr>
        <w:t>4</w:t>
      </w:r>
      <w:r w:rsidRPr="00012CA3">
        <w:rPr>
          <w:rFonts w:ascii="Times New Roman" w:hAnsi="Times New Roman"/>
          <w:sz w:val="28"/>
          <w:szCs w:val="28"/>
        </w:rPr>
        <w:t xml:space="preserve"> executarea cheltuielilor a </w:t>
      </w:r>
      <w:r w:rsidR="00520EF2" w:rsidRPr="00012CA3">
        <w:rPr>
          <w:rFonts w:ascii="Times New Roman" w:hAnsi="Times New Roman"/>
          <w:sz w:val="28"/>
          <w:szCs w:val="28"/>
        </w:rPr>
        <w:t>crescut</w:t>
      </w:r>
      <w:r w:rsidRPr="00012CA3">
        <w:rPr>
          <w:rFonts w:ascii="Times New Roman" w:hAnsi="Times New Roman"/>
          <w:sz w:val="28"/>
          <w:szCs w:val="28"/>
        </w:rPr>
        <w:t xml:space="preserve"> cu </w:t>
      </w:r>
      <w:r w:rsidR="00293E71" w:rsidRPr="00012CA3">
        <w:rPr>
          <w:rFonts w:ascii="Times New Roman" w:hAnsi="Times New Roman"/>
          <w:sz w:val="28"/>
          <w:szCs w:val="28"/>
        </w:rPr>
        <w:t xml:space="preserve">6 822,8 mil. lei </w:t>
      </w:r>
      <w:r w:rsidR="00520EF2" w:rsidRPr="00012CA3">
        <w:rPr>
          <w:rFonts w:ascii="Times New Roman" w:hAnsi="Times New Roman"/>
          <w:sz w:val="28"/>
          <w:szCs w:val="28"/>
        </w:rPr>
        <w:t>sau cu</w:t>
      </w:r>
      <w:r w:rsidR="009E67D1">
        <w:rPr>
          <w:rFonts w:ascii="Times New Roman" w:hAnsi="Times New Roman"/>
          <w:sz w:val="28"/>
          <w:szCs w:val="28"/>
        </w:rPr>
        <w:t xml:space="preserve"> </w:t>
      </w:r>
      <w:r w:rsidR="00293E71" w:rsidRPr="00012CA3">
        <w:rPr>
          <w:rFonts w:ascii="Times New Roman" w:hAnsi="Times New Roman"/>
          <w:sz w:val="28"/>
          <w:szCs w:val="28"/>
        </w:rPr>
        <w:t>18,2%</w:t>
      </w:r>
      <w:r w:rsidRPr="00012CA3">
        <w:rPr>
          <w:rFonts w:ascii="Times New Roman" w:hAnsi="Times New Roman"/>
          <w:sz w:val="28"/>
          <w:szCs w:val="28"/>
        </w:rPr>
        <w:t xml:space="preserve">, </w:t>
      </w:r>
      <w:r w:rsidR="00C64428" w:rsidRPr="00012CA3">
        <w:rPr>
          <w:rFonts w:ascii="Times New Roman" w:hAnsi="Times New Roman"/>
          <w:sz w:val="28"/>
          <w:szCs w:val="28"/>
        </w:rPr>
        <w:t xml:space="preserve">iar la proiectele finanțate din surse </w:t>
      </w:r>
      <w:r w:rsidR="00C64428" w:rsidRPr="00012CA3">
        <w:rPr>
          <w:rFonts w:ascii="Times New Roman" w:hAnsi="Times New Roman"/>
          <w:sz w:val="28"/>
          <w:szCs w:val="28"/>
        </w:rPr>
        <w:lastRenderedPageBreak/>
        <w:t xml:space="preserve">externe cheltuielile executate sunt în descreștere cu 286,1 mil. lei sau cu </w:t>
      </w:r>
      <w:r w:rsidR="00D9068B" w:rsidRPr="00012CA3">
        <w:rPr>
          <w:rFonts w:ascii="Times New Roman" w:hAnsi="Times New Roman"/>
          <w:sz w:val="28"/>
          <w:szCs w:val="28"/>
        </w:rPr>
        <w:t>23,1</w:t>
      </w:r>
      <w:r w:rsidR="00C64428" w:rsidRPr="00012CA3">
        <w:rPr>
          <w:rFonts w:ascii="Times New Roman" w:hAnsi="Times New Roman"/>
          <w:sz w:val="28"/>
          <w:szCs w:val="28"/>
        </w:rPr>
        <w:t xml:space="preserve"> la sută.</w:t>
      </w:r>
      <w:r w:rsidR="004E6C20" w:rsidRPr="00012CA3">
        <w:rPr>
          <w:rFonts w:ascii="Times New Roman" w:hAnsi="Times New Roman"/>
          <w:sz w:val="28"/>
          <w:szCs w:val="28"/>
        </w:rPr>
        <w:t xml:space="preserve"> </w:t>
      </w:r>
      <w:r w:rsidR="00584D81" w:rsidRPr="00012CA3">
        <w:rPr>
          <w:rFonts w:ascii="Times New Roman" w:hAnsi="Times New Roman"/>
          <w:sz w:val="28"/>
          <w:szCs w:val="28"/>
        </w:rPr>
        <w:t xml:space="preserve">Executarea scăzută </w:t>
      </w:r>
      <w:r w:rsidR="00061307" w:rsidRPr="00012CA3">
        <w:rPr>
          <w:rFonts w:ascii="Times New Roman" w:hAnsi="Times New Roman"/>
          <w:sz w:val="28"/>
          <w:szCs w:val="28"/>
        </w:rPr>
        <w:t>a valorificării resurselor financiare aferente proiectelor finanțate din surse externe este determinată de capacitatea limitată a autorităților centrale de a absorbi eficient aceste resurse.</w:t>
      </w:r>
    </w:p>
    <w:p w:rsidR="00C82F48" w:rsidRPr="00012CA3" w:rsidRDefault="00C82F48">
      <w:pPr>
        <w:tabs>
          <w:tab w:val="left" w:pos="567"/>
          <w:tab w:val="left" w:pos="851"/>
        </w:tabs>
        <w:spacing w:before="60" w:line="276" w:lineRule="auto"/>
        <w:ind w:firstLine="567"/>
        <w:jc w:val="both"/>
      </w:pPr>
      <w:r w:rsidRPr="00012CA3">
        <w:rPr>
          <w:rFonts w:ascii="Times New Roman" w:hAnsi="Times New Roman"/>
          <w:sz w:val="28"/>
          <w:szCs w:val="28"/>
        </w:rPr>
        <w:t xml:space="preserve">Peste nivelul de 50% față de prevederile anuale au fost executate cheltuielile în domeniul </w:t>
      </w:r>
      <w:r w:rsidR="00974C37" w:rsidRPr="00974C37">
        <w:rPr>
          <w:rFonts w:ascii="Times New Roman" w:hAnsi="Times New Roman"/>
          <w:i/>
          <w:sz w:val="28"/>
          <w:szCs w:val="28"/>
        </w:rPr>
        <w:t xml:space="preserve">protecției sociale </w:t>
      </w:r>
      <w:r w:rsidR="00974C37" w:rsidRPr="00974C37">
        <w:rPr>
          <w:rFonts w:ascii="Times New Roman" w:hAnsi="Times New Roman"/>
          <w:sz w:val="28"/>
          <w:szCs w:val="28"/>
        </w:rPr>
        <w:t>(</w:t>
      </w:r>
      <w:r w:rsidR="00974C37">
        <w:rPr>
          <w:rFonts w:ascii="Times New Roman" w:hAnsi="Times New Roman"/>
          <w:sz w:val="28"/>
          <w:szCs w:val="28"/>
        </w:rPr>
        <w:t>62,8</w:t>
      </w:r>
      <w:r w:rsidR="00974C37" w:rsidRPr="00974C37">
        <w:rPr>
          <w:rFonts w:ascii="Times New Roman" w:hAnsi="Times New Roman"/>
          <w:sz w:val="28"/>
          <w:szCs w:val="28"/>
        </w:rPr>
        <w:t>%)</w:t>
      </w:r>
      <w:r w:rsidR="00085448">
        <w:rPr>
          <w:rFonts w:ascii="Times New Roman" w:hAnsi="Times New Roman"/>
          <w:sz w:val="28"/>
          <w:szCs w:val="28"/>
        </w:rPr>
        <w:t>, în învățământ (53</w:t>
      </w:r>
      <w:r w:rsidR="00EE6770">
        <w:rPr>
          <w:rFonts w:ascii="Times New Roman" w:hAnsi="Times New Roman"/>
          <w:sz w:val="28"/>
          <w:szCs w:val="28"/>
        </w:rPr>
        <w:t>,</w:t>
      </w:r>
      <w:r w:rsidR="00085448">
        <w:rPr>
          <w:rFonts w:ascii="Times New Roman" w:hAnsi="Times New Roman"/>
          <w:sz w:val="28"/>
          <w:szCs w:val="28"/>
        </w:rPr>
        <w:t>7</w:t>
      </w:r>
      <w:r w:rsidR="00EE6770">
        <w:rPr>
          <w:rFonts w:ascii="Times New Roman" w:hAnsi="Times New Roman"/>
          <w:sz w:val="28"/>
          <w:szCs w:val="28"/>
        </w:rPr>
        <w:t>%)</w:t>
      </w:r>
      <w:r w:rsidR="00EE6770" w:rsidRPr="00EE6770">
        <w:rPr>
          <w:rFonts w:ascii="Times New Roman" w:hAnsi="Times New Roman"/>
          <w:sz w:val="28"/>
          <w:szCs w:val="28"/>
        </w:rPr>
        <w:t xml:space="preserve"> </w:t>
      </w:r>
      <w:r w:rsidR="00974C37" w:rsidRPr="00974C37">
        <w:rPr>
          <w:rFonts w:ascii="Times New Roman" w:hAnsi="Times New Roman"/>
          <w:i/>
          <w:sz w:val="28"/>
          <w:szCs w:val="28"/>
        </w:rPr>
        <w:t xml:space="preserve"> </w:t>
      </w:r>
      <w:r w:rsidRPr="00012CA3">
        <w:rPr>
          <w:rFonts w:ascii="Times New Roman" w:hAnsi="Times New Roman"/>
          <w:sz w:val="28"/>
          <w:szCs w:val="28"/>
        </w:rPr>
        <w:t xml:space="preserve">și în </w:t>
      </w:r>
      <w:r w:rsidR="00EE6770" w:rsidRPr="00EE6770">
        <w:rPr>
          <w:rFonts w:ascii="Times New Roman" w:hAnsi="Times New Roman"/>
          <w:i/>
          <w:sz w:val="28"/>
          <w:szCs w:val="28"/>
        </w:rPr>
        <w:t>cultura, sport, tineret, culte și odihnă</w:t>
      </w:r>
      <w:r w:rsidRPr="00012CA3">
        <w:rPr>
          <w:rFonts w:ascii="Times New Roman" w:hAnsi="Times New Roman"/>
          <w:sz w:val="28"/>
          <w:szCs w:val="28"/>
        </w:rPr>
        <w:t xml:space="preserve"> (</w:t>
      </w:r>
      <w:r w:rsidR="00EE6770">
        <w:rPr>
          <w:rFonts w:ascii="Times New Roman" w:hAnsi="Times New Roman"/>
          <w:sz w:val="28"/>
          <w:szCs w:val="28"/>
        </w:rPr>
        <w:t>51,0</w:t>
      </w:r>
      <w:r w:rsidRPr="00012CA3">
        <w:rPr>
          <w:rFonts w:ascii="Times New Roman" w:hAnsi="Times New Roman"/>
          <w:sz w:val="28"/>
          <w:szCs w:val="28"/>
        </w:rPr>
        <w:t xml:space="preserve">%). La celelalte domenii, nivelul de executare a cheltuielilor a constituit de la </w:t>
      </w:r>
      <w:r w:rsidR="009B1F86">
        <w:rPr>
          <w:rFonts w:ascii="Times New Roman" w:hAnsi="Times New Roman"/>
          <w:sz w:val="28"/>
          <w:szCs w:val="28"/>
        </w:rPr>
        <w:t>24,</w:t>
      </w:r>
      <w:r w:rsidR="00EC6F19">
        <w:rPr>
          <w:rFonts w:ascii="Times New Roman" w:hAnsi="Times New Roman"/>
          <w:sz w:val="28"/>
          <w:szCs w:val="28"/>
        </w:rPr>
        <w:t>5</w:t>
      </w:r>
      <w:r w:rsidRPr="00012CA3">
        <w:rPr>
          <w:rFonts w:ascii="Times New Roman" w:hAnsi="Times New Roman"/>
          <w:sz w:val="28"/>
          <w:szCs w:val="28"/>
        </w:rPr>
        <w:t xml:space="preserve">% </w:t>
      </w:r>
      <w:r w:rsidRPr="00642733">
        <w:rPr>
          <w:rFonts w:ascii="Times New Roman" w:hAnsi="Times New Roman"/>
          <w:i/>
          <w:sz w:val="28"/>
          <w:szCs w:val="28"/>
        </w:rPr>
        <w:t>(</w:t>
      </w:r>
      <w:r w:rsidR="009B1F86" w:rsidRPr="00642733">
        <w:rPr>
          <w:rFonts w:ascii="Times New Roman" w:hAnsi="Times New Roman"/>
          <w:i/>
          <w:sz w:val="28"/>
          <w:szCs w:val="28"/>
        </w:rPr>
        <w:t>protecția mediului</w:t>
      </w:r>
      <w:r w:rsidRPr="00012CA3">
        <w:rPr>
          <w:rFonts w:ascii="Times New Roman" w:hAnsi="Times New Roman"/>
          <w:i/>
          <w:sz w:val="28"/>
          <w:szCs w:val="28"/>
        </w:rPr>
        <w:t xml:space="preserve">) </w:t>
      </w:r>
      <w:r w:rsidRPr="00012CA3">
        <w:rPr>
          <w:rFonts w:ascii="Times New Roman" w:hAnsi="Times New Roman"/>
          <w:sz w:val="28"/>
          <w:szCs w:val="28"/>
        </w:rPr>
        <w:t xml:space="preserve">până la </w:t>
      </w:r>
      <w:r w:rsidR="00642733">
        <w:rPr>
          <w:rFonts w:ascii="Times New Roman" w:hAnsi="Times New Roman"/>
          <w:sz w:val="28"/>
          <w:szCs w:val="28"/>
        </w:rPr>
        <w:t>47,0</w:t>
      </w:r>
      <w:r w:rsidRPr="00012CA3">
        <w:rPr>
          <w:rFonts w:ascii="Times New Roman" w:hAnsi="Times New Roman"/>
          <w:sz w:val="28"/>
          <w:szCs w:val="28"/>
        </w:rPr>
        <w:t>%</w:t>
      </w:r>
      <w:r w:rsidRPr="00012CA3">
        <w:t xml:space="preserve"> </w:t>
      </w:r>
      <w:r w:rsidRPr="00012CA3">
        <w:rPr>
          <w:rFonts w:ascii="Times New Roman" w:hAnsi="Times New Roman"/>
          <w:i/>
          <w:sz w:val="28"/>
          <w:szCs w:val="28"/>
        </w:rPr>
        <w:t>(</w:t>
      </w:r>
      <w:r w:rsidR="00F967CA">
        <w:rPr>
          <w:rFonts w:ascii="Times New Roman" w:hAnsi="Times New Roman"/>
          <w:i/>
          <w:sz w:val="28"/>
          <w:szCs w:val="28"/>
        </w:rPr>
        <w:t>o</w:t>
      </w:r>
      <w:r w:rsidR="00F967CA" w:rsidRPr="00F967CA">
        <w:rPr>
          <w:rFonts w:ascii="Times New Roman" w:hAnsi="Times New Roman"/>
          <w:i/>
          <w:sz w:val="28"/>
          <w:szCs w:val="28"/>
        </w:rPr>
        <w:t>rdine publică și securitate națională</w:t>
      </w:r>
      <w:r w:rsidRPr="00012CA3">
        <w:rPr>
          <w:rFonts w:ascii="Times New Roman" w:hAnsi="Times New Roman"/>
          <w:i/>
          <w:sz w:val="28"/>
          <w:szCs w:val="28"/>
        </w:rPr>
        <w:t>).</w:t>
      </w:r>
    </w:p>
    <w:p w:rsidR="00167788" w:rsidRPr="00012CA3" w:rsidRDefault="009D3623" w:rsidP="000B3A99">
      <w:pPr>
        <w:tabs>
          <w:tab w:val="left" w:pos="567"/>
          <w:tab w:val="left" w:pos="851"/>
        </w:tabs>
        <w:spacing w:before="60" w:line="276" w:lineRule="auto"/>
        <w:ind w:firstLine="567"/>
        <w:jc w:val="both"/>
        <w:rPr>
          <w:rFonts w:ascii="Times New Roman" w:hAnsi="Times New Roman"/>
          <w:i/>
          <w:sz w:val="28"/>
          <w:szCs w:val="28"/>
        </w:rPr>
      </w:pPr>
      <w:r w:rsidRPr="00012CA3">
        <w:rPr>
          <w:rFonts w:ascii="Times New Roman" w:hAnsi="Times New Roman"/>
          <w:sz w:val="28"/>
          <w:szCs w:val="28"/>
        </w:rPr>
        <w:t>În aspect funcțional, c</w:t>
      </w:r>
      <w:r w:rsidR="00FE693B" w:rsidRPr="00012CA3">
        <w:rPr>
          <w:rFonts w:ascii="Times New Roman" w:hAnsi="Times New Roman"/>
          <w:sz w:val="28"/>
          <w:szCs w:val="28"/>
        </w:rPr>
        <w:t>omparativ cu semestrul I 202</w:t>
      </w:r>
      <w:r w:rsidR="004E653C" w:rsidRPr="00012CA3">
        <w:rPr>
          <w:rFonts w:ascii="Times New Roman" w:hAnsi="Times New Roman"/>
          <w:sz w:val="28"/>
          <w:szCs w:val="28"/>
        </w:rPr>
        <w:t>4</w:t>
      </w:r>
      <w:r w:rsidR="00C82F48" w:rsidRPr="00012CA3">
        <w:rPr>
          <w:rFonts w:ascii="Times New Roman" w:hAnsi="Times New Roman"/>
          <w:sz w:val="28"/>
          <w:szCs w:val="28"/>
        </w:rPr>
        <w:t xml:space="preserve"> </w:t>
      </w:r>
      <w:r w:rsidR="00655E29" w:rsidRPr="00012CA3">
        <w:rPr>
          <w:rFonts w:ascii="Times New Roman" w:hAnsi="Times New Roman"/>
          <w:sz w:val="28"/>
          <w:szCs w:val="28"/>
        </w:rPr>
        <w:t>se atestă majorări de cheltuieli la toate domeniile,</w:t>
      </w:r>
      <w:r w:rsidR="00C82F48" w:rsidRPr="00012CA3">
        <w:rPr>
          <w:rFonts w:ascii="Times New Roman" w:hAnsi="Times New Roman"/>
          <w:i/>
          <w:sz w:val="28"/>
          <w:szCs w:val="28"/>
        </w:rPr>
        <w:t xml:space="preserve"> </w:t>
      </w:r>
      <w:r w:rsidR="00C82F48" w:rsidRPr="00012CA3">
        <w:rPr>
          <w:rFonts w:ascii="Times New Roman" w:hAnsi="Times New Roman"/>
          <w:sz w:val="28"/>
          <w:szCs w:val="28"/>
        </w:rPr>
        <w:t xml:space="preserve">cele mai semnificative fiind la </w:t>
      </w:r>
      <w:r w:rsidR="007D57E9" w:rsidRPr="00012CA3">
        <w:rPr>
          <w:rFonts w:ascii="Times New Roman" w:hAnsi="Times New Roman"/>
          <w:i/>
          <w:sz w:val="28"/>
          <w:szCs w:val="28"/>
        </w:rPr>
        <w:t>protecție socială</w:t>
      </w:r>
      <w:r w:rsidR="007E644B">
        <w:rPr>
          <w:rFonts w:ascii="Times New Roman" w:hAnsi="Times New Roman"/>
          <w:i/>
          <w:sz w:val="28"/>
          <w:szCs w:val="28"/>
        </w:rPr>
        <w:t xml:space="preserve">    </w:t>
      </w:r>
      <w:r w:rsidR="007D57E9" w:rsidRPr="00012CA3">
        <w:rPr>
          <w:rFonts w:ascii="Times New Roman" w:hAnsi="Times New Roman"/>
          <w:sz w:val="28"/>
          <w:szCs w:val="28"/>
        </w:rPr>
        <w:t xml:space="preserve"> </w:t>
      </w:r>
      <w:r w:rsidR="007D57E9" w:rsidRPr="00012CA3">
        <w:rPr>
          <w:rFonts w:ascii="Times New Roman" w:hAnsi="Times New Roman"/>
          <w:i/>
          <w:sz w:val="28"/>
          <w:szCs w:val="28"/>
        </w:rPr>
        <w:t>(+2 388,5</w:t>
      </w:r>
      <w:r w:rsidR="00EE3254" w:rsidRPr="00012CA3">
        <w:t xml:space="preserve"> </w:t>
      </w:r>
      <w:r w:rsidR="00EE3254" w:rsidRPr="00012CA3">
        <w:rPr>
          <w:rFonts w:ascii="Times New Roman" w:hAnsi="Times New Roman"/>
          <w:i/>
          <w:sz w:val="28"/>
          <w:szCs w:val="28"/>
        </w:rPr>
        <w:t>mil. lei</w:t>
      </w:r>
      <w:r w:rsidR="00EE3254" w:rsidRPr="00012CA3">
        <w:t xml:space="preserve"> </w:t>
      </w:r>
      <w:r w:rsidR="00EE3254" w:rsidRPr="00012CA3">
        <w:rPr>
          <w:rFonts w:ascii="Times New Roman" w:hAnsi="Times New Roman"/>
          <w:i/>
          <w:sz w:val="28"/>
          <w:szCs w:val="28"/>
        </w:rPr>
        <w:t>sau cu 19,4</w:t>
      </w:r>
      <w:r w:rsidR="00EE3254" w:rsidRPr="00012CA3">
        <w:rPr>
          <w:rFonts w:ascii="Times New Roman" w:hAnsi="Times New Roman"/>
          <w:sz w:val="28"/>
          <w:szCs w:val="28"/>
        </w:rPr>
        <w:t>%</w:t>
      </w:r>
      <w:r w:rsidR="007D57E9" w:rsidRPr="00012CA3">
        <w:rPr>
          <w:rFonts w:ascii="Times New Roman" w:hAnsi="Times New Roman"/>
          <w:sz w:val="28"/>
          <w:szCs w:val="28"/>
        </w:rPr>
        <w:t>)</w:t>
      </w:r>
      <w:r w:rsidR="00D6715F">
        <w:rPr>
          <w:rFonts w:ascii="Times New Roman" w:hAnsi="Times New Roman"/>
          <w:sz w:val="28"/>
          <w:szCs w:val="28"/>
        </w:rPr>
        <w:t>.</w:t>
      </w:r>
      <w:r w:rsidR="00D6715F" w:rsidRPr="00D6715F">
        <w:t xml:space="preserve"> </w:t>
      </w:r>
      <w:r w:rsidR="00D6715F" w:rsidRPr="00D6715F">
        <w:rPr>
          <w:rFonts w:ascii="Times New Roman" w:hAnsi="Times New Roman"/>
          <w:sz w:val="28"/>
          <w:szCs w:val="28"/>
        </w:rPr>
        <w:t xml:space="preserve">Această creștere </w:t>
      </w:r>
      <w:r w:rsidR="0072382F" w:rsidRPr="0072382F">
        <w:rPr>
          <w:rFonts w:ascii="Times New Roman" w:hAnsi="Times New Roman"/>
          <w:sz w:val="28"/>
          <w:szCs w:val="28"/>
        </w:rPr>
        <w:t>este determinată de majorarea cuantumului plăților monetare consumatorilor vulnerabili de energie, stabilirea compensațiilor în facturi la energia electrică, stabilirea unor plăți unice de susținere a unor categorii de populație.</w:t>
      </w:r>
      <w:r w:rsidR="00BF74B9" w:rsidRPr="00012CA3">
        <w:rPr>
          <w:rFonts w:ascii="Times New Roman" w:hAnsi="Times New Roman"/>
          <w:color w:val="FF0000"/>
          <w:sz w:val="28"/>
          <w:szCs w:val="28"/>
        </w:rPr>
        <w:t xml:space="preserve"> </w:t>
      </w:r>
      <w:r w:rsidR="00BF74B9" w:rsidRPr="00012CA3">
        <w:rPr>
          <w:rFonts w:ascii="Times New Roman" w:hAnsi="Times New Roman"/>
          <w:sz w:val="28"/>
          <w:szCs w:val="28"/>
        </w:rPr>
        <w:t xml:space="preserve">De asemenea, s-au majorat cheltuielile pentru </w:t>
      </w:r>
      <w:r w:rsidR="00EE3254" w:rsidRPr="00012CA3">
        <w:rPr>
          <w:rFonts w:ascii="Times New Roman" w:hAnsi="Times New Roman"/>
          <w:i/>
          <w:sz w:val="28"/>
          <w:szCs w:val="28"/>
        </w:rPr>
        <w:t>învățământ (+</w:t>
      </w:r>
      <w:r w:rsidR="00572248" w:rsidRPr="00012CA3">
        <w:rPr>
          <w:rFonts w:ascii="Times New Roman" w:hAnsi="Times New Roman"/>
          <w:i/>
          <w:sz w:val="28"/>
          <w:szCs w:val="28"/>
        </w:rPr>
        <w:t>1 368,1</w:t>
      </w:r>
      <w:r w:rsidR="00EE3254" w:rsidRPr="00012CA3">
        <w:rPr>
          <w:rFonts w:ascii="Times New Roman" w:hAnsi="Times New Roman"/>
          <w:i/>
          <w:sz w:val="28"/>
          <w:szCs w:val="28"/>
        </w:rPr>
        <w:t xml:space="preserve"> mil. lei sau cu </w:t>
      </w:r>
      <w:r w:rsidR="00572248" w:rsidRPr="00012CA3">
        <w:rPr>
          <w:rFonts w:ascii="Times New Roman" w:hAnsi="Times New Roman"/>
          <w:i/>
          <w:sz w:val="28"/>
          <w:szCs w:val="28"/>
        </w:rPr>
        <w:t>14,5</w:t>
      </w:r>
      <w:r w:rsidR="00EE3254" w:rsidRPr="00012CA3">
        <w:rPr>
          <w:rFonts w:ascii="Times New Roman" w:hAnsi="Times New Roman"/>
          <w:i/>
          <w:sz w:val="28"/>
          <w:szCs w:val="28"/>
        </w:rPr>
        <w:t>%)</w:t>
      </w:r>
      <w:r w:rsidR="00EE3254" w:rsidRPr="00012CA3">
        <w:rPr>
          <w:rFonts w:ascii="Times New Roman" w:hAnsi="Times New Roman"/>
          <w:sz w:val="28"/>
          <w:szCs w:val="28"/>
        </w:rPr>
        <w:t>,</w:t>
      </w:r>
      <w:r w:rsidR="00572248" w:rsidRPr="00012CA3">
        <w:rPr>
          <w:rFonts w:ascii="Times New Roman" w:hAnsi="Times New Roman"/>
          <w:sz w:val="28"/>
          <w:szCs w:val="28"/>
        </w:rPr>
        <w:t xml:space="preserve"> </w:t>
      </w:r>
      <w:r w:rsidR="00F4615C" w:rsidRPr="00012CA3">
        <w:rPr>
          <w:rFonts w:ascii="Times New Roman" w:hAnsi="Times New Roman"/>
          <w:i/>
          <w:sz w:val="28"/>
          <w:szCs w:val="28"/>
        </w:rPr>
        <w:t>servicii în domeniul economiei</w:t>
      </w:r>
      <w:r w:rsidR="002413F1" w:rsidRPr="00012CA3">
        <w:rPr>
          <w:rFonts w:ascii="Times New Roman" w:hAnsi="Times New Roman"/>
          <w:i/>
          <w:sz w:val="28"/>
          <w:szCs w:val="28"/>
        </w:rPr>
        <w:t xml:space="preserve"> (+</w:t>
      </w:r>
      <w:r w:rsidR="003D1390" w:rsidRPr="00012CA3">
        <w:rPr>
          <w:rFonts w:ascii="Times New Roman" w:hAnsi="Times New Roman"/>
          <w:i/>
          <w:sz w:val="28"/>
          <w:szCs w:val="28"/>
        </w:rPr>
        <w:t>1 038,2</w:t>
      </w:r>
      <w:r w:rsidR="002413F1" w:rsidRPr="00012CA3">
        <w:rPr>
          <w:rFonts w:ascii="Times New Roman" w:hAnsi="Times New Roman"/>
          <w:i/>
          <w:sz w:val="28"/>
          <w:szCs w:val="28"/>
        </w:rPr>
        <w:t xml:space="preserve"> mil. lei sau cu </w:t>
      </w:r>
      <w:r w:rsidR="003D1390" w:rsidRPr="00012CA3">
        <w:rPr>
          <w:rFonts w:ascii="Times New Roman" w:hAnsi="Times New Roman"/>
          <w:i/>
          <w:sz w:val="28"/>
          <w:szCs w:val="28"/>
        </w:rPr>
        <w:t>28,4</w:t>
      </w:r>
      <w:r w:rsidR="002413F1" w:rsidRPr="00012CA3">
        <w:rPr>
          <w:rFonts w:ascii="Times New Roman" w:hAnsi="Times New Roman"/>
          <w:i/>
          <w:sz w:val="28"/>
          <w:szCs w:val="28"/>
        </w:rPr>
        <w:t>%);</w:t>
      </w:r>
      <w:r w:rsidR="002413F1" w:rsidRPr="00012CA3">
        <w:rPr>
          <w:rFonts w:ascii="Times New Roman" w:hAnsi="Times New Roman"/>
          <w:sz w:val="28"/>
          <w:szCs w:val="28"/>
        </w:rPr>
        <w:t xml:space="preserve"> </w:t>
      </w:r>
      <w:r w:rsidR="0075371E" w:rsidRPr="00012CA3">
        <w:rPr>
          <w:rFonts w:ascii="Times New Roman" w:hAnsi="Times New Roman"/>
          <w:i/>
          <w:sz w:val="28"/>
          <w:szCs w:val="28"/>
        </w:rPr>
        <w:t xml:space="preserve">ocrotirea sănătății (+571,8 mil. lei sau cu 27,3%); </w:t>
      </w:r>
      <w:r w:rsidR="00664CD3" w:rsidRPr="00012CA3">
        <w:rPr>
          <w:rFonts w:ascii="Times New Roman" w:hAnsi="Times New Roman"/>
          <w:i/>
          <w:sz w:val="28"/>
          <w:szCs w:val="28"/>
        </w:rPr>
        <w:t>ordine publică și securitate națională (+</w:t>
      </w:r>
      <w:r w:rsidR="00D34E6E" w:rsidRPr="00012CA3">
        <w:rPr>
          <w:rFonts w:ascii="Times New Roman" w:hAnsi="Times New Roman"/>
          <w:i/>
          <w:sz w:val="28"/>
          <w:szCs w:val="28"/>
        </w:rPr>
        <w:t>531,</w:t>
      </w:r>
      <w:r w:rsidR="00E36027" w:rsidRPr="00012CA3">
        <w:rPr>
          <w:rFonts w:ascii="Times New Roman" w:hAnsi="Times New Roman"/>
          <w:i/>
          <w:sz w:val="28"/>
          <w:szCs w:val="28"/>
        </w:rPr>
        <w:t>7</w:t>
      </w:r>
      <w:r w:rsidR="00664CD3" w:rsidRPr="00012CA3">
        <w:rPr>
          <w:rFonts w:ascii="Times New Roman" w:hAnsi="Times New Roman"/>
          <w:i/>
          <w:sz w:val="28"/>
          <w:szCs w:val="28"/>
        </w:rPr>
        <w:t xml:space="preserve"> mil. lei sau cu </w:t>
      </w:r>
      <w:r w:rsidR="00D34E6E" w:rsidRPr="00012CA3">
        <w:rPr>
          <w:rFonts w:ascii="Times New Roman" w:hAnsi="Times New Roman"/>
          <w:i/>
          <w:sz w:val="28"/>
          <w:szCs w:val="28"/>
        </w:rPr>
        <w:t>16,6</w:t>
      </w:r>
      <w:r w:rsidR="00D85A25" w:rsidRPr="00012CA3">
        <w:rPr>
          <w:rFonts w:ascii="Times New Roman" w:hAnsi="Times New Roman"/>
          <w:i/>
          <w:sz w:val="28"/>
          <w:szCs w:val="28"/>
        </w:rPr>
        <w:t>%);</w:t>
      </w:r>
      <w:r w:rsidR="000B3A99" w:rsidRPr="00012CA3">
        <w:rPr>
          <w:rFonts w:ascii="Times New Roman" w:hAnsi="Times New Roman"/>
          <w:i/>
          <w:sz w:val="28"/>
          <w:szCs w:val="28"/>
        </w:rPr>
        <w:t xml:space="preserve"> </w:t>
      </w:r>
      <w:r w:rsidR="00D85A25" w:rsidRPr="00012CA3">
        <w:rPr>
          <w:rFonts w:ascii="Times New Roman" w:hAnsi="Times New Roman"/>
          <w:i/>
          <w:sz w:val="28"/>
          <w:szCs w:val="28"/>
        </w:rPr>
        <w:t>apărare națională(+317,4 mil. lei sau cu 74,3%);</w:t>
      </w:r>
      <w:r w:rsidR="00D85A25" w:rsidRPr="00012CA3">
        <w:t xml:space="preserve"> </w:t>
      </w:r>
      <w:r w:rsidR="00D85A25" w:rsidRPr="00012CA3">
        <w:rPr>
          <w:rFonts w:ascii="Times New Roman" w:hAnsi="Times New Roman"/>
          <w:i/>
          <w:sz w:val="28"/>
          <w:szCs w:val="28"/>
        </w:rPr>
        <w:t>gospodăria de locuințe și gospodăria serviciilor comunale (</w:t>
      </w:r>
      <w:r w:rsidR="00553B33" w:rsidRPr="00012CA3">
        <w:rPr>
          <w:rFonts w:ascii="Times New Roman" w:hAnsi="Times New Roman"/>
          <w:i/>
          <w:sz w:val="28"/>
          <w:szCs w:val="28"/>
        </w:rPr>
        <w:t>+174,8</w:t>
      </w:r>
      <w:r w:rsidR="00D85A25" w:rsidRPr="00012CA3">
        <w:rPr>
          <w:rFonts w:ascii="Times New Roman" w:hAnsi="Times New Roman"/>
          <w:i/>
          <w:sz w:val="28"/>
          <w:szCs w:val="28"/>
        </w:rPr>
        <w:t xml:space="preserve"> mil. lei sau cu </w:t>
      </w:r>
      <w:r w:rsidR="00553B33" w:rsidRPr="00012CA3">
        <w:rPr>
          <w:rFonts w:ascii="Times New Roman" w:hAnsi="Times New Roman"/>
          <w:i/>
          <w:sz w:val="28"/>
          <w:szCs w:val="28"/>
        </w:rPr>
        <w:t>75,1</w:t>
      </w:r>
      <w:r w:rsidR="00D85A25" w:rsidRPr="00012CA3">
        <w:rPr>
          <w:rFonts w:ascii="Times New Roman" w:hAnsi="Times New Roman"/>
          <w:i/>
          <w:sz w:val="28"/>
          <w:szCs w:val="28"/>
        </w:rPr>
        <w:t xml:space="preserve">%);  </w:t>
      </w:r>
      <w:r w:rsidR="00E36027" w:rsidRPr="00012CA3">
        <w:rPr>
          <w:rFonts w:ascii="Times New Roman" w:hAnsi="Times New Roman"/>
          <w:i/>
          <w:sz w:val="28"/>
          <w:szCs w:val="28"/>
        </w:rPr>
        <w:t>servicii de stat cu destinație generală (+203,8 mil. lei sau cu 3,8%);</w:t>
      </w:r>
      <w:r w:rsidR="000B3A99" w:rsidRPr="00012CA3">
        <w:rPr>
          <w:rFonts w:ascii="Times New Roman" w:hAnsi="Times New Roman"/>
          <w:i/>
          <w:sz w:val="28"/>
          <w:szCs w:val="28"/>
        </w:rPr>
        <w:t>cultura, sport, tineret, culte și odihnă (+</w:t>
      </w:r>
      <w:r w:rsidR="00BD542C" w:rsidRPr="00012CA3">
        <w:rPr>
          <w:rFonts w:ascii="Times New Roman" w:hAnsi="Times New Roman"/>
          <w:i/>
          <w:sz w:val="28"/>
          <w:szCs w:val="28"/>
        </w:rPr>
        <w:t>163,2</w:t>
      </w:r>
      <w:r w:rsidR="000B3A99" w:rsidRPr="00012CA3">
        <w:rPr>
          <w:rFonts w:ascii="Times New Roman" w:hAnsi="Times New Roman"/>
          <w:i/>
          <w:sz w:val="28"/>
          <w:szCs w:val="28"/>
        </w:rPr>
        <w:t xml:space="preserve"> mil. lei sau cu </w:t>
      </w:r>
      <w:r w:rsidR="00BD542C" w:rsidRPr="00012CA3">
        <w:rPr>
          <w:rFonts w:ascii="Times New Roman" w:hAnsi="Times New Roman"/>
          <w:i/>
          <w:sz w:val="28"/>
          <w:szCs w:val="28"/>
        </w:rPr>
        <w:t>23,5</w:t>
      </w:r>
      <w:r w:rsidR="008B2591" w:rsidRPr="00012CA3">
        <w:rPr>
          <w:rFonts w:ascii="Times New Roman" w:hAnsi="Times New Roman"/>
          <w:i/>
          <w:sz w:val="28"/>
          <w:szCs w:val="28"/>
        </w:rPr>
        <w:t>%).</w:t>
      </w:r>
    </w:p>
    <w:p w:rsidR="00C82F48" w:rsidRPr="00012CA3" w:rsidRDefault="00C82F48">
      <w:pPr>
        <w:pStyle w:val="12"/>
        <w:tabs>
          <w:tab w:val="left" w:pos="-142"/>
          <w:tab w:val="left" w:pos="567"/>
          <w:tab w:val="left" w:pos="709"/>
        </w:tabs>
        <w:spacing w:after="0" w:line="276" w:lineRule="auto"/>
        <w:ind w:left="0" w:firstLine="567"/>
        <w:jc w:val="both"/>
      </w:pPr>
      <w:r w:rsidRPr="00012CA3">
        <w:rPr>
          <w:rFonts w:ascii="Times New Roman" w:hAnsi="Times New Roman"/>
          <w:sz w:val="28"/>
          <w:szCs w:val="28"/>
        </w:rPr>
        <w:t>Evoluția cheltuielilor bugetului de stat în semestrul I al anilor 202</w:t>
      </w:r>
      <w:r w:rsidR="008A1CD9" w:rsidRPr="00012CA3">
        <w:rPr>
          <w:rFonts w:ascii="Times New Roman" w:hAnsi="Times New Roman"/>
          <w:sz w:val="28"/>
          <w:szCs w:val="28"/>
        </w:rPr>
        <w:t>4</w:t>
      </w:r>
      <w:r w:rsidRPr="00012CA3">
        <w:rPr>
          <w:rFonts w:ascii="Times New Roman" w:hAnsi="Times New Roman"/>
          <w:sz w:val="28"/>
          <w:szCs w:val="28"/>
        </w:rPr>
        <w:t>-202</w:t>
      </w:r>
      <w:r w:rsidR="008A1CD9" w:rsidRPr="00012CA3">
        <w:rPr>
          <w:rFonts w:ascii="Times New Roman" w:hAnsi="Times New Roman"/>
          <w:sz w:val="28"/>
          <w:szCs w:val="28"/>
        </w:rPr>
        <w:t>5</w:t>
      </w:r>
      <w:r w:rsidRPr="00012CA3">
        <w:rPr>
          <w:rFonts w:ascii="Times New Roman" w:hAnsi="Times New Roman"/>
          <w:sz w:val="28"/>
          <w:szCs w:val="28"/>
        </w:rPr>
        <w:t xml:space="preserve"> pe grupe funcționale se prezintă în diagrama care urmează:</w:t>
      </w:r>
    </w:p>
    <w:p w:rsidR="00F065B3" w:rsidRPr="00F065B3" w:rsidRDefault="00F065B3">
      <w:pPr>
        <w:pStyle w:val="Heading2"/>
        <w:spacing w:before="0"/>
        <w:jc w:val="center"/>
      </w:pPr>
    </w:p>
    <w:p w:rsidR="00C82F48" w:rsidRPr="00012CA3" w:rsidRDefault="00C82F48">
      <w:pPr>
        <w:pStyle w:val="Heading2"/>
        <w:spacing w:before="0"/>
        <w:jc w:val="center"/>
      </w:pPr>
      <w:r w:rsidRPr="00012CA3">
        <w:rPr>
          <w:rFonts w:ascii="Times New Roman" w:hAnsi="Times New Roman"/>
          <w:i/>
          <w:color w:val="323E4F"/>
          <w:sz w:val="28"/>
          <w:szCs w:val="24"/>
        </w:rPr>
        <w:t xml:space="preserve">Diagrama 5. Evoluția cheltuielilor bugetului de stat, </w:t>
      </w:r>
    </w:p>
    <w:p w:rsidR="00C82F48" w:rsidRPr="00012CA3" w:rsidRDefault="000B210B">
      <w:pPr>
        <w:pStyle w:val="Heading2"/>
        <w:spacing w:before="0"/>
        <w:jc w:val="center"/>
      </w:pPr>
      <w:r w:rsidRPr="00012CA3">
        <w:rPr>
          <w:rFonts w:ascii="Times New Roman" w:hAnsi="Times New Roman"/>
          <w:i/>
          <w:color w:val="323E4F"/>
          <w:sz w:val="28"/>
          <w:szCs w:val="24"/>
        </w:rPr>
        <w:t>semestrul I</w:t>
      </w:r>
      <w:r w:rsidR="00C82F48" w:rsidRPr="00012CA3">
        <w:rPr>
          <w:rFonts w:ascii="Times New Roman" w:hAnsi="Times New Roman"/>
          <w:i/>
          <w:color w:val="323E4F"/>
          <w:sz w:val="28"/>
          <w:szCs w:val="24"/>
        </w:rPr>
        <w:t xml:space="preserve"> 202</w:t>
      </w:r>
      <w:r w:rsidR="00C44044" w:rsidRPr="00012CA3">
        <w:rPr>
          <w:rFonts w:ascii="Times New Roman" w:hAnsi="Times New Roman"/>
          <w:i/>
          <w:color w:val="323E4F"/>
          <w:sz w:val="28"/>
          <w:szCs w:val="24"/>
        </w:rPr>
        <w:t>4</w:t>
      </w:r>
      <w:r w:rsidR="00C82F48" w:rsidRPr="00012CA3">
        <w:rPr>
          <w:rFonts w:ascii="Times New Roman" w:hAnsi="Times New Roman"/>
          <w:i/>
          <w:color w:val="323E4F"/>
          <w:sz w:val="28"/>
          <w:szCs w:val="24"/>
        </w:rPr>
        <w:t xml:space="preserve"> </w:t>
      </w:r>
      <w:r w:rsidRPr="00012CA3">
        <w:rPr>
          <w:rFonts w:ascii="Times New Roman" w:hAnsi="Times New Roman"/>
          <w:i/>
          <w:color w:val="323E4F"/>
          <w:sz w:val="28"/>
          <w:szCs w:val="24"/>
        </w:rPr>
        <w:t>–</w:t>
      </w:r>
      <w:r w:rsidR="00C82F48" w:rsidRPr="00012CA3">
        <w:rPr>
          <w:rFonts w:ascii="Times New Roman" w:hAnsi="Times New Roman"/>
          <w:i/>
          <w:color w:val="323E4F"/>
          <w:sz w:val="28"/>
          <w:szCs w:val="24"/>
        </w:rPr>
        <w:t xml:space="preserve"> </w:t>
      </w:r>
      <w:r w:rsidRPr="00012CA3">
        <w:rPr>
          <w:rFonts w:ascii="Times New Roman" w:hAnsi="Times New Roman"/>
          <w:i/>
          <w:color w:val="323E4F"/>
          <w:sz w:val="28"/>
          <w:szCs w:val="24"/>
        </w:rPr>
        <w:t xml:space="preserve">semestrul I </w:t>
      </w:r>
      <w:r w:rsidR="00C82F48" w:rsidRPr="00012CA3">
        <w:rPr>
          <w:rFonts w:ascii="Times New Roman" w:hAnsi="Times New Roman"/>
          <w:i/>
          <w:color w:val="323E4F"/>
          <w:sz w:val="28"/>
          <w:szCs w:val="24"/>
        </w:rPr>
        <w:t>202</w:t>
      </w:r>
      <w:r w:rsidR="00C44044" w:rsidRPr="00012CA3">
        <w:rPr>
          <w:rFonts w:ascii="Times New Roman" w:hAnsi="Times New Roman"/>
          <w:i/>
          <w:color w:val="323E4F"/>
          <w:sz w:val="28"/>
          <w:szCs w:val="24"/>
        </w:rPr>
        <w:t>5</w:t>
      </w:r>
      <w:r w:rsidR="00C82F48" w:rsidRPr="00012CA3">
        <w:rPr>
          <w:rFonts w:ascii="Times New Roman" w:hAnsi="Times New Roman"/>
          <w:i/>
          <w:color w:val="323E4F"/>
          <w:sz w:val="28"/>
          <w:szCs w:val="24"/>
        </w:rPr>
        <w:t>(pe grupe funcționale</w:t>
      </w:r>
      <w:r w:rsidR="00FA5C43" w:rsidRPr="00012CA3">
        <w:rPr>
          <w:rFonts w:ascii="Times New Roman" w:hAnsi="Times New Roman"/>
          <w:i/>
          <w:color w:val="323E4F"/>
          <w:sz w:val="28"/>
          <w:szCs w:val="24"/>
        </w:rPr>
        <w:t>, mil. lei</w:t>
      </w:r>
      <w:r w:rsidR="00C82F48" w:rsidRPr="00012CA3">
        <w:rPr>
          <w:rFonts w:ascii="Times New Roman" w:hAnsi="Times New Roman"/>
          <w:i/>
          <w:color w:val="323E4F"/>
          <w:sz w:val="28"/>
          <w:szCs w:val="24"/>
        </w:rPr>
        <w:t>)</w:t>
      </w:r>
    </w:p>
    <w:p w:rsidR="00FA5C43" w:rsidRPr="00012CA3" w:rsidRDefault="00792FFF" w:rsidP="001E0FE3">
      <w:pPr>
        <w:spacing w:before="60" w:line="264" w:lineRule="auto"/>
        <w:ind w:hanging="284"/>
        <w:jc w:val="center"/>
        <w:rPr>
          <w:rFonts w:ascii="Times New Roman" w:hAnsi="Times New Roman"/>
          <w:sz w:val="28"/>
          <w:szCs w:val="28"/>
        </w:rPr>
      </w:pPr>
      <w:r>
        <w:rPr>
          <w:rFonts w:ascii="Times New Roman" w:hAnsi="Times New Roman"/>
          <w:noProof/>
          <w:sz w:val="28"/>
          <w:szCs w:val="28"/>
          <w:lang w:val="en-US" w:eastAsia="en-US"/>
        </w:rPr>
        <w:drawing>
          <wp:inline distT="0" distB="0" distL="0" distR="0">
            <wp:extent cx="6723380" cy="321564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23380" cy="3215640"/>
                    </a:xfrm>
                    <a:prstGeom prst="rect">
                      <a:avLst/>
                    </a:prstGeom>
                    <a:noFill/>
                  </pic:spPr>
                </pic:pic>
              </a:graphicData>
            </a:graphic>
          </wp:inline>
        </w:drawing>
      </w:r>
    </w:p>
    <w:p w:rsidR="00390797" w:rsidRDefault="00C82F48" w:rsidP="00DF19D2">
      <w:pPr>
        <w:tabs>
          <w:tab w:val="left" w:pos="567"/>
          <w:tab w:val="left" w:pos="851"/>
        </w:tabs>
        <w:spacing w:before="60" w:after="0" w:line="276" w:lineRule="auto"/>
        <w:ind w:firstLine="567"/>
        <w:jc w:val="both"/>
        <w:rPr>
          <w:rFonts w:ascii="Times New Roman" w:hAnsi="Times New Roman"/>
          <w:sz w:val="28"/>
          <w:szCs w:val="28"/>
        </w:rPr>
      </w:pPr>
      <w:r w:rsidRPr="00012CA3">
        <w:rPr>
          <w:rFonts w:ascii="Times New Roman" w:hAnsi="Times New Roman"/>
          <w:sz w:val="28"/>
          <w:szCs w:val="28"/>
        </w:rPr>
        <w:t>În aspect economic, comparativ cu semestrul I 202</w:t>
      </w:r>
      <w:r w:rsidR="00424ABD" w:rsidRPr="00012CA3">
        <w:rPr>
          <w:rFonts w:ascii="Times New Roman" w:hAnsi="Times New Roman"/>
          <w:sz w:val="28"/>
          <w:szCs w:val="28"/>
        </w:rPr>
        <w:t>4</w:t>
      </w:r>
      <w:r w:rsidRPr="00012CA3">
        <w:rPr>
          <w:rFonts w:ascii="Times New Roman" w:hAnsi="Times New Roman"/>
          <w:sz w:val="28"/>
          <w:szCs w:val="28"/>
        </w:rPr>
        <w:t>, cele mai considerabile majorări au fost înregistrate la</w:t>
      </w:r>
      <w:r w:rsidR="000B210B" w:rsidRPr="00012CA3">
        <w:rPr>
          <w:rFonts w:ascii="Times New Roman" w:hAnsi="Times New Roman"/>
          <w:sz w:val="28"/>
          <w:szCs w:val="28"/>
        </w:rPr>
        <w:t>:</w:t>
      </w:r>
    </w:p>
    <w:p w:rsidR="00304FAF" w:rsidRDefault="00C2334B" w:rsidP="00304FAF">
      <w:pPr>
        <w:numPr>
          <w:ilvl w:val="0"/>
          <w:numId w:val="17"/>
        </w:numPr>
        <w:tabs>
          <w:tab w:val="left" w:pos="567"/>
          <w:tab w:val="left" w:pos="851"/>
        </w:tabs>
        <w:spacing w:before="60" w:after="0" w:line="276" w:lineRule="auto"/>
        <w:ind w:left="0" w:firstLine="990"/>
        <w:jc w:val="both"/>
        <w:rPr>
          <w:rFonts w:ascii="Times New Roman" w:hAnsi="Times New Roman"/>
          <w:sz w:val="28"/>
          <w:szCs w:val="28"/>
        </w:rPr>
      </w:pPr>
      <w:r w:rsidRPr="00012CA3">
        <w:rPr>
          <w:rFonts w:ascii="Times New Roman" w:hAnsi="Times New Roman"/>
          <w:sz w:val="28"/>
          <w:szCs w:val="28"/>
        </w:rPr>
        <w:t>transferuri către alte bugete (+4 304,3 mil. lei, inclusiv</w:t>
      </w:r>
      <w:r w:rsidR="00390797">
        <w:rPr>
          <w:rFonts w:ascii="Times New Roman" w:hAnsi="Times New Roman"/>
          <w:sz w:val="28"/>
          <w:szCs w:val="28"/>
        </w:rPr>
        <w:t>:</w:t>
      </w:r>
    </w:p>
    <w:p w:rsidR="00304FAF" w:rsidRDefault="00304FAF" w:rsidP="00304FAF">
      <w:pPr>
        <w:tabs>
          <w:tab w:val="left" w:pos="567"/>
          <w:tab w:val="left" w:pos="851"/>
        </w:tabs>
        <w:spacing w:before="60" w:after="0" w:line="276" w:lineRule="auto"/>
        <w:ind w:firstLine="993"/>
        <w:jc w:val="both"/>
        <w:rPr>
          <w:rFonts w:ascii="Times New Roman" w:hAnsi="Times New Roman"/>
          <w:sz w:val="28"/>
          <w:szCs w:val="28"/>
        </w:rPr>
      </w:pPr>
      <w:r>
        <w:rPr>
          <w:rFonts w:ascii="Times New Roman" w:hAnsi="Times New Roman"/>
          <w:sz w:val="28"/>
          <w:szCs w:val="28"/>
        </w:rPr>
        <w:t xml:space="preserve">- </w:t>
      </w:r>
      <w:r w:rsidR="00C2334B" w:rsidRPr="00012CA3">
        <w:rPr>
          <w:rFonts w:ascii="Times New Roman" w:hAnsi="Times New Roman"/>
          <w:sz w:val="28"/>
          <w:szCs w:val="28"/>
        </w:rPr>
        <w:t>transferurile de la bugetul de stat</w:t>
      </w:r>
      <w:r w:rsidR="00C2334B" w:rsidRPr="00012CA3">
        <w:t xml:space="preserve"> </w:t>
      </w:r>
      <w:r w:rsidR="00C2334B" w:rsidRPr="00012CA3">
        <w:rPr>
          <w:rFonts w:ascii="Times New Roman" w:hAnsi="Times New Roman"/>
          <w:sz w:val="28"/>
          <w:szCs w:val="28"/>
        </w:rPr>
        <w:t>către</w:t>
      </w:r>
      <w:r w:rsidR="00C2334B" w:rsidRPr="00012CA3">
        <w:t xml:space="preserve"> </w:t>
      </w:r>
      <w:r w:rsidR="00C2334B" w:rsidRPr="00012CA3">
        <w:rPr>
          <w:rFonts w:ascii="Times New Roman" w:hAnsi="Times New Roman"/>
          <w:sz w:val="28"/>
          <w:szCs w:val="28"/>
        </w:rPr>
        <w:t xml:space="preserve">bugetul asigurărilor sociale de stat s-au majorat cu </w:t>
      </w:r>
      <w:r w:rsidR="00CB4531" w:rsidRPr="00012CA3">
        <w:rPr>
          <w:rFonts w:ascii="Times New Roman" w:hAnsi="Times New Roman"/>
          <w:sz w:val="28"/>
          <w:szCs w:val="28"/>
        </w:rPr>
        <w:t>2 256,8</w:t>
      </w:r>
      <w:r w:rsidR="00C2334B" w:rsidRPr="00012CA3">
        <w:rPr>
          <w:rFonts w:ascii="Times New Roman" w:hAnsi="Times New Roman"/>
          <w:sz w:val="28"/>
          <w:szCs w:val="28"/>
        </w:rPr>
        <w:t xml:space="preserve"> mil. lei</w:t>
      </w:r>
      <w:r w:rsidR="00EE7535" w:rsidRPr="00012CA3">
        <w:rPr>
          <w:rFonts w:ascii="Times New Roman" w:hAnsi="Times New Roman"/>
          <w:sz w:val="28"/>
          <w:szCs w:val="28"/>
        </w:rPr>
        <w:t xml:space="preserve"> urma</w:t>
      </w:r>
      <w:r w:rsidR="00390797">
        <w:rPr>
          <w:rFonts w:ascii="Times New Roman" w:hAnsi="Times New Roman"/>
          <w:sz w:val="28"/>
          <w:szCs w:val="28"/>
        </w:rPr>
        <w:t xml:space="preserve">re a majorării </w:t>
      </w:r>
      <w:r w:rsidR="00EE7535" w:rsidRPr="00012CA3">
        <w:rPr>
          <w:rFonts w:ascii="Times New Roman" w:hAnsi="Times New Roman"/>
          <w:sz w:val="28"/>
          <w:szCs w:val="28"/>
        </w:rPr>
        <w:t>compensațiilor la energie sub formă de plată monetară</w:t>
      </w:r>
      <w:r w:rsidR="00757BBA">
        <w:rPr>
          <w:rFonts w:ascii="Times New Roman" w:hAnsi="Times New Roman"/>
          <w:sz w:val="28"/>
          <w:szCs w:val="28"/>
        </w:rPr>
        <w:t xml:space="preserve">, </w:t>
      </w:r>
      <w:r w:rsidR="00757BBA" w:rsidRPr="00757BBA">
        <w:rPr>
          <w:rFonts w:ascii="Times New Roman" w:hAnsi="Times New Roman"/>
          <w:sz w:val="28"/>
          <w:szCs w:val="28"/>
        </w:rPr>
        <w:t>precum și prin acordarea compensațiilor în facturile de energie electrică, susținerea financiară suplimentară a unor categorii de populație.</w:t>
      </w:r>
    </w:p>
    <w:p w:rsidR="00945A1D" w:rsidRDefault="00304FAF" w:rsidP="00304FAF">
      <w:pPr>
        <w:tabs>
          <w:tab w:val="left" w:pos="567"/>
          <w:tab w:val="left" w:pos="851"/>
        </w:tabs>
        <w:spacing w:before="60" w:after="0" w:line="276" w:lineRule="auto"/>
        <w:ind w:firstLine="993"/>
        <w:jc w:val="both"/>
        <w:rPr>
          <w:rFonts w:ascii="Times New Roman" w:hAnsi="Times New Roman"/>
          <w:sz w:val="28"/>
          <w:szCs w:val="28"/>
        </w:rPr>
      </w:pPr>
      <w:r>
        <w:rPr>
          <w:rFonts w:ascii="Times New Roman" w:hAnsi="Times New Roman"/>
          <w:sz w:val="28"/>
          <w:szCs w:val="28"/>
        </w:rPr>
        <w:t xml:space="preserve">- </w:t>
      </w:r>
      <w:r w:rsidR="00DC5818">
        <w:rPr>
          <w:rFonts w:ascii="Times New Roman" w:hAnsi="Times New Roman"/>
          <w:sz w:val="28"/>
          <w:szCs w:val="28"/>
        </w:rPr>
        <w:t>t</w:t>
      </w:r>
      <w:r w:rsidR="00C2334B" w:rsidRPr="00012CA3">
        <w:rPr>
          <w:rFonts w:ascii="Times New Roman" w:hAnsi="Times New Roman"/>
          <w:sz w:val="28"/>
          <w:szCs w:val="28"/>
        </w:rPr>
        <w:t>ransferurile</w:t>
      </w:r>
      <w:r w:rsidR="00C2334B" w:rsidRPr="00012CA3">
        <w:t xml:space="preserve"> </w:t>
      </w:r>
      <w:r w:rsidR="00C2334B" w:rsidRPr="00012CA3">
        <w:rPr>
          <w:rFonts w:ascii="Times New Roman" w:hAnsi="Times New Roman"/>
          <w:sz w:val="28"/>
          <w:szCs w:val="28"/>
        </w:rPr>
        <w:t xml:space="preserve">către bugetele locale </w:t>
      </w:r>
      <w:r w:rsidR="006E5629" w:rsidRPr="00012CA3">
        <w:rPr>
          <w:rFonts w:ascii="Times New Roman" w:hAnsi="Times New Roman"/>
          <w:sz w:val="28"/>
          <w:szCs w:val="28"/>
        </w:rPr>
        <w:t>au crescut cu</w:t>
      </w:r>
      <w:r w:rsidR="00FA355B" w:rsidRPr="00012CA3">
        <w:rPr>
          <w:rFonts w:ascii="Times New Roman" w:hAnsi="Times New Roman"/>
          <w:sz w:val="28"/>
          <w:szCs w:val="28"/>
        </w:rPr>
        <w:t xml:space="preserve"> 1 458,6 mil. lei</w:t>
      </w:r>
      <w:r w:rsidR="00A02E30" w:rsidRPr="00012CA3">
        <w:rPr>
          <w:rFonts w:ascii="Times New Roman" w:hAnsi="Times New Roman"/>
          <w:sz w:val="28"/>
          <w:szCs w:val="28"/>
        </w:rPr>
        <w:t xml:space="preserve">, </w:t>
      </w:r>
      <w:r w:rsidR="00945A1D" w:rsidRPr="00945A1D">
        <w:rPr>
          <w:rFonts w:ascii="Times New Roman" w:hAnsi="Times New Roman"/>
          <w:sz w:val="28"/>
          <w:szCs w:val="28"/>
        </w:rPr>
        <w:t>majorări de alocații sunt prevăzute pentru transferurile cu destinație specială pentru învățământul general și asistența socială.</w:t>
      </w:r>
    </w:p>
    <w:p w:rsidR="00304FAF" w:rsidRDefault="00304FAF" w:rsidP="00304FAF">
      <w:pPr>
        <w:tabs>
          <w:tab w:val="left" w:pos="567"/>
          <w:tab w:val="left" w:pos="851"/>
        </w:tabs>
        <w:spacing w:before="60" w:after="0" w:line="276" w:lineRule="auto"/>
        <w:ind w:firstLine="993"/>
        <w:jc w:val="both"/>
        <w:rPr>
          <w:rFonts w:ascii="Times New Roman" w:hAnsi="Times New Roman"/>
          <w:sz w:val="28"/>
          <w:szCs w:val="28"/>
        </w:rPr>
      </w:pPr>
      <w:r>
        <w:rPr>
          <w:rFonts w:ascii="Times New Roman" w:hAnsi="Times New Roman"/>
          <w:sz w:val="28"/>
          <w:szCs w:val="28"/>
        </w:rPr>
        <w:t xml:space="preserve">- </w:t>
      </w:r>
      <w:r w:rsidR="00DC5818">
        <w:rPr>
          <w:rFonts w:ascii="Times New Roman" w:hAnsi="Times New Roman"/>
          <w:sz w:val="28"/>
          <w:szCs w:val="28"/>
        </w:rPr>
        <w:t>t</w:t>
      </w:r>
      <w:r w:rsidR="00CB4531" w:rsidRPr="00012CA3">
        <w:rPr>
          <w:rFonts w:ascii="Times New Roman" w:hAnsi="Times New Roman"/>
          <w:sz w:val="28"/>
          <w:szCs w:val="28"/>
        </w:rPr>
        <w:t xml:space="preserve">ransferurile către fondurile asigurării obligatorii  de asistență medicală </w:t>
      </w:r>
      <w:r w:rsidR="002B0808">
        <w:rPr>
          <w:rFonts w:ascii="Times New Roman" w:hAnsi="Times New Roman"/>
          <w:sz w:val="28"/>
          <w:szCs w:val="28"/>
        </w:rPr>
        <w:t xml:space="preserve">s-au majorat </w:t>
      </w:r>
      <w:r w:rsidR="00CC436E" w:rsidRPr="00012CA3">
        <w:rPr>
          <w:rFonts w:ascii="Times New Roman" w:hAnsi="Times New Roman"/>
          <w:sz w:val="28"/>
          <w:szCs w:val="28"/>
        </w:rPr>
        <w:t>cu</w:t>
      </w:r>
      <w:r w:rsidR="00C2334B" w:rsidRPr="00012CA3">
        <w:rPr>
          <w:rFonts w:ascii="Times New Roman" w:hAnsi="Times New Roman"/>
          <w:sz w:val="28"/>
          <w:szCs w:val="28"/>
        </w:rPr>
        <w:t xml:space="preserve"> </w:t>
      </w:r>
      <w:r w:rsidR="00AC6FC4" w:rsidRPr="00012CA3">
        <w:rPr>
          <w:rFonts w:ascii="Times New Roman" w:hAnsi="Times New Roman"/>
          <w:sz w:val="28"/>
          <w:szCs w:val="28"/>
        </w:rPr>
        <w:t>588,9</w:t>
      </w:r>
      <w:r w:rsidR="00C2334B" w:rsidRPr="00012CA3">
        <w:rPr>
          <w:rFonts w:ascii="Times New Roman" w:hAnsi="Times New Roman"/>
          <w:sz w:val="28"/>
          <w:szCs w:val="28"/>
        </w:rPr>
        <w:t xml:space="preserve"> mil. lei</w:t>
      </w:r>
      <w:r w:rsidR="00F35DE5" w:rsidRPr="00012CA3">
        <w:rPr>
          <w:rFonts w:ascii="Times New Roman" w:hAnsi="Times New Roman"/>
          <w:sz w:val="28"/>
          <w:szCs w:val="28"/>
        </w:rPr>
        <w:t>;</w:t>
      </w:r>
    </w:p>
    <w:p w:rsidR="00304FAF" w:rsidRDefault="00F35DE5" w:rsidP="00304FAF">
      <w:pPr>
        <w:numPr>
          <w:ilvl w:val="0"/>
          <w:numId w:val="17"/>
        </w:numPr>
        <w:tabs>
          <w:tab w:val="left" w:pos="567"/>
          <w:tab w:val="left" w:pos="851"/>
        </w:tabs>
        <w:spacing w:before="60" w:after="0" w:line="276" w:lineRule="auto"/>
        <w:ind w:left="0" w:firstLine="990"/>
        <w:jc w:val="both"/>
        <w:rPr>
          <w:rFonts w:ascii="Times New Roman" w:hAnsi="Times New Roman"/>
          <w:sz w:val="28"/>
          <w:szCs w:val="28"/>
        </w:rPr>
      </w:pPr>
      <w:r w:rsidRPr="00012CA3">
        <w:rPr>
          <w:rFonts w:ascii="Times New Roman" w:hAnsi="Times New Roman"/>
          <w:sz w:val="28"/>
          <w:szCs w:val="28"/>
        </w:rPr>
        <w:t>granturi acordate (+1 080,6</w:t>
      </w:r>
      <w:r w:rsidR="0042200A" w:rsidRPr="00012CA3">
        <w:rPr>
          <w:rFonts w:ascii="Times New Roman" w:hAnsi="Times New Roman"/>
          <w:sz w:val="28"/>
          <w:szCs w:val="28"/>
        </w:rPr>
        <w:t xml:space="preserve"> mil. lei); </w:t>
      </w:r>
    </w:p>
    <w:p w:rsidR="00304FAF" w:rsidRDefault="0042200A" w:rsidP="00304FAF">
      <w:pPr>
        <w:numPr>
          <w:ilvl w:val="0"/>
          <w:numId w:val="17"/>
        </w:numPr>
        <w:tabs>
          <w:tab w:val="left" w:pos="567"/>
          <w:tab w:val="left" w:pos="851"/>
        </w:tabs>
        <w:spacing w:before="60" w:after="0" w:line="276" w:lineRule="auto"/>
        <w:ind w:left="0" w:firstLine="990"/>
        <w:jc w:val="both"/>
        <w:rPr>
          <w:rFonts w:ascii="Times New Roman" w:hAnsi="Times New Roman"/>
          <w:sz w:val="28"/>
          <w:szCs w:val="28"/>
        </w:rPr>
      </w:pPr>
      <w:r w:rsidRPr="00012CA3">
        <w:rPr>
          <w:rFonts w:ascii="Times New Roman" w:hAnsi="Times New Roman"/>
          <w:sz w:val="28"/>
          <w:szCs w:val="28"/>
        </w:rPr>
        <w:t xml:space="preserve">cheltuieli de personal (+979,4 mil. lei); </w:t>
      </w:r>
    </w:p>
    <w:p w:rsidR="00304FAF" w:rsidRDefault="00D84060" w:rsidP="00304FAF">
      <w:pPr>
        <w:numPr>
          <w:ilvl w:val="0"/>
          <w:numId w:val="17"/>
        </w:numPr>
        <w:tabs>
          <w:tab w:val="left" w:pos="567"/>
          <w:tab w:val="left" w:pos="851"/>
        </w:tabs>
        <w:spacing w:before="60" w:after="0" w:line="276" w:lineRule="auto"/>
        <w:ind w:left="0" w:firstLine="990"/>
        <w:jc w:val="both"/>
        <w:rPr>
          <w:rFonts w:ascii="Times New Roman" w:hAnsi="Times New Roman"/>
          <w:sz w:val="28"/>
          <w:szCs w:val="28"/>
        </w:rPr>
      </w:pPr>
      <w:r w:rsidRPr="00012CA3">
        <w:rPr>
          <w:rFonts w:ascii="Times New Roman" w:hAnsi="Times New Roman"/>
          <w:sz w:val="28"/>
          <w:szCs w:val="28"/>
        </w:rPr>
        <w:t>subvenții (+</w:t>
      </w:r>
      <w:r w:rsidR="0042200A" w:rsidRPr="00012CA3">
        <w:rPr>
          <w:rFonts w:ascii="Times New Roman" w:hAnsi="Times New Roman"/>
          <w:sz w:val="28"/>
          <w:szCs w:val="28"/>
        </w:rPr>
        <w:t>483,9</w:t>
      </w:r>
      <w:r w:rsidRPr="00012CA3">
        <w:rPr>
          <w:rFonts w:ascii="Times New Roman" w:hAnsi="Times New Roman"/>
          <w:sz w:val="28"/>
          <w:szCs w:val="28"/>
        </w:rPr>
        <w:t xml:space="preserve"> mil. lei</w:t>
      </w:r>
      <w:r w:rsidR="0034618D" w:rsidRPr="00012CA3">
        <w:rPr>
          <w:rFonts w:ascii="Times New Roman" w:hAnsi="Times New Roman"/>
          <w:sz w:val="28"/>
          <w:szCs w:val="28"/>
        </w:rPr>
        <w:t xml:space="preserve">); </w:t>
      </w:r>
    </w:p>
    <w:p w:rsidR="00304FAF" w:rsidRDefault="0034618D" w:rsidP="00304FAF">
      <w:pPr>
        <w:numPr>
          <w:ilvl w:val="0"/>
          <w:numId w:val="17"/>
        </w:numPr>
        <w:tabs>
          <w:tab w:val="left" w:pos="567"/>
          <w:tab w:val="left" w:pos="851"/>
        </w:tabs>
        <w:spacing w:before="60" w:after="0" w:line="276" w:lineRule="auto"/>
        <w:ind w:left="0" w:firstLine="990"/>
        <w:jc w:val="both"/>
        <w:rPr>
          <w:rFonts w:ascii="Times New Roman" w:hAnsi="Times New Roman"/>
          <w:sz w:val="28"/>
          <w:szCs w:val="28"/>
        </w:rPr>
      </w:pPr>
      <w:r w:rsidRPr="00012CA3">
        <w:rPr>
          <w:rFonts w:ascii="Times New Roman" w:hAnsi="Times New Roman"/>
          <w:sz w:val="28"/>
          <w:szCs w:val="28"/>
        </w:rPr>
        <w:t xml:space="preserve">alte cheltuieli (+281,7 mil. lei); </w:t>
      </w:r>
    </w:p>
    <w:p w:rsidR="00D84060" w:rsidRPr="00012CA3" w:rsidRDefault="00304FAF" w:rsidP="00304FAF">
      <w:pPr>
        <w:numPr>
          <w:ilvl w:val="0"/>
          <w:numId w:val="17"/>
        </w:numPr>
        <w:tabs>
          <w:tab w:val="left" w:pos="567"/>
          <w:tab w:val="left" w:pos="851"/>
        </w:tabs>
        <w:spacing w:before="60" w:after="0" w:line="276" w:lineRule="auto"/>
        <w:ind w:left="0" w:firstLine="990"/>
        <w:jc w:val="both"/>
        <w:rPr>
          <w:rFonts w:ascii="Times New Roman" w:hAnsi="Times New Roman"/>
          <w:sz w:val="28"/>
          <w:szCs w:val="28"/>
        </w:rPr>
      </w:pPr>
      <w:r>
        <w:rPr>
          <w:rFonts w:ascii="Times New Roman" w:hAnsi="Times New Roman"/>
          <w:sz w:val="28"/>
          <w:szCs w:val="28"/>
        </w:rPr>
        <w:t xml:space="preserve">cheltuieli pentru </w:t>
      </w:r>
      <w:r w:rsidR="00175835" w:rsidRPr="00012CA3">
        <w:rPr>
          <w:rFonts w:ascii="Times New Roman" w:hAnsi="Times New Roman"/>
          <w:sz w:val="28"/>
          <w:szCs w:val="28"/>
        </w:rPr>
        <w:t xml:space="preserve">bunuri și servicii </w:t>
      </w:r>
      <w:r w:rsidR="006E53B6" w:rsidRPr="00012CA3">
        <w:rPr>
          <w:rFonts w:ascii="Times New Roman" w:hAnsi="Times New Roman"/>
          <w:sz w:val="28"/>
          <w:szCs w:val="28"/>
        </w:rPr>
        <w:t>(+</w:t>
      </w:r>
      <w:r w:rsidR="00175835" w:rsidRPr="00012CA3">
        <w:rPr>
          <w:rFonts w:ascii="Times New Roman" w:hAnsi="Times New Roman"/>
          <w:sz w:val="28"/>
          <w:szCs w:val="28"/>
        </w:rPr>
        <w:t>215,2</w:t>
      </w:r>
      <w:r w:rsidR="006E53B6" w:rsidRPr="00012CA3">
        <w:rPr>
          <w:rFonts w:ascii="Times New Roman" w:hAnsi="Times New Roman"/>
          <w:sz w:val="28"/>
          <w:szCs w:val="28"/>
        </w:rPr>
        <w:t xml:space="preserve"> mil. lei)</w:t>
      </w:r>
      <w:r w:rsidR="00807E9C" w:rsidRPr="00012CA3">
        <w:rPr>
          <w:rFonts w:ascii="Times New Roman" w:hAnsi="Times New Roman"/>
          <w:sz w:val="28"/>
          <w:szCs w:val="28"/>
        </w:rPr>
        <w:t>.</w:t>
      </w:r>
    </w:p>
    <w:p w:rsidR="00C82F48" w:rsidRDefault="00C82F48">
      <w:pPr>
        <w:pStyle w:val="12"/>
        <w:tabs>
          <w:tab w:val="left" w:pos="-142"/>
          <w:tab w:val="left" w:pos="567"/>
          <w:tab w:val="left" w:pos="709"/>
        </w:tabs>
        <w:spacing w:after="0" w:line="276" w:lineRule="auto"/>
        <w:ind w:left="0" w:firstLine="567"/>
        <w:jc w:val="both"/>
        <w:rPr>
          <w:rFonts w:ascii="Times New Roman" w:hAnsi="Times New Roman"/>
          <w:sz w:val="28"/>
          <w:szCs w:val="28"/>
        </w:rPr>
      </w:pPr>
      <w:r w:rsidRPr="00012CA3">
        <w:rPr>
          <w:rFonts w:ascii="Times New Roman" w:hAnsi="Times New Roman"/>
          <w:sz w:val="28"/>
          <w:szCs w:val="28"/>
        </w:rPr>
        <w:t>Evoluția cheltuielilor bugetului de stat în semestrul I al anilor 202</w:t>
      </w:r>
      <w:r w:rsidR="00C114B3" w:rsidRPr="00012CA3">
        <w:rPr>
          <w:rFonts w:ascii="Times New Roman" w:hAnsi="Times New Roman"/>
          <w:sz w:val="28"/>
          <w:szCs w:val="28"/>
        </w:rPr>
        <w:t>4</w:t>
      </w:r>
      <w:r w:rsidRPr="00012CA3">
        <w:rPr>
          <w:rFonts w:ascii="Times New Roman" w:hAnsi="Times New Roman"/>
          <w:sz w:val="28"/>
          <w:szCs w:val="28"/>
        </w:rPr>
        <w:t>-202</w:t>
      </w:r>
      <w:r w:rsidR="00C114B3" w:rsidRPr="00012CA3">
        <w:rPr>
          <w:rFonts w:ascii="Times New Roman" w:hAnsi="Times New Roman"/>
          <w:sz w:val="28"/>
          <w:szCs w:val="28"/>
        </w:rPr>
        <w:t>5</w:t>
      </w:r>
      <w:r w:rsidRPr="00012CA3">
        <w:rPr>
          <w:rFonts w:ascii="Times New Roman" w:hAnsi="Times New Roman"/>
          <w:sz w:val="28"/>
          <w:szCs w:val="28"/>
        </w:rPr>
        <w:t xml:space="preserve"> pe categorii economice se prezintă în diagrama care urmează:</w:t>
      </w:r>
    </w:p>
    <w:p w:rsidR="00A06246" w:rsidRPr="00012CA3" w:rsidRDefault="00A06246">
      <w:pPr>
        <w:pStyle w:val="12"/>
        <w:tabs>
          <w:tab w:val="left" w:pos="-142"/>
          <w:tab w:val="left" w:pos="567"/>
          <w:tab w:val="left" w:pos="709"/>
        </w:tabs>
        <w:spacing w:after="0" w:line="276" w:lineRule="auto"/>
        <w:ind w:left="0" w:firstLine="567"/>
        <w:jc w:val="both"/>
      </w:pPr>
    </w:p>
    <w:p w:rsidR="00C82F48" w:rsidRPr="00012CA3" w:rsidRDefault="00C82F48">
      <w:pPr>
        <w:pStyle w:val="Heading2"/>
        <w:spacing w:before="0"/>
        <w:jc w:val="center"/>
      </w:pPr>
      <w:r w:rsidRPr="00012CA3">
        <w:rPr>
          <w:rFonts w:ascii="Times New Roman" w:hAnsi="Times New Roman"/>
          <w:i/>
          <w:color w:val="323E4F"/>
          <w:sz w:val="28"/>
          <w:szCs w:val="24"/>
        </w:rPr>
        <w:lastRenderedPageBreak/>
        <w:t xml:space="preserve">Diagrama 6. Evoluția cheltuielilor bugetului de stat, </w:t>
      </w:r>
    </w:p>
    <w:p w:rsidR="00C82F48" w:rsidRPr="00012CA3" w:rsidRDefault="00236ED7">
      <w:pPr>
        <w:pStyle w:val="Heading2"/>
        <w:spacing w:before="0"/>
        <w:jc w:val="center"/>
        <w:rPr>
          <w:rFonts w:ascii="Times New Roman" w:hAnsi="Times New Roman"/>
          <w:i/>
          <w:color w:val="323E4F"/>
          <w:sz w:val="28"/>
          <w:szCs w:val="28"/>
          <w:lang w:val="en-US"/>
        </w:rPr>
      </w:pPr>
      <w:r w:rsidRPr="00012CA3">
        <w:rPr>
          <w:rFonts w:ascii="Times New Roman" w:hAnsi="Times New Roman"/>
          <w:i/>
          <w:color w:val="323E4F"/>
          <w:sz w:val="28"/>
          <w:szCs w:val="24"/>
          <w:lang w:val="ro-MD"/>
        </w:rPr>
        <w:t>semestrul I</w:t>
      </w:r>
      <w:r w:rsidR="00C82F48" w:rsidRPr="00012CA3">
        <w:rPr>
          <w:rFonts w:ascii="Times New Roman" w:hAnsi="Times New Roman"/>
          <w:i/>
          <w:color w:val="323E4F"/>
          <w:sz w:val="28"/>
          <w:szCs w:val="24"/>
        </w:rPr>
        <w:t xml:space="preserve"> 202</w:t>
      </w:r>
      <w:r w:rsidR="00C114B3" w:rsidRPr="00012CA3">
        <w:rPr>
          <w:rFonts w:ascii="Times New Roman" w:hAnsi="Times New Roman"/>
          <w:i/>
          <w:color w:val="323E4F"/>
          <w:sz w:val="28"/>
          <w:szCs w:val="24"/>
        </w:rPr>
        <w:t>4</w:t>
      </w:r>
      <w:r w:rsidR="00C82F48" w:rsidRPr="00012CA3">
        <w:rPr>
          <w:rFonts w:ascii="Times New Roman" w:hAnsi="Times New Roman"/>
          <w:i/>
          <w:color w:val="323E4F"/>
          <w:sz w:val="28"/>
          <w:szCs w:val="24"/>
        </w:rPr>
        <w:t>-</w:t>
      </w:r>
      <w:r w:rsidRPr="00012CA3">
        <w:rPr>
          <w:rFonts w:ascii="Times New Roman" w:hAnsi="Times New Roman"/>
          <w:i/>
          <w:color w:val="323E4F"/>
          <w:sz w:val="28"/>
          <w:szCs w:val="24"/>
        </w:rPr>
        <w:t>semestrul I</w:t>
      </w:r>
      <w:r w:rsidR="00C82F48" w:rsidRPr="00012CA3">
        <w:rPr>
          <w:rFonts w:ascii="Times New Roman" w:hAnsi="Times New Roman"/>
          <w:i/>
          <w:color w:val="323E4F"/>
          <w:sz w:val="28"/>
          <w:szCs w:val="24"/>
        </w:rPr>
        <w:t xml:space="preserve"> 202</w:t>
      </w:r>
      <w:r w:rsidR="00C114B3" w:rsidRPr="00012CA3">
        <w:rPr>
          <w:rFonts w:ascii="Times New Roman" w:hAnsi="Times New Roman"/>
          <w:i/>
          <w:color w:val="323E4F"/>
          <w:sz w:val="28"/>
          <w:szCs w:val="24"/>
        </w:rPr>
        <w:t>5</w:t>
      </w:r>
      <w:r w:rsidR="00C82F48" w:rsidRPr="00012CA3">
        <w:rPr>
          <w:rFonts w:ascii="Times New Roman" w:hAnsi="Times New Roman"/>
          <w:i/>
          <w:color w:val="323E4F"/>
          <w:sz w:val="28"/>
          <w:szCs w:val="24"/>
        </w:rPr>
        <w:t>(pe categorii economice</w:t>
      </w:r>
      <w:r w:rsidR="00FA5C43" w:rsidRPr="00012CA3">
        <w:rPr>
          <w:rFonts w:ascii="Times New Roman" w:hAnsi="Times New Roman"/>
          <w:i/>
          <w:color w:val="323E4F"/>
          <w:sz w:val="28"/>
          <w:szCs w:val="24"/>
        </w:rPr>
        <w:t>, mil. lei</w:t>
      </w:r>
      <w:r w:rsidR="00C82F48" w:rsidRPr="00012CA3">
        <w:rPr>
          <w:rFonts w:ascii="Times New Roman" w:hAnsi="Times New Roman"/>
          <w:i/>
          <w:color w:val="323E4F"/>
          <w:sz w:val="28"/>
          <w:szCs w:val="24"/>
        </w:rPr>
        <w:t>)</w:t>
      </w:r>
    </w:p>
    <w:p w:rsidR="00C82F48" w:rsidRPr="00012CA3" w:rsidRDefault="00792FFF" w:rsidP="00C114B3">
      <w:pPr>
        <w:spacing w:after="120" w:line="276" w:lineRule="auto"/>
        <w:ind w:hanging="284"/>
        <w:jc w:val="both"/>
        <w:rPr>
          <w:rFonts w:ascii="Times New Roman" w:hAnsi="Times New Roman"/>
          <w:b/>
          <w:i/>
          <w:color w:val="323E4F"/>
          <w:sz w:val="28"/>
          <w:szCs w:val="28"/>
          <w:lang w:val="en-US"/>
        </w:rPr>
      </w:pPr>
      <w:r w:rsidRPr="00012CA3">
        <w:rPr>
          <w:rFonts w:ascii="Times New Roman" w:hAnsi="Times New Roman"/>
          <w:b/>
          <w:i/>
          <w:noProof/>
          <w:color w:val="323E4F"/>
          <w:sz w:val="28"/>
          <w:szCs w:val="28"/>
          <w:lang w:val="en-US" w:eastAsia="en-US"/>
        </w:rPr>
        <w:drawing>
          <wp:inline distT="0" distB="0" distL="0" distR="0">
            <wp:extent cx="6325870" cy="36004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25870" cy="3600450"/>
                    </a:xfrm>
                    <a:prstGeom prst="rect">
                      <a:avLst/>
                    </a:prstGeom>
                    <a:noFill/>
                  </pic:spPr>
                </pic:pic>
              </a:graphicData>
            </a:graphic>
          </wp:inline>
        </w:drawing>
      </w:r>
    </w:p>
    <w:p w:rsidR="00F1434C" w:rsidRPr="00012CA3" w:rsidRDefault="00C82F48" w:rsidP="00F1434C">
      <w:pPr>
        <w:spacing w:after="0" w:line="276" w:lineRule="auto"/>
        <w:ind w:firstLine="567"/>
        <w:jc w:val="both"/>
        <w:rPr>
          <w:rFonts w:ascii="Times New Roman" w:hAnsi="Times New Roman"/>
          <w:sz w:val="28"/>
          <w:szCs w:val="28"/>
        </w:rPr>
      </w:pPr>
      <w:r w:rsidRPr="00012CA3">
        <w:rPr>
          <w:rFonts w:ascii="Times New Roman" w:hAnsi="Times New Roman"/>
          <w:b/>
          <w:i/>
          <w:sz w:val="28"/>
          <w:szCs w:val="28"/>
        </w:rPr>
        <w:t>Cheltuielile de personal</w:t>
      </w:r>
      <w:r w:rsidRPr="00012CA3">
        <w:rPr>
          <w:rFonts w:ascii="Times New Roman" w:hAnsi="Times New Roman"/>
          <w:sz w:val="28"/>
          <w:szCs w:val="28"/>
        </w:rPr>
        <w:t xml:space="preserve"> au fost executate în sumă de </w:t>
      </w:r>
      <w:r w:rsidR="004339ED" w:rsidRPr="00012CA3">
        <w:rPr>
          <w:rFonts w:ascii="Times New Roman" w:hAnsi="Times New Roman"/>
          <w:sz w:val="28"/>
          <w:szCs w:val="28"/>
        </w:rPr>
        <w:t>6</w:t>
      </w:r>
      <w:r w:rsidR="00CE7F26">
        <w:rPr>
          <w:rFonts w:ascii="Times New Roman" w:hAnsi="Times New Roman"/>
          <w:sz w:val="28"/>
          <w:szCs w:val="28"/>
        </w:rPr>
        <w:t> </w:t>
      </w:r>
      <w:r w:rsidR="004339ED" w:rsidRPr="00012CA3">
        <w:rPr>
          <w:rFonts w:ascii="Times New Roman" w:hAnsi="Times New Roman"/>
          <w:sz w:val="28"/>
          <w:szCs w:val="28"/>
        </w:rPr>
        <w:t>611</w:t>
      </w:r>
      <w:r w:rsidR="00CE7F26">
        <w:rPr>
          <w:rFonts w:ascii="Times New Roman" w:hAnsi="Times New Roman"/>
          <w:sz w:val="28"/>
          <w:szCs w:val="28"/>
        </w:rPr>
        <w:t>,</w:t>
      </w:r>
      <w:r w:rsidR="004339ED" w:rsidRPr="00012CA3">
        <w:rPr>
          <w:rFonts w:ascii="Times New Roman" w:hAnsi="Times New Roman"/>
          <w:sz w:val="28"/>
          <w:szCs w:val="28"/>
        </w:rPr>
        <w:t>2</w:t>
      </w:r>
      <w:r w:rsidRPr="00012CA3">
        <w:rPr>
          <w:rFonts w:ascii="Times New Roman" w:hAnsi="Times New Roman"/>
          <w:sz w:val="28"/>
          <w:szCs w:val="28"/>
        </w:rPr>
        <w:t xml:space="preserve"> mil.lei, fiind în creștere cu </w:t>
      </w:r>
      <w:r w:rsidR="004339ED" w:rsidRPr="00012CA3">
        <w:rPr>
          <w:rFonts w:ascii="Times New Roman" w:hAnsi="Times New Roman"/>
          <w:sz w:val="28"/>
          <w:szCs w:val="28"/>
        </w:rPr>
        <w:t>979,4</w:t>
      </w:r>
      <w:r w:rsidRPr="00012CA3">
        <w:rPr>
          <w:rFonts w:ascii="Times New Roman" w:hAnsi="Times New Roman"/>
          <w:sz w:val="28"/>
          <w:szCs w:val="28"/>
        </w:rPr>
        <w:t xml:space="preserve"> mil. lei sau cu </w:t>
      </w:r>
      <w:r w:rsidR="004339ED" w:rsidRPr="00012CA3">
        <w:rPr>
          <w:rFonts w:ascii="Times New Roman" w:hAnsi="Times New Roman"/>
          <w:sz w:val="28"/>
          <w:szCs w:val="28"/>
        </w:rPr>
        <w:t>17,4</w:t>
      </w:r>
      <w:r w:rsidRPr="00012CA3">
        <w:rPr>
          <w:rFonts w:ascii="Times New Roman" w:hAnsi="Times New Roman"/>
          <w:sz w:val="28"/>
          <w:szCs w:val="28"/>
        </w:rPr>
        <w:t>% comparat</w:t>
      </w:r>
      <w:r w:rsidR="00005D68" w:rsidRPr="00012CA3">
        <w:rPr>
          <w:rFonts w:ascii="Times New Roman" w:hAnsi="Times New Roman"/>
          <w:sz w:val="28"/>
          <w:szCs w:val="28"/>
        </w:rPr>
        <w:t>iv cu semestrul I al anului 202</w:t>
      </w:r>
      <w:r w:rsidR="004339ED" w:rsidRPr="00012CA3">
        <w:rPr>
          <w:rFonts w:ascii="Times New Roman" w:hAnsi="Times New Roman"/>
          <w:sz w:val="28"/>
          <w:szCs w:val="28"/>
        </w:rPr>
        <w:t>4</w:t>
      </w:r>
      <w:r w:rsidRPr="00012CA3">
        <w:rPr>
          <w:rFonts w:ascii="Times New Roman" w:hAnsi="Times New Roman"/>
          <w:sz w:val="28"/>
          <w:szCs w:val="28"/>
        </w:rPr>
        <w:t>. Factorii principali care au influențat majorarea cheltuielilor de personal în perioada de raportare au fost măsurile noi de politică salarială prevăzute pentru calcularea salariilor angajaților din sectorul bugetar</w:t>
      </w:r>
      <w:r w:rsidR="00236ED7" w:rsidRPr="00012CA3">
        <w:rPr>
          <w:rFonts w:ascii="Times New Roman" w:hAnsi="Times New Roman"/>
          <w:sz w:val="28"/>
          <w:szCs w:val="28"/>
        </w:rPr>
        <w:t xml:space="preserve"> (inclusiv majora</w:t>
      </w:r>
      <w:r w:rsidR="00F1434C" w:rsidRPr="00012CA3">
        <w:rPr>
          <w:rFonts w:ascii="Times New Roman" w:hAnsi="Times New Roman"/>
          <w:sz w:val="28"/>
          <w:szCs w:val="28"/>
        </w:rPr>
        <w:t>rea, începând cu 1 ianuarie 2025</w:t>
      </w:r>
      <w:r w:rsidR="00236ED7" w:rsidRPr="00012CA3">
        <w:rPr>
          <w:rFonts w:ascii="Times New Roman" w:hAnsi="Times New Roman"/>
          <w:sz w:val="28"/>
          <w:szCs w:val="28"/>
        </w:rPr>
        <w:t xml:space="preserve"> a  valorii de referință de bază </w:t>
      </w:r>
      <w:r w:rsidR="00F1434C" w:rsidRPr="00012CA3">
        <w:rPr>
          <w:rFonts w:ascii="Times New Roman" w:hAnsi="Times New Roman"/>
          <w:sz w:val="28"/>
          <w:szCs w:val="28"/>
        </w:rPr>
        <w:t xml:space="preserve">pentru angajații din sectorul bugetar </w:t>
      </w:r>
      <w:r w:rsidR="00FE1DEF" w:rsidRPr="00012CA3">
        <w:rPr>
          <w:rFonts w:ascii="Times New Roman" w:hAnsi="Times New Roman"/>
          <w:sz w:val="28"/>
          <w:szCs w:val="28"/>
        </w:rPr>
        <w:t>cât și</w:t>
      </w:r>
      <w:r w:rsidR="00E9462B">
        <w:rPr>
          <w:rFonts w:ascii="Times New Roman" w:hAnsi="Times New Roman"/>
          <w:sz w:val="28"/>
          <w:szCs w:val="28"/>
        </w:rPr>
        <w:t xml:space="preserve"> aprobarea </w:t>
      </w:r>
      <w:r w:rsidR="00FE1DEF" w:rsidRPr="00E9462B">
        <w:rPr>
          <w:rFonts w:ascii="Times New Roman" w:hAnsi="Times New Roman"/>
          <w:sz w:val="28"/>
          <w:szCs w:val="28"/>
          <w:lang w:val="ro-MD"/>
        </w:rPr>
        <w:t>un</w:t>
      </w:r>
      <w:r w:rsidR="00E9462B" w:rsidRPr="00E9462B">
        <w:rPr>
          <w:rFonts w:ascii="Times New Roman" w:hAnsi="Times New Roman"/>
          <w:sz w:val="28"/>
          <w:szCs w:val="28"/>
          <w:lang w:val="ro-MD"/>
        </w:rPr>
        <w:t>or</w:t>
      </w:r>
      <w:r w:rsidR="00E9462B">
        <w:rPr>
          <w:rFonts w:ascii="Times New Roman" w:hAnsi="Times New Roman"/>
          <w:sz w:val="28"/>
          <w:szCs w:val="28"/>
        </w:rPr>
        <w:t xml:space="preserve"> valori de referință</w:t>
      </w:r>
      <w:r w:rsidR="00FE1DEF" w:rsidRPr="00012CA3">
        <w:rPr>
          <w:rFonts w:ascii="Times New Roman" w:hAnsi="Times New Roman"/>
          <w:sz w:val="28"/>
          <w:szCs w:val="28"/>
        </w:rPr>
        <w:t xml:space="preserve"> derogatorii pentru unele categorii de angajați din sectorul bugetar</w:t>
      </w:r>
      <w:r w:rsidR="00FA0BD6" w:rsidRPr="00012CA3">
        <w:rPr>
          <w:rFonts w:ascii="Times New Roman" w:hAnsi="Times New Roman"/>
          <w:sz w:val="28"/>
          <w:szCs w:val="28"/>
        </w:rPr>
        <w:t>;</w:t>
      </w:r>
      <w:r w:rsidR="00F1434C" w:rsidRPr="00012CA3">
        <w:rPr>
          <w:rFonts w:ascii="Times New Roman" w:hAnsi="Times New Roman"/>
          <w:sz w:val="28"/>
          <w:szCs w:val="28"/>
          <w:lang w:eastAsia="ru-RU"/>
        </w:rPr>
        <w:t xml:space="preserve"> </w:t>
      </w:r>
      <w:r w:rsidR="00FA0BD6" w:rsidRPr="00012CA3">
        <w:rPr>
          <w:rFonts w:ascii="Times New Roman" w:hAnsi="Times New Roman"/>
          <w:sz w:val="28"/>
          <w:szCs w:val="28"/>
          <w:lang w:eastAsia="ru-RU"/>
        </w:rPr>
        <w:t xml:space="preserve">acordarea plăților compensatorii angajaților a căror salariu lunar, calculat începând cu 01 ianuarie 2025, pentru o funcție cu durata normală a timpului de muncă, este mai mic decât 5500 lei, în conformitate cu prevederile art.27 alin.(2) al Legii nr.270/2018 privind sistemul unitar de salarizare în sectorul bugetar; </w:t>
      </w:r>
      <w:r w:rsidR="00F1434C" w:rsidRPr="00012CA3">
        <w:rPr>
          <w:rFonts w:ascii="Times New Roman" w:hAnsi="Times New Roman"/>
          <w:sz w:val="28"/>
          <w:szCs w:val="28"/>
        </w:rPr>
        <w:t>majorarea claselor de salarizare pentru unii angajați din cadrul unor autorități/instituții bugetare</w:t>
      </w:r>
      <w:r w:rsidR="00236ED7" w:rsidRPr="00012CA3">
        <w:rPr>
          <w:rFonts w:ascii="Times New Roman" w:hAnsi="Times New Roman"/>
          <w:sz w:val="28"/>
          <w:szCs w:val="28"/>
        </w:rPr>
        <w:t>)</w:t>
      </w:r>
      <w:r w:rsidR="009A34D4" w:rsidRPr="00012CA3">
        <w:rPr>
          <w:rFonts w:ascii="Times New Roman" w:hAnsi="Times New Roman"/>
          <w:sz w:val="28"/>
          <w:szCs w:val="28"/>
        </w:rPr>
        <w:t xml:space="preserve">, </w:t>
      </w:r>
      <w:r w:rsidR="00F1434C" w:rsidRPr="00012CA3">
        <w:rPr>
          <w:rFonts w:ascii="Times New Roman" w:hAnsi="Times New Roman"/>
          <w:sz w:val="28"/>
          <w:szCs w:val="28"/>
        </w:rPr>
        <w:t>reorganizării unor instituții, majorării numărului de unități de personal conform prevederilor actelor normative în vigoare.</w:t>
      </w:r>
    </w:p>
    <w:p w:rsidR="00C82F48" w:rsidRPr="00012CA3" w:rsidRDefault="00236ED7">
      <w:pPr>
        <w:spacing w:after="120" w:line="276" w:lineRule="auto"/>
        <w:ind w:firstLine="567"/>
        <w:jc w:val="both"/>
      </w:pPr>
      <w:r w:rsidRPr="00012CA3">
        <w:rPr>
          <w:rFonts w:ascii="Times New Roman" w:hAnsi="Times New Roman"/>
          <w:sz w:val="28"/>
          <w:szCs w:val="28"/>
        </w:rPr>
        <w:t>C</w:t>
      </w:r>
      <w:r w:rsidR="00C82F48" w:rsidRPr="00012CA3">
        <w:rPr>
          <w:rFonts w:ascii="Times New Roman" w:hAnsi="Times New Roman"/>
          <w:sz w:val="28"/>
          <w:szCs w:val="28"/>
        </w:rPr>
        <w:t xml:space="preserve">heltuielile prevăzute pentru </w:t>
      </w:r>
      <w:r w:rsidR="00C82F48" w:rsidRPr="00012CA3">
        <w:rPr>
          <w:rFonts w:ascii="Times New Roman" w:hAnsi="Times New Roman"/>
          <w:b/>
          <w:i/>
          <w:sz w:val="28"/>
          <w:szCs w:val="28"/>
        </w:rPr>
        <w:t>bunuri și servicii</w:t>
      </w:r>
      <w:r w:rsidR="00C82F48" w:rsidRPr="00012CA3">
        <w:rPr>
          <w:rFonts w:ascii="Times New Roman" w:hAnsi="Times New Roman"/>
          <w:b/>
          <w:sz w:val="28"/>
          <w:szCs w:val="28"/>
        </w:rPr>
        <w:t xml:space="preserve"> </w:t>
      </w:r>
      <w:r w:rsidR="00C82F48" w:rsidRPr="00012CA3">
        <w:rPr>
          <w:rFonts w:ascii="Times New Roman" w:hAnsi="Times New Roman"/>
          <w:sz w:val="28"/>
          <w:szCs w:val="28"/>
        </w:rPr>
        <w:t>au fost</w:t>
      </w:r>
      <w:r w:rsidR="00C82F48" w:rsidRPr="00012CA3">
        <w:rPr>
          <w:rFonts w:ascii="Times New Roman" w:hAnsi="Times New Roman"/>
          <w:b/>
          <w:sz w:val="28"/>
          <w:szCs w:val="28"/>
        </w:rPr>
        <w:t xml:space="preserve"> </w:t>
      </w:r>
      <w:r w:rsidR="00C82F48" w:rsidRPr="00012CA3">
        <w:rPr>
          <w:rFonts w:ascii="Times New Roman" w:hAnsi="Times New Roman"/>
          <w:sz w:val="28"/>
          <w:szCs w:val="28"/>
        </w:rPr>
        <w:t xml:space="preserve">executate în sumă de          </w:t>
      </w:r>
      <w:r w:rsidR="00506AEE" w:rsidRPr="00012CA3">
        <w:rPr>
          <w:rFonts w:ascii="Times New Roman" w:hAnsi="Times New Roman"/>
          <w:sz w:val="28"/>
          <w:szCs w:val="28"/>
        </w:rPr>
        <w:t>1</w:t>
      </w:r>
      <w:r w:rsidR="00B0760B" w:rsidRPr="00012CA3">
        <w:rPr>
          <w:rFonts w:ascii="Times New Roman" w:hAnsi="Times New Roman"/>
          <w:sz w:val="28"/>
          <w:szCs w:val="28"/>
        </w:rPr>
        <w:t> 365,4</w:t>
      </w:r>
      <w:r w:rsidR="00C82F48" w:rsidRPr="00012CA3">
        <w:rPr>
          <w:rFonts w:ascii="Times New Roman" w:hAnsi="Times New Roman"/>
          <w:sz w:val="28"/>
          <w:szCs w:val="28"/>
        </w:rPr>
        <w:t xml:space="preserve"> mil.lei cu o creștere de </w:t>
      </w:r>
      <w:r w:rsidR="00F905EB" w:rsidRPr="00012CA3">
        <w:rPr>
          <w:rFonts w:ascii="Times New Roman" w:hAnsi="Times New Roman"/>
          <w:sz w:val="28"/>
          <w:szCs w:val="28"/>
        </w:rPr>
        <w:t>18,7</w:t>
      </w:r>
      <w:r w:rsidR="00C82F48" w:rsidRPr="00012CA3">
        <w:rPr>
          <w:rFonts w:ascii="Times New Roman" w:hAnsi="Times New Roman"/>
          <w:sz w:val="28"/>
          <w:szCs w:val="28"/>
        </w:rPr>
        <w:t>% comparativ cu perioada similară a anului 202</w:t>
      </w:r>
      <w:r w:rsidR="00F905EB" w:rsidRPr="00012CA3">
        <w:rPr>
          <w:rFonts w:ascii="Times New Roman" w:hAnsi="Times New Roman"/>
          <w:sz w:val="28"/>
          <w:szCs w:val="28"/>
        </w:rPr>
        <w:t>4</w:t>
      </w:r>
      <w:r w:rsidR="00C82F48" w:rsidRPr="00012CA3">
        <w:rPr>
          <w:rFonts w:ascii="Times New Roman" w:hAnsi="Times New Roman"/>
          <w:sz w:val="28"/>
          <w:szCs w:val="28"/>
        </w:rPr>
        <w:t>.</w:t>
      </w:r>
    </w:p>
    <w:p w:rsidR="00C82F48" w:rsidRPr="00012CA3" w:rsidRDefault="00C82F48">
      <w:pPr>
        <w:pStyle w:val="BodyText"/>
        <w:spacing w:line="276" w:lineRule="auto"/>
        <w:ind w:right="0" w:firstLine="567"/>
        <w:rPr>
          <w:sz w:val="28"/>
          <w:szCs w:val="28"/>
          <w:lang w:val="ro-RO"/>
        </w:rPr>
      </w:pPr>
      <w:r w:rsidRPr="00012CA3">
        <w:rPr>
          <w:sz w:val="28"/>
          <w:szCs w:val="28"/>
          <w:lang w:val="ro-RO"/>
        </w:rPr>
        <w:t xml:space="preserve">Cheltuielile pentru </w:t>
      </w:r>
      <w:r w:rsidRPr="00012CA3">
        <w:rPr>
          <w:b/>
          <w:i/>
          <w:sz w:val="28"/>
          <w:szCs w:val="28"/>
          <w:lang w:val="ro-RO"/>
        </w:rPr>
        <w:t>dobânzi</w:t>
      </w:r>
      <w:r w:rsidRPr="00012CA3">
        <w:rPr>
          <w:b/>
          <w:sz w:val="28"/>
          <w:szCs w:val="28"/>
          <w:lang w:val="ro-RO"/>
        </w:rPr>
        <w:t xml:space="preserve"> </w:t>
      </w:r>
      <w:r w:rsidRPr="00012CA3">
        <w:rPr>
          <w:sz w:val="28"/>
          <w:szCs w:val="28"/>
          <w:lang w:val="ro-RO"/>
        </w:rPr>
        <w:t xml:space="preserve">au fost executate </w:t>
      </w:r>
      <w:r w:rsidRPr="00012CA3">
        <w:rPr>
          <w:sz w:val="28"/>
          <w:szCs w:val="28"/>
          <w:lang w:val="ro-MD"/>
        </w:rPr>
        <w:t>în sumă de</w:t>
      </w:r>
      <w:r w:rsidR="00884949" w:rsidRPr="00012CA3">
        <w:rPr>
          <w:sz w:val="28"/>
          <w:szCs w:val="28"/>
          <w:lang w:val="ro-MD"/>
        </w:rPr>
        <w:t xml:space="preserve"> 1 984,7</w:t>
      </w:r>
      <w:r w:rsidRPr="00012CA3">
        <w:rPr>
          <w:sz w:val="28"/>
          <w:szCs w:val="28"/>
          <w:lang w:val="ro-MD"/>
        </w:rPr>
        <w:t xml:space="preserve"> mil.lei</w:t>
      </w:r>
      <w:r w:rsidR="00F31090" w:rsidRPr="00012CA3">
        <w:rPr>
          <w:sz w:val="28"/>
          <w:szCs w:val="28"/>
          <w:lang w:val="ro-MD"/>
        </w:rPr>
        <w:t xml:space="preserve"> </w:t>
      </w:r>
      <w:r w:rsidR="00412CD8" w:rsidRPr="00012CA3">
        <w:rPr>
          <w:sz w:val="28"/>
          <w:szCs w:val="28"/>
          <w:lang w:val="ro-MD"/>
        </w:rPr>
        <w:t xml:space="preserve">și au înregistrat o diminuare cu </w:t>
      </w:r>
      <w:r w:rsidR="000C2BC8" w:rsidRPr="00012CA3">
        <w:rPr>
          <w:sz w:val="28"/>
          <w:szCs w:val="28"/>
          <w:lang w:val="ro-MD"/>
        </w:rPr>
        <w:t>6,9</w:t>
      </w:r>
      <w:r w:rsidR="00322665" w:rsidRPr="00012CA3">
        <w:rPr>
          <w:sz w:val="28"/>
          <w:szCs w:val="28"/>
          <w:lang w:val="ro-MD"/>
        </w:rPr>
        <w:t xml:space="preserve">% </w:t>
      </w:r>
      <w:r w:rsidR="00FE0A4B" w:rsidRPr="00012CA3">
        <w:rPr>
          <w:sz w:val="28"/>
          <w:szCs w:val="28"/>
          <w:lang w:val="ro-MD"/>
        </w:rPr>
        <w:t xml:space="preserve">sau cu 148,1 mil. lei </w:t>
      </w:r>
      <w:r w:rsidR="00FE0A4B" w:rsidRPr="00012CA3">
        <w:rPr>
          <w:sz w:val="28"/>
          <w:szCs w:val="28"/>
          <w:lang w:val="ro-RO"/>
        </w:rPr>
        <w:t xml:space="preserve">comparativ cu </w:t>
      </w:r>
      <w:r w:rsidR="00FE0A4B" w:rsidRPr="00012CA3">
        <w:rPr>
          <w:sz w:val="28"/>
          <w:szCs w:val="28"/>
          <w:lang w:val="ro-MD"/>
        </w:rPr>
        <w:t>p</w:t>
      </w:r>
      <w:r w:rsidR="00322665" w:rsidRPr="00012CA3">
        <w:rPr>
          <w:sz w:val="28"/>
          <w:szCs w:val="28"/>
          <w:lang w:val="ro-MD"/>
        </w:rPr>
        <w:t>erioada similară a anului 202</w:t>
      </w:r>
      <w:r w:rsidR="000C2BC8" w:rsidRPr="00012CA3">
        <w:rPr>
          <w:sz w:val="28"/>
          <w:szCs w:val="28"/>
          <w:lang w:val="ro-MD"/>
        </w:rPr>
        <w:t>4</w:t>
      </w:r>
      <w:r w:rsidR="00322665" w:rsidRPr="00012CA3">
        <w:rPr>
          <w:sz w:val="28"/>
          <w:szCs w:val="28"/>
          <w:lang w:val="ro-MD"/>
        </w:rPr>
        <w:t>.</w:t>
      </w:r>
      <w:r w:rsidR="00C52620" w:rsidRPr="00012CA3">
        <w:t xml:space="preserve"> </w:t>
      </w:r>
    </w:p>
    <w:p w:rsidR="00444678" w:rsidRPr="00012CA3" w:rsidRDefault="00444678" w:rsidP="00725AAB">
      <w:pPr>
        <w:spacing w:after="0" w:line="276" w:lineRule="auto"/>
        <w:ind w:firstLine="567"/>
        <w:jc w:val="both"/>
        <w:rPr>
          <w:rFonts w:ascii="Times New Roman" w:hAnsi="Times New Roman"/>
          <w:sz w:val="28"/>
          <w:szCs w:val="28"/>
        </w:rPr>
      </w:pPr>
    </w:p>
    <w:p w:rsidR="00725AAB" w:rsidRPr="00012CA3" w:rsidRDefault="003F723A" w:rsidP="00725AAB">
      <w:pPr>
        <w:spacing w:after="0" w:line="276" w:lineRule="auto"/>
        <w:ind w:firstLine="567"/>
        <w:jc w:val="both"/>
        <w:rPr>
          <w:rFonts w:ascii="Times New Roman" w:hAnsi="Times New Roman"/>
          <w:sz w:val="28"/>
          <w:szCs w:val="28"/>
        </w:rPr>
      </w:pPr>
      <w:r w:rsidRPr="00012CA3">
        <w:rPr>
          <w:rFonts w:ascii="Times New Roman" w:hAnsi="Times New Roman"/>
          <w:sz w:val="28"/>
          <w:szCs w:val="28"/>
        </w:rPr>
        <w:lastRenderedPageBreak/>
        <w:t>Pentru</w:t>
      </w:r>
      <w:r w:rsidRPr="00012CA3">
        <w:rPr>
          <w:rFonts w:ascii="Times New Roman" w:hAnsi="Times New Roman"/>
          <w:i/>
          <w:sz w:val="28"/>
          <w:szCs w:val="28"/>
          <w:u w:val="single"/>
        </w:rPr>
        <w:t xml:space="preserve"> serviciul datoriei de stat externe</w:t>
      </w:r>
      <w:r w:rsidRPr="00012CA3">
        <w:rPr>
          <w:rFonts w:ascii="Times New Roman" w:hAnsi="Times New Roman"/>
          <w:sz w:val="28"/>
          <w:szCs w:val="28"/>
        </w:rPr>
        <w:t xml:space="preserve"> au fost utilizate mijloace financiare în sumă de </w:t>
      </w:r>
      <w:r w:rsidR="00F83ED3" w:rsidRPr="009068DD">
        <w:rPr>
          <w:rFonts w:ascii="Times New Roman" w:hAnsi="Times New Roman"/>
          <w:color w:val="000000"/>
          <w:sz w:val="28"/>
          <w:szCs w:val="28"/>
        </w:rPr>
        <w:t>865,0</w:t>
      </w:r>
      <w:r w:rsidR="00725AAB" w:rsidRPr="00012CA3">
        <w:rPr>
          <w:rFonts w:ascii="Times New Roman" w:hAnsi="Times New Roman"/>
          <w:sz w:val="28"/>
          <w:szCs w:val="28"/>
        </w:rPr>
        <w:t xml:space="preserve"> mil. lei (sau 48,3 mil. dolari SUA)</w:t>
      </w:r>
      <w:r w:rsidR="00503FB8" w:rsidRPr="00012CA3">
        <w:rPr>
          <w:rFonts w:ascii="Times New Roman" w:hAnsi="Times New Roman"/>
          <w:sz w:val="28"/>
          <w:szCs w:val="28"/>
        </w:rPr>
        <w:t xml:space="preserve">, </w:t>
      </w:r>
      <w:r w:rsidR="00725AAB" w:rsidRPr="00012CA3">
        <w:rPr>
          <w:rFonts w:ascii="Times New Roman" w:hAnsi="Times New Roman"/>
          <w:sz w:val="28"/>
          <w:szCs w:val="28"/>
        </w:rPr>
        <w:t xml:space="preserve">înregistrând o majorare de </w:t>
      </w:r>
      <w:r w:rsidR="000B5D4B" w:rsidRPr="00012CA3">
        <w:rPr>
          <w:rFonts w:ascii="Times New Roman" w:hAnsi="Times New Roman"/>
          <w:sz w:val="28"/>
          <w:szCs w:val="28"/>
        </w:rPr>
        <w:t>13,4</w:t>
      </w:r>
      <w:r w:rsidR="00725AAB" w:rsidRPr="00012CA3">
        <w:rPr>
          <w:rFonts w:ascii="Times New Roman" w:hAnsi="Times New Roman"/>
          <w:sz w:val="28"/>
          <w:szCs w:val="28"/>
        </w:rPr>
        <w:t xml:space="preserve"> mil. lei sau 1,</w:t>
      </w:r>
      <w:r w:rsidR="00A45188" w:rsidRPr="00012CA3">
        <w:rPr>
          <w:rFonts w:ascii="Times New Roman" w:hAnsi="Times New Roman"/>
          <w:sz w:val="28"/>
          <w:szCs w:val="28"/>
        </w:rPr>
        <w:t>6</w:t>
      </w:r>
      <w:r w:rsidR="00725AAB" w:rsidRPr="00012CA3">
        <w:rPr>
          <w:rFonts w:ascii="Times New Roman" w:hAnsi="Times New Roman"/>
          <w:sz w:val="28"/>
          <w:szCs w:val="28"/>
        </w:rPr>
        <w:t>% comparativ cu aceeași perioadă a anului 2024. Această evoluție este cauzată de contractarea noilor împrumuturi/debursarea tranșelor în cadrul împrumuturilor existente, în anul 2024 și pe parcursul semestrului I al anului 2025. Rata medie ponderată pentru împrumuturile de stat externe pentru semestrul I al anului 2025 a constituit 2,17% fiind în diminuare cu 0,24 p.p. comparativ cu semestrul I, 2024.</w:t>
      </w:r>
    </w:p>
    <w:p w:rsidR="003F723A" w:rsidRPr="00012CA3" w:rsidRDefault="003F723A">
      <w:pPr>
        <w:spacing w:after="0" w:line="276" w:lineRule="auto"/>
        <w:ind w:firstLine="567"/>
        <w:jc w:val="both"/>
        <w:rPr>
          <w:rFonts w:ascii="Times New Roman" w:hAnsi="Times New Roman"/>
          <w:sz w:val="28"/>
          <w:szCs w:val="28"/>
        </w:rPr>
      </w:pPr>
    </w:p>
    <w:p w:rsidR="00793EB4" w:rsidRPr="00012CA3" w:rsidRDefault="00247F2E" w:rsidP="00793EB4">
      <w:pPr>
        <w:spacing w:after="0" w:line="276" w:lineRule="auto"/>
        <w:ind w:firstLine="567"/>
        <w:jc w:val="both"/>
        <w:rPr>
          <w:rFonts w:ascii="Times New Roman" w:hAnsi="Times New Roman"/>
          <w:sz w:val="28"/>
          <w:szCs w:val="28"/>
        </w:rPr>
      </w:pPr>
      <w:r w:rsidRPr="00012CA3">
        <w:rPr>
          <w:rFonts w:ascii="Times New Roman" w:hAnsi="Times New Roman"/>
          <w:sz w:val="28"/>
          <w:szCs w:val="28"/>
        </w:rPr>
        <w:t xml:space="preserve">Pentru </w:t>
      </w:r>
      <w:r w:rsidRPr="00012CA3">
        <w:rPr>
          <w:rFonts w:ascii="Times New Roman" w:hAnsi="Times New Roman"/>
          <w:i/>
          <w:sz w:val="28"/>
          <w:szCs w:val="28"/>
          <w:u w:val="single"/>
        </w:rPr>
        <w:t>serviciul datoriei de stat interne</w:t>
      </w:r>
      <w:r w:rsidRPr="00012CA3">
        <w:rPr>
          <w:rFonts w:ascii="Times New Roman" w:hAnsi="Times New Roman"/>
          <w:sz w:val="28"/>
          <w:szCs w:val="28"/>
        </w:rPr>
        <w:t xml:space="preserve"> în această perioadă au fost utilizate mijloace financiare în sumă de </w:t>
      </w:r>
      <w:r w:rsidR="00793EB4" w:rsidRPr="00012CA3">
        <w:rPr>
          <w:rFonts w:ascii="Times New Roman" w:hAnsi="Times New Roman"/>
          <w:sz w:val="28"/>
          <w:szCs w:val="28"/>
        </w:rPr>
        <w:t xml:space="preserve">1 119,7 mil. lei, cu 161,5 mil. lei (12,6%) mai puțin față de semestrul I al anului 2024. Această diminuare se datorează răscumpărării VMS emise pe piața internă la rate ale dobânzii mai mici </w:t>
      </w:r>
      <w:r w:rsidR="007F3983">
        <w:rPr>
          <w:rFonts w:ascii="Times New Roman" w:hAnsi="Times New Roman"/>
          <w:sz w:val="28"/>
          <w:szCs w:val="28"/>
        </w:rPr>
        <w:t xml:space="preserve">decât </w:t>
      </w:r>
      <w:r w:rsidR="00793EB4" w:rsidRPr="00012CA3">
        <w:rPr>
          <w:rFonts w:ascii="Times New Roman" w:hAnsi="Times New Roman"/>
          <w:sz w:val="28"/>
          <w:szCs w:val="28"/>
        </w:rPr>
        <w:t xml:space="preserve">pe parcursul anului precedent. </w:t>
      </w:r>
    </w:p>
    <w:p w:rsidR="00697A48" w:rsidRPr="00012CA3" w:rsidRDefault="00697A48" w:rsidP="00697A48">
      <w:pPr>
        <w:spacing w:after="0" w:line="276" w:lineRule="auto"/>
        <w:ind w:firstLine="567"/>
        <w:jc w:val="both"/>
        <w:rPr>
          <w:rFonts w:ascii="Times New Roman" w:hAnsi="Times New Roman"/>
          <w:sz w:val="28"/>
          <w:szCs w:val="28"/>
        </w:rPr>
      </w:pPr>
      <w:r w:rsidRPr="00012CA3">
        <w:rPr>
          <w:rFonts w:ascii="Times New Roman" w:hAnsi="Times New Roman"/>
          <w:sz w:val="28"/>
          <w:szCs w:val="28"/>
        </w:rPr>
        <w:t>Rata nominală medie ponderată a dobânzii la VM</w:t>
      </w:r>
      <w:r w:rsidR="00D22C51">
        <w:rPr>
          <w:rFonts w:ascii="Times New Roman" w:hAnsi="Times New Roman"/>
          <w:sz w:val="28"/>
          <w:szCs w:val="28"/>
        </w:rPr>
        <w:t>S comercializate în semestrul I</w:t>
      </w:r>
      <w:r w:rsidRPr="00012CA3">
        <w:rPr>
          <w:rFonts w:ascii="Times New Roman" w:hAnsi="Times New Roman"/>
          <w:sz w:val="28"/>
          <w:szCs w:val="28"/>
        </w:rPr>
        <w:t xml:space="preserve"> 2025 a constituit 8,9%, fiind cu 4,31 p.p. mai mare față de perioada similară a anului precedent.</w:t>
      </w:r>
    </w:p>
    <w:p w:rsidR="00247F2E" w:rsidRPr="00012CA3" w:rsidRDefault="00247F2E" w:rsidP="00247F2E">
      <w:pPr>
        <w:spacing w:after="0" w:line="276" w:lineRule="auto"/>
        <w:ind w:firstLine="567"/>
        <w:jc w:val="both"/>
        <w:rPr>
          <w:rFonts w:ascii="Times New Roman" w:hAnsi="Times New Roman"/>
          <w:sz w:val="28"/>
          <w:szCs w:val="28"/>
        </w:rPr>
      </w:pPr>
    </w:p>
    <w:p w:rsidR="00C82F48" w:rsidRPr="00012CA3" w:rsidRDefault="00C82F48">
      <w:pPr>
        <w:spacing w:after="0" w:line="276" w:lineRule="auto"/>
        <w:ind w:firstLine="567"/>
        <w:jc w:val="both"/>
      </w:pPr>
      <w:r w:rsidRPr="00012CA3">
        <w:rPr>
          <w:rFonts w:ascii="Times New Roman" w:hAnsi="Times New Roman"/>
          <w:sz w:val="28"/>
          <w:szCs w:val="28"/>
        </w:rPr>
        <w:t>Din suma totală pentru serviciul datoriei de stat interne au fost utilizate:</w:t>
      </w:r>
    </w:p>
    <w:p w:rsidR="00EB04E0" w:rsidRPr="00012CA3" w:rsidRDefault="00EB04E0" w:rsidP="00EB04E0">
      <w:pPr>
        <w:numPr>
          <w:ilvl w:val="0"/>
          <w:numId w:val="13"/>
        </w:numPr>
        <w:tabs>
          <w:tab w:val="left" w:pos="851"/>
        </w:tabs>
        <w:suppressAutoHyphens w:val="0"/>
        <w:spacing w:after="0" w:line="276" w:lineRule="auto"/>
        <w:ind w:left="0" w:firstLine="567"/>
        <w:jc w:val="both"/>
        <w:rPr>
          <w:rFonts w:ascii="Times New Roman" w:hAnsi="Times New Roman"/>
          <w:sz w:val="28"/>
          <w:szCs w:val="28"/>
        </w:rPr>
      </w:pPr>
      <w:r w:rsidRPr="00012CA3">
        <w:rPr>
          <w:rFonts w:ascii="Times New Roman" w:hAnsi="Times New Roman"/>
          <w:sz w:val="28"/>
          <w:szCs w:val="28"/>
        </w:rPr>
        <w:t xml:space="preserve">773,6 mil. lei pentru plata dobânzilor și cupoanelor la VMS emise pe piața primară (69,1%); </w:t>
      </w:r>
    </w:p>
    <w:p w:rsidR="00970337" w:rsidRPr="00012CA3" w:rsidRDefault="00970337" w:rsidP="00970337">
      <w:pPr>
        <w:numPr>
          <w:ilvl w:val="0"/>
          <w:numId w:val="13"/>
        </w:numPr>
        <w:tabs>
          <w:tab w:val="left" w:pos="709"/>
          <w:tab w:val="left" w:pos="851"/>
        </w:tabs>
        <w:suppressAutoHyphens w:val="0"/>
        <w:spacing w:after="0" w:line="276" w:lineRule="auto"/>
        <w:ind w:left="0" w:firstLine="567"/>
        <w:jc w:val="both"/>
        <w:rPr>
          <w:rFonts w:ascii="Times New Roman" w:hAnsi="Times New Roman"/>
          <w:sz w:val="28"/>
          <w:szCs w:val="28"/>
        </w:rPr>
      </w:pPr>
      <w:r w:rsidRPr="00012CA3">
        <w:rPr>
          <w:rFonts w:ascii="Times New Roman" w:hAnsi="Times New Roman"/>
          <w:sz w:val="28"/>
          <w:szCs w:val="28"/>
        </w:rPr>
        <w:t>7,5 mil.lei pentru plata cupoanelor la VMS emise prin plasament direct către persoanele fizice (0,7%);</w:t>
      </w:r>
    </w:p>
    <w:p w:rsidR="005C5569" w:rsidRPr="00012CA3" w:rsidRDefault="005C5569" w:rsidP="005C5569">
      <w:pPr>
        <w:numPr>
          <w:ilvl w:val="0"/>
          <w:numId w:val="13"/>
        </w:numPr>
        <w:suppressAutoHyphens w:val="0"/>
        <w:spacing w:after="0" w:line="276" w:lineRule="auto"/>
        <w:ind w:left="851" w:hanging="284"/>
        <w:jc w:val="both"/>
        <w:rPr>
          <w:rFonts w:ascii="Times New Roman" w:hAnsi="Times New Roman"/>
          <w:sz w:val="28"/>
          <w:szCs w:val="28"/>
        </w:rPr>
      </w:pPr>
      <w:r w:rsidRPr="00012CA3">
        <w:rPr>
          <w:rFonts w:ascii="Times New Roman" w:hAnsi="Times New Roman"/>
          <w:sz w:val="28"/>
          <w:szCs w:val="28"/>
        </w:rPr>
        <w:t>43,7 mil. lei pentru plata dobânzilor la VMS convertite (3,9%);</w:t>
      </w:r>
    </w:p>
    <w:p w:rsidR="005C5569" w:rsidRPr="00012CA3" w:rsidRDefault="005C5569" w:rsidP="005C5569">
      <w:pPr>
        <w:numPr>
          <w:ilvl w:val="0"/>
          <w:numId w:val="13"/>
        </w:numPr>
        <w:tabs>
          <w:tab w:val="left" w:pos="851"/>
        </w:tabs>
        <w:suppressAutoHyphens w:val="0"/>
        <w:spacing w:after="0" w:line="276" w:lineRule="auto"/>
        <w:ind w:left="0" w:firstLine="567"/>
        <w:jc w:val="both"/>
        <w:rPr>
          <w:rFonts w:ascii="Times New Roman" w:hAnsi="Times New Roman"/>
          <w:sz w:val="28"/>
          <w:szCs w:val="28"/>
        </w:rPr>
      </w:pPr>
      <w:r w:rsidRPr="00012CA3">
        <w:rPr>
          <w:rFonts w:ascii="Times New Roman" w:hAnsi="Times New Roman"/>
          <w:sz w:val="28"/>
          <w:szCs w:val="28"/>
        </w:rPr>
        <w:t>294,9 mil. lei pentru plata dobânzilor la VMS emise pentru executarea obligațiilor de plată derivate din garanțiile de stat (26,3%).</w:t>
      </w:r>
    </w:p>
    <w:p w:rsidR="00C82F48" w:rsidRPr="00012CA3" w:rsidRDefault="00C82F48">
      <w:pPr>
        <w:spacing w:after="0" w:line="276" w:lineRule="auto"/>
        <w:ind w:left="927"/>
        <w:jc w:val="both"/>
        <w:rPr>
          <w:rFonts w:ascii="Times New Roman" w:hAnsi="Times New Roman"/>
          <w:sz w:val="28"/>
          <w:szCs w:val="28"/>
        </w:rPr>
      </w:pPr>
    </w:p>
    <w:p w:rsidR="00C82F48" w:rsidRDefault="00C82F48">
      <w:pPr>
        <w:spacing w:after="0" w:line="276" w:lineRule="auto"/>
        <w:ind w:firstLine="567"/>
        <w:jc w:val="both"/>
        <w:rPr>
          <w:rFonts w:ascii="Times New Roman" w:hAnsi="Times New Roman"/>
          <w:sz w:val="28"/>
          <w:szCs w:val="28"/>
        </w:rPr>
      </w:pPr>
      <w:r w:rsidRPr="00012CA3">
        <w:rPr>
          <w:rFonts w:ascii="Times New Roman" w:hAnsi="Times New Roman"/>
          <w:sz w:val="28"/>
          <w:szCs w:val="28"/>
        </w:rPr>
        <w:t xml:space="preserve">Cheltuielile pentru </w:t>
      </w:r>
      <w:r w:rsidRPr="00012CA3">
        <w:rPr>
          <w:rFonts w:ascii="Times New Roman" w:hAnsi="Times New Roman"/>
          <w:b/>
          <w:i/>
          <w:sz w:val="28"/>
          <w:szCs w:val="28"/>
        </w:rPr>
        <w:t>subvenții</w:t>
      </w:r>
      <w:r w:rsidRPr="00012CA3">
        <w:rPr>
          <w:rFonts w:ascii="Times New Roman" w:hAnsi="Times New Roman"/>
          <w:sz w:val="28"/>
          <w:szCs w:val="28"/>
        </w:rPr>
        <w:t xml:space="preserve"> au fost realizate în sumă de </w:t>
      </w:r>
      <w:r w:rsidR="00AA5A28" w:rsidRPr="00012CA3">
        <w:rPr>
          <w:rFonts w:ascii="Times New Roman" w:hAnsi="Times New Roman"/>
          <w:sz w:val="28"/>
          <w:szCs w:val="28"/>
        </w:rPr>
        <w:t>2</w:t>
      </w:r>
      <w:r w:rsidR="0003223A" w:rsidRPr="00012CA3">
        <w:rPr>
          <w:rFonts w:ascii="Times New Roman" w:hAnsi="Times New Roman"/>
          <w:sz w:val="28"/>
          <w:szCs w:val="28"/>
        </w:rPr>
        <w:t> 683,6</w:t>
      </w:r>
      <w:r w:rsidR="00AA5A28" w:rsidRPr="00012CA3">
        <w:rPr>
          <w:rFonts w:ascii="Times New Roman" w:hAnsi="Times New Roman"/>
          <w:sz w:val="28"/>
          <w:szCs w:val="28"/>
        </w:rPr>
        <w:t xml:space="preserve"> </w:t>
      </w:r>
      <w:r w:rsidRPr="00012CA3">
        <w:rPr>
          <w:rFonts w:ascii="Times New Roman" w:hAnsi="Times New Roman"/>
          <w:sz w:val="28"/>
          <w:szCs w:val="28"/>
        </w:rPr>
        <w:t xml:space="preserve">mil. lei și au înregistrat o </w:t>
      </w:r>
      <w:r w:rsidR="00166BCF" w:rsidRPr="00012CA3">
        <w:rPr>
          <w:rFonts w:ascii="Times New Roman" w:hAnsi="Times New Roman"/>
          <w:sz w:val="28"/>
          <w:szCs w:val="28"/>
        </w:rPr>
        <w:t>creștere</w:t>
      </w:r>
      <w:r w:rsidRPr="00012CA3">
        <w:rPr>
          <w:rFonts w:ascii="Times New Roman" w:hAnsi="Times New Roman"/>
          <w:sz w:val="28"/>
          <w:szCs w:val="28"/>
        </w:rPr>
        <w:t xml:space="preserve"> cu </w:t>
      </w:r>
      <w:r w:rsidR="00B5633C" w:rsidRPr="00012CA3">
        <w:rPr>
          <w:rFonts w:ascii="Times New Roman" w:hAnsi="Times New Roman"/>
          <w:sz w:val="28"/>
          <w:szCs w:val="28"/>
        </w:rPr>
        <w:t>22,0</w:t>
      </w:r>
      <w:r w:rsidR="001A0173" w:rsidRPr="00012CA3">
        <w:rPr>
          <w:rFonts w:ascii="Times New Roman" w:hAnsi="Times New Roman"/>
          <w:sz w:val="28"/>
          <w:szCs w:val="28"/>
        </w:rPr>
        <w:t>%</w:t>
      </w:r>
      <w:r w:rsidRPr="00012CA3">
        <w:rPr>
          <w:rFonts w:ascii="Times New Roman" w:hAnsi="Times New Roman"/>
          <w:sz w:val="28"/>
          <w:szCs w:val="28"/>
        </w:rPr>
        <w:t xml:space="preserve"> comparativ cu aceeași perioadă a </w:t>
      </w:r>
      <w:r w:rsidR="00DE1741" w:rsidRPr="00012CA3">
        <w:rPr>
          <w:rFonts w:ascii="Times New Roman" w:hAnsi="Times New Roman"/>
          <w:sz w:val="28"/>
          <w:szCs w:val="28"/>
        </w:rPr>
        <w:t>anului precedent.</w:t>
      </w:r>
      <w:r w:rsidR="00C31AF6" w:rsidRPr="00012CA3">
        <w:rPr>
          <w:rFonts w:ascii="Times New Roman" w:hAnsi="Times New Roman"/>
          <w:sz w:val="28"/>
          <w:szCs w:val="28"/>
        </w:rPr>
        <w:t xml:space="preserve"> </w:t>
      </w:r>
      <w:r w:rsidR="00DE1741" w:rsidRPr="00012CA3">
        <w:rPr>
          <w:rFonts w:ascii="Times New Roman" w:hAnsi="Times New Roman"/>
          <w:sz w:val="28"/>
          <w:szCs w:val="28"/>
        </w:rPr>
        <w:t>Majorarea acestor cheltuieli a</w:t>
      </w:r>
      <w:r w:rsidR="00AD7EF9" w:rsidRPr="00012CA3">
        <w:rPr>
          <w:rFonts w:ascii="Times New Roman" w:hAnsi="Times New Roman"/>
          <w:sz w:val="28"/>
          <w:szCs w:val="28"/>
        </w:rPr>
        <w:t>u</w:t>
      </w:r>
      <w:r w:rsidR="00DE1741" w:rsidRPr="00012CA3">
        <w:rPr>
          <w:rFonts w:ascii="Times New Roman" w:hAnsi="Times New Roman"/>
          <w:sz w:val="28"/>
          <w:szCs w:val="28"/>
        </w:rPr>
        <w:t xml:space="preserve"> fost </w:t>
      </w:r>
      <w:r w:rsidR="00C31AF6" w:rsidRPr="00012CA3">
        <w:rPr>
          <w:rFonts w:ascii="Times New Roman" w:hAnsi="Times New Roman"/>
          <w:sz w:val="28"/>
          <w:szCs w:val="28"/>
        </w:rPr>
        <w:t>influențat</w:t>
      </w:r>
      <w:r w:rsidR="00236ED7" w:rsidRPr="00012CA3">
        <w:rPr>
          <w:rFonts w:ascii="Times New Roman" w:hAnsi="Times New Roman"/>
          <w:sz w:val="28"/>
          <w:szCs w:val="28"/>
        </w:rPr>
        <w:t>ă</w:t>
      </w:r>
      <w:r w:rsidR="00C31AF6" w:rsidRPr="00012CA3">
        <w:rPr>
          <w:rFonts w:ascii="Times New Roman" w:hAnsi="Times New Roman"/>
          <w:sz w:val="28"/>
          <w:szCs w:val="28"/>
        </w:rPr>
        <w:t xml:space="preserve"> în principal de</w:t>
      </w:r>
      <w:r w:rsidR="008F55EA" w:rsidRPr="00012CA3">
        <w:t xml:space="preserve"> </w:t>
      </w:r>
      <w:r w:rsidR="008F55EA" w:rsidRPr="00012CA3">
        <w:rPr>
          <w:rFonts w:ascii="Times New Roman" w:hAnsi="Times New Roman"/>
          <w:sz w:val="28"/>
          <w:szCs w:val="28"/>
        </w:rPr>
        <w:t>majorarea</w:t>
      </w:r>
      <w:r w:rsidR="00C31AF6" w:rsidRPr="00012CA3">
        <w:rPr>
          <w:rFonts w:ascii="Times New Roman" w:hAnsi="Times New Roman"/>
          <w:sz w:val="28"/>
          <w:szCs w:val="28"/>
        </w:rPr>
        <w:t xml:space="preserve"> </w:t>
      </w:r>
      <w:r w:rsidR="008A2510" w:rsidRPr="00012CA3">
        <w:rPr>
          <w:rFonts w:ascii="Times New Roman" w:hAnsi="Times New Roman"/>
          <w:sz w:val="28"/>
          <w:szCs w:val="28"/>
        </w:rPr>
        <w:t>subvențiilor pentru</w:t>
      </w:r>
      <w:r w:rsidR="00C31AF6" w:rsidRPr="00012CA3">
        <w:rPr>
          <w:rFonts w:ascii="Times New Roman" w:hAnsi="Times New Roman"/>
          <w:sz w:val="28"/>
          <w:szCs w:val="28"/>
        </w:rPr>
        <w:t xml:space="preserve"> producători</w:t>
      </w:r>
      <w:r w:rsidR="009D032F" w:rsidRPr="00012CA3">
        <w:rPr>
          <w:rFonts w:ascii="Times New Roman" w:hAnsi="Times New Roman"/>
          <w:sz w:val="28"/>
          <w:szCs w:val="28"/>
        </w:rPr>
        <w:t>i</w:t>
      </w:r>
      <w:r w:rsidR="00C31AF6" w:rsidRPr="00012CA3">
        <w:rPr>
          <w:rFonts w:ascii="Times New Roman" w:hAnsi="Times New Roman"/>
          <w:sz w:val="28"/>
          <w:szCs w:val="28"/>
        </w:rPr>
        <w:t xml:space="preserve"> agricoli,</w:t>
      </w:r>
      <w:r w:rsidR="00C31AF6" w:rsidRPr="00012CA3">
        <w:t xml:space="preserve"> </w:t>
      </w:r>
      <w:r w:rsidR="00C31AF6" w:rsidRPr="00012CA3">
        <w:rPr>
          <w:rFonts w:ascii="Times New Roman" w:hAnsi="Times New Roman"/>
          <w:sz w:val="28"/>
          <w:szCs w:val="28"/>
        </w:rPr>
        <w:t>crearea condițiilor favorabile pentru dezvoltarea durabilă a sectorului agricol</w:t>
      </w:r>
      <w:r w:rsidR="009D032F" w:rsidRPr="00012CA3">
        <w:rPr>
          <w:rFonts w:ascii="Times New Roman" w:hAnsi="Times New Roman"/>
          <w:sz w:val="28"/>
          <w:szCs w:val="28"/>
        </w:rPr>
        <w:t>,</w:t>
      </w:r>
      <w:r w:rsidR="00C31AF6" w:rsidRPr="00012CA3">
        <w:rPr>
          <w:rFonts w:ascii="Times New Roman" w:hAnsi="Times New Roman"/>
          <w:sz w:val="28"/>
          <w:szCs w:val="28"/>
        </w:rPr>
        <w:t xml:space="preserve"> integrarea economiei și a sectorului agroindustrial al Republicii Moldova în economia europeană, </w:t>
      </w:r>
      <w:r w:rsidR="00AD0ADF" w:rsidRPr="00012CA3">
        <w:rPr>
          <w:rFonts w:ascii="Times New Roman" w:hAnsi="Times New Roman"/>
          <w:sz w:val="28"/>
          <w:szCs w:val="28"/>
        </w:rPr>
        <w:t xml:space="preserve">subvenționarea locurilor de muncă, subvenționarea instituțiilor la autogestiune </w:t>
      </w:r>
      <w:r w:rsidR="008C3915" w:rsidRPr="00012CA3">
        <w:rPr>
          <w:rFonts w:ascii="Times New Roman" w:hAnsi="Times New Roman"/>
          <w:sz w:val="28"/>
          <w:szCs w:val="28"/>
        </w:rPr>
        <w:t>și servicii în domeniul economiei</w:t>
      </w:r>
      <w:r w:rsidR="00010372" w:rsidRPr="00012CA3">
        <w:rPr>
          <w:rFonts w:ascii="Times New Roman" w:hAnsi="Times New Roman"/>
          <w:sz w:val="28"/>
          <w:szCs w:val="28"/>
        </w:rPr>
        <w:t>.</w:t>
      </w:r>
    </w:p>
    <w:p w:rsidR="00534492" w:rsidRPr="00012CA3" w:rsidRDefault="00534492">
      <w:pPr>
        <w:spacing w:after="0" w:line="276" w:lineRule="auto"/>
        <w:ind w:firstLine="567"/>
        <w:jc w:val="both"/>
      </w:pPr>
    </w:p>
    <w:p w:rsidR="00816A60" w:rsidRDefault="00C82F48">
      <w:pPr>
        <w:spacing w:after="0" w:line="276" w:lineRule="auto"/>
        <w:ind w:firstLine="567"/>
        <w:jc w:val="both"/>
        <w:rPr>
          <w:rFonts w:ascii="Times New Roman" w:hAnsi="Times New Roman"/>
          <w:sz w:val="28"/>
          <w:szCs w:val="28"/>
          <w:lang w:val="ro-MD"/>
        </w:rPr>
      </w:pPr>
      <w:r w:rsidRPr="00012CA3">
        <w:rPr>
          <w:rFonts w:ascii="Times New Roman" w:hAnsi="Times New Roman"/>
          <w:sz w:val="28"/>
          <w:szCs w:val="28"/>
        </w:rPr>
        <w:t>Cheltuielile pentru</w:t>
      </w:r>
      <w:r w:rsidRPr="00012CA3">
        <w:rPr>
          <w:rFonts w:ascii="Times New Roman" w:hAnsi="Times New Roman"/>
          <w:b/>
          <w:sz w:val="28"/>
          <w:szCs w:val="28"/>
        </w:rPr>
        <w:t xml:space="preserve"> g</w:t>
      </w:r>
      <w:r w:rsidRPr="00012CA3">
        <w:rPr>
          <w:rFonts w:ascii="Times New Roman" w:hAnsi="Times New Roman"/>
          <w:b/>
          <w:i/>
          <w:sz w:val="28"/>
          <w:szCs w:val="28"/>
        </w:rPr>
        <w:t xml:space="preserve">ranturi acordate </w:t>
      </w:r>
      <w:r w:rsidRPr="00012CA3">
        <w:rPr>
          <w:rFonts w:ascii="Times New Roman" w:hAnsi="Times New Roman"/>
          <w:sz w:val="28"/>
          <w:szCs w:val="28"/>
        </w:rPr>
        <w:t xml:space="preserve">au constituit </w:t>
      </w:r>
      <w:r w:rsidR="00BA0556" w:rsidRPr="00012CA3">
        <w:rPr>
          <w:rFonts w:ascii="Times New Roman" w:hAnsi="Times New Roman"/>
          <w:sz w:val="28"/>
          <w:szCs w:val="28"/>
        </w:rPr>
        <w:t>1 527,1</w:t>
      </w:r>
      <w:r w:rsidRPr="00012CA3">
        <w:rPr>
          <w:rFonts w:ascii="Times New Roman" w:hAnsi="Times New Roman"/>
          <w:sz w:val="28"/>
          <w:szCs w:val="28"/>
          <w:lang w:val="fr-FR"/>
        </w:rPr>
        <w:t xml:space="preserve"> mil.</w:t>
      </w:r>
      <w:r w:rsidR="00E57A52" w:rsidRPr="00012CA3">
        <w:rPr>
          <w:rFonts w:ascii="Times New Roman" w:hAnsi="Times New Roman"/>
          <w:sz w:val="28"/>
          <w:szCs w:val="28"/>
          <w:lang w:val="fr-FR"/>
        </w:rPr>
        <w:t xml:space="preserve"> </w:t>
      </w:r>
      <w:r w:rsidR="003E291E" w:rsidRPr="00012CA3">
        <w:rPr>
          <w:rFonts w:ascii="Times New Roman" w:hAnsi="Times New Roman"/>
          <w:sz w:val="28"/>
          <w:szCs w:val="28"/>
          <w:lang w:val="fr-FR"/>
        </w:rPr>
        <w:t>l</w:t>
      </w:r>
      <w:r w:rsidRPr="00012CA3">
        <w:rPr>
          <w:rFonts w:ascii="Times New Roman" w:hAnsi="Times New Roman"/>
          <w:sz w:val="28"/>
          <w:szCs w:val="28"/>
          <w:lang w:val="fr-FR"/>
        </w:rPr>
        <w:t>ei</w:t>
      </w:r>
      <w:r w:rsidRPr="00012CA3">
        <w:rPr>
          <w:rFonts w:ascii="Times New Roman" w:hAnsi="Times New Roman"/>
          <w:sz w:val="28"/>
          <w:szCs w:val="28"/>
          <w:lang w:val="ro-MD"/>
        </w:rPr>
        <w:t xml:space="preserve">, iar comparativ cu perioada similară au înregistrat o creștere de </w:t>
      </w:r>
      <w:r w:rsidR="00477690" w:rsidRPr="00012CA3">
        <w:rPr>
          <w:rFonts w:ascii="Times New Roman" w:hAnsi="Times New Roman"/>
          <w:sz w:val="28"/>
          <w:szCs w:val="28"/>
          <w:lang w:val="ro-MD"/>
        </w:rPr>
        <w:t xml:space="preserve">3,5 ori față de </w:t>
      </w:r>
      <w:r w:rsidR="00477690" w:rsidRPr="00012CA3">
        <w:rPr>
          <w:rFonts w:ascii="Times New Roman" w:hAnsi="Times New Roman"/>
          <w:sz w:val="28"/>
          <w:szCs w:val="28"/>
          <w:lang w:val="ro-MD"/>
        </w:rPr>
        <w:lastRenderedPageBreak/>
        <w:t>semestrul I 2024</w:t>
      </w:r>
      <w:r w:rsidR="00E54F29" w:rsidRPr="00012CA3">
        <w:rPr>
          <w:rFonts w:ascii="Times New Roman" w:hAnsi="Times New Roman"/>
          <w:sz w:val="28"/>
          <w:szCs w:val="28"/>
          <w:lang w:val="ro-MD"/>
        </w:rPr>
        <w:t>.</w:t>
      </w:r>
      <w:r w:rsidR="00816A60" w:rsidRPr="00012CA3">
        <w:rPr>
          <w:rFonts w:ascii="Times New Roman" w:hAnsi="Times New Roman"/>
          <w:sz w:val="28"/>
          <w:szCs w:val="28"/>
          <w:lang w:val="ro-MD"/>
        </w:rPr>
        <w:t xml:space="preserve"> </w:t>
      </w:r>
      <w:r w:rsidR="00587E7C" w:rsidRPr="00012CA3">
        <w:rPr>
          <w:rFonts w:ascii="Times New Roman" w:hAnsi="Times New Roman"/>
          <w:sz w:val="28"/>
          <w:szCs w:val="28"/>
          <w:lang w:val="ro-MD"/>
        </w:rPr>
        <w:t>Majorarea respectivă este determinată de corectarea modului de evidență a cheltuielilor capitale aferente lucrărilor de reabilitare a drumurilor.</w:t>
      </w:r>
    </w:p>
    <w:p w:rsidR="00333711" w:rsidRPr="00012CA3" w:rsidRDefault="00333711">
      <w:pPr>
        <w:spacing w:after="0" w:line="276" w:lineRule="auto"/>
        <w:ind w:firstLine="567"/>
        <w:jc w:val="both"/>
      </w:pPr>
    </w:p>
    <w:p w:rsidR="00F01E70" w:rsidRPr="00012CA3" w:rsidRDefault="00C82F48" w:rsidP="00467B65">
      <w:pPr>
        <w:pStyle w:val="12"/>
        <w:tabs>
          <w:tab w:val="left" w:pos="426"/>
        </w:tabs>
        <w:spacing w:after="0" w:line="276" w:lineRule="auto"/>
        <w:ind w:left="0" w:firstLine="567"/>
        <w:jc w:val="both"/>
        <w:rPr>
          <w:rFonts w:ascii="Times New Roman" w:hAnsi="Times New Roman"/>
          <w:sz w:val="28"/>
          <w:szCs w:val="28"/>
        </w:rPr>
      </w:pPr>
      <w:r w:rsidRPr="00012CA3">
        <w:rPr>
          <w:rFonts w:ascii="Times New Roman" w:hAnsi="Times New Roman"/>
          <w:sz w:val="28"/>
          <w:szCs w:val="28"/>
        </w:rPr>
        <w:t>Pentru</w:t>
      </w:r>
      <w:r w:rsidRPr="00012CA3">
        <w:rPr>
          <w:rFonts w:ascii="Times New Roman" w:hAnsi="Times New Roman"/>
          <w:b/>
          <w:sz w:val="28"/>
          <w:szCs w:val="28"/>
        </w:rPr>
        <w:t xml:space="preserve"> </w:t>
      </w:r>
      <w:r w:rsidRPr="00012CA3">
        <w:rPr>
          <w:rFonts w:ascii="Times New Roman" w:hAnsi="Times New Roman"/>
          <w:b/>
          <w:i/>
          <w:sz w:val="28"/>
          <w:szCs w:val="28"/>
        </w:rPr>
        <w:t>prestații sociale</w:t>
      </w:r>
      <w:r w:rsidRPr="00012CA3">
        <w:rPr>
          <w:rFonts w:ascii="Times New Roman" w:hAnsi="Times New Roman"/>
          <w:sz w:val="28"/>
          <w:szCs w:val="28"/>
        </w:rPr>
        <w:t xml:space="preserve"> au fost executate cheltuieli în sumă de </w:t>
      </w:r>
      <w:r w:rsidR="00312970" w:rsidRPr="00012CA3">
        <w:rPr>
          <w:rFonts w:ascii="Times New Roman" w:hAnsi="Times New Roman"/>
          <w:sz w:val="28"/>
          <w:szCs w:val="28"/>
        </w:rPr>
        <w:t>1</w:t>
      </w:r>
      <w:r w:rsidR="00221BF7" w:rsidRPr="00012CA3">
        <w:rPr>
          <w:rFonts w:ascii="Times New Roman" w:hAnsi="Times New Roman"/>
          <w:sz w:val="28"/>
          <w:szCs w:val="28"/>
        </w:rPr>
        <w:t> 104,0</w:t>
      </w:r>
      <w:r w:rsidRPr="00012CA3">
        <w:rPr>
          <w:rFonts w:ascii="Times New Roman" w:hAnsi="Times New Roman"/>
          <w:sz w:val="28"/>
          <w:szCs w:val="28"/>
        </w:rPr>
        <w:t xml:space="preserve"> mil.lei,  </w:t>
      </w:r>
      <w:r w:rsidR="00F76A11" w:rsidRPr="00F76A11">
        <w:rPr>
          <w:rFonts w:ascii="Times New Roman" w:hAnsi="Times New Roman"/>
          <w:sz w:val="28"/>
          <w:szCs w:val="28"/>
        </w:rPr>
        <w:t>înregistrând</w:t>
      </w:r>
      <w:r w:rsidR="00F76A11">
        <w:rPr>
          <w:rFonts w:ascii="Times New Roman" w:hAnsi="Times New Roman"/>
          <w:sz w:val="28"/>
          <w:szCs w:val="28"/>
        </w:rPr>
        <w:t xml:space="preserve"> </w:t>
      </w:r>
      <w:r w:rsidR="0008014B" w:rsidRPr="00012CA3">
        <w:rPr>
          <w:rFonts w:ascii="Times New Roman" w:hAnsi="Times New Roman"/>
          <w:sz w:val="28"/>
          <w:szCs w:val="28"/>
        </w:rPr>
        <w:t xml:space="preserve">o diminuare cu </w:t>
      </w:r>
      <w:r w:rsidR="00221BF7" w:rsidRPr="00012CA3">
        <w:rPr>
          <w:rFonts w:ascii="Times New Roman" w:hAnsi="Times New Roman"/>
          <w:sz w:val="28"/>
          <w:szCs w:val="28"/>
        </w:rPr>
        <w:t>15,6</w:t>
      </w:r>
      <w:r w:rsidR="00F76A11">
        <w:rPr>
          <w:rFonts w:ascii="Times New Roman" w:hAnsi="Times New Roman"/>
          <w:sz w:val="28"/>
          <w:szCs w:val="28"/>
        </w:rPr>
        <w:t>%</w:t>
      </w:r>
      <w:r w:rsidR="00F76A11" w:rsidRPr="00F76A11">
        <w:rPr>
          <w:rFonts w:ascii="Times New Roman" w:hAnsi="Times New Roman"/>
          <w:color w:val="000000"/>
          <w:sz w:val="28"/>
          <w:szCs w:val="28"/>
        </w:rPr>
        <w:t xml:space="preserve"> </w:t>
      </w:r>
      <w:r w:rsidR="00F76A11" w:rsidRPr="00012CA3">
        <w:rPr>
          <w:rFonts w:ascii="Times New Roman" w:hAnsi="Times New Roman"/>
          <w:color w:val="000000"/>
          <w:sz w:val="28"/>
          <w:szCs w:val="28"/>
        </w:rPr>
        <w:t>comparativ cu perioada similară a anului 2024</w:t>
      </w:r>
      <w:r w:rsidR="00436046">
        <w:rPr>
          <w:rFonts w:ascii="Times New Roman" w:hAnsi="Times New Roman"/>
          <w:sz w:val="28"/>
          <w:szCs w:val="28"/>
        </w:rPr>
        <w:t>.</w:t>
      </w:r>
      <w:r w:rsidRPr="00012CA3">
        <w:rPr>
          <w:rFonts w:ascii="Times New Roman" w:hAnsi="Times New Roman"/>
          <w:sz w:val="28"/>
          <w:szCs w:val="28"/>
        </w:rPr>
        <w:t xml:space="preserve">  </w:t>
      </w:r>
      <w:r w:rsidR="00467B65" w:rsidRPr="00012CA3">
        <w:rPr>
          <w:rFonts w:ascii="Times New Roman" w:hAnsi="Times New Roman"/>
          <w:sz w:val="28"/>
          <w:szCs w:val="28"/>
        </w:rPr>
        <w:t>Factor</w:t>
      </w:r>
      <w:r w:rsidR="00F43206" w:rsidRPr="00012CA3">
        <w:rPr>
          <w:rFonts w:ascii="Times New Roman" w:hAnsi="Times New Roman"/>
          <w:sz w:val="28"/>
          <w:szCs w:val="28"/>
        </w:rPr>
        <w:t xml:space="preserve">ul </w:t>
      </w:r>
      <w:r w:rsidR="00467B65" w:rsidRPr="00012CA3">
        <w:rPr>
          <w:rFonts w:ascii="Times New Roman" w:hAnsi="Times New Roman"/>
          <w:sz w:val="28"/>
          <w:szCs w:val="28"/>
        </w:rPr>
        <w:t xml:space="preserve">principal care au influențat </w:t>
      </w:r>
      <w:r w:rsidR="00544C2A" w:rsidRPr="00012CA3">
        <w:rPr>
          <w:rFonts w:ascii="Times New Roman" w:hAnsi="Times New Roman"/>
          <w:sz w:val="28"/>
          <w:szCs w:val="28"/>
        </w:rPr>
        <w:t>reducere</w:t>
      </w:r>
      <w:r w:rsidR="00467B65" w:rsidRPr="00012CA3">
        <w:rPr>
          <w:rFonts w:ascii="Times New Roman" w:hAnsi="Times New Roman"/>
          <w:sz w:val="28"/>
          <w:szCs w:val="28"/>
        </w:rPr>
        <w:t xml:space="preserve">a alocațiilor comparativ cu anul precedent au fost </w:t>
      </w:r>
      <w:r w:rsidR="001F7A12" w:rsidRPr="00012CA3">
        <w:rPr>
          <w:rFonts w:ascii="Times New Roman" w:hAnsi="Times New Roman"/>
          <w:sz w:val="28"/>
          <w:szCs w:val="28"/>
        </w:rPr>
        <w:t>reducerea alocațiilor acordate</w:t>
      </w:r>
      <w:r w:rsidR="00467B65" w:rsidRPr="00012CA3">
        <w:rPr>
          <w:rFonts w:ascii="Times New Roman" w:hAnsi="Times New Roman"/>
          <w:sz w:val="28"/>
          <w:szCs w:val="28"/>
        </w:rPr>
        <w:t xml:space="preserve"> pentru </w:t>
      </w:r>
      <w:r w:rsidR="001F7A12" w:rsidRPr="00012CA3">
        <w:rPr>
          <w:rFonts w:ascii="Times New Roman" w:hAnsi="Times New Roman"/>
          <w:sz w:val="28"/>
          <w:szCs w:val="28"/>
        </w:rPr>
        <w:t xml:space="preserve">achitarea facturilor la energie, în legătură cu modificarea mecanismului de acordare a compensațiilor pentru consumul de energie </w:t>
      </w:r>
      <w:r w:rsidR="00467B65" w:rsidRPr="00012CA3">
        <w:rPr>
          <w:rFonts w:ascii="Times New Roman" w:hAnsi="Times New Roman"/>
          <w:sz w:val="28"/>
          <w:szCs w:val="28"/>
        </w:rPr>
        <w:t>(Fondul de reducere a vulnerabilității</w:t>
      </w:r>
      <w:r w:rsidR="00F43206" w:rsidRPr="00012CA3">
        <w:rPr>
          <w:rFonts w:ascii="Times New Roman" w:hAnsi="Times New Roman"/>
          <w:sz w:val="28"/>
          <w:szCs w:val="28"/>
        </w:rPr>
        <w:t xml:space="preserve"> energetice</w:t>
      </w:r>
      <w:r w:rsidR="00467B65" w:rsidRPr="00012CA3">
        <w:rPr>
          <w:rFonts w:ascii="Times New Roman" w:hAnsi="Times New Roman"/>
          <w:sz w:val="28"/>
          <w:szCs w:val="28"/>
        </w:rPr>
        <w:t>)</w:t>
      </w:r>
      <w:r w:rsidR="00121A6A" w:rsidRPr="00012CA3">
        <w:rPr>
          <w:rFonts w:ascii="Times New Roman" w:hAnsi="Times New Roman"/>
          <w:sz w:val="28"/>
          <w:szCs w:val="28"/>
        </w:rPr>
        <w:t>.</w:t>
      </w:r>
    </w:p>
    <w:p w:rsidR="008152B8" w:rsidRPr="00012CA3" w:rsidRDefault="008152B8" w:rsidP="00467B65">
      <w:pPr>
        <w:pStyle w:val="12"/>
        <w:tabs>
          <w:tab w:val="left" w:pos="426"/>
        </w:tabs>
        <w:spacing w:after="0" w:line="276" w:lineRule="auto"/>
        <w:ind w:left="0" w:firstLine="567"/>
        <w:jc w:val="both"/>
        <w:rPr>
          <w:rFonts w:ascii="Times New Roman" w:hAnsi="Times New Roman"/>
          <w:sz w:val="28"/>
          <w:szCs w:val="28"/>
        </w:rPr>
      </w:pPr>
    </w:p>
    <w:p w:rsidR="00DC79DD" w:rsidRPr="00012CA3" w:rsidRDefault="00C82F48" w:rsidP="00F15C28">
      <w:pPr>
        <w:spacing w:after="120" w:line="276" w:lineRule="auto"/>
        <w:ind w:firstLine="567"/>
        <w:jc w:val="both"/>
        <w:rPr>
          <w:rFonts w:ascii="Times New Roman" w:hAnsi="Times New Roman"/>
          <w:color w:val="000000"/>
          <w:sz w:val="28"/>
          <w:szCs w:val="28"/>
        </w:rPr>
      </w:pPr>
      <w:r w:rsidRPr="00012CA3">
        <w:rPr>
          <w:rFonts w:ascii="Times New Roman" w:hAnsi="Times New Roman"/>
          <w:b/>
          <w:i/>
          <w:color w:val="000000"/>
          <w:sz w:val="28"/>
          <w:szCs w:val="28"/>
        </w:rPr>
        <w:t>Transferurile către alte bugete</w:t>
      </w:r>
      <w:r w:rsidRPr="00012CA3">
        <w:rPr>
          <w:rFonts w:ascii="Times New Roman" w:hAnsi="Times New Roman"/>
          <w:color w:val="000000"/>
          <w:sz w:val="28"/>
          <w:szCs w:val="28"/>
        </w:rPr>
        <w:t xml:space="preserve"> au fost executate în sumă de </w:t>
      </w:r>
      <w:r w:rsidR="00FE3E18" w:rsidRPr="00012CA3">
        <w:rPr>
          <w:rFonts w:ascii="Times New Roman" w:hAnsi="Times New Roman"/>
          <w:color w:val="000000"/>
          <w:sz w:val="28"/>
          <w:szCs w:val="28"/>
        </w:rPr>
        <w:t>25 788,1</w:t>
      </w:r>
      <w:r w:rsidRPr="00012CA3">
        <w:rPr>
          <w:rFonts w:ascii="Times New Roman" w:hAnsi="Times New Roman"/>
          <w:color w:val="000000"/>
          <w:sz w:val="28"/>
          <w:szCs w:val="28"/>
        </w:rPr>
        <w:t xml:space="preserve"> mil.lei,  constituind </w:t>
      </w:r>
      <w:r w:rsidR="00FE3E18" w:rsidRPr="00012CA3">
        <w:rPr>
          <w:rFonts w:ascii="Times New Roman" w:hAnsi="Times New Roman"/>
          <w:color w:val="000000"/>
          <w:sz w:val="28"/>
          <w:szCs w:val="28"/>
        </w:rPr>
        <w:t>56,8</w:t>
      </w:r>
      <w:r w:rsidRPr="00012CA3">
        <w:rPr>
          <w:rFonts w:ascii="Times New Roman" w:hAnsi="Times New Roman"/>
          <w:color w:val="000000"/>
          <w:sz w:val="28"/>
          <w:szCs w:val="28"/>
        </w:rPr>
        <w:t xml:space="preserve">% din cheltuielile bugetului de stat, cu o creștere de </w:t>
      </w:r>
      <w:r w:rsidR="0044225C" w:rsidRPr="00012CA3">
        <w:rPr>
          <w:rFonts w:ascii="Times New Roman" w:hAnsi="Times New Roman"/>
          <w:color w:val="000000"/>
          <w:sz w:val="28"/>
          <w:szCs w:val="28"/>
        </w:rPr>
        <w:t>20,0</w:t>
      </w:r>
      <w:r w:rsidRPr="00012CA3">
        <w:rPr>
          <w:rFonts w:ascii="Times New Roman" w:hAnsi="Times New Roman"/>
          <w:color w:val="000000"/>
          <w:sz w:val="28"/>
          <w:szCs w:val="28"/>
        </w:rPr>
        <w:t>% comparativ cu aceeași perioadă a anului 202</w:t>
      </w:r>
      <w:r w:rsidR="0044225C" w:rsidRPr="00012CA3">
        <w:rPr>
          <w:rFonts w:ascii="Times New Roman" w:hAnsi="Times New Roman"/>
          <w:color w:val="000000"/>
          <w:sz w:val="28"/>
          <w:szCs w:val="28"/>
        </w:rPr>
        <w:t>4</w:t>
      </w:r>
      <w:r w:rsidRPr="00012CA3">
        <w:rPr>
          <w:rFonts w:ascii="Times New Roman" w:hAnsi="Times New Roman"/>
          <w:color w:val="000000"/>
          <w:sz w:val="28"/>
          <w:szCs w:val="28"/>
        </w:rPr>
        <w:t xml:space="preserve">. În cadrul acestora, </w:t>
      </w:r>
      <w:r w:rsidR="006D3851" w:rsidRPr="00012CA3">
        <w:rPr>
          <w:rFonts w:ascii="Times New Roman" w:hAnsi="Times New Roman"/>
          <w:color w:val="000000"/>
          <w:sz w:val="28"/>
          <w:szCs w:val="28"/>
        </w:rPr>
        <w:t xml:space="preserve">transferurile către bugetul asigurărilor sociale de stat au crescut cu </w:t>
      </w:r>
      <w:r w:rsidR="00EB67EB" w:rsidRPr="00012CA3">
        <w:rPr>
          <w:rFonts w:ascii="Times New Roman" w:hAnsi="Times New Roman"/>
          <w:color w:val="000000"/>
          <w:sz w:val="28"/>
          <w:szCs w:val="28"/>
        </w:rPr>
        <w:t>21,9</w:t>
      </w:r>
      <w:r w:rsidRPr="00012CA3">
        <w:rPr>
          <w:rFonts w:ascii="Times New Roman" w:hAnsi="Times New Roman"/>
          <w:color w:val="000000"/>
          <w:sz w:val="28"/>
          <w:szCs w:val="28"/>
        </w:rPr>
        <w:t>%</w:t>
      </w:r>
      <w:r w:rsidR="006D3851" w:rsidRPr="00012CA3">
        <w:rPr>
          <w:rFonts w:ascii="Times New Roman" w:hAnsi="Times New Roman"/>
          <w:color w:val="000000"/>
          <w:sz w:val="28"/>
          <w:szCs w:val="28"/>
        </w:rPr>
        <w:t>, dintre care</w:t>
      </w:r>
      <w:r w:rsidR="004C0A4F" w:rsidRPr="00012CA3">
        <w:t xml:space="preserve"> </w:t>
      </w:r>
      <w:r w:rsidR="004C0A4F" w:rsidRPr="00012CA3">
        <w:rPr>
          <w:rFonts w:ascii="Times New Roman" w:hAnsi="Times New Roman"/>
          <w:color w:val="000000"/>
          <w:sz w:val="28"/>
          <w:szCs w:val="28"/>
        </w:rPr>
        <w:t>mare parte</w:t>
      </w:r>
      <w:r w:rsidR="006D3851" w:rsidRPr="00012CA3">
        <w:rPr>
          <w:rFonts w:ascii="Times New Roman" w:hAnsi="Times New Roman"/>
          <w:color w:val="000000"/>
          <w:sz w:val="28"/>
          <w:szCs w:val="28"/>
        </w:rPr>
        <w:t xml:space="preserve"> pentru</w:t>
      </w:r>
      <w:r w:rsidRPr="00012CA3">
        <w:rPr>
          <w:rFonts w:ascii="Times New Roman" w:hAnsi="Times New Roman"/>
          <w:color w:val="000000"/>
          <w:sz w:val="28"/>
          <w:szCs w:val="28"/>
        </w:rPr>
        <w:t xml:space="preserve"> </w:t>
      </w:r>
      <w:r w:rsidR="00F83FE0" w:rsidRPr="00012CA3">
        <w:rPr>
          <w:rFonts w:ascii="Times New Roman" w:hAnsi="Times New Roman"/>
          <w:color w:val="000000"/>
          <w:sz w:val="28"/>
          <w:szCs w:val="28"/>
        </w:rPr>
        <w:t xml:space="preserve">acoperirea </w:t>
      </w:r>
      <w:r w:rsidR="00226A29" w:rsidRPr="00012CA3">
        <w:rPr>
          <w:rFonts w:ascii="Times New Roman" w:hAnsi="Times New Roman"/>
          <w:color w:val="000000"/>
          <w:sz w:val="28"/>
          <w:szCs w:val="28"/>
        </w:rPr>
        <w:t>deficitului bugetului asigurărilor sociale de stat</w:t>
      </w:r>
      <w:r w:rsidR="006D3851" w:rsidRPr="00012CA3">
        <w:rPr>
          <w:rFonts w:ascii="Times New Roman" w:hAnsi="Times New Roman"/>
          <w:color w:val="000000"/>
          <w:sz w:val="28"/>
          <w:szCs w:val="28"/>
        </w:rPr>
        <w:t xml:space="preserve">, precum și </w:t>
      </w:r>
      <w:r w:rsidR="00A45DB2" w:rsidRPr="00012CA3">
        <w:rPr>
          <w:rFonts w:ascii="Times New Roman" w:hAnsi="Times New Roman"/>
          <w:color w:val="000000"/>
          <w:sz w:val="28"/>
          <w:szCs w:val="28"/>
        </w:rPr>
        <w:t>acoperirea cheltuielilor pentru prestațiile sociale finanțate din bugetul de stat</w:t>
      </w:r>
      <w:r w:rsidR="00934FDE" w:rsidRPr="00012CA3">
        <w:rPr>
          <w:rFonts w:ascii="Times New Roman" w:hAnsi="Times New Roman"/>
          <w:color w:val="000000"/>
          <w:sz w:val="28"/>
          <w:szCs w:val="28"/>
        </w:rPr>
        <w:t xml:space="preserve">, acordarea compensațiilor la energie sub formă de plată monetară. </w:t>
      </w:r>
      <w:r w:rsidR="00681B93" w:rsidRPr="00012CA3">
        <w:rPr>
          <w:rFonts w:ascii="Times New Roman" w:hAnsi="Times New Roman"/>
          <w:color w:val="000000"/>
          <w:sz w:val="28"/>
          <w:szCs w:val="28"/>
        </w:rPr>
        <w:t xml:space="preserve">Transferurile către fondurile asigurării obligatorii de asistență medicală au constituit </w:t>
      </w:r>
      <w:r w:rsidR="00476FFD" w:rsidRPr="00012CA3">
        <w:rPr>
          <w:rFonts w:ascii="Times New Roman" w:hAnsi="Times New Roman"/>
          <w:color w:val="000000"/>
          <w:sz w:val="28"/>
          <w:szCs w:val="28"/>
        </w:rPr>
        <w:t>1</w:t>
      </w:r>
      <w:r w:rsidR="00D30A83" w:rsidRPr="00012CA3">
        <w:rPr>
          <w:rFonts w:ascii="Times New Roman" w:hAnsi="Times New Roman"/>
          <w:color w:val="000000"/>
          <w:sz w:val="28"/>
          <w:szCs w:val="28"/>
        </w:rPr>
        <w:t> 832,1</w:t>
      </w:r>
      <w:r w:rsidR="00681B93" w:rsidRPr="00012CA3">
        <w:rPr>
          <w:rFonts w:ascii="Times New Roman" w:hAnsi="Times New Roman"/>
          <w:color w:val="000000"/>
          <w:sz w:val="28"/>
          <w:szCs w:val="28"/>
        </w:rPr>
        <w:t xml:space="preserve"> mil. lei, cu o </w:t>
      </w:r>
      <w:r w:rsidR="00D30A83" w:rsidRPr="00012CA3">
        <w:rPr>
          <w:rFonts w:ascii="Times New Roman" w:hAnsi="Times New Roman"/>
          <w:color w:val="000000"/>
          <w:sz w:val="28"/>
          <w:szCs w:val="28"/>
        </w:rPr>
        <w:t>creștere de 47,4</w:t>
      </w:r>
      <w:r w:rsidR="00681B93" w:rsidRPr="00012CA3">
        <w:rPr>
          <w:rFonts w:ascii="Times New Roman" w:hAnsi="Times New Roman"/>
          <w:color w:val="000000"/>
          <w:sz w:val="28"/>
          <w:szCs w:val="28"/>
        </w:rPr>
        <w:t xml:space="preserve">% sau cu </w:t>
      </w:r>
      <w:r w:rsidR="00D30A83" w:rsidRPr="00012CA3">
        <w:rPr>
          <w:rFonts w:ascii="Times New Roman" w:hAnsi="Times New Roman"/>
          <w:color w:val="000000"/>
          <w:sz w:val="28"/>
          <w:szCs w:val="28"/>
        </w:rPr>
        <w:t>588,9</w:t>
      </w:r>
      <w:r w:rsidR="00681B93" w:rsidRPr="00012CA3">
        <w:rPr>
          <w:rFonts w:ascii="Times New Roman" w:hAnsi="Times New Roman"/>
          <w:color w:val="000000"/>
          <w:sz w:val="28"/>
          <w:szCs w:val="28"/>
        </w:rPr>
        <w:t xml:space="preserve"> mil. lei față de semestrul I 202</w:t>
      </w:r>
      <w:r w:rsidR="00D30A83" w:rsidRPr="00012CA3">
        <w:rPr>
          <w:rFonts w:ascii="Times New Roman" w:hAnsi="Times New Roman"/>
          <w:color w:val="000000"/>
          <w:sz w:val="28"/>
          <w:szCs w:val="28"/>
        </w:rPr>
        <w:t>4</w:t>
      </w:r>
      <w:r w:rsidR="00681B93" w:rsidRPr="00012CA3">
        <w:rPr>
          <w:rFonts w:ascii="Times New Roman" w:hAnsi="Times New Roman"/>
          <w:color w:val="000000"/>
          <w:sz w:val="28"/>
          <w:szCs w:val="28"/>
        </w:rPr>
        <w:t>.</w:t>
      </w:r>
      <w:r w:rsidR="00AD7E52" w:rsidRPr="00012CA3">
        <w:rPr>
          <w:rFonts w:ascii="Times New Roman" w:hAnsi="Times New Roman"/>
          <w:color w:val="000000"/>
          <w:sz w:val="28"/>
          <w:szCs w:val="28"/>
        </w:rPr>
        <w:t xml:space="preserve"> </w:t>
      </w:r>
      <w:r w:rsidR="004C3CC8" w:rsidRPr="004C3CC8">
        <w:rPr>
          <w:rFonts w:ascii="Times New Roman" w:hAnsi="Times New Roman"/>
          <w:color w:val="000000"/>
          <w:sz w:val="28"/>
          <w:szCs w:val="28"/>
        </w:rPr>
        <w:t>Transferurile către bugetele locale au înregistrat o creștere de 14,7%</w:t>
      </w:r>
      <w:r w:rsidR="004C3CC8">
        <w:rPr>
          <w:rFonts w:ascii="Times New Roman" w:hAnsi="Times New Roman"/>
          <w:color w:val="000000"/>
          <w:sz w:val="28"/>
          <w:szCs w:val="28"/>
        </w:rPr>
        <w:t xml:space="preserve"> </w:t>
      </w:r>
      <w:r w:rsidR="00EA7E76" w:rsidRPr="00012CA3">
        <w:rPr>
          <w:rFonts w:ascii="Times New Roman" w:hAnsi="Times New Roman"/>
          <w:color w:val="000000"/>
          <w:sz w:val="28"/>
          <w:szCs w:val="28"/>
        </w:rPr>
        <w:t xml:space="preserve">sau cu 1 458,6 mil. lei, </w:t>
      </w:r>
      <w:r w:rsidR="00867A10" w:rsidRPr="00867A10">
        <w:rPr>
          <w:rFonts w:ascii="Times New Roman" w:hAnsi="Times New Roman"/>
          <w:color w:val="000000"/>
          <w:sz w:val="28"/>
          <w:szCs w:val="28"/>
        </w:rPr>
        <w:t>fiind destinate</w:t>
      </w:r>
      <w:r w:rsidR="00C51624">
        <w:rPr>
          <w:rFonts w:ascii="Times New Roman" w:hAnsi="Times New Roman"/>
          <w:color w:val="000000"/>
          <w:sz w:val="28"/>
          <w:szCs w:val="28"/>
        </w:rPr>
        <w:t xml:space="preserve"> sectorului educație</w:t>
      </w:r>
      <w:r w:rsidR="00BD5F56" w:rsidRPr="00012CA3">
        <w:rPr>
          <w:rFonts w:ascii="Times New Roman" w:hAnsi="Times New Roman"/>
          <w:color w:val="000000"/>
          <w:sz w:val="28"/>
          <w:szCs w:val="28"/>
        </w:rPr>
        <w:t xml:space="preserve"> </w:t>
      </w:r>
      <w:r w:rsidR="00C51624" w:rsidRPr="00C51624">
        <w:rPr>
          <w:rFonts w:ascii="Times New Roman" w:hAnsi="Times New Roman"/>
          <w:color w:val="000000"/>
          <w:sz w:val="28"/>
          <w:szCs w:val="28"/>
        </w:rPr>
        <w:t>și asistenț</w:t>
      </w:r>
      <w:r w:rsidR="00867A10">
        <w:rPr>
          <w:rFonts w:ascii="Times New Roman" w:hAnsi="Times New Roman"/>
          <w:color w:val="000000"/>
          <w:sz w:val="28"/>
          <w:szCs w:val="28"/>
        </w:rPr>
        <w:t>ei</w:t>
      </w:r>
      <w:r w:rsidR="00C51624" w:rsidRPr="00C51624">
        <w:rPr>
          <w:rFonts w:ascii="Times New Roman" w:hAnsi="Times New Roman"/>
          <w:color w:val="000000"/>
          <w:sz w:val="28"/>
          <w:szCs w:val="28"/>
        </w:rPr>
        <w:t xml:space="preserve"> social</w:t>
      </w:r>
      <w:r w:rsidR="00324549">
        <w:rPr>
          <w:rFonts w:ascii="Times New Roman" w:hAnsi="Times New Roman"/>
          <w:color w:val="000000"/>
          <w:sz w:val="28"/>
          <w:szCs w:val="28"/>
        </w:rPr>
        <w:t>e</w:t>
      </w:r>
      <w:r w:rsidR="00BD5F56" w:rsidRPr="00012CA3">
        <w:rPr>
          <w:rFonts w:ascii="Times New Roman" w:hAnsi="Times New Roman"/>
          <w:color w:val="000000"/>
          <w:sz w:val="28"/>
          <w:szCs w:val="28"/>
        </w:rPr>
        <w:t>.</w:t>
      </w:r>
    </w:p>
    <w:p w:rsidR="008B7548" w:rsidRPr="00012CA3" w:rsidRDefault="00C82F48" w:rsidP="00F15C28">
      <w:pPr>
        <w:spacing w:after="120" w:line="276" w:lineRule="auto"/>
        <w:ind w:firstLine="567"/>
        <w:jc w:val="both"/>
        <w:rPr>
          <w:rFonts w:ascii="Times New Roman" w:hAnsi="Times New Roman"/>
          <w:color w:val="000000"/>
          <w:sz w:val="28"/>
          <w:szCs w:val="28"/>
        </w:rPr>
      </w:pPr>
      <w:r w:rsidRPr="00012CA3">
        <w:rPr>
          <w:rFonts w:ascii="Times New Roman" w:hAnsi="Times New Roman"/>
          <w:color w:val="000000"/>
          <w:sz w:val="28"/>
          <w:szCs w:val="28"/>
        </w:rPr>
        <w:t xml:space="preserve"> Cheltuielile pentru </w:t>
      </w:r>
      <w:r w:rsidRPr="00012CA3">
        <w:rPr>
          <w:rFonts w:ascii="Times New Roman" w:hAnsi="Times New Roman"/>
          <w:b/>
          <w:i/>
          <w:color w:val="000000"/>
          <w:sz w:val="28"/>
          <w:szCs w:val="28"/>
        </w:rPr>
        <w:t>mijloace fixe</w:t>
      </w:r>
      <w:r w:rsidRPr="00012CA3">
        <w:rPr>
          <w:rFonts w:ascii="Times New Roman" w:hAnsi="Times New Roman"/>
          <w:b/>
          <w:color w:val="000000"/>
          <w:sz w:val="28"/>
          <w:szCs w:val="28"/>
        </w:rPr>
        <w:t xml:space="preserve"> </w:t>
      </w:r>
      <w:r w:rsidRPr="00012CA3">
        <w:rPr>
          <w:rFonts w:ascii="Times New Roman" w:hAnsi="Times New Roman"/>
          <w:color w:val="000000"/>
          <w:sz w:val="28"/>
          <w:szCs w:val="28"/>
        </w:rPr>
        <w:t xml:space="preserve">au fost executate în sumă de </w:t>
      </w:r>
      <w:r w:rsidR="00212E99" w:rsidRPr="00012CA3">
        <w:rPr>
          <w:rFonts w:ascii="Times New Roman" w:hAnsi="Times New Roman"/>
          <w:color w:val="000000"/>
          <w:sz w:val="28"/>
          <w:szCs w:val="28"/>
        </w:rPr>
        <w:t>775,2</w:t>
      </w:r>
      <w:r w:rsidRPr="00012CA3">
        <w:rPr>
          <w:rFonts w:ascii="Times New Roman" w:hAnsi="Times New Roman"/>
          <w:color w:val="000000"/>
          <w:sz w:val="28"/>
          <w:szCs w:val="28"/>
        </w:rPr>
        <w:t xml:space="preserve"> mil. lei,  </w:t>
      </w:r>
      <w:r w:rsidR="00333FB8" w:rsidRPr="00012CA3">
        <w:rPr>
          <w:rFonts w:ascii="Times New Roman" w:hAnsi="Times New Roman"/>
          <w:color w:val="000000"/>
          <w:sz w:val="28"/>
          <w:szCs w:val="28"/>
        </w:rPr>
        <w:t xml:space="preserve">fiind  în diminuare cu </w:t>
      </w:r>
      <w:r w:rsidR="00125624" w:rsidRPr="00012CA3">
        <w:rPr>
          <w:rFonts w:ascii="Times New Roman" w:hAnsi="Times New Roman"/>
          <w:color w:val="000000"/>
          <w:sz w:val="28"/>
          <w:szCs w:val="28"/>
        </w:rPr>
        <w:t>23,2%</w:t>
      </w:r>
      <w:r w:rsidR="00125624" w:rsidRPr="00012CA3">
        <w:t xml:space="preserve"> </w:t>
      </w:r>
      <w:r w:rsidR="00125624" w:rsidRPr="00012CA3">
        <w:rPr>
          <w:rFonts w:ascii="Times New Roman" w:hAnsi="Times New Roman"/>
          <w:color w:val="000000"/>
          <w:sz w:val="28"/>
          <w:szCs w:val="28"/>
        </w:rPr>
        <w:t>comparativ cu  perioada similară a anului 2024,</w:t>
      </w:r>
      <w:r w:rsidR="00D52A10" w:rsidRPr="00012CA3">
        <w:t xml:space="preserve"> </w:t>
      </w:r>
      <w:r w:rsidR="00D52A10" w:rsidRPr="00012CA3">
        <w:rPr>
          <w:rFonts w:ascii="Times New Roman" w:hAnsi="Times New Roman"/>
          <w:color w:val="000000"/>
          <w:sz w:val="28"/>
          <w:szCs w:val="28"/>
        </w:rPr>
        <w:t>urmare a diminuării acestor cheltuieli în cadrul proiectelor finanțate din surse externe.</w:t>
      </w:r>
      <w:r w:rsidR="00875125" w:rsidRPr="00012CA3">
        <w:t xml:space="preserve"> </w:t>
      </w:r>
      <w:r w:rsidR="00875125" w:rsidRPr="00012CA3">
        <w:rPr>
          <w:rFonts w:ascii="Times New Roman" w:hAnsi="Times New Roman"/>
          <w:color w:val="000000"/>
          <w:sz w:val="28"/>
          <w:szCs w:val="28"/>
        </w:rPr>
        <w:t xml:space="preserve">În mod corespunzător, cheltuielile pentru </w:t>
      </w:r>
      <w:r w:rsidR="00875125" w:rsidRPr="00012CA3">
        <w:rPr>
          <w:rFonts w:ascii="Times New Roman" w:hAnsi="Times New Roman"/>
          <w:b/>
          <w:i/>
          <w:color w:val="000000"/>
          <w:sz w:val="28"/>
          <w:szCs w:val="28"/>
        </w:rPr>
        <w:t>investiții capitale</w:t>
      </w:r>
      <w:r w:rsidR="00875125" w:rsidRPr="00012CA3">
        <w:rPr>
          <w:rFonts w:ascii="Times New Roman" w:hAnsi="Times New Roman"/>
          <w:color w:val="000000"/>
          <w:sz w:val="28"/>
          <w:szCs w:val="28"/>
        </w:rPr>
        <w:t xml:space="preserve"> sunt în diminuare, cu </w:t>
      </w:r>
      <w:r w:rsidR="00BA3EA9" w:rsidRPr="00012CA3">
        <w:rPr>
          <w:rFonts w:ascii="Times New Roman" w:hAnsi="Times New Roman"/>
          <w:color w:val="000000"/>
          <w:sz w:val="28"/>
          <w:szCs w:val="28"/>
        </w:rPr>
        <w:t>203,7</w:t>
      </w:r>
      <w:r w:rsidR="00875125" w:rsidRPr="00012CA3">
        <w:rPr>
          <w:rFonts w:ascii="Times New Roman" w:hAnsi="Times New Roman"/>
          <w:color w:val="000000"/>
          <w:sz w:val="28"/>
          <w:szCs w:val="28"/>
        </w:rPr>
        <w:t xml:space="preserve"> mil.lei față de semestrul I 202</w:t>
      </w:r>
      <w:r w:rsidR="00BA3EA9" w:rsidRPr="00012CA3">
        <w:rPr>
          <w:rFonts w:ascii="Times New Roman" w:hAnsi="Times New Roman"/>
          <w:color w:val="000000"/>
          <w:sz w:val="28"/>
          <w:szCs w:val="28"/>
        </w:rPr>
        <w:t>4</w:t>
      </w:r>
      <w:r w:rsidR="00875125" w:rsidRPr="00012CA3">
        <w:rPr>
          <w:rFonts w:ascii="Times New Roman" w:hAnsi="Times New Roman"/>
          <w:color w:val="000000"/>
          <w:sz w:val="28"/>
          <w:szCs w:val="28"/>
        </w:rPr>
        <w:t>.</w:t>
      </w:r>
      <w:r w:rsidR="00E206E9" w:rsidRPr="00012CA3">
        <w:rPr>
          <w:rFonts w:ascii="Times New Roman" w:hAnsi="Times New Roman"/>
          <w:color w:val="000000"/>
          <w:sz w:val="28"/>
          <w:szCs w:val="28"/>
        </w:rPr>
        <w:t xml:space="preserve"> </w:t>
      </w:r>
      <w:r w:rsidR="00EA0DA4" w:rsidRPr="00012CA3">
        <w:rPr>
          <w:rFonts w:ascii="Times New Roman" w:hAnsi="Times New Roman"/>
          <w:color w:val="000000"/>
          <w:sz w:val="28"/>
          <w:szCs w:val="28"/>
        </w:rPr>
        <w:t>C</w:t>
      </w:r>
      <w:r w:rsidR="0083741F" w:rsidRPr="00012CA3">
        <w:rPr>
          <w:rFonts w:ascii="Times New Roman" w:hAnsi="Times New Roman"/>
          <w:color w:val="000000"/>
          <w:sz w:val="28"/>
          <w:szCs w:val="28"/>
        </w:rPr>
        <w:t>heltuieli</w:t>
      </w:r>
      <w:r w:rsidR="003F5A63" w:rsidRPr="00012CA3">
        <w:rPr>
          <w:rFonts w:ascii="Times New Roman" w:hAnsi="Times New Roman"/>
          <w:color w:val="000000"/>
          <w:sz w:val="28"/>
          <w:szCs w:val="28"/>
        </w:rPr>
        <w:t>le</w:t>
      </w:r>
      <w:r w:rsidR="0083741F" w:rsidRPr="00012CA3">
        <w:rPr>
          <w:rFonts w:ascii="Times New Roman" w:hAnsi="Times New Roman"/>
          <w:color w:val="000000"/>
          <w:sz w:val="28"/>
          <w:szCs w:val="28"/>
        </w:rPr>
        <w:t xml:space="preserve"> </w:t>
      </w:r>
      <w:r w:rsidR="00EA0DA4" w:rsidRPr="00012CA3">
        <w:rPr>
          <w:rFonts w:ascii="Times New Roman" w:hAnsi="Times New Roman"/>
          <w:color w:val="000000"/>
          <w:sz w:val="28"/>
          <w:szCs w:val="28"/>
        </w:rPr>
        <w:t xml:space="preserve">respective </w:t>
      </w:r>
      <w:r w:rsidR="0083741F" w:rsidRPr="00012CA3">
        <w:rPr>
          <w:rFonts w:ascii="Times New Roman" w:hAnsi="Times New Roman"/>
          <w:color w:val="000000"/>
          <w:sz w:val="28"/>
          <w:szCs w:val="28"/>
        </w:rPr>
        <w:t>în cadrul proiectelor finanțate din surse externe</w:t>
      </w:r>
      <w:r w:rsidR="003F5A63" w:rsidRPr="00012CA3">
        <w:t xml:space="preserve"> </w:t>
      </w:r>
      <w:r w:rsidR="003F5A63" w:rsidRPr="00012CA3">
        <w:rPr>
          <w:rFonts w:ascii="Times New Roman" w:hAnsi="Times New Roman"/>
          <w:color w:val="000000"/>
          <w:sz w:val="28"/>
          <w:szCs w:val="28"/>
        </w:rPr>
        <w:t xml:space="preserve">au fost </w:t>
      </w:r>
      <w:r w:rsidR="00EA0DA4" w:rsidRPr="00012CA3">
        <w:rPr>
          <w:rFonts w:ascii="Times New Roman" w:hAnsi="Times New Roman"/>
          <w:color w:val="000000"/>
          <w:sz w:val="28"/>
          <w:szCs w:val="28"/>
        </w:rPr>
        <w:t xml:space="preserve">executate </w:t>
      </w:r>
      <w:r w:rsidR="003F5A63" w:rsidRPr="00012CA3">
        <w:rPr>
          <w:rFonts w:ascii="Times New Roman" w:hAnsi="Times New Roman"/>
          <w:color w:val="000000"/>
          <w:sz w:val="28"/>
          <w:szCs w:val="28"/>
        </w:rPr>
        <w:t xml:space="preserve">în sumă de </w:t>
      </w:r>
      <w:r w:rsidR="00E206E9" w:rsidRPr="00012CA3">
        <w:rPr>
          <w:rFonts w:ascii="Times New Roman" w:hAnsi="Times New Roman"/>
          <w:color w:val="000000"/>
          <w:sz w:val="28"/>
          <w:szCs w:val="28"/>
        </w:rPr>
        <w:t>310,1</w:t>
      </w:r>
      <w:r w:rsidR="003F5A63" w:rsidRPr="00012CA3">
        <w:rPr>
          <w:rFonts w:ascii="Times New Roman" w:hAnsi="Times New Roman"/>
          <w:color w:val="000000"/>
          <w:sz w:val="28"/>
          <w:szCs w:val="28"/>
        </w:rPr>
        <w:t xml:space="preserve"> mil. lei, </w:t>
      </w:r>
      <w:r w:rsidR="00C348A9" w:rsidRPr="00012CA3">
        <w:rPr>
          <w:rFonts w:ascii="Times New Roman" w:hAnsi="Times New Roman"/>
          <w:color w:val="000000"/>
          <w:sz w:val="28"/>
          <w:szCs w:val="28"/>
        </w:rPr>
        <w:t>iar comparativ cu perioada similară a anului precedent au înregistrat o diminuare cu 246,5</w:t>
      </w:r>
      <w:r w:rsidR="00C348A9" w:rsidRPr="00012CA3">
        <w:t xml:space="preserve"> </w:t>
      </w:r>
      <w:r w:rsidR="00C348A9" w:rsidRPr="00012CA3">
        <w:rPr>
          <w:rFonts w:ascii="Times New Roman" w:hAnsi="Times New Roman"/>
          <w:color w:val="000000"/>
          <w:sz w:val="28"/>
          <w:szCs w:val="28"/>
        </w:rPr>
        <w:t xml:space="preserve">mil. lei. </w:t>
      </w:r>
    </w:p>
    <w:p w:rsidR="00C82F48" w:rsidRPr="00012CA3" w:rsidRDefault="00C82F48">
      <w:pPr>
        <w:spacing w:after="120" w:line="276" w:lineRule="auto"/>
        <w:ind w:firstLine="567"/>
        <w:jc w:val="both"/>
      </w:pPr>
      <w:r w:rsidRPr="00012CA3">
        <w:rPr>
          <w:rFonts w:ascii="Times New Roman" w:hAnsi="Times New Roman"/>
          <w:color w:val="000000"/>
          <w:sz w:val="28"/>
          <w:szCs w:val="28"/>
        </w:rPr>
        <w:t xml:space="preserve"> Cheltuielile pentru </w:t>
      </w:r>
      <w:r w:rsidRPr="00012CA3">
        <w:rPr>
          <w:rFonts w:ascii="Times New Roman" w:hAnsi="Times New Roman"/>
          <w:b/>
          <w:i/>
          <w:color w:val="000000"/>
          <w:sz w:val="28"/>
          <w:szCs w:val="28"/>
        </w:rPr>
        <w:t>stocuri de materiale</w:t>
      </w:r>
      <w:r w:rsidRPr="00012CA3">
        <w:rPr>
          <w:rFonts w:ascii="Times New Roman" w:hAnsi="Times New Roman"/>
          <w:color w:val="000000"/>
          <w:sz w:val="28"/>
          <w:szCs w:val="28"/>
        </w:rPr>
        <w:t xml:space="preserve"> au fost executate în sumă de </w:t>
      </w:r>
      <w:r w:rsidR="00FA6738" w:rsidRPr="00012CA3">
        <w:rPr>
          <w:rFonts w:ascii="Times New Roman" w:hAnsi="Times New Roman"/>
          <w:color w:val="000000"/>
          <w:sz w:val="28"/>
          <w:szCs w:val="28"/>
        </w:rPr>
        <w:t>400,9</w:t>
      </w:r>
      <w:r w:rsidRPr="00012CA3">
        <w:rPr>
          <w:rFonts w:ascii="Times New Roman" w:hAnsi="Times New Roman"/>
          <w:color w:val="000000"/>
          <w:sz w:val="28"/>
          <w:szCs w:val="28"/>
        </w:rPr>
        <w:t xml:space="preserve"> mil.lei, fiind în </w:t>
      </w:r>
      <w:r w:rsidR="0056458C" w:rsidRPr="00012CA3">
        <w:rPr>
          <w:rFonts w:ascii="Times New Roman" w:hAnsi="Times New Roman"/>
          <w:color w:val="000000"/>
          <w:sz w:val="28"/>
          <w:szCs w:val="28"/>
        </w:rPr>
        <w:t>creștere</w:t>
      </w:r>
      <w:r w:rsidRPr="00012CA3">
        <w:rPr>
          <w:rFonts w:ascii="Times New Roman" w:hAnsi="Times New Roman"/>
          <w:color w:val="000000"/>
          <w:sz w:val="28"/>
          <w:szCs w:val="28"/>
        </w:rPr>
        <w:t xml:space="preserve"> cu</w:t>
      </w:r>
      <w:r w:rsidR="00C6039C" w:rsidRPr="00012CA3">
        <w:rPr>
          <w:rFonts w:ascii="Times New Roman" w:hAnsi="Times New Roman"/>
          <w:color w:val="000000"/>
          <w:sz w:val="28"/>
          <w:szCs w:val="28"/>
        </w:rPr>
        <w:t xml:space="preserve"> 18,3</w:t>
      </w:r>
      <w:r w:rsidRPr="00012CA3">
        <w:rPr>
          <w:rFonts w:ascii="Times New Roman" w:hAnsi="Times New Roman"/>
          <w:color w:val="000000"/>
          <w:sz w:val="28"/>
          <w:szCs w:val="28"/>
        </w:rPr>
        <w:t xml:space="preserve"> % comparativ cu perioada similară a anului 202</w:t>
      </w:r>
      <w:r w:rsidR="00C6039C" w:rsidRPr="00012CA3">
        <w:rPr>
          <w:rFonts w:ascii="Times New Roman" w:hAnsi="Times New Roman"/>
          <w:color w:val="000000"/>
          <w:sz w:val="28"/>
          <w:szCs w:val="28"/>
        </w:rPr>
        <w:t>4</w:t>
      </w:r>
      <w:r w:rsidRPr="00012CA3">
        <w:rPr>
          <w:rFonts w:ascii="Times New Roman" w:hAnsi="Times New Roman"/>
          <w:color w:val="000000"/>
          <w:sz w:val="28"/>
          <w:szCs w:val="28"/>
        </w:rPr>
        <w:t>.</w:t>
      </w:r>
    </w:p>
    <w:p w:rsidR="00C82F48" w:rsidRPr="00012CA3" w:rsidRDefault="00C82F48">
      <w:pPr>
        <w:spacing w:line="276" w:lineRule="auto"/>
        <w:ind w:firstLine="567"/>
        <w:jc w:val="both"/>
      </w:pPr>
      <w:r w:rsidRPr="00012CA3">
        <w:rPr>
          <w:rFonts w:ascii="Times New Roman" w:hAnsi="Times New Roman"/>
          <w:color w:val="000000"/>
          <w:sz w:val="28"/>
          <w:szCs w:val="28"/>
        </w:rPr>
        <w:t>Pentru</w:t>
      </w:r>
      <w:r w:rsidRPr="00012CA3">
        <w:rPr>
          <w:rFonts w:ascii="Times New Roman" w:hAnsi="Times New Roman"/>
          <w:b/>
          <w:i/>
          <w:color w:val="000000"/>
          <w:sz w:val="28"/>
          <w:szCs w:val="28"/>
        </w:rPr>
        <w:t xml:space="preserve"> alte cheltuieli</w:t>
      </w:r>
      <w:r w:rsidRPr="00012CA3">
        <w:rPr>
          <w:rFonts w:ascii="Times New Roman" w:hAnsi="Times New Roman"/>
          <w:b/>
          <w:color w:val="000000"/>
          <w:sz w:val="28"/>
          <w:szCs w:val="28"/>
        </w:rPr>
        <w:t xml:space="preserve"> </w:t>
      </w:r>
      <w:r w:rsidRPr="00012CA3">
        <w:rPr>
          <w:rFonts w:ascii="Times New Roman" w:hAnsi="Times New Roman"/>
          <w:color w:val="000000"/>
          <w:sz w:val="28"/>
          <w:szCs w:val="28"/>
        </w:rPr>
        <w:t xml:space="preserve">au fost utilizate mijloace financiare în sumă de </w:t>
      </w:r>
      <w:r w:rsidR="0057266C" w:rsidRPr="00012CA3">
        <w:rPr>
          <w:rFonts w:ascii="Times New Roman" w:hAnsi="Times New Roman"/>
          <w:color w:val="000000"/>
          <w:sz w:val="28"/>
          <w:szCs w:val="28"/>
        </w:rPr>
        <w:t>2 126,7</w:t>
      </w:r>
      <w:r w:rsidRPr="00012CA3">
        <w:rPr>
          <w:rFonts w:ascii="Times New Roman" w:hAnsi="Times New Roman"/>
          <w:color w:val="000000"/>
          <w:sz w:val="28"/>
          <w:szCs w:val="28"/>
        </w:rPr>
        <w:t xml:space="preserve"> mil.lei, </w:t>
      </w:r>
      <w:r w:rsidR="0032443A" w:rsidRPr="0032443A">
        <w:rPr>
          <w:rFonts w:ascii="Times New Roman" w:hAnsi="Times New Roman"/>
          <w:color w:val="000000"/>
          <w:sz w:val="28"/>
          <w:szCs w:val="28"/>
        </w:rPr>
        <w:t>înregistrându-se</w:t>
      </w:r>
      <w:r w:rsidRPr="00012CA3">
        <w:rPr>
          <w:rFonts w:ascii="Times New Roman" w:hAnsi="Times New Roman"/>
          <w:color w:val="000000"/>
          <w:sz w:val="28"/>
          <w:szCs w:val="28"/>
        </w:rPr>
        <w:t xml:space="preserve"> o creștere de </w:t>
      </w:r>
      <w:r w:rsidR="00187BBD" w:rsidRPr="00012CA3">
        <w:rPr>
          <w:rFonts w:ascii="Times New Roman" w:hAnsi="Times New Roman"/>
          <w:color w:val="000000"/>
          <w:sz w:val="28"/>
          <w:szCs w:val="28"/>
        </w:rPr>
        <w:t>15,3</w:t>
      </w:r>
      <w:r w:rsidRPr="00012CA3">
        <w:rPr>
          <w:rFonts w:ascii="Times New Roman" w:hAnsi="Times New Roman"/>
          <w:color w:val="000000"/>
          <w:sz w:val="28"/>
          <w:szCs w:val="28"/>
        </w:rPr>
        <w:t>% comparativ cu semestrul I al anului 202</w:t>
      </w:r>
      <w:r w:rsidR="00187BBD" w:rsidRPr="00012CA3">
        <w:rPr>
          <w:rFonts w:ascii="Times New Roman" w:hAnsi="Times New Roman"/>
          <w:color w:val="000000"/>
          <w:sz w:val="28"/>
          <w:szCs w:val="28"/>
        </w:rPr>
        <w:t>4</w:t>
      </w:r>
      <w:r w:rsidRPr="00012CA3">
        <w:rPr>
          <w:rFonts w:ascii="Times New Roman" w:hAnsi="Times New Roman"/>
          <w:color w:val="000000"/>
          <w:sz w:val="28"/>
          <w:szCs w:val="28"/>
        </w:rPr>
        <w:t xml:space="preserve">. </w:t>
      </w:r>
    </w:p>
    <w:p w:rsidR="00C82F48" w:rsidRPr="00012CA3" w:rsidRDefault="00C82F48" w:rsidP="007C7DDE">
      <w:pPr>
        <w:ind w:firstLine="567"/>
        <w:jc w:val="both"/>
        <w:rPr>
          <w:rFonts w:ascii="Times New Roman" w:hAnsi="Times New Roman"/>
          <w:sz w:val="28"/>
          <w:szCs w:val="28"/>
          <w:lang w:eastAsia="ru-RU"/>
        </w:rPr>
      </w:pPr>
      <w:r w:rsidRPr="00012CA3">
        <w:rPr>
          <w:rFonts w:ascii="Times New Roman" w:hAnsi="Times New Roman"/>
          <w:color w:val="000000"/>
          <w:sz w:val="28"/>
          <w:szCs w:val="28"/>
        </w:rPr>
        <w:t xml:space="preserve">Prin intermediul  </w:t>
      </w:r>
      <w:r w:rsidRPr="00012CA3">
        <w:rPr>
          <w:rFonts w:ascii="Times New Roman" w:hAnsi="Times New Roman"/>
          <w:i/>
          <w:sz w:val="28"/>
          <w:szCs w:val="28"/>
          <w:u w:val="single"/>
        </w:rPr>
        <w:t>fondurilor de urgență</w:t>
      </w:r>
      <w:r w:rsidRPr="00012CA3">
        <w:rPr>
          <w:rFonts w:ascii="Times New Roman" w:hAnsi="Times New Roman"/>
          <w:sz w:val="28"/>
          <w:szCs w:val="28"/>
        </w:rPr>
        <w:t xml:space="preserve"> ale Guvernului, în </w:t>
      </w:r>
      <w:r w:rsidRPr="00012CA3">
        <w:rPr>
          <w:rFonts w:ascii="Times New Roman" w:hAnsi="Times New Roman"/>
          <w:sz w:val="28"/>
          <w:szCs w:val="28"/>
          <w:lang w:val="ro-MD"/>
        </w:rPr>
        <w:t>semestrul I al anului 202</w:t>
      </w:r>
      <w:r w:rsidR="002B6F7D" w:rsidRPr="00012CA3">
        <w:rPr>
          <w:rFonts w:ascii="Times New Roman" w:hAnsi="Times New Roman"/>
          <w:sz w:val="28"/>
          <w:szCs w:val="28"/>
          <w:lang w:val="ro-MD"/>
        </w:rPr>
        <w:t>5</w:t>
      </w:r>
      <w:r w:rsidRPr="00012CA3">
        <w:rPr>
          <w:rFonts w:ascii="Times New Roman" w:hAnsi="Times New Roman"/>
          <w:sz w:val="28"/>
          <w:szCs w:val="28"/>
          <w:lang w:val="ro-MD"/>
        </w:rPr>
        <w:t xml:space="preserve">, au fost </w:t>
      </w:r>
      <w:r w:rsidRPr="00012CA3">
        <w:rPr>
          <w:rFonts w:ascii="Times New Roman" w:hAnsi="Times New Roman"/>
          <w:sz w:val="28"/>
          <w:szCs w:val="28"/>
          <w:lang w:eastAsia="ru-RU"/>
        </w:rPr>
        <w:t xml:space="preserve">repartizate mijloace financiare în sumă de </w:t>
      </w:r>
      <w:r w:rsidR="002B6F7D" w:rsidRPr="00012CA3">
        <w:rPr>
          <w:rFonts w:ascii="Times New Roman" w:hAnsi="Times New Roman"/>
          <w:sz w:val="28"/>
          <w:szCs w:val="28"/>
          <w:lang w:eastAsia="ru-RU"/>
        </w:rPr>
        <w:t>223,</w:t>
      </w:r>
      <w:r w:rsidR="002E757E" w:rsidRPr="00012CA3">
        <w:rPr>
          <w:rFonts w:ascii="Times New Roman" w:hAnsi="Times New Roman"/>
          <w:sz w:val="28"/>
          <w:szCs w:val="28"/>
          <w:lang w:eastAsia="ru-RU"/>
        </w:rPr>
        <w:t>1</w:t>
      </w:r>
      <w:r w:rsidRPr="00012CA3">
        <w:rPr>
          <w:rFonts w:ascii="Times New Roman" w:hAnsi="Times New Roman"/>
          <w:sz w:val="28"/>
          <w:szCs w:val="28"/>
          <w:lang w:eastAsia="ru-RU"/>
        </w:rPr>
        <w:t xml:space="preserve"> mil.lei</w:t>
      </w:r>
      <w:r w:rsidR="00EA0DA4" w:rsidRPr="00012CA3">
        <w:rPr>
          <w:rFonts w:ascii="Times New Roman" w:hAnsi="Times New Roman"/>
          <w:sz w:val="28"/>
          <w:szCs w:val="28"/>
          <w:lang w:eastAsia="ru-RU"/>
        </w:rPr>
        <w:t>.</w:t>
      </w:r>
      <w:r w:rsidRPr="00012CA3">
        <w:rPr>
          <w:rFonts w:ascii="Times New Roman" w:hAnsi="Times New Roman"/>
          <w:sz w:val="28"/>
          <w:szCs w:val="28"/>
          <w:lang w:eastAsia="ru-RU"/>
        </w:rPr>
        <w:t xml:space="preserve"> Mijloacele financiare alocate din fonduril</w:t>
      </w:r>
      <w:r w:rsidR="00E02999">
        <w:rPr>
          <w:rFonts w:ascii="Times New Roman" w:hAnsi="Times New Roman"/>
          <w:sz w:val="28"/>
          <w:szCs w:val="28"/>
          <w:lang w:eastAsia="ru-RU"/>
        </w:rPr>
        <w:t>e</w:t>
      </w:r>
      <w:r w:rsidRPr="00012CA3">
        <w:rPr>
          <w:rFonts w:ascii="Times New Roman" w:hAnsi="Times New Roman"/>
          <w:sz w:val="28"/>
          <w:szCs w:val="28"/>
          <w:lang w:eastAsia="ru-RU"/>
        </w:rPr>
        <w:t xml:space="preserve"> de urgență ale Guvernului au fost executate în sumă de</w:t>
      </w:r>
      <w:r w:rsidR="002E757E" w:rsidRPr="00012CA3">
        <w:rPr>
          <w:rFonts w:ascii="Times New Roman" w:hAnsi="Times New Roman"/>
          <w:sz w:val="28"/>
          <w:szCs w:val="28"/>
          <w:lang w:eastAsia="ru-RU"/>
        </w:rPr>
        <w:t xml:space="preserve"> 77,9</w:t>
      </w:r>
      <w:r w:rsidRPr="00012CA3">
        <w:rPr>
          <w:rFonts w:ascii="Times New Roman" w:hAnsi="Times New Roman"/>
          <w:sz w:val="28"/>
          <w:szCs w:val="28"/>
          <w:lang w:eastAsia="ru-RU"/>
        </w:rPr>
        <w:t xml:space="preserve">  mil. lei.</w:t>
      </w:r>
      <w:r w:rsidRPr="00012CA3">
        <w:rPr>
          <w:rFonts w:ascii="Times New Roman" w:hAnsi="Times New Roman"/>
          <w:sz w:val="28"/>
          <w:szCs w:val="28"/>
          <w:lang w:eastAsia="ru-RU"/>
        </w:rPr>
        <w:tab/>
      </w:r>
    </w:p>
    <w:p w:rsidR="00C82F48" w:rsidRPr="00012CA3" w:rsidRDefault="00C82F48">
      <w:pPr>
        <w:spacing w:after="0" w:line="276" w:lineRule="auto"/>
        <w:ind w:firstLine="567"/>
        <w:jc w:val="both"/>
      </w:pPr>
      <w:r w:rsidRPr="00012CA3">
        <w:rPr>
          <w:rFonts w:ascii="Times New Roman" w:hAnsi="Times New Roman"/>
          <w:sz w:val="28"/>
          <w:szCs w:val="28"/>
        </w:rPr>
        <w:lastRenderedPageBreak/>
        <w:t xml:space="preserve">În perioada raportată, alocațiile fondurilor de urgență au fost </w:t>
      </w:r>
      <w:r w:rsidR="00524BB5">
        <w:rPr>
          <w:rFonts w:ascii="Times New Roman" w:hAnsi="Times New Roman"/>
          <w:sz w:val="28"/>
          <w:szCs w:val="28"/>
        </w:rPr>
        <w:t>utilizate</w:t>
      </w:r>
      <w:r w:rsidRPr="00012CA3">
        <w:rPr>
          <w:rFonts w:ascii="Times New Roman" w:hAnsi="Times New Roman"/>
          <w:sz w:val="28"/>
          <w:szCs w:val="28"/>
        </w:rPr>
        <w:t xml:space="preserve"> pentru:  </w:t>
      </w:r>
    </w:p>
    <w:p w:rsidR="00BB543B" w:rsidRPr="00012CA3" w:rsidRDefault="00C82F48">
      <w:pPr>
        <w:tabs>
          <w:tab w:val="left" w:pos="720"/>
          <w:tab w:val="left" w:pos="900"/>
        </w:tabs>
        <w:spacing w:after="0" w:line="276" w:lineRule="auto"/>
        <w:ind w:firstLine="567"/>
        <w:jc w:val="both"/>
        <w:rPr>
          <w:rFonts w:ascii="Times New Roman" w:hAnsi="Times New Roman"/>
          <w:sz w:val="28"/>
          <w:szCs w:val="28"/>
        </w:rPr>
      </w:pPr>
      <w:r w:rsidRPr="00012CA3">
        <w:rPr>
          <w:rFonts w:ascii="Times New Roman" w:hAnsi="Times New Roman"/>
          <w:sz w:val="28"/>
          <w:szCs w:val="28"/>
        </w:rPr>
        <w:t xml:space="preserve">- </w:t>
      </w:r>
      <w:r w:rsidR="00E77FEA" w:rsidRPr="00012CA3">
        <w:rPr>
          <w:rFonts w:ascii="Times New Roman" w:hAnsi="Times New Roman"/>
          <w:sz w:val="28"/>
          <w:szCs w:val="28"/>
        </w:rPr>
        <w:t>compens</w:t>
      </w:r>
      <w:r w:rsidR="00A81F5C" w:rsidRPr="00012CA3">
        <w:rPr>
          <w:rFonts w:ascii="Times New Roman" w:hAnsi="Times New Roman"/>
          <w:sz w:val="28"/>
          <w:szCs w:val="28"/>
        </w:rPr>
        <w:t>area</w:t>
      </w:r>
      <w:r w:rsidR="00E77FEA" w:rsidRPr="00012CA3">
        <w:rPr>
          <w:rFonts w:ascii="Times New Roman" w:hAnsi="Times New Roman"/>
          <w:sz w:val="28"/>
          <w:szCs w:val="28"/>
        </w:rPr>
        <w:t xml:space="preserve"> diferenței de preț pentru furnizarea energiei electrice</w:t>
      </w:r>
      <w:r w:rsidR="003353CD" w:rsidRPr="00012CA3">
        <w:rPr>
          <w:rFonts w:ascii="Times New Roman" w:hAnsi="Times New Roman"/>
          <w:sz w:val="28"/>
          <w:szCs w:val="28"/>
        </w:rPr>
        <w:t xml:space="preserve"> </w:t>
      </w:r>
      <w:r w:rsidR="00A81F5C" w:rsidRPr="00012CA3">
        <w:rPr>
          <w:rFonts w:ascii="Times New Roman" w:hAnsi="Times New Roman"/>
          <w:sz w:val="28"/>
          <w:szCs w:val="28"/>
        </w:rPr>
        <w:t>−</w:t>
      </w:r>
      <w:r w:rsidR="00806735" w:rsidRPr="00012CA3">
        <w:rPr>
          <w:rFonts w:ascii="Times New Roman" w:hAnsi="Times New Roman"/>
          <w:sz w:val="28"/>
          <w:szCs w:val="28"/>
        </w:rPr>
        <w:t xml:space="preserve"> 60,0 mil. lei</w:t>
      </w:r>
      <w:r w:rsidR="00BB543B" w:rsidRPr="00012CA3">
        <w:rPr>
          <w:rFonts w:ascii="Times New Roman" w:hAnsi="Times New Roman"/>
          <w:sz w:val="28"/>
          <w:szCs w:val="28"/>
        </w:rPr>
        <w:t>;</w:t>
      </w:r>
    </w:p>
    <w:p w:rsidR="00C82F48" w:rsidRPr="00012CA3" w:rsidRDefault="00BB543B" w:rsidP="00470F89">
      <w:pPr>
        <w:tabs>
          <w:tab w:val="left" w:pos="851"/>
          <w:tab w:val="left" w:pos="900"/>
        </w:tabs>
        <w:spacing w:after="0" w:line="276" w:lineRule="auto"/>
        <w:ind w:firstLine="567"/>
        <w:jc w:val="both"/>
      </w:pPr>
      <w:r w:rsidRPr="00012CA3">
        <w:rPr>
          <w:rFonts w:ascii="Times New Roman" w:hAnsi="Times New Roman"/>
          <w:sz w:val="28"/>
          <w:szCs w:val="28"/>
        </w:rPr>
        <w:t>-</w:t>
      </w:r>
      <w:r w:rsidR="0019424F" w:rsidRPr="00012CA3">
        <w:rPr>
          <w:rFonts w:ascii="Times New Roman" w:hAnsi="Times New Roman"/>
          <w:sz w:val="28"/>
          <w:szCs w:val="28"/>
        </w:rPr>
        <w:t xml:space="preserve"> pentru </w:t>
      </w:r>
      <w:r w:rsidR="00470F89" w:rsidRPr="00012CA3">
        <w:rPr>
          <w:rFonts w:ascii="Times New Roman" w:hAnsi="Times New Roman"/>
          <w:sz w:val="28"/>
          <w:szCs w:val="28"/>
        </w:rPr>
        <w:t>procurarea bunurilor materiale, în vederea asigurării continuității funcționării instituțiilor si serviciilor publice din stânga Nistrului, afectate de riscul apariției unor situații de criză (riscul sistării furnizării energiei electrice și gazelor naturale)</w:t>
      </w:r>
      <w:r w:rsidR="006037C0" w:rsidRPr="00012CA3">
        <w:rPr>
          <w:rFonts w:ascii="Times New Roman" w:hAnsi="Times New Roman"/>
          <w:sz w:val="28"/>
          <w:szCs w:val="28"/>
        </w:rPr>
        <w:t xml:space="preserve"> </w:t>
      </w:r>
      <w:r w:rsidR="00470F89" w:rsidRPr="001E0EE1">
        <w:rPr>
          <w:rFonts w:ascii="Times New Roman" w:hAnsi="Times New Roman"/>
          <w:sz w:val="28"/>
          <w:szCs w:val="28"/>
        </w:rPr>
        <w:t>–</w:t>
      </w:r>
      <w:r w:rsidR="000F409B" w:rsidRPr="001E0EE1">
        <w:rPr>
          <w:rFonts w:ascii="Times New Roman" w:hAnsi="Times New Roman"/>
          <w:sz w:val="28"/>
          <w:szCs w:val="28"/>
        </w:rPr>
        <w:t xml:space="preserve"> </w:t>
      </w:r>
      <w:r w:rsidR="001E0EE1">
        <w:rPr>
          <w:rFonts w:ascii="Times New Roman" w:hAnsi="Times New Roman"/>
          <w:sz w:val="28"/>
          <w:szCs w:val="28"/>
        </w:rPr>
        <w:t>1,7</w:t>
      </w:r>
      <w:r w:rsidR="00C82F48" w:rsidRPr="001E0EE1">
        <w:rPr>
          <w:rFonts w:ascii="Times New Roman" w:hAnsi="Times New Roman"/>
          <w:sz w:val="28"/>
          <w:szCs w:val="28"/>
        </w:rPr>
        <w:t xml:space="preserve"> mil.lei</w:t>
      </w:r>
      <w:r w:rsidR="00C82F48" w:rsidRPr="00012CA3">
        <w:rPr>
          <w:rFonts w:ascii="Times New Roman" w:hAnsi="Times New Roman"/>
          <w:sz w:val="28"/>
          <w:szCs w:val="28"/>
        </w:rPr>
        <w:t>;</w:t>
      </w:r>
    </w:p>
    <w:p w:rsidR="00C82F48" w:rsidRPr="00012CA3" w:rsidRDefault="00C82F48">
      <w:pPr>
        <w:spacing w:after="0" w:line="276" w:lineRule="auto"/>
        <w:ind w:firstLine="567"/>
        <w:jc w:val="both"/>
        <w:rPr>
          <w:rFonts w:ascii="Times New Roman" w:hAnsi="Times New Roman"/>
          <w:sz w:val="28"/>
          <w:szCs w:val="28"/>
        </w:rPr>
      </w:pPr>
      <w:r w:rsidRPr="00012CA3">
        <w:rPr>
          <w:rFonts w:ascii="Times New Roman" w:hAnsi="Times New Roman"/>
          <w:sz w:val="28"/>
          <w:szCs w:val="28"/>
        </w:rPr>
        <w:t xml:space="preserve">- </w:t>
      </w:r>
      <w:r w:rsidR="0019424F" w:rsidRPr="00012CA3">
        <w:rPr>
          <w:rFonts w:ascii="Times New Roman" w:hAnsi="Times New Roman"/>
          <w:sz w:val="28"/>
          <w:szCs w:val="28"/>
        </w:rPr>
        <w:t>pentru lichidarea consecințelor situațiilor excepționale cu caracter natural din lunile iunie-septembrie 2024, precum și lichidării  consecințelor situațiilor excepționale cu caracter tehnogen ,,Incendiu”</w:t>
      </w:r>
      <w:r w:rsidR="00E644B3" w:rsidRPr="00012CA3">
        <w:rPr>
          <w:rFonts w:ascii="Times New Roman" w:hAnsi="Times New Roman"/>
          <w:sz w:val="28"/>
          <w:szCs w:val="28"/>
        </w:rPr>
        <w:t xml:space="preserve"> </w:t>
      </w:r>
      <w:r w:rsidRPr="001E0EE1">
        <w:rPr>
          <w:rFonts w:ascii="Times New Roman" w:hAnsi="Times New Roman"/>
          <w:sz w:val="28"/>
          <w:szCs w:val="28"/>
        </w:rPr>
        <w:t xml:space="preserve">– </w:t>
      </w:r>
      <w:r w:rsidR="001E0EE1">
        <w:rPr>
          <w:rFonts w:ascii="Times New Roman" w:hAnsi="Times New Roman"/>
          <w:sz w:val="28"/>
          <w:szCs w:val="28"/>
        </w:rPr>
        <w:t>12,9</w:t>
      </w:r>
      <w:r w:rsidRPr="00012CA3">
        <w:rPr>
          <w:rFonts w:ascii="Times New Roman" w:hAnsi="Times New Roman"/>
          <w:sz w:val="28"/>
          <w:szCs w:val="28"/>
        </w:rPr>
        <w:t xml:space="preserve"> mil. lei;</w:t>
      </w:r>
    </w:p>
    <w:p w:rsidR="00332FE9" w:rsidRPr="00012CA3" w:rsidRDefault="00332FE9">
      <w:pPr>
        <w:spacing w:after="0" w:line="276" w:lineRule="auto"/>
        <w:ind w:firstLine="567"/>
        <w:jc w:val="both"/>
      </w:pPr>
      <w:r w:rsidRPr="00012CA3">
        <w:rPr>
          <w:rFonts w:ascii="Times New Roman" w:hAnsi="Times New Roman"/>
          <w:sz w:val="28"/>
          <w:szCs w:val="28"/>
        </w:rPr>
        <w:t xml:space="preserve">- </w:t>
      </w:r>
      <w:r w:rsidR="00EB7983" w:rsidRPr="00012CA3">
        <w:rPr>
          <w:rFonts w:ascii="Times New Roman" w:hAnsi="Times New Roman"/>
          <w:sz w:val="28"/>
          <w:szCs w:val="28"/>
        </w:rPr>
        <w:t xml:space="preserve">pentru gospodăriile țărănești din raionul Leova, care au suportat pierderi din cauza inundaților, ca urmare a precipitațiilor abundente din 14-16 septembrie 2024, </w:t>
      </w:r>
      <w:r w:rsidRPr="00012CA3">
        <w:rPr>
          <w:rFonts w:ascii="Times New Roman" w:hAnsi="Times New Roman"/>
          <w:sz w:val="28"/>
          <w:szCs w:val="28"/>
        </w:rPr>
        <w:t xml:space="preserve">– </w:t>
      </w:r>
      <w:r w:rsidR="00EB7983" w:rsidRPr="00012CA3">
        <w:rPr>
          <w:rFonts w:ascii="Times New Roman" w:hAnsi="Times New Roman"/>
          <w:sz w:val="28"/>
          <w:szCs w:val="28"/>
        </w:rPr>
        <w:t>2,3</w:t>
      </w:r>
      <w:r w:rsidRPr="00012CA3">
        <w:rPr>
          <w:rFonts w:ascii="Times New Roman" w:hAnsi="Times New Roman"/>
          <w:sz w:val="28"/>
          <w:szCs w:val="28"/>
        </w:rPr>
        <w:t xml:space="preserve"> mi</w:t>
      </w:r>
      <w:r w:rsidR="00B76573" w:rsidRPr="00012CA3">
        <w:rPr>
          <w:rFonts w:ascii="Times New Roman" w:hAnsi="Times New Roman"/>
          <w:sz w:val="28"/>
          <w:szCs w:val="28"/>
        </w:rPr>
        <w:t>i</w:t>
      </w:r>
      <w:r w:rsidRPr="00012CA3">
        <w:rPr>
          <w:rFonts w:ascii="Times New Roman" w:hAnsi="Times New Roman"/>
          <w:sz w:val="28"/>
          <w:szCs w:val="28"/>
        </w:rPr>
        <w:t>. lei;</w:t>
      </w:r>
    </w:p>
    <w:p w:rsidR="00C82F48" w:rsidRPr="00012CA3" w:rsidRDefault="00C82F48">
      <w:pPr>
        <w:spacing w:after="0" w:line="276" w:lineRule="auto"/>
        <w:ind w:firstLine="567"/>
        <w:jc w:val="both"/>
        <w:rPr>
          <w:rFonts w:ascii="Times New Roman" w:hAnsi="Times New Roman"/>
          <w:sz w:val="28"/>
          <w:szCs w:val="28"/>
        </w:rPr>
      </w:pPr>
      <w:r w:rsidRPr="00012CA3">
        <w:rPr>
          <w:rFonts w:ascii="Times New Roman" w:hAnsi="Times New Roman"/>
          <w:sz w:val="28"/>
          <w:szCs w:val="28"/>
        </w:rPr>
        <w:t xml:space="preserve">- </w:t>
      </w:r>
      <w:r w:rsidR="00126D93" w:rsidRPr="00012CA3">
        <w:rPr>
          <w:rFonts w:ascii="Times New Roman" w:hAnsi="Times New Roman"/>
          <w:sz w:val="28"/>
          <w:szCs w:val="28"/>
        </w:rPr>
        <w:t xml:space="preserve">pentru efectuarea plăților acceptate și autorizate pentru fermierii afectați de consecințele crizelor din anul 2022 </w:t>
      </w:r>
      <w:r w:rsidRPr="00012CA3">
        <w:rPr>
          <w:rFonts w:ascii="Times New Roman" w:hAnsi="Times New Roman"/>
          <w:sz w:val="28"/>
          <w:szCs w:val="28"/>
        </w:rPr>
        <w:t>–</w:t>
      </w:r>
      <w:r w:rsidR="0029043A" w:rsidRPr="00012CA3">
        <w:rPr>
          <w:rFonts w:ascii="Times New Roman" w:hAnsi="Times New Roman"/>
          <w:sz w:val="28"/>
          <w:szCs w:val="28"/>
        </w:rPr>
        <w:t xml:space="preserve"> </w:t>
      </w:r>
      <w:r w:rsidR="00126D93" w:rsidRPr="00012CA3">
        <w:rPr>
          <w:rFonts w:ascii="Times New Roman" w:hAnsi="Times New Roman"/>
          <w:sz w:val="28"/>
          <w:szCs w:val="28"/>
        </w:rPr>
        <w:t>0,3</w:t>
      </w:r>
      <w:r w:rsidRPr="00012CA3">
        <w:rPr>
          <w:rFonts w:ascii="Times New Roman" w:hAnsi="Times New Roman"/>
          <w:sz w:val="28"/>
          <w:szCs w:val="28"/>
        </w:rPr>
        <w:t xml:space="preserve"> mil. lei;</w:t>
      </w:r>
    </w:p>
    <w:p w:rsidR="00E20729" w:rsidRPr="00012CA3" w:rsidRDefault="00E20729" w:rsidP="00E8121C">
      <w:pPr>
        <w:spacing w:after="0" w:line="276" w:lineRule="auto"/>
        <w:ind w:firstLine="567"/>
        <w:jc w:val="both"/>
        <w:rPr>
          <w:rFonts w:ascii="Times New Roman" w:hAnsi="Times New Roman"/>
          <w:sz w:val="28"/>
          <w:szCs w:val="28"/>
        </w:rPr>
      </w:pPr>
      <w:r w:rsidRPr="00012CA3">
        <w:rPr>
          <w:rFonts w:ascii="Times New Roman" w:hAnsi="Times New Roman"/>
          <w:sz w:val="28"/>
          <w:szCs w:val="28"/>
        </w:rPr>
        <w:t xml:space="preserve">- pentru acoperirea tuturor cheltuielilor aferente procurării acțiunilor  nou-emise de societatea de asigurare „Moldasig” S.A. în scopul vânzării pe piața reglementată a Bursei de Valori a Moldovei, prin intermediul licitației cu strigare”– </w:t>
      </w:r>
      <w:r w:rsidR="00D1769C">
        <w:rPr>
          <w:rFonts w:ascii="Times New Roman" w:hAnsi="Times New Roman"/>
          <w:sz w:val="28"/>
          <w:szCs w:val="28"/>
        </w:rPr>
        <w:t>0,6</w:t>
      </w:r>
      <w:r w:rsidRPr="00012CA3">
        <w:rPr>
          <w:rFonts w:ascii="Times New Roman" w:hAnsi="Times New Roman"/>
          <w:sz w:val="28"/>
          <w:szCs w:val="28"/>
        </w:rPr>
        <w:t xml:space="preserve"> mil.lei;</w:t>
      </w:r>
    </w:p>
    <w:p w:rsidR="00BB28B3" w:rsidRPr="00012CA3" w:rsidRDefault="00BB28B3" w:rsidP="00E8121C">
      <w:pPr>
        <w:spacing w:after="0" w:line="276" w:lineRule="auto"/>
        <w:ind w:firstLine="567"/>
        <w:jc w:val="both"/>
        <w:rPr>
          <w:rFonts w:ascii="Times New Roman" w:hAnsi="Times New Roman"/>
          <w:sz w:val="28"/>
          <w:szCs w:val="28"/>
        </w:rPr>
      </w:pPr>
      <w:r w:rsidRPr="00012CA3">
        <w:rPr>
          <w:rFonts w:ascii="Times New Roman" w:hAnsi="Times New Roman"/>
          <w:sz w:val="28"/>
          <w:szCs w:val="28"/>
        </w:rPr>
        <w:t>- pentru acordarea indemnizației unice în cazul unei persoane decedate în</w:t>
      </w:r>
      <w:r w:rsidR="003C2882">
        <w:rPr>
          <w:rFonts w:ascii="Times New Roman" w:hAnsi="Times New Roman"/>
          <w:sz w:val="28"/>
          <w:szCs w:val="28"/>
        </w:rPr>
        <w:t xml:space="preserve"> lupta cu COVID -19– 0,1 mil.lei.</w:t>
      </w:r>
    </w:p>
    <w:p w:rsidR="00C82F48" w:rsidRPr="00012CA3" w:rsidRDefault="00C82F48">
      <w:pPr>
        <w:spacing w:after="0" w:line="276" w:lineRule="auto"/>
        <w:ind w:firstLine="567"/>
        <w:jc w:val="both"/>
      </w:pPr>
      <w:r w:rsidRPr="00012CA3">
        <w:rPr>
          <w:rFonts w:ascii="Times New Roman" w:hAnsi="Times New Roman"/>
          <w:sz w:val="28"/>
          <w:szCs w:val="28"/>
        </w:rPr>
        <w:t xml:space="preserve">  </w:t>
      </w:r>
    </w:p>
    <w:p w:rsidR="00C82F48" w:rsidRPr="00012CA3" w:rsidRDefault="00C82F48">
      <w:pPr>
        <w:spacing w:after="120" w:line="276" w:lineRule="auto"/>
        <w:ind w:firstLine="567"/>
        <w:jc w:val="both"/>
      </w:pPr>
      <w:r w:rsidRPr="00012CA3">
        <w:rPr>
          <w:rFonts w:ascii="Times New Roman" w:hAnsi="Times New Roman"/>
          <w:sz w:val="28"/>
          <w:szCs w:val="28"/>
        </w:rPr>
        <w:t>Executarea bugetului de st</w:t>
      </w:r>
      <w:r w:rsidR="00AE6C44" w:rsidRPr="00012CA3">
        <w:rPr>
          <w:rFonts w:ascii="Times New Roman" w:hAnsi="Times New Roman"/>
          <w:sz w:val="28"/>
          <w:szCs w:val="28"/>
        </w:rPr>
        <w:t>at în semestrul I al anului 2025</w:t>
      </w:r>
      <w:r w:rsidRPr="00012CA3">
        <w:rPr>
          <w:rFonts w:ascii="Times New Roman" w:hAnsi="Times New Roman"/>
          <w:sz w:val="28"/>
          <w:szCs w:val="28"/>
        </w:rPr>
        <w:t xml:space="preserve"> s-a încheiat cu un </w:t>
      </w:r>
      <w:r w:rsidRPr="00012CA3">
        <w:rPr>
          <w:rFonts w:ascii="Times New Roman" w:hAnsi="Times New Roman"/>
          <w:b/>
          <w:i/>
          <w:sz w:val="28"/>
          <w:szCs w:val="28"/>
        </w:rPr>
        <w:t xml:space="preserve">sold bugetar (deficit) în sumă de </w:t>
      </w:r>
      <w:r w:rsidR="00690F5C" w:rsidRPr="00012CA3">
        <w:rPr>
          <w:rFonts w:ascii="Times New Roman" w:hAnsi="Times New Roman"/>
          <w:b/>
          <w:i/>
          <w:sz w:val="28"/>
          <w:szCs w:val="28"/>
        </w:rPr>
        <w:t>7 609,9</w:t>
      </w:r>
      <w:r w:rsidRPr="00012CA3">
        <w:rPr>
          <w:rFonts w:ascii="Times New Roman" w:hAnsi="Times New Roman"/>
          <w:b/>
          <w:i/>
          <w:sz w:val="28"/>
          <w:szCs w:val="28"/>
        </w:rPr>
        <w:t xml:space="preserve"> mil. lei,</w:t>
      </w:r>
      <w:r w:rsidRPr="00012CA3">
        <w:rPr>
          <w:rFonts w:ascii="Times New Roman" w:hAnsi="Times New Roman"/>
          <w:sz w:val="28"/>
          <w:szCs w:val="28"/>
        </w:rPr>
        <w:t xml:space="preserve"> ce constituie </w:t>
      </w:r>
      <w:r w:rsidR="006A30B7">
        <w:rPr>
          <w:rFonts w:ascii="Times New Roman" w:hAnsi="Times New Roman"/>
          <w:sz w:val="28"/>
          <w:szCs w:val="28"/>
        </w:rPr>
        <w:t>42,5</w:t>
      </w:r>
      <w:r w:rsidRPr="00012CA3">
        <w:rPr>
          <w:rFonts w:ascii="Times New Roman" w:hAnsi="Times New Roman"/>
          <w:sz w:val="28"/>
          <w:szCs w:val="28"/>
        </w:rPr>
        <w:t>% din prevederile pe an.</w:t>
      </w:r>
    </w:p>
    <w:p w:rsidR="00CF3DF9" w:rsidRPr="00012CA3" w:rsidRDefault="00832EA4" w:rsidP="005921E3">
      <w:pPr>
        <w:suppressAutoHyphens w:val="0"/>
        <w:spacing w:after="120"/>
        <w:ind w:firstLine="567"/>
        <w:jc w:val="both"/>
        <w:rPr>
          <w:rFonts w:ascii="Times New Roman" w:hAnsi="Times New Roman"/>
          <w:noProof/>
          <w:sz w:val="28"/>
          <w:szCs w:val="28"/>
          <w:lang w:eastAsia="en-US"/>
        </w:rPr>
      </w:pPr>
      <w:r w:rsidRPr="00012CA3">
        <w:rPr>
          <w:rFonts w:ascii="Times New Roman" w:hAnsi="Times New Roman"/>
          <w:i/>
          <w:sz w:val="28"/>
          <w:szCs w:val="28"/>
          <w:u w:val="single"/>
          <w:lang w:eastAsia="en-US"/>
        </w:rPr>
        <w:t>Sursele de finanțare a deficitului</w:t>
      </w:r>
      <w:r w:rsidRPr="00012CA3">
        <w:rPr>
          <w:rFonts w:ascii="Times New Roman" w:hAnsi="Times New Roman"/>
          <w:sz w:val="28"/>
          <w:szCs w:val="28"/>
          <w:lang w:eastAsia="en-US"/>
        </w:rPr>
        <w:t xml:space="preserve"> au fost:</w:t>
      </w:r>
      <w:r w:rsidRPr="00012CA3">
        <w:rPr>
          <w:rFonts w:ascii="Times New Roman" w:hAnsi="Times New Roman"/>
          <w:noProof/>
          <w:sz w:val="28"/>
          <w:szCs w:val="28"/>
          <w:lang w:eastAsia="en-US"/>
        </w:rPr>
        <w:t xml:space="preserve"> </w:t>
      </w:r>
      <w:r w:rsidR="00CF3DF9" w:rsidRPr="00012CA3">
        <w:rPr>
          <w:rFonts w:ascii="Times New Roman" w:hAnsi="Times New Roman"/>
          <w:noProof/>
          <w:sz w:val="28"/>
          <w:szCs w:val="28"/>
          <w:lang w:eastAsia="en-US"/>
        </w:rPr>
        <w:t>finanțarea netă pozitivă din contul VMS emise pe piața primară (4 106,0 mil.lei), împrumuturi debursate de către creditorii externi (7 520,3 mil. lei).</w:t>
      </w:r>
    </w:p>
    <w:p w:rsidR="00CF3DF9" w:rsidRPr="00012CA3" w:rsidRDefault="00CF3DF9" w:rsidP="005921E3">
      <w:pPr>
        <w:suppressAutoHyphens w:val="0"/>
        <w:spacing w:after="120" w:line="276" w:lineRule="auto"/>
        <w:ind w:firstLine="567"/>
        <w:jc w:val="both"/>
        <w:rPr>
          <w:rFonts w:ascii="Times New Roman" w:hAnsi="Times New Roman"/>
          <w:noProof/>
          <w:sz w:val="28"/>
          <w:szCs w:val="28"/>
          <w:lang w:eastAsia="en-US"/>
        </w:rPr>
      </w:pPr>
      <w:r w:rsidRPr="00012CA3">
        <w:rPr>
          <w:rFonts w:ascii="Times New Roman" w:hAnsi="Times New Roman"/>
          <w:noProof/>
          <w:sz w:val="28"/>
          <w:szCs w:val="28"/>
          <w:lang w:eastAsia="en-US"/>
        </w:rPr>
        <w:t>În semestrul I al anului 2025, volumul total al debursărilor a constituit 7 520,3 mil. lei (echivalentul a 411,9 mil. dolari SUA), dintre care 6 246,2 mil. lei au fost direcționați sub formă de suport bugetar, iar 1 274,1 mil. lei – pentru finanțarea proiectelor din surse externe.</w:t>
      </w:r>
    </w:p>
    <w:p w:rsidR="00CF3DF9" w:rsidRPr="00012CA3" w:rsidRDefault="00CF3DF9" w:rsidP="005921E3">
      <w:pPr>
        <w:suppressAutoHyphens w:val="0"/>
        <w:spacing w:after="120" w:line="276" w:lineRule="auto"/>
        <w:ind w:firstLine="567"/>
        <w:jc w:val="both"/>
        <w:rPr>
          <w:rFonts w:ascii="Times New Roman" w:hAnsi="Times New Roman"/>
          <w:noProof/>
          <w:sz w:val="28"/>
          <w:szCs w:val="28"/>
          <w:lang w:eastAsia="en-US"/>
        </w:rPr>
      </w:pPr>
      <w:r w:rsidRPr="00012CA3">
        <w:rPr>
          <w:rFonts w:ascii="Times New Roman" w:hAnsi="Times New Roman"/>
          <w:noProof/>
          <w:sz w:val="28"/>
          <w:szCs w:val="28"/>
          <w:lang w:eastAsia="en-US"/>
        </w:rPr>
        <w:t xml:space="preserve">Totodată, în perioada gestionară au fost onorate obligațiuni față de creditorii externi în sumă de 5 580,1 mil. lei (echivalent a </w:t>
      </w:r>
      <w:r w:rsidR="005F0466">
        <w:rPr>
          <w:rFonts w:ascii="Times New Roman" w:hAnsi="Times New Roman"/>
          <w:noProof/>
          <w:sz w:val="28"/>
          <w:szCs w:val="28"/>
          <w:lang w:eastAsia="en-US"/>
        </w:rPr>
        <w:t>317,0</w:t>
      </w:r>
      <w:r w:rsidRPr="00012CA3">
        <w:rPr>
          <w:rFonts w:ascii="Times New Roman" w:hAnsi="Times New Roman"/>
          <w:noProof/>
          <w:sz w:val="28"/>
          <w:szCs w:val="28"/>
          <w:lang w:eastAsia="en-US"/>
        </w:rPr>
        <w:t xml:space="preserve"> mil. dolari SUA), recreditarea netă a </w:t>
      </w:r>
      <w:r w:rsidRPr="006047C2">
        <w:rPr>
          <w:rFonts w:ascii="Times New Roman" w:hAnsi="Times New Roman"/>
          <w:noProof/>
          <w:sz w:val="28"/>
          <w:szCs w:val="28"/>
          <w:lang w:eastAsia="en-US"/>
        </w:rPr>
        <w:t>constituit 4</w:t>
      </w:r>
      <w:r w:rsidR="00BF36E3" w:rsidRPr="006047C2">
        <w:rPr>
          <w:rFonts w:ascii="Times New Roman" w:hAnsi="Times New Roman"/>
          <w:noProof/>
          <w:sz w:val="28"/>
          <w:szCs w:val="28"/>
          <w:lang w:eastAsia="en-US"/>
        </w:rPr>
        <w:t> </w:t>
      </w:r>
      <w:r w:rsidRPr="006047C2">
        <w:rPr>
          <w:rFonts w:ascii="Times New Roman" w:hAnsi="Times New Roman"/>
          <w:noProof/>
          <w:sz w:val="28"/>
          <w:szCs w:val="28"/>
          <w:lang w:eastAsia="en-US"/>
        </w:rPr>
        <w:t>1</w:t>
      </w:r>
      <w:r w:rsidR="00BF36E3" w:rsidRPr="006047C2">
        <w:rPr>
          <w:rFonts w:ascii="Times New Roman" w:hAnsi="Times New Roman"/>
          <w:noProof/>
          <w:sz w:val="28"/>
          <w:szCs w:val="28"/>
          <w:lang w:eastAsia="en-US"/>
        </w:rPr>
        <w:t>93,9</w:t>
      </w:r>
      <w:r w:rsidRPr="006047C2">
        <w:rPr>
          <w:rFonts w:ascii="Times New Roman" w:hAnsi="Times New Roman"/>
          <w:noProof/>
          <w:sz w:val="28"/>
          <w:szCs w:val="28"/>
          <w:lang w:eastAsia="en-US"/>
        </w:rPr>
        <w:t xml:space="preserve"> mi</w:t>
      </w:r>
      <w:r w:rsidRPr="00012CA3">
        <w:rPr>
          <w:rFonts w:ascii="Times New Roman" w:hAnsi="Times New Roman"/>
          <w:noProof/>
          <w:sz w:val="28"/>
          <w:szCs w:val="28"/>
          <w:lang w:eastAsia="en-US"/>
        </w:rPr>
        <w:t>l.lei.</w:t>
      </w:r>
    </w:p>
    <w:p w:rsidR="00CF3DF9" w:rsidRPr="00012CA3" w:rsidRDefault="00CF3DF9" w:rsidP="005921E3">
      <w:pPr>
        <w:suppressAutoHyphens w:val="0"/>
        <w:spacing w:after="120" w:line="276" w:lineRule="auto"/>
        <w:ind w:firstLine="567"/>
        <w:jc w:val="both"/>
        <w:rPr>
          <w:rFonts w:ascii="Times New Roman" w:hAnsi="Times New Roman"/>
          <w:noProof/>
          <w:sz w:val="28"/>
          <w:szCs w:val="28"/>
          <w:lang w:eastAsia="en-US"/>
        </w:rPr>
      </w:pPr>
      <w:r w:rsidRPr="00012CA3">
        <w:rPr>
          <w:rFonts w:ascii="Times New Roman" w:hAnsi="Times New Roman"/>
          <w:noProof/>
          <w:sz w:val="28"/>
          <w:szCs w:val="28"/>
          <w:lang w:eastAsia="en-US"/>
        </w:rPr>
        <w:t xml:space="preserve">La situația din 30 iunie 2025, </w:t>
      </w:r>
      <w:r w:rsidRPr="00012CA3">
        <w:rPr>
          <w:rFonts w:ascii="Times New Roman" w:hAnsi="Times New Roman"/>
          <w:b/>
          <w:i/>
          <w:noProof/>
          <w:sz w:val="28"/>
          <w:szCs w:val="28"/>
          <w:lang w:eastAsia="en-US"/>
        </w:rPr>
        <w:t>soldurile mijloacelor bănești</w:t>
      </w:r>
      <w:r w:rsidRPr="00012CA3">
        <w:rPr>
          <w:rFonts w:ascii="Times New Roman" w:hAnsi="Times New Roman"/>
          <w:noProof/>
          <w:sz w:val="28"/>
          <w:szCs w:val="28"/>
          <w:lang w:eastAsia="en-US"/>
        </w:rPr>
        <w:t xml:space="preserve"> în conturile  bugetului de stat, au constituit 10 751,8 mil. lei și s-au majorat cu 4 648,2 mil. lei față de începutul anului 2025. La proiectele finanțate din surse externe soldurile în </w:t>
      </w:r>
      <w:r w:rsidRPr="00012CA3">
        <w:rPr>
          <w:rFonts w:ascii="Times New Roman" w:hAnsi="Times New Roman"/>
          <w:noProof/>
          <w:sz w:val="28"/>
          <w:szCs w:val="28"/>
          <w:lang w:eastAsia="en-US"/>
        </w:rPr>
        <w:lastRenderedPageBreak/>
        <w:t>conturi constituie 1 029,3 mil. lei, care s-au majorat cu 167,4 mil.lei față de începutul anului 2025.</w:t>
      </w:r>
    </w:p>
    <w:p w:rsidR="00C82F48" w:rsidRPr="00012CA3" w:rsidRDefault="00C82F48" w:rsidP="00CF3DF9">
      <w:pPr>
        <w:suppressAutoHyphens w:val="0"/>
        <w:spacing w:after="120" w:line="276" w:lineRule="auto"/>
        <w:ind w:firstLine="567"/>
        <w:jc w:val="both"/>
        <w:rPr>
          <w:lang w:val="ro-MD"/>
        </w:rPr>
      </w:pPr>
      <w:r w:rsidRPr="00012CA3">
        <w:rPr>
          <w:rFonts w:ascii="Times New Roman" w:hAnsi="Times New Roman"/>
          <w:sz w:val="28"/>
          <w:szCs w:val="28"/>
        </w:rPr>
        <w:t>La situația din 30 iunie 202</w:t>
      </w:r>
      <w:r w:rsidR="002C1C8F" w:rsidRPr="00012CA3">
        <w:rPr>
          <w:rFonts w:ascii="Times New Roman" w:hAnsi="Times New Roman"/>
          <w:sz w:val="28"/>
          <w:szCs w:val="28"/>
        </w:rPr>
        <w:t>5</w:t>
      </w:r>
      <w:r w:rsidRPr="00012CA3">
        <w:rPr>
          <w:rFonts w:ascii="Times New Roman" w:hAnsi="Times New Roman"/>
          <w:sz w:val="28"/>
          <w:szCs w:val="28"/>
        </w:rPr>
        <w:t xml:space="preserve">, </w:t>
      </w:r>
      <w:r w:rsidRPr="00012CA3">
        <w:rPr>
          <w:rFonts w:ascii="Times New Roman" w:hAnsi="Times New Roman"/>
          <w:sz w:val="28"/>
          <w:szCs w:val="28"/>
          <w:lang w:val="ro-MD"/>
        </w:rPr>
        <w:t xml:space="preserve">la bugetul de stat s-au înregistrat </w:t>
      </w:r>
      <w:r w:rsidRPr="00012CA3">
        <w:rPr>
          <w:rFonts w:ascii="Times New Roman" w:hAnsi="Times New Roman"/>
          <w:b/>
          <w:i/>
          <w:sz w:val="28"/>
          <w:szCs w:val="28"/>
          <w:lang w:val="ro-MD"/>
        </w:rPr>
        <w:t>creanțe cu termen expirat</w:t>
      </w:r>
      <w:r w:rsidRPr="00012CA3">
        <w:rPr>
          <w:rFonts w:ascii="Times New Roman" w:hAnsi="Times New Roman"/>
          <w:sz w:val="28"/>
          <w:szCs w:val="28"/>
          <w:lang w:val="ro-MD"/>
        </w:rPr>
        <w:t xml:space="preserve"> în sumă </w:t>
      </w:r>
      <w:r w:rsidR="002C1C8F" w:rsidRPr="00012CA3">
        <w:rPr>
          <w:rFonts w:ascii="Times New Roman" w:hAnsi="Times New Roman"/>
          <w:sz w:val="28"/>
          <w:szCs w:val="28"/>
          <w:lang w:val="ro-MD"/>
        </w:rPr>
        <w:t>de 0,6 mil.lei, care comparativ cu 1 ianuarie 2025 s-au micșorat cu 31,6 mil.lei sau cu 98,1 la sută.</w:t>
      </w:r>
    </w:p>
    <w:p w:rsidR="00C82F48" w:rsidRPr="00012CA3" w:rsidRDefault="00C82F48">
      <w:pPr>
        <w:spacing w:after="0"/>
        <w:ind w:firstLine="567"/>
        <w:jc w:val="both"/>
        <w:rPr>
          <w:rFonts w:ascii="Times New Roman" w:hAnsi="Times New Roman"/>
          <w:sz w:val="28"/>
          <w:szCs w:val="28"/>
        </w:rPr>
      </w:pPr>
    </w:p>
    <w:p w:rsidR="00C82F48" w:rsidRPr="00012CA3" w:rsidRDefault="00C82F48">
      <w:pPr>
        <w:spacing w:line="276" w:lineRule="auto"/>
        <w:ind w:firstLine="567"/>
        <w:jc w:val="both"/>
        <w:rPr>
          <w:lang w:val="ro-MD"/>
        </w:rPr>
      </w:pPr>
      <w:r w:rsidRPr="00012CA3">
        <w:rPr>
          <w:rFonts w:ascii="Times New Roman" w:hAnsi="Times New Roman"/>
          <w:b/>
          <w:i/>
          <w:sz w:val="28"/>
          <w:szCs w:val="28"/>
          <w:lang w:val="ro-MD"/>
        </w:rPr>
        <w:t>Datoriile cu termen de achitare expirat (arierate)</w:t>
      </w:r>
      <w:r w:rsidRPr="00012CA3">
        <w:rPr>
          <w:rFonts w:ascii="Times New Roman" w:hAnsi="Times New Roman"/>
          <w:sz w:val="28"/>
          <w:szCs w:val="28"/>
          <w:lang w:val="ro-MD"/>
        </w:rPr>
        <w:t xml:space="preserve"> ale bugetului de stat la situația din 30 iunie 202</w:t>
      </w:r>
      <w:r w:rsidR="00B96270" w:rsidRPr="00012CA3">
        <w:rPr>
          <w:rFonts w:ascii="Times New Roman" w:hAnsi="Times New Roman"/>
          <w:sz w:val="28"/>
          <w:szCs w:val="28"/>
          <w:lang w:val="ro-MD"/>
        </w:rPr>
        <w:t>5</w:t>
      </w:r>
      <w:r w:rsidRPr="00012CA3">
        <w:rPr>
          <w:rFonts w:ascii="Times New Roman" w:hAnsi="Times New Roman"/>
          <w:sz w:val="28"/>
          <w:szCs w:val="28"/>
          <w:lang w:val="ro-MD"/>
        </w:rPr>
        <w:t xml:space="preserve"> </w:t>
      </w:r>
      <w:r w:rsidR="00B96270" w:rsidRPr="00012CA3">
        <w:rPr>
          <w:rFonts w:ascii="Times New Roman" w:hAnsi="Times New Roman"/>
          <w:sz w:val="28"/>
          <w:szCs w:val="28"/>
          <w:lang w:val="ro-MD"/>
        </w:rPr>
        <w:t xml:space="preserve">au constituit 17,7 mil.lei. În comparație cu 1 ianuarie 2025, acestea s-au majorat cu 11,1 mil.lei sau </w:t>
      </w:r>
      <w:r w:rsidR="007D6D06">
        <w:rPr>
          <w:rFonts w:ascii="Times New Roman" w:hAnsi="Times New Roman"/>
          <w:sz w:val="28"/>
          <w:szCs w:val="28"/>
          <w:lang w:val="ro-MD"/>
        </w:rPr>
        <w:t>de 1,7 ori</w:t>
      </w:r>
      <w:r w:rsidR="00B96270" w:rsidRPr="00012CA3">
        <w:rPr>
          <w:rFonts w:ascii="Times New Roman" w:hAnsi="Times New Roman"/>
          <w:sz w:val="28"/>
          <w:szCs w:val="28"/>
          <w:lang w:val="ro-MD"/>
        </w:rPr>
        <w:t xml:space="preserve">, </w:t>
      </w:r>
      <w:r w:rsidR="005411F5" w:rsidRPr="00012CA3">
        <w:rPr>
          <w:rFonts w:ascii="Times New Roman" w:hAnsi="Times New Roman"/>
          <w:sz w:val="28"/>
          <w:szCs w:val="28"/>
          <w:lang w:val="ro-MD"/>
        </w:rPr>
        <w:t>motivele principale invocate de autoritățile/instituțiile bugetare fiind insuficiența alocațiilor bugetare și a mijloacelor bănești, precum și neonorarea condițiilor contractuale.</w:t>
      </w:r>
    </w:p>
    <w:p w:rsidR="00C82F48" w:rsidRPr="00012CA3" w:rsidRDefault="00C82F48">
      <w:pPr>
        <w:pStyle w:val="Heading1"/>
      </w:pPr>
      <w:bookmarkStart w:id="8" w:name="_Toc175311674"/>
      <w:r w:rsidRPr="00012CA3">
        <w:rPr>
          <w:rFonts w:ascii="Times New Roman" w:hAnsi="Times New Roman"/>
          <w:color w:val="171717"/>
          <w:sz w:val="32"/>
          <w:szCs w:val="32"/>
        </w:rPr>
        <w:t>Evoluții în domeniul datoriei de stat și angajamente</w:t>
      </w:r>
      <w:r w:rsidR="00A26C51" w:rsidRPr="00012CA3">
        <w:rPr>
          <w:rFonts w:ascii="Times New Roman" w:hAnsi="Times New Roman"/>
          <w:color w:val="171717"/>
          <w:sz w:val="32"/>
          <w:szCs w:val="32"/>
        </w:rPr>
        <w:t>lor</w:t>
      </w:r>
      <w:r w:rsidRPr="00012CA3">
        <w:rPr>
          <w:rFonts w:ascii="Times New Roman" w:hAnsi="Times New Roman"/>
          <w:color w:val="171717"/>
          <w:sz w:val="32"/>
          <w:szCs w:val="32"/>
        </w:rPr>
        <w:t xml:space="preserve"> condiționate în semestrul I 202</w:t>
      </w:r>
      <w:bookmarkEnd w:id="8"/>
      <w:r w:rsidR="000D022A" w:rsidRPr="00012CA3">
        <w:rPr>
          <w:rFonts w:ascii="Times New Roman" w:hAnsi="Times New Roman"/>
          <w:color w:val="171717"/>
          <w:sz w:val="32"/>
          <w:szCs w:val="32"/>
        </w:rPr>
        <w:t>5</w:t>
      </w:r>
    </w:p>
    <w:p w:rsidR="00C82F48" w:rsidRPr="00012CA3" w:rsidRDefault="00C82F48">
      <w:pPr>
        <w:pStyle w:val="Heading2"/>
        <w:spacing w:after="120" w:line="276" w:lineRule="auto"/>
      </w:pPr>
      <w:r w:rsidRPr="00012CA3">
        <w:rPr>
          <w:rFonts w:ascii="Times New Roman" w:hAnsi="Times New Roman"/>
          <w:color w:val="171717"/>
          <w:sz w:val="28"/>
          <w:szCs w:val="28"/>
        </w:rPr>
        <w:t>Soldul datoriei de stat</w:t>
      </w:r>
    </w:p>
    <w:p w:rsidR="000D022A" w:rsidRPr="00012CA3" w:rsidRDefault="009262EB" w:rsidP="000D022A">
      <w:pPr>
        <w:tabs>
          <w:tab w:val="left" w:pos="567"/>
          <w:tab w:val="left" w:pos="1560"/>
        </w:tabs>
        <w:spacing w:after="0" w:line="276" w:lineRule="auto"/>
        <w:ind w:firstLine="567"/>
        <w:jc w:val="both"/>
        <w:rPr>
          <w:rFonts w:ascii="Times New Roman" w:hAnsi="Times New Roman"/>
          <w:color w:val="000000"/>
          <w:sz w:val="28"/>
          <w:szCs w:val="28"/>
          <w:lang w:eastAsia="en-US"/>
        </w:rPr>
      </w:pPr>
      <w:r w:rsidRPr="00012CA3">
        <w:rPr>
          <w:rFonts w:ascii="Times New Roman" w:hAnsi="Times New Roman"/>
          <w:color w:val="000000"/>
          <w:sz w:val="28"/>
          <w:szCs w:val="28"/>
        </w:rPr>
        <w:t>La situația din 30 iunie 202</w:t>
      </w:r>
      <w:r w:rsidR="000D022A" w:rsidRPr="00012CA3">
        <w:rPr>
          <w:rFonts w:ascii="Times New Roman" w:hAnsi="Times New Roman"/>
          <w:color w:val="000000"/>
          <w:sz w:val="28"/>
          <w:szCs w:val="28"/>
        </w:rPr>
        <w:t>5</w:t>
      </w:r>
      <w:r w:rsidRPr="00012CA3">
        <w:rPr>
          <w:rFonts w:ascii="Times New Roman" w:hAnsi="Times New Roman"/>
          <w:color w:val="000000"/>
          <w:sz w:val="28"/>
          <w:szCs w:val="28"/>
        </w:rPr>
        <w:t xml:space="preserve">, </w:t>
      </w:r>
      <w:r w:rsidRPr="00012CA3">
        <w:rPr>
          <w:rFonts w:ascii="Times New Roman" w:hAnsi="Times New Roman"/>
          <w:b/>
          <w:i/>
          <w:color w:val="000000"/>
          <w:sz w:val="28"/>
          <w:szCs w:val="28"/>
        </w:rPr>
        <w:t>soldul datoriei de stat</w:t>
      </w:r>
      <w:r w:rsidRPr="00012CA3">
        <w:rPr>
          <w:rFonts w:ascii="Times New Roman" w:hAnsi="Times New Roman"/>
          <w:color w:val="000000"/>
          <w:sz w:val="28"/>
          <w:szCs w:val="28"/>
        </w:rPr>
        <w:t xml:space="preserve"> a </w:t>
      </w:r>
      <w:r w:rsidRPr="006047C2">
        <w:rPr>
          <w:rFonts w:ascii="Times New Roman" w:hAnsi="Times New Roman"/>
          <w:color w:val="000000"/>
          <w:sz w:val="28"/>
          <w:szCs w:val="28"/>
        </w:rPr>
        <w:t xml:space="preserve">constituit </w:t>
      </w:r>
      <w:r w:rsidRPr="006047C2">
        <w:rPr>
          <w:rFonts w:ascii="Times New Roman" w:hAnsi="Times New Roman"/>
          <w:b/>
          <w:i/>
          <w:color w:val="000000"/>
          <w:sz w:val="28"/>
          <w:szCs w:val="28"/>
        </w:rPr>
        <w:t xml:space="preserve"> </w:t>
      </w:r>
      <w:r w:rsidR="000D022A" w:rsidRPr="006047C2">
        <w:rPr>
          <w:rFonts w:ascii="Times New Roman" w:hAnsi="Times New Roman"/>
          <w:b/>
          <w:i/>
          <w:color w:val="000000"/>
          <w:sz w:val="28"/>
          <w:szCs w:val="28"/>
          <w:lang w:eastAsia="en-US"/>
        </w:rPr>
        <w:t>127</w:t>
      </w:r>
      <w:r w:rsidR="00F80D79" w:rsidRPr="006047C2">
        <w:rPr>
          <w:rFonts w:ascii="Times New Roman" w:hAnsi="Times New Roman"/>
          <w:b/>
          <w:i/>
          <w:color w:val="000000"/>
          <w:sz w:val="28"/>
          <w:szCs w:val="28"/>
          <w:lang w:eastAsia="en-US"/>
        </w:rPr>
        <w:t> </w:t>
      </w:r>
      <w:r w:rsidR="000D022A" w:rsidRPr="006047C2">
        <w:rPr>
          <w:rFonts w:ascii="Times New Roman" w:hAnsi="Times New Roman"/>
          <w:b/>
          <w:i/>
          <w:color w:val="000000"/>
          <w:sz w:val="28"/>
          <w:szCs w:val="28"/>
          <w:lang w:eastAsia="en-US"/>
        </w:rPr>
        <w:t>17</w:t>
      </w:r>
      <w:r w:rsidR="00F80D79" w:rsidRPr="006047C2">
        <w:rPr>
          <w:rFonts w:ascii="Times New Roman" w:hAnsi="Times New Roman"/>
          <w:b/>
          <w:i/>
          <w:color w:val="000000"/>
          <w:sz w:val="28"/>
          <w:szCs w:val="28"/>
          <w:lang w:eastAsia="en-US"/>
        </w:rPr>
        <w:t>6,4</w:t>
      </w:r>
      <w:r w:rsidR="000D022A" w:rsidRPr="006047C2">
        <w:rPr>
          <w:rFonts w:ascii="Times New Roman" w:hAnsi="Times New Roman"/>
          <w:b/>
          <w:i/>
          <w:color w:val="000000"/>
          <w:sz w:val="28"/>
          <w:szCs w:val="28"/>
          <w:lang w:eastAsia="en-US"/>
        </w:rPr>
        <w:t xml:space="preserve"> mil. lei</w:t>
      </w:r>
      <w:r w:rsidR="000D022A" w:rsidRPr="006047C2">
        <w:rPr>
          <w:rFonts w:ascii="Times New Roman" w:hAnsi="Times New Roman"/>
          <w:color w:val="000000"/>
          <w:sz w:val="28"/>
          <w:szCs w:val="28"/>
          <w:lang w:eastAsia="en-US"/>
        </w:rPr>
        <w:t>, sau cu 5</w:t>
      </w:r>
      <w:r w:rsidR="00411AF8" w:rsidRPr="006047C2">
        <w:rPr>
          <w:rFonts w:ascii="Times New Roman" w:hAnsi="Times New Roman"/>
          <w:color w:val="000000"/>
          <w:sz w:val="28"/>
          <w:szCs w:val="28"/>
          <w:lang w:eastAsia="en-US"/>
        </w:rPr>
        <w:t> </w:t>
      </w:r>
      <w:r w:rsidR="000D022A" w:rsidRPr="006047C2">
        <w:rPr>
          <w:rFonts w:ascii="Times New Roman" w:hAnsi="Times New Roman"/>
          <w:color w:val="000000"/>
          <w:sz w:val="28"/>
          <w:szCs w:val="28"/>
          <w:lang w:eastAsia="en-US"/>
        </w:rPr>
        <w:t>78</w:t>
      </w:r>
      <w:r w:rsidR="00411AF8" w:rsidRPr="006047C2">
        <w:rPr>
          <w:rFonts w:ascii="Times New Roman" w:hAnsi="Times New Roman"/>
          <w:color w:val="000000"/>
          <w:sz w:val="28"/>
          <w:szCs w:val="28"/>
          <w:lang w:eastAsia="en-US"/>
        </w:rPr>
        <w:t>2,4</w:t>
      </w:r>
      <w:r w:rsidR="000D022A" w:rsidRPr="006047C2">
        <w:rPr>
          <w:rFonts w:ascii="Times New Roman" w:hAnsi="Times New Roman"/>
          <w:color w:val="000000"/>
          <w:sz w:val="28"/>
          <w:szCs w:val="28"/>
          <w:lang w:eastAsia="en-US"/>
        </w:rPr>
        <w:t xml:space="preserve"> mil. lei mai mult comparativ cu sfârșitul</w:t>
      </w:r>
      <w:r w:rsidR="000D022A" w:rsidRPr="00012CA3">
        <w:rPr>
          <w:rFonts w:ascii="Times New Roman" w:hAnsi="Times New Roman"/>
          <w:color w:val="000000"/>
          <w:sz w:val="28"/>
          <w:szCs w:val="28"/>
          <w:lang w:eastAsia="en-US"/>
        </w:rPr>
        <w:t xml:space="preserve"> anului 2024, dat fiind finanțarea netă internă și finanțarea netă externă – pozitivă.</w:t>
      </w:r>
    </w:p>
    <w:p w:rsidR="00C82F48" w:rsidRPr="00012CA3" w:rsidRDefault="009262EB">
      <w:pPr>
        <w:tabs>
          <w:tab w:val="left" w:pos="1560"/>
        </w:tabs>
        <w:spacing w:after="0" w:line="276" w:lineRule="auto"/>
        <w:ind w:firstLine="567"/>
        <w:jc w:val="both"/>
        <w:rPr>
          <w:rFonts w:ascii="Times New Roman" w:hAnsi="Times New Roman"/>
          <w:color w:val="000000"/>
          <w:sz w:val="28"/>
          <w:szCs w:val="28"/>
        </w:rPr>
      </w:pPr>
      <w:r w:rsidRPr="00012CA3">
        <w:rPr>
          <w:rFonts w:ascii="Times New Roman" w:hAnsi="Times New Roman"/>
          <w:b/>
          <w:i/>
          <w:color w:val="000000"/>
          <w:sz w:val="28"/>
          <w:szCs w:val="28"/>
        </w:rPr>
        <w:t>Ponderea datoriei de stat în PIB</w:t>
      </w:r>
      <w:r w:rsidRPr="00012CA3">
        <w:rPr>
          <w:rFonts w:ascii="Times New Roman" w:hAnsi="Times New Roman"/>
          <w:color w:val="000000"/>
          <w:sz w:val="28"/>
          <w:szCs w:val="28"/>
        </w:rPr>
        <w:t>, la situația din 30 iunie 202</w:t>
      </w:r>
      <w:r w:rsidR="00D00B04" w:rsidRPr="00012CA3">
        <w:rPr>
          <w:rFonts w:ascii="Times New Roman" w:hAnsi="Times New Roman"/>
          <w:color w:val="000000"/>
          <w:sz w:val="28"/>
          <w:szCs w:val="28"/>
        </w:rPr>
        <w:t>5</w:t>
      </w:r>
      <w:r w:rsidRPr="00012CA3">
        <w:rPr>
          <w:rFonts w:ascii="Times New Roman" w:hAnsi="Times New Roman"/>
          <w:color w:val="000000"/>
          <w:sz w:val="28"/>
          <w:szCs w:val="28"/>
        </w:rPr>
        <w:t xml:space="preserve">, </w:t>
      </w:r>
      <w:r w:rsidR="00D00B04" w:rsidRPr="00012CA3">
        <w:rPr>
          <w:rFonts w:ascii="Times New Roman" w:hAnsi="Times New Roman"/>
          <w:color w:val="000000"/>
          <w:sz w:val="28"/>
          <w:szCs w:val="28"/>
        </w:rPr>
        <w:t>a constituit 36,2%, înregistrând o diminuare în raport cu situația de la sfârșitul anului 2024 cu 1,3 p.p.</w:t>
      </w:r>
    </w:p>
    <w:p w:rsidR="00CA4F96" w:rsidRPr="00012CA3" w:rsidRDefault="00CA4F96">
      <w:pPr>
        <w:tabs>
          <w:tab w:val="left" w:pos="1560"/>
        </w:tabs>
        <w:spacing w:after="0" w:line="276" w:lineRule="auto"/>
        <w:ind w:firstLine="567"/>
        <w:jc w:val="both"/>
        <w:rPr>
          <w:rFonts w:ascii="Times New Roman" w:hAnsi="Times New Roman"/>
          <w:b/>
          <w:i/>
          <w:color w:val="323E4F"/>
          <w:sz w:val="28"/>
          <w:szCs w:val="24"/>
        </w:rPr>
      </w:pPr>
    </w:p>
    <w:p w:rsidR="00C82F48" w:rsidRPr="00012CA3" w:rsidRDefault="00C82F48" w:rsidP="00603874">
      <w:pPr>
        <w:tabs>
          <w:tab w:val="left" w:pos="1560"/>
        </w:tabs>
        <w:spacing w:after="0" w:line="276" w:lineRule="auto"/>
        <w:ind w:firstLine="567"/>
        <w:jc w:val="both"/>
        <w:rPr>
          <w:rFonts w:ascii="Times New Roman" w:hAnsi="Times New Roman"/>
          <w:b/>
          <w:i/>
          <w:color w:val="323E4F"/>
          <w:sz w:val="28"/>
          <w:szCs w:val="24"/>
          <w:lang w:val="en-GB"/>
        </w:rPr>
      </w:pPr>
      <w:r w:rsidRPr="00012CA3">
        <w:rPr>
          <w:rFonts w:ascii="Times New Roman" w:hAnsi="Times New Roman"/>
          <w:b/>
          <w:i/>
          <w:color w:val="323E4F"/>
          <w:sz w:val="28"/>
          <w:szCs w:val="24"/>
        </w:rPr>
        <w:t>Diagrama 7. Evoluția datoriei de stat în PIB, 30 iunie 202</w:t>
      </w:r>
      <w:r w:rsidR="008E2368" w:rsidRPr="00012CA3">
        <w:rPr>
          <w:rFonts w:ascii="Times New Roman" w:hAnsi="Times New Roman"/>
          <w:b/>
          <w:i/>
          <w:color w:val="323E4F"/>
          <w:sz w:val="28"/>
          <w:szCs w:val="24"/>
        </w:rPr>
        <w:t>4</w:t>
      </w:r>
      <w:r w:rsidRPr="00012CA3">
        <w:rPr>
          <w:rFonts w:ascii="Times New Roman" w:hAnsi="Times New Roman"/>
          <w:b/>
          <w:i/>
          <w:color w:val="323E4F"/>
          <w:sz w:val="28"/>
          <w:szCs w:val="24"/>
        </w:rPr>
        <w:t>–30 iunie 202</w:t>
      </w:r>
      <w:r w:rsidR="008E2368" w:rsidRPr="00012CA3">
        <w:rPr>
          <w:rFonts w:ascii="Times New Roman" w:hAnsi="Times New Roman"/>
          <w:b/>
          <w:i/>
          <w:color w:val="323E4F"/>
          <w:sz w:val="28"/>
          <w:szCs w:val="24"/>
        </w:rPr>
        <w:t>5</w:t>
      </w:r>
      <w:r w:rsidRPr="00012CA3">
        <w:rPr>
          <w:rFonts w:ascii="Times New Roman" w:hAnsi="Times New Roman"/>
          <w:b/>
          <w:i/>
          <w:color w:val="323E4F"/>
          <w:sz w:val="28"/>
          <w:szCs w:val="24"/>
        </w:rPr>
        <w:t xml:space="preserve">, </w:t>
      </w:r>
      <w:r w:rsidRPr="00012CA3">
        <w:rPr>
          <w:rFonts w:ascii="Times New Roman" w:hAnsi="Times New Roman"/>
          <w:b/>
          <w:i/>
          <w:color w:val="323E4F"/>
          <w:sz w:val="28"/>
          <w:szCs w:val="24"/>
          <w:lang w:val="en-GB"/>
        </w:rPr>
        <w:t>(</w:t>
      </w:r>
      <w:r w:rsidRPr="00012CA3">
        <w:rPr>
          <w:rFonts w:ascii="Times New Roman" w:hAnsi="Times New Roman"/>
          <w:b/>
          <w:i/>
          <w:color w:val="323E4F"/>
          <w:sz w:val="28"/>
          <w:szCs w:val="24"/>
        </w:rPr>
        <w:t>%)</w:t>
      </w:r>
      <w:r w:rsidRPr="00012CA3">
        <w:rPr>
          <w:rFonts w:ascii="Times New Roman" w:hAnsi="Times New Roman"/>
          <w:b/>
          <w:i/>
          <w:color w:val="323E4F"/>
          <w:sz w:val="28"/>
          <w:szCs w:val="24"/>
          <w:lang w:val="en-GB"/>
        </w:rPr>
        <w:t xml:space="preserve">  </w:t>
      </w:r>
    </w:p>
    <w:p w:rsidR="0029222A" w:rsidRPr="00012CA3" w:rsidRDefault="00792FFF" w:rsidP="0029222A">
      <w:pPr>
        <w:tabs>
          <w:tab w:val="left" w:pos="1560"/>
        </w:tabs>
        <w:spacing w:after="0" w:line="276" w:lineRule="auto"/>
        <w:ind w:hanging="142"/>
        <w:jc w:val="both"/>
        <w:rPr>
          <w:rFonts w:ascii="Times New Roman" w:hAnsi="Times New Roman"/>
          <w:b/>
          <w:i/>
          <w:color w:val="323E4F"/>
          <w:sz w:val="28"/>
          <w:szCs w:val="24"/>
          <w:lang w:val="en-GB"/>
        </w:rPr>
      </w:pPr>
      <w:r w:rsidRPr="00012CA3">
        <w:rPr>
          <w:noProof/>
          <w:lang w:val="en-US" w:eastAsia="en-US"/>
        </w:rPr>
        <w:drawing>
          <wp:inline distT="0" distB="0" distL="0" distR="0">
            <wp:extent cx="5934075" cy="2076450"/>
            <wp:effectExtent l="0" t="0" r="0" b="0"/>
            <wp:docPr id="7"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30A05" w:rsidRDefault="00730A05">
      <w:pPr>
        <w:tabs>
          <w:tab w:val="left" w:pos="1560"/>
        </w:tabs>
        <w:spacing w:after="0" w:line="276" w:lineRule="auto"/>
        <w:ind w:firstLine="180"/>
        <w:jc w:val="both"/>
        <w:rPr>
          <w:rFonts w:ascii="Times New Roman" w:hAnsi="Times New Roman"/>
          <w:b/>
          <w:i/>
          <w:color w:val="323E4F"/>
          <w:sz w:val="28"/>
          <w:szCs w:val="24"/>
          <w:lang w:val="en-GB"/>
        </w:rPr>
      </w:pPr>
    </w:p>
    <w:p w:rsidR="00C82F48" w:rsidRPr="00012CA3" w:rsidRDefault="00C82F48">
      <w:pPr>
        <w:tabs>
          <w:tab w:val="left" w:pos="1560"/>
        </w:tabs>
        <w:spacing w:after="0" w:line="276" w:lineRule="auto"/>
        <w:ind w:firstLine="180"/>
        <w:jc w:val="both"/>
      </w:pPr>
      <w:r w:rsidRPr="00012CA3">
        <w:rPr>
          <w:rFonts w:ascii="Times New Roman" w:hAnsi="Times New Roman"/>
          <w:b/>
          <w:i/>
          <w:color w:val="323E4F"/>
          <w:sz w:val="28"/>
          <w:szCs w:val="24"/>
          <w:lang w:val="en-GB"/>
        </w:rPr>
        <w:t xml:space="preserve"> </w:t>
      </w:r>
      <w:r w:rsidRPr="00012CA3">
        <w:rPr>
          <w:rFonts w:ascii="Times New Roman" w:hAnsi="Times New Roman"/>
          <w:color w:val="000000"/>
          <w:sz w:val="28"/>
          <w:szCs w:val="28"/>
          <w:lang w:eastAsia="ru-RU"/>
        </w:rPr>
        <w:t>La situația din 30 iunie 202</w:t>
      </w:r>
      <w:r w:rsidR="00415E61">
        <w:rPr>
          <w:rFonts w:ascii="Times New Roman" w:hAnsi="Times New Roman"/>
          <w:color w:val="000000"/>
          <w:sz w:val="28"/>
          <w:szCs w:val="28"/>
          <w:lang w:eastAsia="ru-RU"/>
        </w:rPr>
        <w:t>5</w:t>
      </w:r>
      <w:r w:rsidRPr="00012CA3">
        <w:rPr>
          <w:rFonts w:ascii="Times New Roman" w:hAnsi="Times New Roman"/>
          <w:color w:val="000000"/>
          <w:sz w:val="28"/>
          <w:szCs w:val="28"/>
          <w:lang w:eastAsia="ru-RU"/>
        </w:rPr>
        <w:t xml:space="preserve">, </w:t>
      </w:r>
      <w:r w:rsidRPr="00012CA3">
        <w:rPr>
          <w:rFonts w:ascii="Times New Roman" w:hAnsi="Times New Roman"/>
          <w:i/>
          <w:color w:val="000000"/>
          <w:sz w:val="28"/>
          <w:szCs w:val="28"/>
          <w:u w:val="single"/>
          <w:lang w:eastAsia="ru-RU"/>
        </w:rPr>
        <w:t>soldul datoriilor beneficiarilor recreditați</w:t>
      </w:r>
      <w:r w:rsidRPr="00012CA3">
        <w:rPr>
          <w:rFonts w:ascii="Times New Roman" w:hAnsi="Times New Roman"/>
          <w:color w:val="000000"/>
          <w:sz w:val="28"/>
          <w:szCs w:val="28"/>
          <w:lang w:eastAsia="ru-RU"/>
        </w:rPr>
        <w:t xml:space="preserve"> constituie </w:t>
      </w:r>
      <w:r w:rsidR="00DB7F7D" w:rsidRPr="00012CA3">
        <w:rPr>
          <w:rFonts w:ascii="Times New Roman" w:hAnsi="Times New Roman"/>
          <w:color w:val="000000"/>
          <w:sz w:val="28"/>
          <w:szCs w:val="28"/>
          <w:lang w:eastAsia="ru-RU"/>
        </w:rPr>
        <w:t xml:space="preserve">8 171,2  </w:t>
      </w:r>
      <w:r w:rsidRPr="00012CA3">
        <w:rPr>
          <w:rFonts w:ascii="Times New Roman" w:hAnsi="Times New Roman"/>
          <w:color w:val="000000"/>
          <w:sz w:val="28"/>
          <w:szCs w:val="28"/>
          <w:lang w:eastAsia="ru-RU"/>
        </w:rPr>
        <w:t>mil. lei, dintre care:</w:t>
      </w:r>
    </w:p>
    <w:p w:rsidR="00C82F48" w:rsidRPr="00012CA3" w:rsidRDefault="00EE24B2">
      <w:pPr>
        <w:numPr>
          <w:ilvl w:val="0"/>
          <w:numId w:val="11"/>
        </w:numPr>
        <w:tabs>
          <w:tab w:val="left" w:pos="990"/>
        </w:tabs>
        <w:spacing w:after="0" w:line="276" w:lineRule="auto"/>
        <w:ind w:left="990"/>
        <w:jc w:val="both"/>
      </w:pPr>
      <w:r w:rsidRPr="00012CA3">
        <w:rPr>
          <w:rFonts w:ascii="Times New Roman" w:hAnsi="Times New Roman"/>
          <w:color w:val="000000"/>
          <w:sz w:val="28"/>
          <w:szCs w:val="28"/>
          <w:lang w:eastAsia="ru-RU"/>
        </w:rPr>
        <w:t xml:space="preserve">386,8 </w:t>
      </w:r>
      <w:r w:rsidR="00C82F48" w:rsidRPr="00012CA3">
        <w:rPr>
          <w:rFonts w:ascii="Times New Roman" w:hAnsi="Times New Roman"/>
          <w:color w:val="000000"/>
          <w:sz w:val="28"/>
          <w:szCs w:val="28"/>
          <w:lang w:eastAsia="ru-RU"/>
        </w:rPr>
        <w:t>mil. lei – autoritățile publice locale;</w:t>
      </w:r>
    </w:p>
    <w:p w:rsidR="00C82F48" w:rsidRPr="00012CA3" w:rsidRDefault="00EE24B2">
      <w:pPr>
        <w:numPr>
          <w:ilvl w:val="0"/>
          <w:numId w:val="11"/>
        </w:numPr>
        <w:spacing w:after="0" w:line="276" w:lineRule="auto"/>
        <w:ind w:left="990"/>
        <w:jc w:val="both"/>
      </w:pPr>
      <w:r w:rsidRPr="00012CA3">
        <w:rPr>
          <w:rFonts w:ascii="Times New Roman" w:hAnsi="Times New Roman"/>
          <w:color w:val="000000"/>
          <w:sz w:val="28"/>
          <w:szCs w:val="28"/>
          <w:lang w:eastAsia="ru-RU"/>
        </w:rPr>
        <w:lastRenderedPageBreak/>
        <w:t xml:space="preserve">2 862,1 </w:t>
      </w:r>
      <w:r w:rsidR="00C82F48" w:rsidRPr="00012CA3">
        <w:rPr>
          <w:rFonts w:ascii="Times New Roman" w:hAnsi="Times New Roman"/>
          <w:color w:val="000000"/>
          <w:sz w:val="28"/>
          <w:szCs w:val="28"/>
          <w:lang w:eastAsia="ru-RU"/>
        </w:rPr>
        <w:t>mil. lei – instituțiile nefinanciare;</w:t>
      </w:r>
    </w:p>
    <w:p w:rsidR="00C82F48" w:rsidRPr="00012CA3" w:rsidRDefault="00EE24B2">
      <w:pPr>
        <w:numPr>
          <w:ilvl w:val="0"/>
          <w:numId w:val="11"/>
        </w:numPr>
        <w:spacing w:after="0" w:line="276" w:lineRule="auto"/>
        <w:ind w:left="990"/>
        <w:jc w:val="both"/>
      </w:pPr>
      <w:r w:rsidRPr="00012CA3">
        <w:rPr>
          <w:rFonts w:ascii="Times New Roman" w:hAnsi="Times New Roman"/>
          <w:color w:val="000000"/>
          <w:sz w:val="28"/>
          <w:szCs w:val="28"/>
          <w:lang w:eastAsia="ru-RU"/>
        </w:rPr>
        <w:t xml:space="preserve">4 922,3 </w:t>
      </w:r>
      <w:r w:rsidR="00C82F48" w:rsidRPr="00012CA3">
        <w:rPr>
          <w:rFonts w:ascii="Times New Roman" w:hAnsi="Times New Roman"/>
          <w:color w:val="000000"/>
          <w:sz w:val="28"/>
          <w:szCs w:val="28"/>
          <w:lang w:eastAsia="ru-RU"/>
        </w:rPr>
        <w:t xml:space="preserve"> mil. lei – instituțiile financiare.</w:t>
      </w:r>
    </w:p>
    <w:p w:rsidR="00C82F48" w:rsidRDefault="00DF60E5" w:rsidP="00DF60E5">
      <w:pPr>
        <w:spacing w:after="0" w:line="276" w:lineRule="auto"/>
        <w:ind w:firstLine="567"/>
        <w:jc w:val="both"/>
        <w:rPr>
          <w:rFonts w:ascii="Times New Roman" w:hAnsi="Times New Roman"/>
          <w:color w:val="000000"/>
          <w:sz w:val="28"/>
          <w:szCs w:val="28"/>
          <w:lang w:val="ro-MD" w:eastAsia="ru-RU"/>
        </w:rPr>
      </w:pPr>
      <w:r w:rsidRPr="00012CA3">
        <w:rPr>
          <w:rFonts w:ascii="Times New Roman" w:hAnsi="Times New Roman"/>
          <w:color w:val="000000"/>
          <w:sz w:val="28"/>
          <w:szCs w:val="28"/>
          <w:lang w:eastAsia="ru-RU"/>
        </w:rPr>
        <w:t>În comparație cu situația din 31 decembrie 202</w:t>
      </w:r>
      <w:r w:rsidR="001C297B" w:rsidRPr="00012CA3">
        <w:rPr>
          <w:rFonts w:ascii="Times New Roman" w:hAnsi="Times New Roman"/>
          <w:color w:val="000000"/>
          <w:sz w:val="28"/>
          <w:szCs w:val="28"/>
          <w:lang w:eastAsia="ru-RU"/>
        </w:rPr>
        <w:t>4</w:t>
      </w:r>
      <w:r w:rsidRPr="00012CA3">
        <w:rPr>
          <w:rFonts w:ascii="Times New Roman" w:hAnsi="Times New Roman"/>
          <w:color w:val="000000"/>
          <w:sz w:val="28"/>
          <w:szCs w:val="28"/>
          <w:lang w:eastAsia="ru-RU"/>
        </w:rPr>
        <w:t xml:space="preserve">, soldul datoriilor beneficiarilor recreditați s-a micșorat cu </w:t>
      </w:r>
      <w:r w:rsidR="001C297B" w:rsidRPr="00012CA3">
        <w:rPr>
          <w:rFonts w:ascii="Times New Roman" w:hAnsi="Times New Roman"/>
          <w:color w:val="000000"/>
          <w:sz w:val="28"/>
          <w:szCs w:val="28"/>
          <w:lang w:eastAsia="ru-RU"/>
        </w:rPr>
        <w:t xml:space="preserve">4 334,0 mil. lei, ce constituie o descreștere de cca 34,7%, iar comparativ cu situația din 30 iunie 2024 s-a majorat cu  127,7 mil. lei sau cu cca 1,6%, fiind condiționată de o cerere mai mare  de acordare a împrumuturilor din partea beneficiarilor </w:t>
      </w:r>
      <w:r w:rsidR="001C297B" w:rsidRPr="00012CA3">
        <w:rPr>
          <w:rFonts w:ascii="Times New Roman" w:hAnsi="Times New Roman"/>
          <w:color w:val="000000"/>
          <w:sz w:val="28"/>
          <w:szCs w:val="28"/>
          <w:lang w:val="ro-MD" w:eastAsia="ru-RU"/>
        </w:rPr>
        <w:t>recreditați.</w:t>
      </w:r>
    </w:p>
    <w:p w:rsidR="00730A05" w:rsidRPr="00012CA3" w:rsidRDefault="00730A05" w:rsidP="00DF60E5">
      <w:pPr>
        <w:spacing w:after="0" w:line="276" w:lineRule="auto"/>
        <w:ind w:firstLine="567"/>
        <w:jc w:val="both"/>
        <w:rPr>
          <w:rFonts w:ascii="Times New Roman" w:hAnsi="Times New Roman"/>
          <w:color w:val="000000"/>
          <w:sz w:val="28"/>
          <w:szCs w:val="28"/>
          <w:lang w:eastAsia="ru-RU"/>
        </w:rPr>
      </w:pPr>
    </w:p>
    <w:p w:rsidR="00C82F48" w:rsidRPr="00012CA3" w:rsidRDefault="00C82F48">
      <w:pPr>
        <w:spacing w:after="0" w:line="276" w:lineRule="auto"/>
        <w:ind w:firstLine="567"/>
        <w:jc w:val="both"/>
      </w:pPr>
      <w:r w:rsidRPr="00012CA3">
        <w:rPr>
          <w:rFonts w:ascii="Times New Roman" w:hAnsi="Times New Roman"/>
          <w:i/>
          <w:color w:val="000000"/>
          <w:sz w:val="28"/>
          <w:szCs w:val="28"/>
          <w:u w:val="single"/>
          <w:lang w:eastAsia="ru-RU"/>
        </w:rPr>
        <w:t>Datoria cu termen expirat</w:t>
      </w:r>
      <w:r w:rsidRPr="00012CA3">
        <w:rPr>
          <w:rFonts w:ascii="Times New Roman" w:hAnsi="Times New Roman"/>
          <w:color w:val="000000"/>
          <w:sz w:val="28"/>
          <w:szCs w:val="28"/>
          <w:lang w:eastAsia="ru-RU"/>
        </w:rPr>
        <w:t xml:space="preserve"> la situația din 30 iunie 202</w:t>
      </w:r>
      <w:r w:rsidR="003424CF" w:rsidRPr="00012CA3">
        <w:rPr>
          <w:rFonts w:ascii="Times New Roman" w:hAnsi="Times New Roman"/>
          <w:color w:val="000000"/>
          <w:sz w:val="28"/>
          <w:szCs w:val="28"/>
          <w:lang w:eastAsia="ru-RU"/>
        </w:rPr>
        <w:t>5</w:t>
      </w:r>
      <w:r w:rsidRPr="00012CA3">
        <w:rPr>
          <w:rFonts w:ascii="Times New Roman" w:hAnsi="Times New Roman"/>
          <w:color w:val="000000"/>
          <w:sz w:val="28"/>
          <w:szCs w:val="28"/>
          <w:lang w:eastAsia="ru-RU"/>
        </w:rPr>
        <w:t xml:space="preserve"> constituie </w:t>
      </w:r>
      <w:r w:rsidR="003424CF" w:rsidRPr="00012CA3">
        <w:rPr>
          <w:rFonts w:ascii="Times New Roman" w:hAnsi="Times New Roman"/>
          <w:color w:val="000000"/>
          <w:sz w:val="28"/>
          <w:szCs w:val="28"/>
          <w:lang w:eastAsia="ru-RU"/>
        </w:rPr>
        <w:t>147,6</w:t>
      </w:r>
      <w:r w:rsidRPr="00012CA3">
        <w:rPr>
          <w:rFonts w:ascii="Times New Roman" w:hAnsi="Times New Roman"/>
          <w:color w:val="000000"/>
          <w:sz w:val="28"/>
          <w:szCs w:val="28"/>
          <w:lang w:eastAsia="ru-RU"/>
        </w:rPr>
        <w:t xml:space="preserve"> mil. lei sau </w:t>
      </w:r>
      <w:r w:rsidR="00EB68B1" w:rsidRPr="00012CA3">
        <w:rPr>
          <w:rFonts w:ascii="Times New Roman" w:hAnsi="Times New Roman"/>
          <w:color w:val="000000"/>
          <w:sz w:val="28"/>
          <w:szCs w:val="28"/>
          <w:lang w:eastAsia="ru-RU"/>
        </w:rPr>
        <w:t>1,8</w:t>
      </w:r>
      <w:r w:rsidRPr="00012CA3">
        <w:rPr>
          <w:rFonts w:ascii="Times New Roman" w:hAnsi="Times New Roman"/>
          <w:color w:val="000000"/>
          <w:sz w:val="28"/>
          <w:szCs w:val="28"/>
          <w:lang w:eastAsia="ru-RU"/>
        </w:rPr>
        <w:t>% din suma datoriilor totale, inclusiv:</w:t>
      </w:r>
    </w:p>
    <w:p w:rsidR="00C82F48" w:rsidRPr="00012CA3" w:rsidRDefault="00484153">
      <w:pPr>
        <w:numPr>
          <w:ilvl w:val="0"/>
          <w:numId w:val="3"/>
        </w:numPr>
        <w:spacing w:after="0" w:line="276" w:lineRule="auto"/>
        <w:ind w:left="993" w:hanging="426"/>
        <w:jc w:val="both"/>
      </w:pPr>
      <w:r w:rsidRPr="00012CA3">
        <w:rPr>
          <w:rFonts w:ascii="Times New Roman" w:hAnsi="Times New Roman"/>
          <w:color w:val="000000"/>
          <w:sz w:val="28"/>
          <w:szCs w:val="28"/>
          <w:lang w:eastAsia="ru-RU"/>
        </w:rPr>
        <w:t>13,1</w:t>
      </w:r>
      <w:r w:rsidR="00C82F48" w:rsidRPr="00012CA3">
        <w:rPr>
          <w:rFonts w:ascii="Times New Roman" w:hAnsi="Times New Roman"/>
          <w:color w:val="000000"/>
          <w:sz w:val="28"/>
          <w:szCs w:val="28"/>
          <w:lang w:eastAsia="ru-RU"/>
        </w:rPr>
        <w:t xml:space="preserve"> mil. lei – autoritățile publice locale;</w:t>
      </w:r>
    </w:p>
    <w:p w:rsidR="00C82F48" w:rsidRPr="00012CA3" w:rsidRDefault="00484153">
      <w:pPr>
        <w:numPr>
          <w:ilvl w:val="0"/>
          <w:numId w:val="3"/>
        </w:numPr>
        <w:spacing w:after="0" w:line="276" w:lineRule="auto"/>
        <w:ind w:left="993" w:hanging="426"/>
        <w:jc w:val="both"/>
      </w:pPr>
      <w:r w:rsidRPr="00012CA3">
        <w:rPr>
          <w:rFonts w:ascii="Times New Roman" w:hAnsi="Times New Roman"/>
          <w:color w:val="000000"/>
          <w:sz w:val="28"/>
          <w:szCs w:val="28"/>
          <w:lang w:eastAsia="ru-RU"/>
        </w:rPr>
        <w:t>131,2</w:t>
      </w:r>
      <w:r w:rsidR="00124832" w:rsidRPr="00012CA3">
        <w:rPr>
          <w:rFonts w:ascii="Times New Roman" w:hAnsi="Times New Roman"/>
          <w:color w:val="000000"/>
          <w:sz w:val="28"/>
          <w:szCs w:val="28"/>
          <w:lang w:eastAsia="ru-RU"/>
        </w:rPr>
        <w:t xml:space="preserve"> </w:t>
      </w:r>
      <w:r w:rsidR="00C82F48" w:rsidRPr="00012CA3">
        <w:rPr>
          <w:rFonts w:ascii="Times New Roman" w:hAnsi="Times New Roman"/>
          <w:color w:val="000000"/>
          <w:sz w:val="28"/>
          <w:szCs w:val="28"/>
          <w:lang w:eastAsia="ru-RU"/>
        </w:rPr>
        <w:t>mil. lei – instituțiile nefinanciare;</w:t>
      </w:r>
    </w:p>
    <w:p w:rsidR="00C82F48" w:rsidRPr="00012CA3" w:rsidRDefault="00484153">
      <w:pPr>
        <w:numPr>
          <w:ilvl w:val="0"/>
          <w:numId w:val="3"/>
        </w:numPr>
        <w:spacing w:after="0" w:line="276" w:lineRule="auto"/>
        <w:ind w:left="993" w:hanging="426"/>
        <w:jc w:val="both"/>
      </w:pPr>
      <w:r w:rsidRPr="00012CA3">
        <w:rPr>
          <w:rFonts w:ascii="Times New Roman" w:hAnsi="Times New Roman"/>
          <w:color w:val="000000"/>
          <w:sz w:val="28"/>
          <w:szCs w:val="28"/>
          <w:lang w:eastAsia="ru-RU"/>
        </w:rPr>
        <w:t>3,3</w:t>
      </w:r>
      <w:r w:rsidR="00C82F48" w:rsidRPr="00012CA3">
        <w:rPr>
          <w:rFonts w:ascii="Times New Roman" w:hAnsi="Times New Roman"/>
          <w:color w:val="000000"/>
          <w:sz w:val="28"/>
          <w:szCs w:val="28"/>
          <w:lang w:eastAsia="ru-RU"/>
        </w:rPr>
        <w:t xml:space="preserve"> mil. lei – instituțiile financiare.</w:t>
      </w:r>
    </w:p>
    <w:p w:rsidR="00D254C6" w:rsidRDefault="00AE4991" w:rsidP="00120835">
      <w:pPr>
        <w:spacing w:after="0" w:line="276" w:lineRule="auto"/>
        <w:ind w:firstLine="567"/>
        <w:jc w:val="both"/>
        <w:rPr>
          <w:rFonts w:ascii="Times New Roman" w:hAnsi="Times New Roman"/>
          <w:color w:val="000000"/>
          <w:sz w:val="28"/>
          <w:szCs w:val="28"/>
          <w:lang w:eastAsia="ru-RU"/>
        </w:rPr>
      </w:pPr>
      <w:r w:rsidRPr="00012CA3">
        <w:rPr>
          <w:rFonts w:ascii="Times New Roman" w:hAnsi="Times New Roman"/>
          <w:color w:val="000000"/>
          <w:sz w:val="28"/>
          <w:szCs w:val="28"/>
          <w:lang w:eastAsia="ru-RU"/>
        </w:rPr>
        <w:t>În comparație cu situația din 31 decembrie 2024, datoria cu termen expirat s-a micșorat cu 56,1 mil. lei sau cu 27,5%, fiind condiționată de reeșalonarea datoriilor unor beneficiari recreditați și datorită anulării datoriilor ca rezultat al încetării procesului de insolvabilitate, iar comparativ cu situația din perioada similară a anului 2024 s-a majorat cu 4,7 mil. lei sau cu 3,3%, în rezultatul neexecutării graficelor de rambursare a împrumutului de către unii beneficiari recredi</w:t>
      </w:r>
      <w:r w:rsidR="00281937">
        <w:rPr>
          <w:rFonts w:ascii="Times New Roman" w:hAnsi="Times New Roman"/>
          <w:color w:val="000000"/>
          <w:sz w:val="28"/>
          <w:szCs w:val="28"/>
          <w:lang w:eastAsia="ru-RU"/>
        </w:rPr>
        <w:t>t</w:t>
      </w:r>
      <w:r w:rsidRPr="00012CA3">
        <w:rPr>
          <w:rFonts w:ascii="Times New Roman" w:hAnsi="Times New Roman"/>
          <w:color w:val="000000"/>
          <w:sz w:val="28"/>
          <w:szCs w:val="28"/>
          <w:lang w:eastAsia="ru-RU"/>
        </w:rPr>
        <w:t>a</w:t>
      </w:r>
      <w:r w:rsidR="00D66ECE" w:rsidRPr="00012CA3">
        <w:rPr>
          <w:rFonts w:ascii="Times New Roman" w:hAnsi="Times New Roman"/>
          <w:color w:val="000000"/>
          <w:sz w:val="28"/>
          <w:szCs w:val="28"/>
          <w:lang w:eastAsia="ru-RU"/>
        </w:rPr>
        <w:t>ț</w:t>
      </w:r>
      <w:r w:rsidRPr="00012CA3">
        <w:rPr>
          <w:rFonts w:ascii="Times New Roman" w:hAnsi="Times New Roman"/>
          <w:color w:val="000000"/>
          <w:sz w:val="28"/>
          <w:szCs w:val="28"/>
          <w:lang w:eastAsia="ru-RU"/>
        </w:rPr>
        <w:t xml:space="preserve">i.  </w:t>
      </w:r>
    </w:p>
    <w:p w:rsidR="00A061A8" w:rsidRPr="00012CA3" w:rsidRDefault="00A061A8" w:rsidP="00120835">
      <w:pPr>
        <w:spacing w:after="0" w:line="276" w:lineRule="auto"/>
        <w:ind w:firstLine="567"/>
        <w:jc w:val="both"/>
        <w:rPr>
          <w:rFonts w:ascii="Times New Roman" w:hAnsi="Times New Roman"/>
          <w:color w:val="000000"/>
          <w:sz w:val="28"/>
          <w:szCs w:val="28"/>
          <w:lang w:eastAsia="ru-RU"/>
        </w:rPr>
      </w:pPr>
    </w:p>
    <w:p w:rsidR="00C82F48" w:rsidRPr="00012CA3" w:rsidRDefault="00C82F48">
      <w:pPr>
        <w:pStyle w:val="Heading2"/>
        <w:spacing w:before="0" w:after="120" w:line="276" w:lineRule="auto"/>
      </w:pPr>
      <w:r w:rsidRPr="00012CA3">
        <w:rPr>
          <w:rFonts w:ascii="Times New Roman" w:hAnsi="Times New Roman"/>
          <w:color w:val="171717"/>
          <w:sz w:val="28"/>
          <w:szCs w:val="28"/>
        </w:rPr>
        <w:t>Datoria de stat externă</w:t>
      </w:r>
    </w:p>
    <w:p w:rsidR="00E050E1" w:rsidRPr="003A7817" w:rsidRDefault="00C82F48" w:rsidP="00E050E1">
      <w:pPr>
        <w:tabs>
          <w:tab w:val="left" w:pos="567"/>
        </w:tabs>
        <w:spacing w:after="0" w:line="276" w:lineRule="auto"/>
        <w:ind w:firstLine="567"/>
        <w:jc w:val="both"/>
        <w:rPr>
          <w:rFonts w:ascii="Times New Roman" w:hAnsi="Times New Roman"/>
          <w:color w:val="000000"/>
          <w:sz w:val="28"/>
          <w:szCs w:val="28"/>
        </w:rPr>
      </w:pPr>
      <w:r w:rsidRPr="00012CA3">
        <w:rPr>
          <w:rFonts w:ascii="Times New Roman" w:hAnsi="Times New Roman"/>
          <w:color w:val="000000"/>
          <w:sz w:val="28"/>
          <w:szCs w:val="28"/>
        </w:rPr>
        <w:t>La situația din 30 iunie 202</w:t>
      </w:r>
      <w:r w:rsidR="00E050E1" w:rsidRPr="00012CA3">
        <w:rPr>
          <w:rFonts w:ascii="Times New Roman" w:hAnsi="Times New Roman"/>
          <w:color w:val="000000"/>
          <w:sz w:val="28"/>
          <w:szCs w:val="28"/>
        </w:rPr>
        <w:t>5</w:t>
      </w:r>
      <w:r w:rsidRPr="00012CA3">
        <w:rPr>
          <w:rFonts w:ascii="Times New Roman" w:hAnsi="Times New Roman"/>
          <w:color w:val="000000"/>
          <w:sz w:val="28"/>
          <w:szCs w:val="28"/>
        </w:rPr>
        <w:t xml:space="preserve">, </w:t>
      </w:r>
      <w:r w:rsidRPr="00012CA3">
        <w:rPr>
          <w:rFonts w:ascii="Times New Roman" w:hAnsi="Times New Roman"/>
          <w:b/>
          <w:i/>
          <w:color w:val="000000"/>
          <w:sz w:val="28"/>
          <w:szCs w:val="28"/>
        </w:rPr>
        <w:t>soldul datoriei de stat externe</w:t>
      </w:r>
      <w:r w:rsidRPr="00012CA3">
        <w:rPr>
          <w:rFonts w:ascii="Times New Roman" w:hAnsi="Times New Roman"/>
          <w:color w:val="000000"/>
          <w:sz w:val="28"/>
          <w:szCs w:val="28"/>
        </w:rPr>
        <w:t xml:space="preserve"> </w:t>
      </w:r>
      <w:r w:rsidR="00E050E1" w:rsidRPr="00012CA3">
        <w:rPr>
          <w:rFonts w:ascii="Times New Roman" w:hAnsi="Times New Roman"/>
          <w:color w:val="000000"/>
          <w:sz w:val="28"/>
          <w:szCs w:val="28"/>
        </w:rPr>
        <w:t xml:space="preserve">a constituit                         </w:t>
      </w:r>
      <w:r w:rsidR="00E050E1" w:rsidRPr="003A7817">
        <w:rPr>
          <w:rFonts w:ascii="Times New Roman" w:hAnsi="Times New Roman"/>
          <w:color w:val="000000"/>
          <w:sz w:val="28"/>
          <w:szCs w:val="28"/>
        </w:rPr>
        <w:t>78</w:t>
      </w:r>
      <w:r w:rsidR="00C72AFC" w:rsidRPr="003A7817">
        <w:rPr>
          <w:rFonts w:ascii="Times New Roman" w:hAnsi="Times New Roman"/>
          <w:color w:val="000000"/>
          <w:sz w:val="28"/>
          <w:szCs w:val="28"/>
        </w:rPr>
        <w:t> 698,0</w:t>
      </w:r>
      <w:r w:rsidR="00E050E1" w:rsidRPr="003A7817">
        <w:rPr>
          <w:rFonts w:ascii="Times New Roman" w:hAnsi="Times New Roman"/>
          <w:color w:val="000000"/>
          <w:sz w:val="28"/>
          <w:szCs w:val="28"/>
        </w:rPr>
        <w:t xml:space="preserve"> mil. lei (echivalentul a 4 671,</w:t>
      </w:r>
      <w:r w:rsidR="00C72AFC" w:rsidRPr="003A7817">
        <w:rPr>
          <w:rFonts w:ascii="Times New Roman" w:hAnsi="Times New Roman"/>
          <w:color w:val="000000"/>
          <w:sz w:val="28"/>
          <w:szCs w:val="28"/>
        </w:rPr>
        <w:t>3</w:t>
      </w:r>
      <w:r w:rsidR="00E050E1" w:rsidRPr="003A7817">
        <w:rPr>
          <w:rFonts w:ascii="Times New Roman" w:hAnsi="Times New Roman"/>
          <w:color w:val="000000"/>
          <w:sz w:val="28"/>
          <w:szCs w:val="28"/>
        </w:rPr>
        <w:t xml:space="preserve"> mil. dolari SUA), fiind format în totalitate din datorie de stat externă directă.</w:t>
      </w:r>
    </w:p>
    <w:p w:rsidR="00AB6E26" w:rsidRDefault="00AB6E26" w:rsidP="00AB6E26">
      <w:pPr>
        <w:spacing w:after="0" w:line="276" w:lineRule="auto"/>
        <w:ind w:firstLine="539"/>
        <w:jc w:val="both"/>
        <w:rPr>
          <w:rFonts w:ascii="Times New Roman" w:hAnsi="Times New Roman"/>
          <w:color w:val="000000"/>
          <w:sz w:val="28"/>
          <w:szCs w:val="28"/>
        </w:rPr>
      </w:pPr>
      <w:r w:rsidRPr="003A7817">
        <w:rPr>
          <w:rFonts w:ascii="Times New Roman" w:hAnsi="Times New Roman"/>
          <w:color w:val="000000"/>
          <w:sz w:val="28"/>
          <w:szCs w:val="28"/>
        </w:rPr>
        <w:t>Comparativ cu finele anului 2024, soldul datoriei de stat externe a înregistrat o majorare cu 1</w:t>
      </w:r>
      <w:r w:rsidR="00B579F6" w:rsidRPr="003A7817">
        <w:rPr>
          <w:rFonts w:ascii="Times New Roman" w:hAnsi="Times New Roman"/>
          <w:color w:val="000000"/>
          <w:sz w:val="28"/>
          <w:szCs w:val="28"/>
        </w:rPr>
        <w:t> </w:t>
      </w:r>
      <w:r w:rsidRPr="003A7817">
        <w:rPr>
          <w:rFonts w:ascii="Times New Roman" w:hAnsi="Times New Roman"/>
          <w:color w:val="000000"/>
          <w:sz w:val="28"/>
          <w:szCs w:val="28"/>
        </w:rPr>
        <w:t>26</w:t>
      </w:r>
      <w:r w:rsidR="00B579F6" w:rsidRPr="003A7817">
        <w:rPr>
          <w:rFonts w:ascii="Times New Roman" w:hAnsi="Times New Roman"/>
          <w:color w:val="000000"/>
          <w:sz w:val="28"/>
          <w:szCs w:val="28"/>
        </w:rPr>
        <w:t>5,2</w:t>
      </w:r>
      <w:r w:rsidRPr="003A7817">
        <w:rPr>
          <w:rFonts w:ascii="Times New Roman" w:hAnsi="Times New Roman"/>
          <w:color w:val="000000"/>
          <w:sz w:val="28"/>
          <w:szCs w:val="28"/>
        </w:rPr>
        <w:t xml:space="preserve"> mil. lei (echivalentul a 481,</w:t>
      </w:r>
      <w:r w:rsidR="00B579F6" w:rsidRPr="003A7817">
        <w:rPr>
          <w:rFonts w:ascii="Times New Roman" w:hAnsi="Times New Roman"/>
          <w:color w:val="000000"/>
          <w:sz w:val="28"/>
          <w:szCs w:val="28"/>
        </w:rPr>
        <w:t>0</w:t>
      </w:r>
      <w:r w:rsidRPr="003A7817">
        <w:rPr>
          <w:rFonts w:ascii="Times New Roman" w:hAnsi="Times New Roman"/>
          <w:color w:val="000000"/>
          <w:sz w:val="28"/>
          <w:szCs w:val="28"/>
        </w:rPr>
        <w:t xml:space="preserve"> mil. dolari SUA) sau cu 1,6</w:t>
      </w:r>
      <w:r w:rsidR="009C0A34" w:rsidRPr="003A7817">
        <w:rPr>
          <w:rFonts w:ascii="Times New Roman" w:hAnsi="Times New Roman"/>
          <w:color w:val="000000"/>
          <w:sz w:val="28"/>
          <w:szCs w:val="28"/>
        </w:rPr>
        <w:t xml:space="preserve"> la sută.</w:t>
      </w:r>
      <w:r w:rsidRPr="003A7817">
        <w:rPr>
          <w:rFonts w:ascii="Times New Roman" w:hAnsi="Times New Roman"/>
          <w:color w:val="000000"/>
          <w:sz w:val="28"/>
          <w:szCs w:val="28"/>
        </w:rPr>
        <w:t xml:space="preserve"> Această evoluție s-a datorat în principal finanțării externe nete pozitive în valoare de 1</w:t>
      </w:r>
      <w:r w:rsidR="00492E97" w:rsidRPr="003A7817">
        <w:rPr>
          <w:rFonts w:ascii="Times New Roman" w:hAnsi="Times New Roman"/>
          <w:color w:val="000000"/>
          <w:sz w:val="28"/>
          <w:szCs w:val="28"/>
        </w:rPr>
        <w:t> </w:t>
      </w:r>
      <w:r w:rsidRPr="003A7817">
        <w:rPr>
          <w:rFonts w:ascii="Times New Roman" w:hAnsi="Times New Roman"/>
          <w:color w:val="000000"/>
          <w:sz w:val="28"/>
          <w:szCs w:val="28"/>
        </w:rPr>
        <w:t>95</w:t>
      </w:r>
      <w:r w:rsidR="00492E97" w:rsidRPr="003A7817">
        <w:rPr>
          <w:rFonts w:ascii="Times New Roman" w:hAnsi="Times New Roman"/>
          <w:color w:val="000000"/>
          <w:sz w:val="28"/>
          <w:szCs w:val="28"/>
        </w:rPr>
        <w:t>3,9</w:t>
      </w:r>
      <w:r w:rsidRPr="003A7817">
        <w:rPr>
          <w:rFonts w:ascii="Times New Roman" w:hAnsi="Times New Roman"/>
          <w:color w:val="000000"/>
          <w:sz w:val="28"/>
          <w:szCs w:val="28"/>
        </w:rPr>
        <w:t xml:space="preserve"> mil. lei (echivalentul a 118,</w:t>
      </w:r>
      <w:r w:rsidR="006A785C" w:rsidRPr="003A7817">
        <w:rPr>
          <w:rFonts w:ascii="Times New Roman" w:hAnsi="Times New Roman"/>
          <w:color w:val="000000"/>
          <w:sz w:val="28"/>
          <w:szCs w:val="28"/>
        </w:rPr>
        <w:t>2</w:t>
      </w:r>
      <w:r w:rsidRPr="003A7817">
        <w:rPr>
          <w:rFonts w:ascii="Times New Roman" w:hAnsi="Times New Roman"/>
          <w:color w:val="000000"/>
          <w:sz w:val="28"/>
          <w:szCs w:val="28"/>
        </w:rPr>
        <w:t xml:space="preserve"> mil</w:t>
      </w:r>
      <w:r w:rsidRPr="00012CA3">
        <w:rPr>
          <w:rFonts w:ascii="Times New Roman" w:hAnsi="Times New Roman"/>
          <w:color w:val="000000"/>
          <w:sz w:val="28"/>
          <w:szCs w:val="28"/>
        </w:rPr>
        <w:t>. dolari SUA), determinată în mare măsură de contractarea avansului din împrumutul acordat de Uniunea Europeană în contextul Planului de Creștere Economică pentru Republica Moldova (Growth Plan).</w:t>
      </w:r>
    </w:p>
    <w:p w:rsidR="002770E0" w:rsidRDefault="002770E0" w:rsidP="00AB6E26">
      <w:pPr>
        <w:spacing w:after="0" w:line="276" w:lineRule="auto"/>
        <w:ind w:firstLine="539"/>
        <w:jc w:val="both"/>
        <w:rPr>
          <w:rFonts w:ascii="Times New Roman" w:hAnsi="Times New Roman"/>
          <w:color w:val="000000"/>
          <w:sz w:val="28"/>
          <w:szCs w:val="28"/>
        </w:rPr>
      </w:pPr>
    </w:p>
    <w:p w:rsidR="00B409D8" w:rsidRPr="00012CA3" w:rsidRDefault="00B409D8" w:rsidP="00AB6E26">
      <w:pPr>
        <w:spacing w:after="0" w:line="276" w:lineRule="auto"/>
        <w:ind w:firstLine="539"/>
        <w:jc w:val="both"/>
        <w:rPr>
          <w:rFonts w:ascii="Times New Roman" w:hAnsi="Times New Roman"/>
          <w:color w:val="000000"/>
          <w:sz w:val="28"/>
          <w:szCs w:val="28"/>
        </w:rPr>
      </w:pPr>
      <w:r w:rsidRPr="003D524A">
        <w:rPr>
          <w:rFonts w:ascii="Times New Roman" w:hAnsi="Times New Roman"/>
          <w:color w:val="000000"/>
          <w:sz w:val="28"/>
          <w:szCs w:val="28"/>
        </w:rPr>
        <w:t>Comparativ cu 30 iunie 2024, soldul datoriei de stat externe s-a majorat cu                 15 470,6 mil. lei (echivalentul a 1 144,7 mil. dolari SUA) sau cu 24,5 la sută.</w:t>
      </w:r>
    </w:p>
    <w:p w:rsidR="008D7D89" w:rsidRPr="00012CA3" w:rsidRDefault="008D7D89" w:rsidP="008D7D89">
      <w:pPr>
        <w:pStyle w:val="Heading2"/>
        <w:spacing w:before="0"/>
        <w:jc w:val="center"/>
      </w:pPr>
      <w:r w:rsidRPr="00012CA3">
        <w:rPr>
          <w:rFonts w:ascii="Times New Roman" w:hAnsi="Times New Roman"/>
          <w:i/>
          <w:color w:val="323E4F"/>
          <w:sz w:val="28"/>
          <w:szCs w:val="24"/>
        </w:rPr>
        <w:lastRenderedPageBreak/>
        <w:t xml:space="preserve">Diagrama 8. Structura datoriei de stat externe pe creditori, </w:t>
      </w:r>
    </w:p>
    <w:p w:rsidR="008D7D89" w:rsidRPr="00012CA3" w:rsidRDefault="008D7D89" w:rsidP="008D7D89">
      <w:pPr>
        <w:pStyle w:val="Heading2"/>
        <w:spacing w:before="0" w:after="120"/>
        <w:jc w:val="center"/>
      </w:pPr>
      <w:r w:rsidRPr="00012CA3">
        <w:rPr>
          <w:rFonts w:ascii="Times New Roman" w:hAnsi="Times New Roman"/>
          <w:i/>
          <w:color w:val="323E4F"/>
          <w:sz w:val="28"/>
          <w:szCs w:val="24"/>
        </w:rPr>
        <w:t>30 iunie 202</w:t>
      </w:r>
      <w:r w:rsidR="00F51892" w:rsidRPr="00012CA3">
        <w:rPr>
          <w:rFonts w:ascii="Times New Roman" w:hAnsi="Times New Roman"/>
          <w:i/>
          <w:color w:val="323E4F"/>
          <w:sz w:val="28"/>
          <w:szCs w:val="24"/>
        </w:rPr>
        <w:t>4</w:t>
      </w:r>
      <w:r w:rsidRPr="00012CA3">
        <w:rPr>
          <w:rFonts w:ascii="Times New Roman" w:hAnsi="Times New Roman"/>
          <w:i/>
          <w:color w:val="323E4F"/>
          <w:sz w:val="28"/>
          <w:szCs w:val="24"/>
        </w:rPr>
        <w:t>-30 iunie 202</w:t>
      </w:r>
      <w:r w:rsidR="00F51892" w:rsidRPr="00012CA3">
        <w:rPr>
          <w:rFonts w:ascii="Times New Roman" w:hAnsi="Times New Roman"/>
          <w:i/>
          <w:color w:val="323E4F"/>
          <w:sz w:val="28"/>
          <w:szCs w:val="24"/>
        </w:rPr>
        <w:t>5</w:t>
      </w:r>
    </w:p>
    <w:p w:rsidR="00AC67EE" w:rsidRPr="00012CA3" w:rsidRDefault="00792FFF" w:rsidP="00236F6D">
      <w:pPr>
        <w:ind w:hanging="142"/>
        <w:rPr>
          <w:b/>
          <w:color w:val="171717"/>
          <w:sz w:val="28"/>
          <w:szCs w:val="28"/>
          <w:lang w:val="ro-MD"/>
        </w:rPr>
      </w:pPr>
      <w:r>
        <w:rPr>
          <w:b/>
          <w:noProof/>
          <w:color w:val="171717"/>
          <w:sz w:val="28"/>
          <w:szCs w:val="28"/>
          <w:lang w:val="en-US" w:eastAsia="en-US"/>
        </w:rPr>
        <w:drawing>
          <wp:inline distT="0" distB="0" distL="0" distR="0">
            <wp:extent cx="6042660" cy="227838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42660" cy="2278380"/>
                    </a:xfrm>
                    <a:prstGeom prst="rect">
                      <a:avLst/>
                    </a:prstGeom>
                    <a:noFill/>
                  </pic:spPr>
                </pic:pic>
              </a:graphicData>
            </a:graphic>
          </wp:inline>
        </w:drawing>
      </w:r>
    </w:p>
    <w:p w:rsidR="004B6959" w:rsidRDefault="004B6959">
      <w:pPr>
        <w:pStyle w:val="19"/>
        <w:tabs>
          <w:tab w:val="left" w:pos="1276"/>
          <w:tab w:val="left" w:pos="1701"/>
        </w:tabs>
        <w:spacing w:before="0" w:after="0"/>
        <w:ind w:firstLine="709"/>
        <w:rPr>
          <w:b/>
          <w:color w:val="171717"/>
          <w:sz w:val="28"/>
          <w:szCs w:val="28"/>
          <w:lang w:val="ro-MD"/>
        </w:rPr>
      </w:pPr>
    </w:p>
    <w:p w:rsidR="00C82F48" w:rsidRPr="00012CA3" w:rsidRDefault="00C82F48">
      <w:pPr>
        <w:pStyle w:val="19"/>
        <w:tabs>
          <w:tab w:val="left" w:pos="1276"/>
          <w:tab w:val="left" w:pos="1701"/>
        </w:tabs>
        <w:spacing w:before="0" w:after="0"/>
        <w:ind w:firstLine="709"/>
      </w:pPr>
      <w:r w:rsidRPr="00012CA3">
        <w:rPr>
          <w:b/>
          <w:color w:val="171717"/>
          <w:sz w:val="28"/>
          <w:szCs w:val="28"/>
          <w:lang w:val="ro-MD"/>
        </w:rPr>
        <w:t>Datoria de stat internă</w:t>
      </w:r>
    </w:p>
    <w:p w:rsidR="00C82F48" w:rsidRPr="00012CA3" w:rsidRDefault="00C82F48">
      <w:pPr>
        <w:pStyle w:val="19"/>
        <w:tabs>
          <w:tab w:val="left" w:pos="1276"/>
          <w:tab w:val="left" w:pos="1701"/>
        </w:tabs>
        <w:spacing w:before="0" w:after="0"/>
        <w:ind w:firstLine="709"/>
        <w:rPr>
          <w:b/>
          <w:color w:val="171717"/>
          <w:sz w:val="28"/>
          <w:szCs w:val="28"/>
          <w:lang w:val="ro-MD"/>
        </w:rPr>
      </w:pPr>
    </w:p>
    <w:p w:rsidR="00C82F48" w:rsidRPr="00012CA3" w:rsidRDefault="00C82F48">
      <w:pPr>
        <w:spacing w:after="0" w:line="276" w:lineRule="auto"/>
        <w:ind w:right="-1" w:firstLine="567"/>
        <w:jc w:val="both"/>
      </w:pPr>
      <w:r w:rsidRPr="00012CA3">
        <w:rPr>
          <w:rFonts w:ascii="Times New Roman" w:hAnsi="Times New Roman"/>
          <w:color w:val="000000"/>
          <w:sz w:val="28"/>
          <w:szCs w:val="28"/>
        </w:rPr>
        <w:t>La situația din 30 iunie 202</w:t>
      </w:r>
      <w:r w:rsidR="001703FB" w:rsidRPr="00012CA3">
        <w:rPr>
          <w:rFonts w:ascii="Times New Roman" w:hAnsi="Times New Roman"/>
          <w:color w:val="000000"/>
          <w:sz w:val="28"/>
          <w:szCs w:val="28"/>
        </w:rPr>
        <w:t>5</w:t>
      </w:r>
      <w:r w:rsidRPr="00012CA3">
        <w:rPr>
          <w:rFonts w:ascii="Times New Roman" w:hAnsi="Times New Roman"/>
          <w:color w:val="000000"/>
          <w:sz w:val="28"/>
          <w:szCs w:val="28"/>
        </w:rPr>
        <w:t xml:space="preserve">, </w:t>
      </w:r>
      <w:r w:rsidRPr="00012CA3">
        <w:rPr>
          <w:rFonts w:ascii="Times New Roman" w:hAnsi="Times New Roman"/>
          <w:b/>
          <w:i/>
          <w:color w:val="000000"/>
          <w:sz w:val="28"/>
          <w:szCs w:val="28"/>
        </w:rPr>
        <w:t>soldul datoriei de stat interne</w:t>
      </w:r>
      <w:r w:rsidRPr="00012CA3">
        <w:rPr>
          <w:rFonts w:ascii="Times New Roman" w:hAnsi="Times New Roman"/>
          <w:color w:val="000000"/>
          <w:sz w:val="28"/>
          <w:szCs w:val="28"/>
        </w:rPr>
        <w:t xml:space="preserve"> a constituit </w:t>
      </w:r>
      <w:r w:rsidR="001703FB" w:rsidRPr="00012CA3">
        <w:rPr>
          <w:rFonts w:ascii="Times New Roman" w:hAnsi="Times New Roman"/>
          <w:b/>
          <w:i/>
          <w:color w:val="000000"/>
          <w:sz w:val="28"/>
          <w:szCs w:val="28"/>
        </w:rPr>
        <w:t>48 478,4</w:t>
      </w:r>
      <w:r w:rsidRPr="00012CA3">
        <w:rPr>
          <w:rFonts w:ascii="Times New Roman" w:hAnsi="Times New Roman"/>
          <w:b/>
          <w:i/>
          <w:color w:val="000000"/>
          <w:sz w:val="28"/>
          <w:szCs w:val="28"/>
        </w:rPr>
        <w:t xml:space="preserve"> </w:t>
      </w:r>
      <w:r w:rsidRPr="00012CA3">
        <w:rPr>
          <w:rFonts w:ascii="Times New Roman" w:hAnsi="Times New Roman"/>
          <w:color w:val="000000"/>
          <w:sz w:val="28"/>
          <w:szCs w:val="28"/>
        </w:rPr>
        <w:t>mil. lei la valoarea nominală, dintre care:</w:t>
      </w:r>
    </w:p>
    <w:p w:rsidR="00C82F48" w:rsidRPr="00012CA3" w:rsidRDefault="00C82F48">
      <w:pPr>
        <w:spacing w:after="0" w:line="276" w:lineRule="auto"/>
        <w:ind w:right="-1" w:firstLine="567"/>
        <w:jc w:val="both"/>
        <w:rPr>
          <w:rFonts w:ascii="Times New Roman" w:hAnsi="Times New Roman"/>
          <w:color w:val="000000"/>
          <w:sz w:val="28"/>
          <w:szCs w:val="28"/>
        </w:rPr>
      </w:pPr>
      <w:r w:rsidRPr="00012CA3">
        <w:rPr>
          <w:rFonts w:ascii="Times New Roman" w:hAnsi="Times New Roman"/>
          <w:color w:val="000000"/>
          <w:sz w:val="28"/>
          <w:szCs w:val="28"/>
        </w:rPr>
        <w:t xml:space="preserve">- VMS emise pe piața primară </w:t>
      </w:r>
      <w:r w:rsidR="00CE4EAD" w:rsidRPr="00012CA3">
        <w:rPr>
          <w:rFonts w:ascii="Times New Roman" w:hAnsi="Times New Roman"/>
          <w:color w:val="000000"/>
          <w:sz w:val="28"/>
          <w:szCs w:val="28"/>
        </w:rPr>
        <w:t xml:space="preserve">– </w:t>
      </w:r>
      <w:r w:rsidR="001703FB" w:rsidRPr="00012CA3">
        <w:rPr>
          <w:rFonts w:ascii="Times New Roman" w:hAnsi="Times New Roman"/>
          <w:color w:val="000000"/>
          <w:sz w:val="28"/>
          <w:szCs w:val="28"/>
        </w:rPr>
        <w:t>34 820,2</w:t>
      </w:r>
      <w:r w:rsidRPr="00012CA3">
        <w:rPr>
          <w:rFonts w:ascii="Times New Roman" w:hAnsi="Times New Roman"/>
          <w:color w:val="000000"/>
          <w:sz w:val="28"/>
          <w:szCs w:val="28"/>
        </w:rPr>
        <w:t xml:space="preserve">  mil. lei (</w:t>
      </w:r>
      <w:r w:rsidR="001703FB" w:rsidRPr="00012CA3">
        <w:rPr>
          <w:rFonts w:ascii="Times New Roman" w:hAnsi="Times New Roman"/>
          <w:color w:val="000000"/>
          <w:sz w:val="28"/>
          <w:szCs w:val="28"/>
        </w:rPr>
        <w:t>71,8</w:t>
      </w:r>
      <w:r w:rsidRPr="00012CA3">
        <w:rPr>
          <w:rFonts w:ascii="Times New Roman" w:hAnsi="Times New Roman"/>
          <w:color w:val="000000"/>
          <w:sz w:val="28"/>
          <w:szCs w:val="28"/>
        </w:rPr>
        <w:t>%)</w:t>
      </w:r>
    </w:p>
    <w:p w:rsidR="001703FB" w:rsidRPr="00012CA3" w:rsidRDefault="001703FB">
      <w:pPr>
        <w:spacing w:after="0" w:line="276" w:lineRule="auto"/>
        <w:ind w:right="-1" w:firstLine="567"/>
        <w:jc w:val="both"/>
      </w:pPr>
      <w:r w:rsidRPr="00012CA3">
        <w:rPr>
          <w:rFonts w:ascii="Times New Roman" w:hAnsi="Times New Roman"/>
          <w:color w:val="000000"/>
          <w:sz w:val="28"/>
          <w:szCs w:val="28"/>
        </w:rPr>
        <w:t xml:space="preserve">- VMS emise prin plasament directe către persoane fizice – 612,2  mil. lei (1,3%) </w:t>
      </w:r>
    </w:p>
    <w:p w:rsidR="00C82F48" w:rsidRPr="00012CA3" w:rsidRDefault="00C82F48">
      <w:pPr>
        <w:spacing w:after="0" w:line="276" w:lineRule="auto"/>
        <w:ind w:right="-1" w:firstLine="567"/>
        <w:jc w:val="both"/>
      </w:pPr>
      <w:r w:rsidRPr="00012CA3">
        <w:rPr>
          <w:rFonts w:ascii="Times New Roman" w:hAnsi="Times New Roman"/>
          <w:color w:val="000000"/>
          <w:sz w:val="28"/>
          <w:szCs w:val="28"/>
        </w:rPr>
        <w:t xml:space="preserve">- VMS convertite </w:t>
      </w:r>
      <w:r w:rsidR="00CE4EAD" w:rsidRPr="00012CA3">
        <w:rPr>
          <w:rFonts w:ascii="Times New Roman" w:hAnsi="Times New Roman"/>
          <w:color w:val="000000"/>
          <w:sz w:val="28"/>
          <w:szCs w:val="28"/>
        </w:rPr>
        <w:t>–</w:t>
      </w:r>
      <w:r w:rsidRPr="00012CA3">
        <w:rPr>
          <w:rFonts w:ascii="Times New Roman" w:hAnsi="Times New Roman"/>
          <w:color w:val="000000"/>
          <w:sz w:val="28"/>
          <w:szCs w:val="28"/>
        </w:rPr>
        <w:t xml:space="preserve"> </w:t>
      </w:r>
      <w:r w:rsidR="001703FB" w:rsidRPr="00012CA3">
        <w:rPr>
          <w:rFonts w:ascii="Times New Roman" w:hAnsi="Times New Roman"/>
          <w:color w:val="000000"/>
          <w:sz w:val="28"/>
          <w:szCs w:val="28"/>
        </w:rPr>
        <w:t>1 624,8</w:t>
      </w:r>
      <w:r w:rsidRPr="00012CA3">
        <w:rPr>
          <w:rFonts w:ascii="Times New Roman" w:hAnsi="Times New Roman"/>
          <w:color w:val="000000"/>
          <w:sz w:val="28"/>
          <w:szCs w:val="28"/>
        </w:rPr>
        <w:t xml:space="preserve">  mil. lei ( </w:t>
      </w:r>
      <w:r w:rsidR="001703FB" w:rsidRPr="00012CA3">
        <w:rPr>
          <w:rFonts w:ascii="Times New Roman" w:hAnsi="Times New Roman"/>
          <w:color w:val="000000"/>
          <w:sz w:val="28"/>
          <w:szCs w:val="28"/>
        </w:rPr>
        <w:t>3,3</w:t>
      </w:r>
      <w:r w:rsidRPr="00012CA3">
        <w:rPr>
          <w:rFonts w:ascii="Times New Roman" w:hAnsi="Times New Roman"/>
          <w:color w:val="000000"/>
          <w:sz w:val="28"/>
          <w:szCs w:val="28"/>
        </w:rPr>
        <w:t>%)</w:t>
      </w:r>
    </w:p>
    <w:p w:rsidR="00C82F48" w:rsidRPr="00012CA3" w:rsidRDefault="00C82F48">
      <w:pPr>
        <w:spacing w:after="0" w:line="276" w:lineRule="auto"/>
        <w:ind w:right="-1" w:firstLine="567"/>
        <w:jc w:val="both"/>
        <w:rPr>
          <w:rFonts w:ascii="Times New Roman" w:hAnsi="Times New Roman"/>
          <w:color w:val="000000"/>
          <w:sz w:val="28"/>
          <w:szCs w:val="28"/>
        </w:rPr>
      </w:pPr>
      <w:r w:rsidRPr="00012CA3">
        <w:rPr>
          <w:rFonts w:ascii="Times New Roman" w:hAnsi="Times New Roman"/>
          <w:color w:val="000000"/>
          <w:sz w:val="28"/>
          <w:szCs w:val="28"/>
        </w:rPr>
        <w:t xml:space="preserve">- VMS emise pentru executarea obligațiilor de plată derivate din garanțiile de stat   </w:t>
      </w:r>
      <w:r w:rsidR="006143AE" w:rsidRPr="00012CA3">
        <w:rPr>
          <w:rFonts w:ascii="Times New Roman" w:hAnsi="Times New Roman"/>
          <w:color w:val="000000"/>
          <w:sz w:val="28"/>
          <w:szCs w:val="28"/>
        </w:rPr>
        <w:t>– 11</w:t>
      </w:r>
      <w:r w:rsidR="00B3520D" w:rsidRPr="00012CA3">
        <w:rPr>
          <w:rFonts w:ascii="Times New Roman" w:hAnsi="Times New Roman"/>
          <w:color w:val="000000"/>
          <w:sz w:val="28"/>
          <w:szCs w:val="28"/>
        </w:rPr>
        <w:t> 421,2</w:t>
      </w:r>
      <w:r w:rsidRPr="00012CA3">
        <w:rPr>
          <w:rFonts w:ascii="Times New Roman" w:hAnsi="Times New Roman"/>
          <w:color w:val="000000"/>
          <w:sz w:val="28"/>
          <w:szCs w:val="28"/>
        </w:rPr>
        <w:t xml:space="preserve">  mil.lei (</w:t>
      </w:r>
      <w:r w:rsidR="00B3520D" w:rsidRPr="00012CA3">
        <w:rPr>
          <w:rFonts w:ascii="Times New Roman" w:hAnsi="Times New Roman"/>
          <w:color w:val="000000"/>
          <w:sz w:val="28"/>
          <w:szCs w:val="28"/>
        </w:rPr>
        <w:t>23,6</w:t>
      </w:r>
      <w:r w:rsidRPr="00012CA3">
        <w:rPr>
          <w:rFonts w:ascii="Times New Roman" w:hAnsi="Times New Roman"/>
          <w:color w:val="000000"/>
          <w:sz w:val="28"/>
          <w:szCs w:val="28"/>
        </w:rPr>
        <w:t xml:space="preserve"> %). </w:t>
      </w:r>
    </w:p>
    <w:p w:rsidR="00C82F48" w:rsidRPr="00012CA3" w:rsidRDefault="00C82F48" w:rsidP="006D4550">
      <w:pPr>
        <w:spacing w:after="0" w:line="276" w:lineRule="auto"/>
        <w:ind w:right="-1" w:firstLine="284"/>
        <w:jc w:val="both"/>
      </w:pPr>
      <w:r w:rsidRPr="00012CA3">
        <w:rPr>
          <w:rFonts w:ascii="Times New Roman" w:hAnsi="Times New Roman"/>
          <w:color w:val="000000"/>
          <w:sz w:val="28"/>
          <w:szCs w:val="28"/>
        </w:rPr>
        <w:t xml:space="preserve">   </w:t>
      </w:r>
    </w:p>
    <w:p w:rsidR="00C82F48" w:rsidRPr="00012CA3" w:rsidRDefault="00C82F48" w:rsidP="00603874">
      <w:pPr>
        <w:pStyle w:val="Heading2"/>
        <w:tabs>
          <w:tab w:val="left" w:pos="450"/>
          <w:tab w:val="left" w:pos="540"/>
          <w:tab w:val="left" w:pos="630"/>
        </w:tabs>
        <w:spacing w:before="0" w:line="240" w:lineRule="auto"/>
        <w:jc w:val="center"/>
        <w:rPr>
          <w:rFonts w:cs="Calibri"/>
          <w:color w:val="000000"/>
          <w:sz w:val="24"/>
          <w:szCs w:val="24"/>
          <w:lang w:val="en-US"/>
        </w:rPr>
      </w:pPr>
      <w:r w:rsidRPr="00012CA3">
        <w:rPr>
          <w:rFonts w:ascii="Times New Roman" w:hAnsi="Times New Roman"/>
          <w:i/>
          <w:color w:val="323E4F"/>
          <w:sz w:val="28"/>
          <w:szCs w:val="24"/>
        </w:rPr>
        <w:t>Diagrama 9. Evoluția datoriei de stat interne, 30 iunie 202</w:t>
      </w:r>
      <w:r w:rsidR="00CA4F96" w:rsidRPr="00012CA3">
        <w:rPr>
          <w:rFonts w:ascii="Times New Roman" w:hAnsi="Times New Roman"/>
          <w:i/>
          <w:color w:val="323E4F"/>
          <w:sz w:val="28"/>
          <w:szCs w:val="24"/>
        </w:rPr>
        <w:t>4</w:t>
      </w:r>
      <w:r w:rsidRPr="00012CA3">
        <w:rPr>
          <w:rFonts w:ascii="Times New Roman" w:hAnsi="Times New Roman"/>
          <w:i/>
          <w:color w:val="323E4F"/>
          <w:sz w:val="28"/>
          <w:szCs w:val="24"/>
        </w:rPr>
        <w:t xml:space="preserve"> - 30 iunie 202</w:t>
      </w:r>
      <w:r w:rsidR="00252190" w:rsidRPr="00012CA3">
        <w:rPr>
          <w:rFonts w:ascii="Times New Roman" w:hAnsi="Times New Roman"/>
          <w:i/>
          <w:color w:val="323E4F"/>
          <w:sz w:val="28"/>
          <w:szCs w:val="24"/>
        </w:rPr>
        <w:t>5</w:t>
      </w:r>
    </w:p>
    <w:p w:rsidR="00C82F48" w:rsidRPr="00012CA3" w:rsidRDefault="00792FFF" w:rsidP="004A1B54">
      <w:pPr>
        <w:spacing w:after="0" w:line="240" w:lineRule="auto"/>
        <w:ind w:left="-284" w:firstLine="142"/>
        <w:jc w:val="both"/>
        <w:rPr>
          <w:rFonts w:cs="Calibri"/>
          <w:color w:val="000000"/>
          <w:sz w:val="24"/>
          <w:szCs w:val="24"/>
          <w:lang w:val="en-US"/>
        </w:rPr>
      </w:pPr>
      <w:r>
        <w:rPr>
          <w:rFonts w:cs="Calibri"/>
          <w:noProof/>
          <w:color w:val="000000"/>
          <w:sz w:val="24"/>
          <w:szCs w:val="24"/>
          <w:lang w:val="en-US" w:eastAsia="en-US"/>
        </w:rPr>
        <w:drawing>
          <wp:inline distT="0" distB="0" distL="0" distR="0">
            <wp:extent cx="5903595" cy="317055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03595" cy="3170555"/>
                    </a:xfrm>
                    <a:prstGeom prst="rect">
                      <a:avLst/>
                    </a:prstGeom>
                    <a:noFill/>
                  </pic:spPr>
                </pic:pic>
              </a:graphicData>
            </a:graphic>
          </wp:inline>
        </w:drawing>
      </w:r>
    </w:p>
    <w:p w:rsidR="00D76F3A" w:rsidRPr="00012CA3" w:rsidRDefault="00C82F48" w:rsidP="00D76F3A">
      <w:pPr>
        <w:tabs>
          <w:tab w:val="left" w:pos="567"/>
        </w:tabs>
        <w:spacing w:after="0" w:line="276" w:lineRule="auto"/>
        <w:jc w:val="both"/>
        <w:rPr>
          <w:rFonts w:ascii="Times New Roman" w:hAnsi="Times New Roman"/>
          <w:color w:val="000000"/>
          <w:sz w:val="28"/>
          <w:szCs w:val="28"/>
        </w:rPr>
      </w:pPr>
      <w:r w:rsidRPr="00012CA3">
        <w:rPr>
          <w:rFonts w:ascii="Times New Roman" w:hAnsi="Times New Roman"/>
          <w:color w:val="000000"/>
          <w:sz w:val="28"/>
          <w:szCs w:val="28"/>
        </w:rPr>
        <w:lastRenderedPageBreak/>
        <w:tab/>
      </w:r>
      <w:r w:rsidR="008410C1" w:rsidRPr="00012CA3">
        <w:rPr>
          <w:rFonts w:ascii="Times New Roman" w:hAnsi="Times New Roman"/>
          <w:color w:val="000000"/>
          <w:sz w:val="28"/>
          <w:szCs w:val="28"/>
        </w:rPr>
        <w:t>Comparativ cu finele anului 2024</w:t>
      </w:r>
      <w:r w:rsidRPr="00012CA3">
        <w:rPr>
          <w:rFonts w:ascii="Times New Roman" w:hAnsi="Times New Roman"/>
          <w:color w:val="000000"/>
          <w:sz w:val="28"/>
          <w:szCs w:val="28"/>
        </w:rPr>
        <w:t xml:space="preserve">, datoria de stat internă la valoarea nominală s-a </w:t>
      </w:r>
      <w:r w:rsidR="009934AC" w:rsidRPr="00012CA3">
        <w:rPr>
          <w:rFonts w:ascii="Times New Roman" w:hAnsi="Times New Roman"/>
          <w:color w:val="000000"/>
          <w:sz w:val="28"/>
          <w:szCs w:val="28"/>
        </w:rPr>
        <w:t>majorat cu 4</w:t>
      </w:r>
      <w:r w:rsidR="008410C1" w:rsidRPr="00012CA3">
        <w:rPr>
          <w:rFonts w:ascii="Times New Roman" w:hAnsi="Times New Roman"/>
          <w:color w:val="000000"/>
          <w:sz w:val="28"/>
          <w:szCs w:val="28"/>
        </w:rPr>
        <w:t> 517,2</w:t>
      </w:r>
      <w:r w:rsidR="009934AC" w:rsidRPr="00012CA3">
        <w:rPr>
          <w:rFonts w:ascii="Times New Roman" w:hAnsi="Times New Roman"/>
          <w:color w:val="000000"/>
          <w:sz w:val="28"/>
          <w:szCs w:val="28"/>
        </w:rPr>
        <w:t xml:space="preserve"> mil. lei sau cu 10,</w:t>
      </w:r>
      <w:r w:rsidR="008410C1" w:rsidRPr="00012CA3">
        <w:rPr>
          <w:rFonts w:ascii="Times New Roman" w:hAnsi="Times New Roman"/>
          <w:color w:val="000000"/>
          <w:sz w:val="28"/>
          <w:szCs w:val="28"/>
        </w:rPr>
        <w:t>3</w:t>
      </w:r>
      <w:r w:rsidR="004051E5" w:rsidRPr="00012CA3">
        <w:rPr>
          <w:rFonts w:ascii="Times New Roman" w:hAnsi="Times New Roman"/>
          <w:color w:val="000000"/>
          <w:sz w:val="28"/>
          <w:szCs w:val="28"/>
        </w:rPr>
        <w:t>%</w:t>
      </w:r>
      <w:r w:rsidR="009934AC" w:rsidRPr="00012CA3">
        <w:rPr>
          <w:rFonts w:ascii="Times New Roman" w:hAnsi="Times New Roman"/>
          <w:color w:val="000000"/>
          <w:sz w:val="28"/>
          <w:szCs w:val="28"/>
        </w:rPr>
        <w:t xml:space="preserve">, </w:t>
      </w:r>
      <w:r w:rsidR="008410C1" w:rsidRPr="00012CA3">
        <w:rPr>
          <w:rFonts w:ascii="Times New Roman" w:hAnsi="Times New Roman"/>
          <w:color w:val="000000"/>
          <w:sz w:val="28"/>
          <w:szCs w:val="28"/>
        </w:rPr>
        <w:t>fiind condiționată de finanțarea internă netă pozitivă a VMS emise pe piața i</w:t>
      </w:r>
      <w:r w:rsidR="00271472" w:rsidRPr="00012CA3">
        <w:rPr>
          <w:rFonts w:ascii="Times New Roman" w:hAnsi="Times New Roman"/>
          <w:color w:val="000000"/>
          <w:sz w:val="28"/>
          <w:szCs w:val="28"/>
        </w:rPr>
        <w:t>nternă în perioada de referință.</w:t>
      </w:r>
      <w:r w:rsidR="008410C1" w:rsidRPr="00012CA3">
        <w:rPr>
          <w:rFonts w:ascii="Times New Roman" w:hAnsi="Times New Roman"/>
          <w:color w:val="000000"/>
          <w:sz w:val="28"/>
          <w:szCs w:val="28"/>
        </w:rPr>
        <w:t xml:space="preserve"> </w:t>
      </w:r>
      <w:r w:rsidR="00271472" w:rsidRPr="00012CA3">
        <w:rPr>
          <w:rFonts w:ascii="Times New Roman" w:hAnsi="Times New Roman"/>
          <w:color w:val="000000"/>
          <w:sz w:val="28"/>
          <w:szCs w:val="28"/>
        </w:rPr>
        <w:t>Față de 30 iunie 2024, soldul datoriei de stat interne s-a majorat cu 4 665,4 mil. lei sau cu 10,6 la sută.</w:t>
      </w:r>
      <w:r w:rsidR="00D76F3A" w:rsidRPr="00012CA3">
        <w:rPr>
          <w:rFonts w:ascii="Times New Roman" w:hAnsi="Times New Roman"/>
          <w:color w:val="000000"/>
          <w:sz w:val="28"/>
          <w:szCs w:val="28"/>
        </w:rPr>
        <w:t xml:space="preserve">   </w:t>
      </w:r>
    </w:p>
    <w:p w:rsidR="00C82F48" w:rsidRPr="00012CA3" w:rsidRDefault="00C82F48">
      <w:pPr>
        <w:tabs>
          <w:tab w:val="left" w:pos="567"/>
        </w:tabs>
        <w:spacing w:after="0" w:line="276" w:lineRule="auto"/>
        <w:jc w:val="both"/>
        <w:rPr>
          <w:rFonts w:ascii="Times New Roman" w:hAnsi="Times New Roman"/>
          <w:color w:val="000000"/>
          <w:sz w:val="28"/>
          <w:szCs w:val="28"/>
        </w:rPr>
      </w:pPr>
    </w:p>
    <w:p w:rsidR="00C82F48" w:rsidRPr="00012CA3" w:rsidRDefault="00C82F48">
      <w:pPr>
        <w:pStyle w:val="Heading2"/>
        <w:spacing w:before="0" w:after="120" w:line="276" w:lineRule="auto"/>
      </w:pPr>
      <w:r w:rsidRPr="00012CA3">
        <w:rPr>
          <w:rFonts w:ascii="Times New Roman" w:hAnsi="Times New Roman"/>
          <w:color w:val="171717"/>
          <w:sz w:val="28"/>
          <w:szCs w:val="28"/>
        </w:rPr>
        <w:t xml:space="preserve">Creanțele interne </w:t>
      </w:r>
    </w:p>
    <w:p w:rsidR="00654EB9" w:rsidRPr="00012CA3" w:rsidRDefault="00654EB9" w:rsidP="00654EB9">
      <w:pPr>
        <w:numPr>
          <w:ilvl w:val="0"/>
          <w:numId w:val="16"/>
        </w:numPr>
        <w:suppressAutoHyphens w:val="0"/>
        <w:spacing w:line="276" w:lineRule="auto"/>
        <w:contextualSpacing/>
        <w:jc w:val="both"/>
        <w:rPr>
          <w:rFonts w:ascii="Times New Roman" w:hAnsi="Times New Roman"/>
          <w:i/>
          <w:sz w:val="28"/>
          <w:szCs w:val="28"/>
          <w:lang w:eastAsia="en-US"/>
        </w:rPr>
      </w:pPr>
      <w:r w:rsidRPr="00012CA3">
        <w:rPr>
          <w:rFonts w:ascii="Times New Roman" w:hAnsi="Times New Roman"/>
          <w:i/>
          <w:sz w:val="28"/>
          <w:szCs w:val="28"/>
          <w:lang w:eastAsia="en-US"/>
        </w:rPr>
        <w:t>creanțele băncilor comerciale în proces de lichidare</w:t>
      </w:r>
    </w:p>
    <w:p w:rsidR="00654EB9" w:rsidRPr="00012CA3" w:rsidRDefault="00654EB9" w:rsidP="00654EB9">
      <w:pPr>
        <w:suppressAutoHyphens w:val="0"/>
        <w:spacing w:line="276" w:lineRule="auto"/>
        <w:ind w:firstLine="567"/>
        <w:contextualSpacing/>
        <w:jc w:val="both"/>
        <w:rPr>
          <w:rFonts w:ascii="Times New Roman" w:hAnsi="Times New Roman"/>
          <w:sz w:val="28"/>
          <w:szCs w:val="28"/>
          <w:lang w:val="ro-MD" w:eastAsia="en-US"/>
        </w:rPr>
      </w:pPr>
      <w:r w:rsidRPr="00012CA3">
        <w:rPr>
          <w:rFonts w:ascii="Times New Roman" w:hAnsi="Times New Roman"/>
          <w:sz w:val="28"/>
          <w:szCs w:val="28"/>
          <w:lang w:val="ro-MD" w:eastAsia="en-US"/>
        </w:rPr>
        <w:t>În vederea executării prevederilor Legii nr.190/2011</w:t>
      </w:r>
      <w:r w:rsidRPr="00012CA3">
        <w:rPr>
          <w:rFonts w:ascii="Times New Roman" w:hAnsi="Times New Roman"/>
          <w:sz w:val="28"/>
          <w:szCs w:val="28"/>
          <w:vertAlign w:val="superscript"/>
          <w:lang w:val="ro-MD" w:eastAsia="en-US"/>
        </w:rPr>
        <w:footnoteReference w:id="1"/>
      </w:r>
      <w:r w:rsidRPr="00012CA3">
        <w:rPr>
          <w:rFonts w:ascii="Times New Roman" w:hAnsi="Times New Roman"/>
          <w:sz w:val="28"/>
          <w:szCs w:val="28"/>
          <w:lang w:val="ro-MD" w:eastAsia="en-US"/>
        </w:rPr>
        <w:t>, la data de 25 octombrie 2011, Ministerul Finanțelor a emis obligațiuni de stat în sumă de 428,5 mil. lei în scop de preluare a creanței „Banca de Economii” S.A. față de BC „Investprivatbank” S.A. în proces de lichidare.</w:t>
      </w:r>
    </w:p>
    <w:p w:rsidR="00654EB9" w:rsidRPr="00012CA3" w:rsidRDefault="00654EB9" w:rsidP="00654EB9">
      <w:pPr>
        <w:suppressAutoHyphens w:val="0"/>
        <w:spacing w:line="276" w:lineRule="auto"/>
        <w:ind w:firstLine="567"/>
        <w:contextualSpacing/>
        <w:jc w:val="both"/>
        <w:rPr>
          <w:rFonts w:ascii="Times New Roman" w:hAnsi="Times New Roman"/>
          <w:sz w:val="28"/>
          <w:szCs w:val="28"/>
          <w:lang w:val="ro-MD" w:eastAsia="en-US"/>
        </w:rPr>
      </w:pPr>
      <w:r w:rsidRPr="00012CA3">
        <w:rPr>
          <w:rFonts w:ascii="Times New Roman" w:hAnsi="Times New Roman"/>
          <w:sz w:val="28"/>
          <w:szCs w:val="28"/>
          <w:lang w:val="ro-MD" w:eastAsia="en-US"/>
        </w:rPr>
        <w:t>Totodată, în rezultatul emiterii obligațiunilor de stat, în temeiul Legii nr.235/2016</w:t>
      </w:r>
      <w:r w:rsidRPr="00012CA3">
        <w:rPr>
          <w:rFonts w:ascii="Times New Roman" w:hAnsi="Times New Roman"/>
          <w:sz w:val="28"/>
          <w:szCs w:val="28"/>
          <w:vertAlign w:val="superscript"/>
          <w:lang w:val="ro-MD" w:eastAsia="en-US"/>
        </w:rPr>
        <w:footnoteReference w:id="2"/>
      </w:r>
      <w:r w:rsidRPr="00012CA3">
        <w:rPr>
          <w:rFonts w:ascii="Times New Roman" w:hAnsi="Times New Roman"/>
          <w:sz w:val="28"/>
          <w:szCs w:val="28"/>
          <w:lang w:val="ro-MD" w:eastAsia="en-US"/>
        </w:rPr>
        <w:t>, în vederea executării obligaţiilor de plată derivate din garanţiile de stat acordate Băncii Naţionale a Moldovei pentru garantarea creditelor de urgenţă, Ministerul Finanţelor a subrogat Banca Naţională a Moldovei în raporturile legate de creanţa faţă de „Banca de Economii” S.A., BC „Banca Socială” S.A. şi BC „Unibank” S.A., în sumă totală de 13 341,2 mil. lei.</w:t>
      </w:r>
    </w:p>
    <w:p w:rsidR="00654EB9" w:rsidRPr="00012CA3" w:rsidRDefault="00654EB9" w:rsidP="00654EB9">
      <w:pPr>
        <w:suppressAutoHyphens w:val="0"/>
        <w:spacing w:line="276" w:lineRule="auto"/>
        <w:ind w:firstLine="567"/>
        <w:contextualSpacing/>
        <w:jc w:val="both"/>
        <w:rPr>
          <w:rFonts w:ascii="Times New Roman" w:hAnsi="Times New Roman"/>
          <w:sz w:val="28"/>
          <w:szCs w:val="28"/>
          <w:lang w:eastAsia="en-US"/>
        </w:rPr>
      </w:pPr>
      <w:r w:rsidRPr="00012CA3">
        <w:rPr>
          <w:rFonts w:ascii="Times New Roman" w:hAnsi="Times New Roman"/>
          <w:sz w:val="28"/>
          <w:szCs w:val="28"/>
          <w:lang w:eastAsia="en-US"/>
        </w:rPr>
        <w:t>Prin urmare, întru stingerea creanțelor nominalizate, în semestrul I al anului 202</w:t>
      </w:r>
      <w:r w:rsidR="00EF370B" w:rsidRPr="00012CA3">
        <w:rPr>
          <w:rFonts w:ascii="Times New Roman" w:hAnsi="Times New Roman"/>
          <w:sz w:val="28"/>
          <w:szCs w:val="28"/>
          <w:lang w:eastAsia="en-US"/>
        </w:rPr>
        <w:t>5</w:t>
      </w:r>
      <w:r w:rsidRPr="00012CA3">
        <w:rPr>
          <w:rFonts w:ascii="Times New Roman" w:hAnsi="Times New Roman"/>
          <w:sz w:val="28"/>
          <w:szCs w:val="28"/>
          <w:lang w:eastAsia="en-US"/>
        </w:rPr>
        <w:t xml:space="preserve"> băncile comerciale în proces de lichidare au transferat la bugetul de stat din </w:t>
      </w:r>
      <w:r w:rsidRPr="00012CA3">
        <w:rPr>
          <w:rFonts w:ascii="Times New Roman" w:hAnsi="Times New Roman"/>
          <w:b/>
          <w:i/>
          <w:sz w:val="28"/>
          <w:szCs w:val="28"/>
          <w:lang w:eastAsia="en-US"/>
        </w:rPr>
        <w:t>valorificarea activelor</w:t>
      </w:r>
      <w:r w:rsidRPr="00012CA3">
        <w:rPr>
          <w:rFonts w:ascii="Times New Roman" w:hAnsi="Times New Roman"/>
          <w:sz w:val="28"/>
          <w:szCs w:val="28"/>
          <w:lang w:eastAsia="en-US"/>
        </w:rPr>
        <w:t xml:space="preserve"> proprii, mijloace bănești în sumă de </w:t>
      </w:r>
      <w:r w:rsidR="00EF370B" w:rsidRPr="00012CA3">
        <w:rPr>
          <w:rFonts w:ascii="Times New Roman" w:hAnsi="Times New Roman"/>
          <w:b/>
          <w:i/>
          <w:sz w:val="28"/>
          <w:szCs w:val="28"/>
          <w:lang w:eastAsia="en-US"/>
        </w:rPr>
        <w:t>12,4</w:t>
      </w:r>
      <w:r w:rsidRPr="00012CA3">
        <w:rPr>
          <w:rFonts w:ascii="Times New Roman" w:hAnsi="Times New Roman"/>
          <w:b/>
          <w:i/>
          <w:sz w:val="28"/>
          <w:szCs w:val="28"/>
          <w:lang w:eastAsia="en-US"/>
        </w:rPr>
        <w:t xml:space="preserve"> mil.lei</w:t>
      </w:r>
      <w:r w:rsidRPr="00012CA3">
        <w:rPr>
          <w:rFonts w:ascii="Times New Roman" w:hAnsi="Times New Roman"/>
          <w:sz w:val="28"/>
          <w:szCs w:val="28"/>
          <w:lang w:eastAsia="en-US"/>
        </w:rPr>
        <w:t>, dintre care:</w:t>
      </w:r>
    </w:p>
    <w:p w:rsidR="00654EB9" w:rsidRPr="00012CA3" w:rsidRDefault="00654EB9" w:rsidP="00654EB9">
      <w:pPr>
        <w:numPr>
          <w:ilvl w:val="0"/>
          <w:numId w:val="14"/>
        </w:numPr>
        <w:suppressAutoHyphens w:val="0"/>
        <w:spacing w:after="0" w:line="240" w:lineRule="auto"/>
        <w:ind w:left="992" w:hanging="425"/>
        <w:jc w:val="both"/>
        <w:rPr>
          <w:rFonts w:ascii="Times New Roman" w:hAnsi="Times New Roman"/>
          <w:sz w:val="28"/>
          <w:szCs w:val="28"/>
          <w:lang w:eastAsia="en-US"/>
        </w:rPr>
      </w:pPr>
      <w:r w:rsidRPr="00012CA3">
        <w:rPr>
          <w:rFonts w:ascii="Times New Roman" w:hAnsi="Times New Roman"/>
          <w:sz w:val="28"/>
          <w:szCs w:val="28"/>
          <w:lang w:eastAsia="en-US"/>
        </w:rPr>
        <w:t xml:space="preserve">BC „Banca </w:t>
      </w:r>
      <w:r w:rsidR="00F03BDD" w:rsidRPr="00012CA3">
        <w:rPr>
          <w:rFonts w:ascii="Times New Roman" w:hAnsi="Times New Roman"/>
          <w:sz w:val="28"/>
          <w:szCs w:val="28"/>
          <w:lang w:eastAsia="en-US"/>
        </w:rPr>
        <w:t>de Economii</w:t>
      </w:r>
      <w:r w:rsidRPr="00012CA3">
        <w:rPr>
          <w:rFonts w:ascii="Times New Roman" w:hAnsi="Times New Roman"/>
          <w:sz w:val="28"/>
          <w:szCs w:val="28"/>
          <w:lang w:eastAsia="en-US"/>
        </w:rPr>
        <w:t xml:space="preserve">” S.A. – </w:t>
      </w:r>
      <w:r w:rsidR="00E305CA" w:rsidRPr="00012CA3">
        <w:rPr>
          <w:rFonts w:ascii="Times New Roman" w:hAnsi="Times New Roman"/>
          <w:sz w:val="28"/>
          <w:szCs w:val="28"/>
          <w:lang w:eastAsia="en-US"/>
        </w:rPr>
        <w:t>7</w:t>
      </w:r>
      <w:r w:rsidRPr="00012CA3">
        <w:rPr>
          <w:rFonts w:ascii="Times New Roman" w:hAnsi="Times New Roman"/>
          <w:sz w:val="28"/>
          <w:szCs w:val="28"/>
          <w:lang w:eastAsia="en-US"/>
        </w:rPr>
        <w:t>,0 mil.lei;</w:t>
      </w:r>
    </w:p>
    <w:p w:rsidR="00654EB9" w:rsidRPr="00012CA3" w:rsidRDefault="00654EB9" w:rsidP="00654EB9">
      <w:pPr>
        <w:numPr>
          <w:ilvl w:val="0"/>
          <w:numId w:val="14"/>
        </w:numPr>
        <w:suppressAutoHyphens w:val="0"/>
        <w:spacing w:after="0" w:line="276" w:lineRule="auto"/>
        <w:ind w:left="992" w:hanging="425"/>
        <w:jc w:val="both"/>
        <w:rPr>
          <w:rFonts w:ascii="Times New Roman" w:hAnsi="Times New Roman"/>
          <w:sz w:val="28"/>
          <w:szCs w:val="28"/>
          <w:lang w:eastAsia="en-US"/>
        </w:rPr>
      </w:pPr>
      <w:r w:rsidRPr="00012CA3">
        <w:rPr>
          <w:rFonts w:ascii="Times New Roman" w:hAnsi="Times New Roman"/>
          <w:sz w:val="28"/>
          <w:szCs w:val="28"/>
          <w:lang w:eastAsia="en-US"/>
        </w:rPr>
        <w:t xml:space="preserve">BC </w:t>
      </w:r>
      <w:r w:rsidR="00E305CA" w:rsidRPr="00012CA3">
        <w:rPr>
          <w:rFonts w:ascii="Times New Roman" w:hAnsi="Times New Roman"/>
          <w:sz w:val="28"/>
          <w:szCs w:val="28"/>
          <w:lang w:eastAsia="en-US"/>
        </w:rPr>
        <w:t xml:space="preserve">„Investprivatbank” S.A. </w:t>
      </w:r>
      <w:r w:rsidR="00637D42" w:rsidRPr="00012CA3">
        <w:rPr>
          <w:rFonts w:ascii="Times New Roman" w:hAnsi="Times New Roman"/>
          <w:sz w:val="28"/>
          <w:szCs w:val="28"/>
          <w:lang w:eastAsia="en-US"/>
        </w:rPr>
        <w:t>–</w:t>
      </w:r>
      <w:r w:rsidR="00E305CA" w:rsidRPr="00012CA3">
        <w:rPr>
          <w:rFonts w:ascii="Times New Roman" w:hAnsi="Times New Roman"/>
          <w:sz w:val="28"/>
          <w:szCs w:val="28"/>
          <w:lang w:eastAsia="en-US"/>
        </w:rPr>
        <w:t xml:space="preserve"> 5,4 mil.lei.</w:t>
      </w:r>
    </w:p>
    <w:p w:rsidR="00F03BDD" w:rsidRPr="00012CA3" w:rsidRDefault="00F03BDD" w:rsidP="00F03BDD">
      <w:pPr>
        <w:spacing w:after="0" w:line="276" w:lineRule="auto"/>
        <w:ind w:firstLine="567"/>
        <w:jc w:val="both"/>
        <w:rPr>
          <w:rFonts w:ascii="Times New Roman" w:hAnsi="Times New Roman"/>
          <w:sz w:val="28"/>
          <w:szCs w:val="28"/>
        </w:rPr>
      </w:pPr>
      <w:r w:rsidRPr="00012CA3">
        <w:rPr>
          <w:rFonts w:ascii="Times New Roman" w:hAnsi="Times New Roman"/>
          <w:sz w:val="28"/>
          <w:szCs w:val="28"/>
        </w:rPr>
        <w:t>BC „Banca Socială” S.A. și BC „Unibank” S.A. nu au efectuat transferuri aferente, în bugetul de stat în perioada de raportare.</w:t>
      </w:r>
    </w:p>
    <w:p w:rsidR="00654EB9" w:rsidRPr="00012CA3" w:rsidRDefault="00654EB9" w:rsidP="00654EB9">
      <w:pPr>
        <w:suppressAutoHyphens w:val="0"/>
        <w:spacing w:after="0" w:line="276" w:lineRule="auto"/>
        <w:ind w:firstLine="567"/>
        <w:jc w:val="both"/>
        <w:rPr>
          <w:rFonts w:ascii="Times New Roman" w:hAnsi="Times New Roman"/>
          <w:sz w:val="28"/>
          <w:szCs w:val="28"/>
          <w:lang w:eastAsia="en-US"/>
        </w:rPr>
      </w:pPr>
      <w:r w:rsidRPr="00012CA3">
        <w:rPr>
          <w:rFonts w:ascii="Times New Roman" w:hAnsi="Times New Roman"/>
          <w:sz w:val="28"/>
          <w:szCs w:val="28"/>
          <w:lang w:eastAsia="en-US"/>
        </w:rPr>
        <w:t>Astfel, la situația din 30 iunie 202</w:t>
      </w:r>
      <w:r w:rsidR="00AF386A" w:rsidRPr="00012CA3">
        <w:rPr>
          <w:rFonts w:ascii="Times New Roman" w:hAnsi="Times New Roman"/>
          <w:sz w:val="28"/>
          <w:szCs w:val="28"/>
          <w:lang w:eastAsia="en-US"/>
        </w:rPr>
        <w:t>5</w:t>
      </w:r>
      <w:r w:rsidRPr="00012CA3">
        <w:rPr>
          <w:rFonts w:ascii="Times New Roman" w:hAnsi="Times New Roman"/>
          <w:sz w:val="28"/>
          <w:szCs w:val="28"/>
          <w:lang w:eastAsia="en-US"/>
        </w:rPr>
        <w:t xml:space="preserve">, </w:t>
      </w:r>
      <w:r w:rsidRPr="00012CA3">
        <w:rPr>
          <w:rFonts w:ascii="Times New Roman" w:hAnsi="Times New Roman"/>
          <w:b/>
          <w:i/>
          <w:sz w:val="28"/>
          <w:szCs w:val="28"/>
          <w:lang w:eastAsia="en-US"/>
        </w:rPr>
        <w:t>datoria băncilor</w:t>
      </w:r>
      <w:r w:rsidR="004F312E" w:rsidRPr="00012CA3">
        <w:rPr>
          <w:rFonts w:ascii="Times New Roman" w:hAnsi="Times New Roman"/>
          <w:b/>
          <w:i/>
          <w:sz w:val="28"/>
          <w:szCs w:val="28"/>
          <w:lang w:eastAsia="en-US"/>
        </w:rPr>
        <w:t xml:space="preserve"> respective</w:t>
      </w:r>
      <w:r w:rsidRPr="00012CA3">
        <w:rPr>
          <w:rFonts w:ascii="Times New Roman" w:hAnsi="Times New Roman"/>
          <w:b/>
          <w:i/>
          <w:sz w:val="28"/>
          <w:szCs w:val="28"/>
          <w:lang w:eastAsia="en-US"/>
        </w:rPr>
        <w:t xml:space="preserve"> în proces de lichidare</w:t>
      </w:r>
      <w:r w:rsidRPr="00012CA3">
        <w:rPr>
          <w:rFonts w:ascii="Times New Roman" w:hAnsi="Times New Roman"/>
          <w:sz w:val="28"/>
          <w:szCs w:val="28"/>
          <w:lang w:eastAsia="en-US"/>
        </w:rPr>
        <w:t xml:space="preserve"> față de Ministerul Finanțelor a constituit </w:t>
      </w:r>
      <w:r w:rsidRPr="00012CA3">
        <w:rPr>
          <w:rFonts w:ascii="Times New Roman" w:hAnsi="Times New Roman"/>
          <w:b/>
          <w:sz w:val="28"/>
          <w:szCs w:val="28"/>
          <w:lang w:eastAsia="en-US"/>
        </w:rPr>
        <w:t>11</w:t>
      </w:r>
      <w:r w:rsidR="00B34898" w:rsidRPr="00012CA3">
        <w:rPr>
          <w:rFonts w:ascii="Times New Roman" w:hAnsi="Times New Roman"/>
          <w:b/>
          <w:sz w:val="28"/>
          <w:szCs w:val="28"/>
          <w:lang w:eastAsia="en-US"/>
        </w:rPr>
        <w:t> 599,0</w:t>
      </w:r>
      <w:r w:rsidRPr="00012CA3">
        <w:rPr>
          <w:rFonts w:ascii="Times New Roman" w:hAnsi="Times New Roman"/>
          <w:sz w:val="28"/>
          <w:szCs w:val="28"/>
          <w:lang w:eastAsia="en-US"/>
        </w:rPr>
        <w:t xml:space="preserve"> </w:t>
      </w:r>
      <w:r w:rsidRPr="00012CA3">
        <w:rPr>
          <w:rFonts w:ascii="Times New Roman" w:hAnsi="Times New Roman"/>
          <w:b/>
          <w:i/>
          <w:sz w:val="28"/>
          <w:szCs w:val="28"/>
          <w:lang w:eastAsia="en-US"/>
        </w:rPr>
        <w:t>mil. lei</w:t>
      </w:r>
      <w:r w:rsidRPr="00012CA3">
        <w:rPr>
          <w:rFonts w:ascii="Times New Roman" w:hAnsi="Times New Roman"/>
          <w:sz w:val="28"/>
          <w:szCs w:val="28"/>
          <w:lang w:eastAsia="en-US"/>
        </w:rPr>
        <w:t xml:space="preserve">, dintre care: </w:t>
      </w:r>
    </w:p>
    <w:p w:rsidR="00654EB9" w:rsidRPr="00012CA3" w:rsidRDefault="00654EB9" w:rsidP="00654EB9">
      <w:pPr>
        <w:numPr>
          <w:ilvl w:val="0"/>
          <w:numId w:val="15"/>
        </w:numPr>
        <w:suppressAutoHyphens w:val="0"/>
        <w:spacing w:after="0" w:line="276" w:lineRule="auto"/>
        <w:ind w:left="993" w:hanging="426"/>
        <w:jc w:val="both"/>
        <w:rPr>
          <w:rFonts w:ascii="Times New Roman" w:hAnsi="Times New Roman"/>
          <w:sz w:val="28"/>
          <w:szCs w:val="28"/>
          <w:lang w:eastAsia="en-US"/>
        </w:rPr>
      </w:pPr>
      <w:r w:rsidRPr="00012CA3">
        <w:rPr>
          <w:rFonts w:ascii="Times New Roman" w:hAnsi="Times New Roman"/>
          <w:sz w:val="28"/>
          <w:szCs w:val="28"/>
          <w:lang w:eastAsia="en-US"/>
        </w:rPr>
        <w:t xml:space="preserve">BC ,,Investprivatbank” S.A. – </w:t>
      </w:r>
      <w:r w:rsidR="00B34898" w:rsidRPr="00012CA3">
        <w:rPr>
          <w:rFonts w:ascii="Times New Roman" w:hAnsi="Times New Roman"/>
          <w:sz w:val="28"/>
          <w:szCs w:val="28"/>
          <w:lang w:eastAsia="en-US"/>
        </w:rPr>
        <w:t>345,2</w:t>
      </w:r>
      <w:r w:rsidRPr="00012CA3">
        <w:rPr>
          <w:rFonts w:ascii="Times New Roman" w:hAnsi="Times New Roman"/>
          <w:sz w:val="28"/>
          <w:szCs w:val="28"/>
          <w:lang w:eastAsia="en-US"/>
        </w:rPr>
        <w:t xml:space="preserve"> mil.lei;</w:t>
      </w:r>
    </w:p>
    <w:p w:rsidR="00654EB9" w:rsidRPr="00012CA3" w:rsidRDefault="00654EB9" w:rsidP="00654EB9">
      <w:pPr>
        <w:numPr>
          <w:ilvl w:val="0"/>
          <w:numId w:val="15"/>
        </w:numPr>
        <w:suppressAutoHyphens w:val="0"/>
        <w:spacing w:after="0" w:line="276" w:lineRule="auto"/>
        <w:ind w:left="993" w:hanging="426"/>
        <w:jc w:val="both"/>
        <w:rPr>
          <w:rFonts w:ascii="Times New Roman" w:hAnsi="Times New Roman"/>
          <w:sz w:val="28"/>
          <w:szCs w:val="28"/>
          <w:lang w:eastAsia="en-US"/>
        </w:rPr>
      </w:pPr>
      <w:r w:rsidRPr="00012CA3">
        <w:rPr>
          <w:rFonts w:ascii="Times New Roman" w:hAnsi="Times New Roman"/>
          <w:sz w:val="28"/>
          <w:szCs w:val="28"/>
          <w:lang w:eastAsia="en-US"/>
        </w:rPr>
        <w:t>„Banca de Economii” S.A. – 7</w:t>
      </w:r>
      <w:r w:rsidR="009C695A" w:rsidRPr="00012CA3">
        <w:rPr>
          <w:rFonts w:ascii="Times New Roman" w:hAnsi="Times New Roman"/>
          <w:sz w:val="28"/>
          <w:szCs w:val="28"/>
          <w:lang w:eastAsia="en-US"/>
        </w:rPr>
        <w:t> </w:t>
      </w:r>
      <w:r w:rsidRPr="00012CA3">
        <w:rPr>
          <w:rFonts w:ascii="Times New Roman" w:hAnsi="Times New Roman"/>
          <w:sz w:val="28"/>
          <w:szCs w:val="28"/>
          <w:lang w:eastAsia="en-US"/>
        </w:rPr>
        <w:t>6</w:t>
      </w:r>
      <w:r w:rsidR="009C695A" w:rsidRPr="00012CA3">
        <w:rPr>
          <w:rFonts w:ascii="Times New Roman" w:hAnsi="Times New Roman"/>
          <w:sz w:val="28"/>
          <w:szCs w:val="28"/>
          <w:lang w:eastAsia="en-US"/>
        </w:rPr>
        <w:t>60,0</w:t>
      </w:r>
      <w:r w:rsidRPr="00012CA3">
        <w:rPr>
          <w:rFonts w:ascii="Times New Roman" w:hAnsi="Times New Roman"/>
          <w:sz w:val="28"/>
          <w:szCs w:val="28"/>
          <w:lang w:eastAsia="en-US"/>
        </w:rPr>
        <w:t xml:space="preserve"> mil.lei;</w:t>
      </w:r>
    </w:p>
    <w:p w:rsidR="00654EB9" w:rsidRPr="00012CA3" w:rsidRDefault="00654EB9" w:rsidP="00654EB9">
      <w:pPr>
        <w:numPr>
          <w:ilvl w:val="0"/>
          <w:numId w:val="15"/>
        </w:numPr>
        <w:suppressAutoHyphens w:val="0"/>
        <w:spacing w:after="0" w:line="276" w:lineRule="auto"/>
        <w:ind w:left="993" w:hanging="426"/>
        <w:jc w:val="both"/>
        <w:rPr>
          <w:rFonts w:ascii="Times New Roman" w:hAnsi="Times New Roman"/>
          <w:sz w:val="28"/>
          <w:szCs w:val="28"/>
          <w:lang w:eastAsia="en-US"/>
        </w:rPr>
      </w:pPr>
      <w:r w:rsidRPr="00012CA3">
        <w:rPr>
          <w:rFonts w:ascii="Times New Roman" w:hAnsi="Times New Roman"/>
          <w:sz w:val="28"/>
          <w:szCs w:val="28"/>
          <w:lang w:eastAsia="en-US"/>
        </w:rPr>
        <w:t>BC „Banca Socială” S.A</w:t>
      </w:r>
      <w:r w:rsidR="00C92492">
        <w:rPr>
          <w:rFonts w:ascii="Times New Roman" w:hAnsi="Times New Roman"/>
          <w:sz w:val="28"/>
          <w:szCs w:val="28"/>
          <w:lang w:eastAsia="en-US"/>
        </w:rPr>
        <w:t>.</w:t>
      </w:r>
      <w:r w:rsidRPr="00012CA3">
        <w:rPr>
          <w:rFonts w:ascii="Times New Roman" w:hAnsi="Times New Roman"/>
          <w:sz w:val="28"/>
          <w:szCs w:val="28"/>
          <w:lang w:eastAsia="en-US"/>
        </w:rPr>
        <w:t xml:space="preserve"> – 1</w:t>
      </w:r>
      <w:r w:rsidR="009C695A" w:rsidRPr="00012CA3">
        <w:rPr>
          <w:rFonts w:ascii="Times New Roman" w:hAnsi="Times New Roman"/>
          <w:sz w:val="28"/>
          <w:szCs w:val="28"/>
          <w:lang w:eastAsia="en-US"/>
        </w:rPr>
        <w:t> 790,0</w:t>
      </w:r>
      <w:r w:rsidRPr="00012CA3">
        <w:rPr>
          <w:rFonts w:ascii="Times New Roman" w:hAnsi="Times New Roman"/>
          <w:sz w:val="28"/>
          <w:szCs w:val="28"/>
          <w:lang w:eastAsia="en-US"/>
        </w:rPr>
        <w:t xml:space="preserve"> mil.lei;</w:t>
      </w:r>
    </w:p>
    <w:p w:rsidR="00654EB9" w:rsidRPr="00012CA3" w:rsidRDefault="00654EB9" w:rsidP="00654EB9">
      <w:pPr>
        <w:numPr>
          <w:ilvl w:val="0"/>
          <w:numId w:val="15"/>
        </w:numPr>
        <w:suppressAutoHyphens w:val="0"/>
        <w:spacing w:after="120" w:line="276" w:lineRule="auto"/>
        <w:ind w:left="992" w:hanging="425"/>
        <w:jc w:val="both"/>
        <w:rPr>
          <w:rFonts w:ascii="Times New Roman" w:hAnsi="Times New Roman"/>
          <w:sz w:val="28"/>
          <w:szCs w:val="28"/>
          <w:lang w:eastAsia="en-US"/>
        </w:rPr>
      </w:pPr>
      <w:r w:rsidRPr="00012CA3">
        <w:rPr>
          <w:rFonts w:ascii="Times New Roman" w:hAnsi="Times New Roman"/>
          <w:sz w:val="28"/>
          <w:szCs w:val="28"/>
          <w:lang w:eastAsia="en-US"/>
        </w:rPr>
        <w:t>BC „Unibank” S.A</w:t>
      </w:r>
      <w:r w:rsidR="00C92492">
        <w:rPr>
          <w:rFonts w:ascii="Times New Roman" w:hAnsi="Times New Roman"/>
          <w:sz w:val="28"/>
          <w:szCs w:val="28"/>
          <w:lang w:eastAsia="en-US"/>
        </w:rPr>
        <w:t>.</w:t>
      </w:r>
      <w:r w:rsidRPr="00012CA3">
        <w:rPr>
          <w:rFonts w:ascii="Times New Roman" w:hAnsi="Times New Roman"/>
          <w:sz w:val="28"/>
          <w:szCs w:val="28"/>
          <w:lang w:eastAsia="en-US"/>
        </w:rPr>
        <w:t xml:space="preserve"> – 1 803,8 mil.lei.</w:t>
      </w:r>
    </w:p>
    <w:p w:rsidR="00654EB9" w:rsidRPr="00012CA3" w:rsidRDefault="00654EB9" w:rsidP="00654EB9">
      <w:pPr>
        <w:numPr>
          <w:ilvl w:val="0"/>
          <w:numId w:val="16"/>
        </w:numPr>
        <w:suppressAutoHyphens w:val="0"/>
        <w:spacing w:line="276" w:lineRule="auto"/>
        <w:jc w:val="both"/>
        <w:rPr>
          <w:rFonts w:ascii="Times New Roman" w:hAnsi="Times New Roman"/>
          <w:i/>
          <w:sz w:val="28"/>
          <w:szCs w:val="28"/>
          <w:lang w:eastAsia="en-US"/>
        </w:rPr>
      </w:pPr>
      <w:r w:rsidRPr="00012CA3">
        <w:rPr>
          <w:rFonts w:ascii="Times New Roman" w:hAnsi="Times New Roman"/>
          <w:i/>
          <w:sz w:val="28"/>
          <w:szCs w:val="28"/>
          <w:lang w:eastAsia="en-US"/>
        </w:rPr>
        <w:t>creanțele privind garanțiile pentru împrumuturile interne</w:t>
      </w:r>
    </w:p>
    <w:p w:rsidR="00363917" w:rsidRPr="00012CA3" w:rsidRDefault="00363917" w:rsidP="00363917">
      <w:pPr>
        <w:spacing w:after="0" w:line="276" w:lineRule="auto"/>
        <w:ind w:firstLine="567"/>
        <w:jc w:val="both"/>
        <w:rPr>
          <w:rFonts w:ascii="Times New Roman" w:hAnsi="Times New Roman"/>
          <w:sz w:val="28"/>
          <w:szCs w:val="28"/>
        </w:rPr>
      </w:pPr>
      <w:r w:rsidRPr="00012CA3">
        <w:rPr>
          <w:rFonts w:ascii="Times New Roman" w:hAnsi="Times New Roman"/>
          <w:sz w:val="28"/>
          <w:szCs w:val="28"/>
        </w:rPr>
        <w:t xml:space="preserve">În semestrul I al anului 2025 nu au fost activate garanții de stat acordate în cadrul Programului de stat „Prima casă”. În aceeași perioadă, în vederea stingerii </w:t>
      </w:r>
      <w:r w:rsidRPr="00012CA3">
        <w:rPr>
          <w:rFonts w:ascii="Times New Roman" w:hAnsi="Times New Roman"/>
          <w:sz w:val="28"/>
          <w:szCs w:val="28"/>
        </w:rPr>
        <w:lastRenderedPageBreak/>
        <w:t xml:space="preserve">creanțelor interne, de către debitorii garantați a fost restituită, în bugetul de stat, suma de 0,3 mil. lei. </w:t>
      </w:r>
    </w:p>
    <w:p w:rsidR="00363917" w:rsidRPr="007C4550" w:rsidRDefault="00363917" w:rsidP="00363917">
      <w:pPr>
        <w:spacing w:after="0" w:line="276" w:lineRule="auto"/>
        <w:ind w:firstLine="567"/>
        <w:jc w:val="both"/>
        <w:rPr>
          <w:rFonts w:ascii="Times New Roman" w:hAnsi="Times New Roman"/>
          <w:sz w:val="28"/>
          <w:szCs w:val="28"/>
          <w:lang w:val="en-US"/>
        </w:rPr>
      </w:pPr>
      <w:r w:rsidRPr="00012CA3">
        <w:rPr>
          <w:rFonts w:ascii="Times New Roman" w:hAnsi="Times New Roman"/>
          <w:sz w:val="28"/>
          <w:szCs w:val="28"/>
        </w:rPr>
        <w:t xml:space="preserve">Astfel, la situația din 30 iunie 2025, </w:t>
      </w:r>
      <w:r w:rsidRPr="00012CA3">
        <w:rPr>
          <w:rFonts w:ascii="Times New Roman" w:hAnsi="Times New Roman"/>
          <w:b/>
          <w:i/>
          <w:sz w:val="28"/>
          <w:szCs w:val="28"/>
        </w:rPr>
        <w:t>datoria debitorilor garantați</w:t>
      </w:r>
      <w:r w:rsidRPr="00012CA3">
        <w:rPr>
          <w:rFonts w:ascii="Times New Roman" w:hAnsi="Times New Roman"/>
          <w:sz w:val="28"/>
          <w:szCs w:val="28"/>
        </w:rPr>
        <w:t xml:space="preserve"> față de Ministerul Finanțelor a constituit </w:t>
      </w:r>
      <w:r w:rsidRPr="00012CA3">
        <w:rPr>
          <w:rFonts w:ascii="Times New Roman" w:hAnsi="Times New Roman"/>
          <w:b/>
          <w:i/>
          <w:sz w:val="28"/>
          <w:szCs w:val="28"/>
        </w:rPr>
        <w:t>72,6 mil. lei</w:t>
      </w:r>
      <w:r w:rsidRPr="00012CA3">
        <w:rPr>
          <w:rFonts w:ascii="Times New Roman" w:hAnsi="Times New Roman"/>
          <w:sz w:val="28"/>
          <w:szCs w:val="28"/>
        </w:rPr>
        <w:t xml:space="preserve"> (din care: garanții interne - 2,9 mil.lei, garanții externe - 69,7 mil. lei). </w:t>
      </w:r>
    </w:p>
    <w:p w:rsidR="00C82F48" w:rsidRPr="00012CA3" w:rsidRDefault="00C82F48">
      <w:pPr>
        <w:pStyle w:val="Heading2"/>
        <w:spacing w:after="120" w:line="276" w:lineRule="auto"/>
      </w:pPr>
      <w:r w:rsidRPr="00012CA3">
        <w:rPr>
          <w:rFonts w:ascii="Times New Roman" w:hAnsi="Times New Roman"/>
          <w:color w:val="171717"/>
          <w:sz w:val="28"/>
          <w:szCs w:val="28"/>
        </w:rPr>
        <w:t xml:space="preserve">Garanțiile de stat </w:t>
      </w:r>
    </w:p>
    <w:p w:rsidR="007D292B" w:rsidRPr="00012CA3" w:rsidRDefault="007D292B" w:rsidP="007D292B">
      <w:pPr>
        <w:spacing w:after="0" w:line="276" w:lineRule="auto"/>
        <w:ind w:firstLine="567"/>
        <w:jc w:val="both"/>
        <w:rPr>
          <w:rFonts w:ascii="Times New Roman" w:hAnsi="Times New Roman"/>
          <w:sz w:val="28"/>
          <w:szCs w:val="28"/>
        </w:rPr>
      </w:pPr>
      <w:bookmarkStart w:id="9" w:name="_Toc464892982"/>
      <w:r w:rsidRPr="00012CA3">
        <w:rPr>
          <w:rFonts w:ascii="Times New Roman" w:hAnsi="Times New Roman"/>
          <w:sz w:val="28"/>
          <w:szCs w:val="28"/>
        </w:rPr>
        <w:t>În conformitate cu Legea nr.293/2017</w:t>
      </w:r>
      <w:r w:rsidRPr="00012CA3">
        <w:rPr>
          <w:rStyle w:val="FootnoteReference"/>
          <w:rFonts w:ascii="Times New Roman" w:hAnsi="Times New Roman"/>
          <w:sz w:val="28"/>
          <w:szCs w:val="28"/>
        </w:rPr>
        <w:footnoteReference w:id="3"/>
      </w:r>
      <w:r w:rsidRPr="00012CA3">
        <w:rPr>
          <w:rFonts w:ascii="Times New Roman" w:hAnsi="Times New Roman"/>
          <w:sz w:val="28"/>
          <w:szCs w:val="28"/>
        </w:rPr>
        <w:t xml:space="preserve"> și Hotărârea Guvernului nr.202/2018</w:t>
      </w:r>
      <w:r w:rsidRPr="00012CA3">
        <w:rPr>
          <w:rStyle w:val="FootnoteReference"/>
          <w:rFonts w:ascii="Times New Roman" w:hAnsi="Times New Roman"/>
          <w:sz w:val="28"/>
          <w:szCs w:val="28"/>
        </w:rPr>
        <w:footnoteReference w:id="4"/>
      </w:r>
      <w:r w:rsidRPr="00012CA3">
        <w:rPr>
          <w:rFonts w:ascii="Times New Roman" w:hAnsi="Times New Roman"/>
          <w:sz w:val="28"/>
          <w:szCs w:val="28"/>
        </w:rPr>
        <w:t xml:space="preserve">, în anul 2025, continuă implementarea Programului de stat „Prima casă”. Acest program este realizat prin intermediul I.P. </w:t>
      </w:r>
      <w:r w:rsidRPr="00012CA3">
        <w:rPr>
          <w:rFonts w:ascii="Times New Roman" w:hAnsi="Times New Roman"/>
          <w:bCs/>
          <w:sz w:val="28"/>
          <w:szCs w:val="28"/>
        </w:rPr>
        <w:t>Organizația pentru Dezvoltarea Antreprenoriatului</w:t>
      </w:r>
      <w:r w:rsidRPr="00012CA3">
        <w:rPr>
          <w:rFonts w:ascii="Times New Roman" w:hAnsi="Times New Roman"/>
          <w:sz w:val="28"/>
          <w:szCs w:val="28"/>
        </w:rPr>
        <w:t xml:space="preserve">, ce este delegată să emită garanții în numele și pe contul statului, în favoarea băncilor care acordă credite persoanelor fizice pentru procurarea unei locuințe, în limita plafoanelor aprobate anual în Legea bugetului. </w:t>
      </w:r>
    </w:p>
    <w:p w:rsidR="007D292B" w:rsidRPr="00012CA3" w:rsidRDefault="007D292B" w:rsidP="007D292B">
      <w:pPr>
        <w:spacing w:after="0" w:line="276" w:lineRule="auto"/>
        <w:ind w:firstLine="567"/>
        <w:jc w:val="both"/>
        <w:rPr>
          <w:rFonts w:ascii="Times New Roman" w:hAnsi="Times New Roman"/>
          <w:sz w:val="28"/>
          <w:szCs w:val="28"/>
        </w:rPr>
      </w:pPr>
      <w:r w:rsidRPr="00012CA3">
        <w:rPr>
          <w:rFonts w:ascii="Times New Roman" w:hAnsi="Times New Roman"/>
          <w:sz w:val="28"/>
          <w:szCs w:val="28"/>
        </w:rPr>
        <w:t xml:space="preserve">Pe parcursul semestrului I al anului 2025 de către băncile comerciale: BC „MAIB” S.A., BC „Moldindconbank” S.A., BC „Victoriabank” S.A., BC „OTP Bank” S.A., BC „Energbank” S.A. și BC „Eximbank” S.A. în cadrul Programului au fost acordate </w:t>
      </w:r>
      <w:r w:rsidRPr="00012CA3">
        <w:rPr>
          <w:rFonts w:ascii="Times New Roman" w:hAnsi="Times New Roman"/>
          <w:b/>
          <w:i/>
          <w:sz w:val="28"/>
          <w:szCs w:val="28"/>
        </w:rPr>
        <w:t>noi credite garantate de către stat,</w:t>
      </w:r>
      <w:r w:rsidRPr="00012CA3">
        <w:rPr>
          <w:rFonts w:ascii="Times New Roman" w:hAnsi="Times New Roman"/>
          <w:sz w:val="28"/>
          <w:szCs w:val="28"/>
        </w:rPr>
        <w:t xml:space="preserve"> în sumă de </w:t>
      </w:r>
      <w:r w:rsidRPr="00012CA3">
        <w:rPr>
          <w:rFonts w:ascii="Times New Roman" w:hAnsi="Times New Roman"/>
          <w:b/>
          <w:i/>
          <w:sz w:val="28"/>
          <w:szCs w:val="28"/>
        </w:rPr>
        <w:t>1 388,1 mil. lei</w:t>
      </w:r>
      <w:r w:rsidRPr="00012CA3">
        <w:rPr>
          <w:rFonts w:ascii="Times New Roman" w:hAnsi="Times New Roman"/>
          <w:sz w:val="28"/>
          <w:szCs w:val="28"/>
        </w:rPr>
        <w:t xml:space="preserve">. În aceeași perioadă, de către beneficiarii Programului au fost rambursate băncilor comerciale, credite garantate în sumă de 134,5 mil. lei.  </w:t>
      </w:r>
    </w:p>
    <w:p w:rsidR="007D292B" w:rsidRPr="00012CA3" w:rsidRDefault="007D292B" w:rsidP="007D292B">
      <w:pPr>
        <w:spacing w:after="0" w:line="276" w:lineRule="auto"/>
        <w:ind w:firstLine="567"/>
        <w:jc w:val="both"/>
        <w:rPr>
          <w:rFonts w:ascii="Times New Roman" w:hAnsi="Times New Roman"/>
          <w:sz w:val="28"/>
          <w:szCs w:val="28"/>
        </w:rPr>
      </w:pPr>
      <w:r w:rsidRPr="00012CA3">
        <w:rPr>
          <w:rFonts w:ascii="Times New Roman" w:hAnsi="Times New Roman"/>
          <w:sz w:val="28"/>
          <w:szCs w:val="28"/>
        </w:rPr>
        <w:t xml:space="preserve">Astfel, la situația din 30 iunie 2025 </w:t>
      </w:r>
      <w:r w:rsidRPr="00012CA3">
        <w:rPr>
          <w:rFonts w:ascii="Times New Roman" w:hAnsi="Times New Roman"/>
          <w:b/>
          <w:i/>
          <w:sz w:val="28"/>
          <w:szCs w:val="28"/>
        </w:rPr>
        <w:t>soldul garanțiilor de stat</w:t>
      </w:r>
      <w:r w:rsidRPr="00012CA3">
        <w:rPr>
          <w:rFonts w:ascii="Times New Roman" w:hAnsi="Times New Roman"/>
          <w:sz w:val="28"/>
          <w:szCs w:val="28"/>
        </w:rPr>
        <w:t xml:space="preserve"> (acordate în cadrul Programului) a constituit </w:t>
      </w:r>
      <w:r w:rsidRPr="00012CA3">
        <w:rPr>
          <w:rFonts w:ascii="Times New Roman" w:hAnsi="Times New Roman"/>
          <w:b/>
          <w:bCs/>
          <w:i/>
          <w:sz w:val="28"/>
          <w:szCs w:val="28"/>
        </w:rPr>
        <w:t>3 716,2</w:t>
      </w:r>
      <w:r w:rsidRPr="00012CA3">
        <w:rPr>
          <w:rFonts w:ascii="Lato" w:hAnsi="Lato"/>
          <w:bCs/>
          <w:sz w:val="24"/>
          <w:szCs w:val="24"/>
        </w:rPr>
        <w:t xml:space="preserve"> </w:t>
      </w:r>
      <w:r w:rsidRPr="00012CA3">
        <w:rPr>
          <w:rFonts w:ascii="Times New Roman" w:hAnsi="Times New Roman"/>
          <w:b/>
          <w:i/>
          <w:sz w:val="28"/>
          <w:szCs w:val="28"/>
        </w:rPr>
        <w:t xml:space="preserve"> mil. lei</w:t>
      </w:r>
      <w:r w:rsidRPr="00012CA3">
        <w:rPr>
          <w:rFonts w:ascii="Times New Roman" w:hAnsi="Times New Roman"/>
          <w:sz w:val="28"/>
          <w:szCs w:val="28"/>
        </w:rPr>
        <w:t xml:space="preserve"> sau cu 1 253,6 mil. lei mai mult comparativ cu situația de la începutul anului 2025.</w:t>
      </w:r>
    </w:p>
    <w:p w:rsidR="00A7045B" w:rsidRDefault="00A7045B" w:rsidP="00A7045B">
      <w:pPr>
        <w:spacing w:after="0" w:line="276" w:lineRule="auto"/>
        <w:ind w:firstLine="567"/>
        <w:jc w:val="both"/>
        <w:rPr>
          <w:rFonts w:ascii="Times New Roman" w:hAnsi="Times New Roman"/>
          <w:b/>
          <w:i/>
          <w:sz w:val="28"/>
          <w:szCs w:val="28"/>
        </w:rPr>
      </w:pPr>
      <w:r w:rsidRPr="00012CA3">
        <w:rPr>
          <w:rFonts w:ascii="Times New Roman" w:hAnsi="Times New Roman"/>
          <w:sz w:val="28"/>
          <w:szCs w:val="28"/>
        </w:rPr>
        <w:t xml:space="preserve">La situația din 30 iunie 2025, </w:t>
      </w:r>
      <w:r w:rsidRPr="00012CA3">
        <w:rPr>
          <w:rFonts w:ascii="Times New Roman" w:hAnsi="Times New Roman"/>
          <w:b/>
          <w:i/>
          <w:sz w:val="28"/>
          <w:szCs w:val="28"/>
        </w:rPr>
        <w:t>soldul garanțiilor de stat</w:t>
      </w:r>
      <w:r w:rsidRPr="00012CA3">
        <w:rPr>
          <w:rFonts w:ascii="Times New Roman" w:hAnsi="Times New Roman"/>
          <w:sz w:val="28"/>
          <w:szCs w:val="28"/>
        </w:rPr>
        <w:t xml:space="preserve"> </w:t>
      </w:r>
      <w:r w:rsidRPr="00012CA3">
        <w:rPr>
          <w:rFonts w:ascii="Times New Roman" w:hAnsi="Times New Roman"/>
          <w:b/>
          <w:i/>
          <w:sz w:val="28"/>
          <w:szCs w:val="28"/>
        </w:rPr>
        <w:t>externe</w:t>
      </w:r>
      <w:r w:rsidRPr="00012CA3">
        <w:rPr>
          <w:rFonts w:ascii="Times New Roman" w:hAnsi="Times New Roman"/>
          <w:sz w:val="28"/>
          <w:szCs w:val="28"/>
        </w:rPr>
        <w:t xml:space="preserve"> a constituit       </w:t>
      </w:r>
      <w:r w:rsidRPr="00012CA3">
        <w:rPr>
          <w:rFonts w:ascii="Times New Roman" w:hAnsi="Times New Roman"/>
          <w:b/>
          <w:i/>
          <w:sz w:val="28"/>
          <w:szCs w:val="28"/>
        </w:rPr>
        <w:t>0,0  lei.</w:t>
      </w:r>
    </w:p>
    <w:p w:rsidR="004F7172" w:rsidRPr="004F7172" w:rsidRDefault="004F7172" w:rsidP="009E3D14">
      <w:pPr>
        <w:spacing w:after="0" w:line="276" w:lineRule="auto"/>
        <w:ind w:firstLine="567"/>
        <w:jc w:val="both"/>
        <w:rPr>
          <w:rFonts w:ascii="Times New Roman" w:hAnsi="Times New Roman"/>
          <w:sz w:val="28"/>
          <w:szCs w:val="28"/>
        </w:rPr>
      </w:pPr>
      <w:r w:rsidRPr="002770E0">
        <w:rPr>
          <w:rFonts w:ascii="Times New Roman" w:hAnsi="Times New Roman"/>
          <w:sz w:val="28"/>
          <w:szCs w:val="28"/>
        </w:rPr>
        <w:t>Cu toate acestea, se menționează că la data de 26 iunie 2025, Parlamentul Republicii Moldova a adoptat Legea</w:t>
      </w:r>
      <w:r w:rsidR="00C27AF2" w:rsidRPr="002770E0">
        <w:rPr>
          <w:rFonts w:ascii="Times New Roman" w:hAnsi="Times New Roman"/>
          <w:sz w:val="28"/>
          <w:szCs w:val="28"/>
        </w:rPr>
        <w:t xml:space="preserve"> nr.162</w:t>
      </w:r>
      <w:r w:rsidRPr="002770E0">
        <w:rPr>
          <w:rFonts w:ascii="Times New Roman" w:hAnsi="Times New Roman"/>
          <w:sz w:val="28"/>
          <w:szCs w:val="28"/>
        </w:rPr>
        <w:t xml:space="preserve"> privind acordarea garanţiei de stat pentru împrumutul extern acordat Societăţii pe Acţiuni „Energocom” de către Banca Europeană pentru Reconstrucţie şi Dezvoltare, destinat realizării proiectului „Consolidarea securităţii energetice a Republicii Moldova”, prin care a fost aprobată acordarea garanţiei de stat, în sumă de până la 400 de milioane de euro anual, pentru garantarea împrumutului extern de tip revolving, acordat Societăţii pe Acţiuni „Energocom” de către Banca Europeană pentru Reconstrucţie şi Dezvoltare, destinat realizării proiectului „Consolidarea securităţii energetice a Republicii Moldova”, pe un termen de 5 ani.</w:t>
      </w:r>
    </w:p>
    <w:p w:rsidR="00E2057E" w:rsidRPr="00012CA3" w:rsidRDefault="00E2057E" w:rsidP="007D292B">
      <w:pPr>
        <w:spacing w:after="0" w:line="276" w:lineRule="auto"/>
        <w:ind w:firstLine="567"/>
        <w:jc w:val="both"/>
        <w:rPr>
          <w:rFonts w:ascii="Times New Roman" w:hAnsi="Times New Roman"/>
          <w:sz w:val="28"/>
          <w:szCs w:val="28"/>
        </w:rPr>
      </w:pPr>
    </w:p>
    <w:p w:rsidR="005E0C75" w:rsidRPr="00012CA3" w:rsidRDefault="005E0C75" w:rsidP="002C3CA7">
      <w:pPr>
        <w:tabs>
          <w:tab w:val="left" w:pos="567"/>
        </w:tabs>
        <w:spacing w:after="120" w:line="276" w:lineRule="auto"/>
        <w:jc w:val="both"/>
        <w:rPr>
          <w:rFonts w:ascii="Times New Roman" w:hAnsi="Times New Roman"/>
          <w:b/>
          <w:sz w:val="28"/>
          <w:szCs w:val="28"/>
        </w:rPr>
      </w:pPr>
      <w:r w:rsidRPr="00012CA3">
        <w:rPr>
          <w:rFonts w:ascii="Times New Roman" w:hAnsi="Times New Roman"/>
          <w:b/>
          <w:sz w:val="28"/>
          <w:szCs w:val="28"/>
        </w:rPr>
        <w:t>Indexarea depunerilor bănești ale cetățenilor în „Banca de Economii” S.A.</w:t>
      </w:r>
    </w:p>
    <w:p w:rsidR="00E2057E" w:rsidRPr="00012CA3" w:rsidRDefault="00E2057E" w:rsidP="00E2057E">
      <w:pPr>
        <w:shd w:val="clear" w:color="auto" w:fill="FFFFFF"/>
        <w:spacing w:after="0" w:line="276" w:lineRule="auto"/>
        <w:ind w:firstLine="567"/>
        <w:jc w:val="both"/>
        <w:rPr>
          <w:rFonts w:ascii="Times New Roman" w:hAnsi="Times New Roman"/>
          <w:color w:val="000000"/>
          <w:sz w:val="28"/>
          <w:szCs w:val="28"/>
          <w:lang w:eastAsia="en-GB"/>
        </w:rPr>
      </w:pPr>
      <w:bookmarkStart w:id="10" w:name="_Toc175311675"/>
      <w:bookmarkEnd w:id="9"/>
      <w:r w:rsidRPr="00012CA3">
        <w:rPr>
          <w:rFonts w:ascii="Times New Roman" w:hAnsi="Times New Roman"/>
          <w:color w:val="000000"/>
          <w:sz w:val="28"/>
          <w:szCs w:val="28"/>
          <w:lang w:eastAsia="en-GB"/>
        </w:rPr>
        <w:lastRenderedPageBreak/>
        <w:t>În anul 2025, continuă achitarea sumelor indexate deponenților „Banca de Economii” S.A. în conformitate cu Legea nr.1530/2002</w:t>
      </w:r>
      <w:r w:rsidRPr="00012CA3">
        <w:rPr>
          <w:rStyle w:val="FootnoteReference"/>
          <w:rFonts w:ascii="Times New Roman" w:hAnsi="Times New Roman"/>
          <w:color w:val="000000"/>
          <w:sz w:val="28"/>
          <w:szCs w:val="28"/>
          <w:lang w:eastAsia="en-GB"/>
        </w:rPr>
        <w:footnoteReference w:id="5"/>
      </w:r>
      <w:r w:rsidRPr="00012CA3">
        <w:rPr>
          <w:rFonts w:ascii="Times New Roman" w:hAnsi="Times New Roman"/>
          <w:color w:val="000000"/>
          <w:sz w:val="28"/>
          <w:szCs w:val="28"/>
          <w:lang w:eastAsia="en-GB"/>
        </w:rPr>
        <w:t>. Conform Hotărârii Guvernului nr. 290/2023</w:t>
      </w:r>
      <w:r w:rsidRPr="00012CA3">
        <w:rPr>
          <w:rStyle w:val="FootnoteReference"/>
          <w:rFonts w:ascii="Times New Roman" w:hAnsi="Times New Roman"/>
          <w:color w:val="000000"/>
          <w:sz w:val="28"/>
          <w:szCs w:val="28"/>
          <w:lang w:eastAsia="en-GB"/>
        </w:rPr>
        <w:footnoteReference w:id="6"/>
      </w:r>
      <w:r w:rsidRPr="00012CA3">
        <w:rPr>
          <w:rFonts w:ascii="Times New Roman" w:hAnsi="Times New Roman"/>
          <w:color w:val="000000"/>
          <w:sz w:val="28"/>
          <w:szCs w:val="28"/>
          <w:lang w:eastAsia="en-GB"/>
        </w:rPr>
        <w:t>, beneficiari de indexare în anul 2025 sunt deponenții născuți până în anul 1991, care nu au beneficiat de sumele indexate aferente primei etape şi/sau etapei a doua în anii precedenți. Achitarea sumelor indexate se efectuează deponenților, care s-au înregistrat până la sfîrșitul anului 2024.</w:t>
      </w:r>
    </w:p>
    <w:p w:rsidR="00E2057E" w:rsidRDefault="00E2057E" w:rsidP="00E2057E">
      <w:pPr>
        <w:spacing w:after="0" w:line="276" w:lineRule="auto"/>
        <w:ind w:firstLine="567"/>
        <w:jc w:val="both"/>
        <w:rPr>
          <w:rFonts w:ascii="Times New Roman" w:hAnsi="Times New Roman"/>
          <w:sz w:val="28"/>
          <w:szCs w:val="28"/>
        </w:rPr>
      </w:pPr>
      <w:r w:rsidRPr="00012CA3">
        <w:rPr>
          <w:rFonts w:ascii="Times New Roman" w:hAnsi="Times New Roman"/>
          <w:sz w:val="28"/>
          <w:szCs w:val="28"/>
        </w:rPr>
        <w:t>Astfel, în Legea bugetului de stat pentru anul 2025</w:t>
      </w:r>
      <w:r w:rsidRPr="00012CA3">
        <w:rPr>
          <w:rStyle w:val="FootnoteReference"/>
          <w:rFonts w:ascii="Times New Roman" w:hAnsi="Times New Roman"/>
          <w:sz w:val="28"/>
          <w:szCs w:val="28"/>
        </w:rPr>
        <w:footnoteReference w:id="7"/>
      </w:r>
      <w:r w:rsidRPr="00012CA3">
        <w:rPr>
          <w:rFonts w:ascii="Times New Roman" w:hAnsi="Times New Roman"/>
          <w:sz w:val="28"/>
          <w:szCs w:val="28"/>
        </w:rPr>
        <w:t xml:space="preserve"> au fost aprobate cheltuieli în sumă de </w:t>
      </w:r>
      <w:r w:rsidRPr="00012CA3">
        <w:rPr>
          <w:rFonts w:ascii="Times New Roman" w:hAnsi="Times New Roman"/>
          <w:b/>
          <w:i/>
          <w:sz w:val="28"/>
          <w:szCs w:val="28"/>
        </w:rPr>
        <w:t>10,0 mil. lei</w:t>
      </w:r>
      <w:r w:rsidRPr="00012CA3">
        <w:rPr>
          <w:rFonts w:ascii="Times New Roman" w:hAnsi="Times New Roman"/>
          <w:sz w:val="28"/>
          <w:szCs w:val="28"/>
        </w:rPr>
        <w:t xml:space="preserve">, pentru plata sumei indexate deponenților „Banca de Economii” S.A. Corespunzător, în semestrul I al anului 2025, Ministerul Finanțelor a transferat Î.S. „Poșta Moldovei” pentru plata sumelor indexate </w:t>
      </w:r>
      <w:r w:rsidRPr="00012CA3">
        <w:rPr>
          <w:rFonts w:ascii="Times New Roman" w:hAnsi="Times New Roman"/>
          <w:b/>
          <w:i/>
          <w:sz w:val="28"/>
          <w:szCs w:val="28"/>
        </w:rPr>
        <w:t>5,8 mil. lei</w:t>
      </w:r>
      <w:r w:rsidRPr="00012CA3">
        <w:rPr>
          <w:rFonts w:ascii="Times New Roman" w:hAnsi="Times New Roman"/>
          <w:sz w:val="28"/>
          <w:szCs w:val="28"/>
        </w:rPr>
        <w:t xml:space="preserve"> sau 58,0% din suma prevăzută în bugetul de stat în acest scop.</w:t>
      </w:r>
    </w:p>
    <w:p w:rsidR="00C82F48" w:rsidRPr="00012CA3" w:rsidRDefault="00C82F48">
      <w:pPr>
        <w:pStyle w:val="Heading1"/>
        <w:spacing w:after="120" w:line="276" w:lineRule="auto"/>
        <w:rPr>
          <w:rFonts w:ascii="Times New Roman" w:hAnsi="Times New Roman"/>
          <w:color w:val="171717"/>
          <w:sz w:val="32"/>
          <w:szCs w:val="32"/>
        </w:rPr>
      </w:pPr>
      <w:r w:rsidRPr="00012CA3">
        <w:rPr>
          <w:rFonts w:ascii="Times New Roman" w:hAnsi="Times New Roman"/>
          <w:color w:val="171717"/>
          <w:sz w:val="32"/>
          <w:szCs w:val="32"/>
        </w:rPr>
        <w:t>Perspectivele executării bugetului public național până la finele anului 202</w:t>
      </w:r>
      <w:bookmarkEnd w:id="10"/>
      <w:r w:rsidR="003D3827" w:rsidRPr="00012CA3">
        <w:rPr>
          <w:rFonts w:ascii="Times New Roman" w:hAnsi="Times New Roman"/>
          <w:color w:val="171717"/>
          <w:sz w:val="32"/>
          <w:szCs w:val="32"/>
        </w:rPr>
        <w:t>5</w:t>
      </w:r>
    </w:p>
    <w:p w:rsidR="00505606" w:rsidRDefault="00505606" w:rsidP="005765F4">
      <w:pPr>
        <w:spacing w:after="0" w:line="276" w:lineRule="auto"/>
        <w:ind w:firstLine="709"/>
        <w:jc w:val="both"/>
        <w:rPr>
          <w:rFonts w:ascii="Times New Roman" w:hAnsi="Times New Roman"/>
          <w:sz w:val="28"/>
          <w:szCs w:val="28"/>
        </w:rPr>
      </w:pPr>
      <w:r>
        <w:rPr>
          <w:rFonts w:ascii="Times New Roman" w:hAnsi="Times New Roman"/>
          <w:sz w:val="28"/>
          <w:szCs w:val="28"/>
        </w:rPr>
        <w:t>R</w:t>
      </w:r>
      <w:r w:rsidRPr="00505606">
        <w:rPr>
          <w:rFonts w:ascii="Times New Roman" w:hAnsi="Times New Roman"/>
          <w:sz w:val="28"/>
          <w:szCs w:val="28"/>
        </w:rPr>
        <w:t xml:space="preserve">eieșind din prognoza indicatorilor macroeconomici pe anul 2025 prezentată de către Ministerul Dezvoltării Economice și Digitalizării în luna martie și </w:t>
      </w:r>
      <w:r w:rsidR="00A97A34">
        <w:rPr>
          <w:rFonts w:ascii="Times New Roman" w:hAnsi="Times New Roman"/>
          <w:sz w:val="28"/>
          <w:szCs w:val="28"/>
        </w:rPr>
        <w:t>a</w:t>
      </w:r>
      <w:r w:rsidRPr="00505606">
        <w:rPr>
          <w:rFonts w:ascii="Times New Roman" w:hAnsi="Times New Roman"/>
          <w:sz w:val="28"/>
          <w:szCs w:val="28"/>
        </w:rPr>
        <w:t xml:space="preserve">vând în vedere mersul executării bugetare în primele </w:t>
      </w:r>
      <w:r w:rsidR="0083468C">
        <w:rPr>
          <w:rFonts w:ascii="Times New Roman" w:hAnsi="Times New Roman"/>
          <w:sz w:val="28"/>
          <w:szCs w:val="28"/>
        </w:rPr>
        <w:t xml:space="preserve">5 </w:t>
      </w:r>
      <w:r w:rsidRPr="00505606">
        <w:rPr>
          <w:rFonts w:ascii="Times New Roman" w:hAnsi="Times New Roman"/>
          <w:sz w:val="28"/>
          <w:szCs w:val="28"/>
        </w:rPr>
        <w:t>luni ale anului 2025, Ministerul Finanțelor, în calitate de autoritate responsabilă pentru gestionarea politicii bugetare, a elaborat proiectul de modificare a Legii bugetului de stat pentru anul 2025 care a fost aprobată prin Legea nr.188 din 10.07.2025</w:t>
      </w:r>
      <w:r w:rsidR="0083468C">
        <w:rPr>
          <w:rFonts w:ascii="Times New Roman" w:hAnsi="Times New Roman"/>
          <w:sz w:val="28"/>
          <w:szCs w:val="28"/>
        </w:rPr>
        <w:t>.</w:t>
      </w:r>
    </w:p>
    <w:p w:rsidR="0083468C" w:rsidRDefault="0083468C" w:rsidP="005765F4">
      <w:pPr>
        <w:spacing w:after="0" w:line="276" w:lineRule="auto"/>
        <w:ind w:firstLine="709"/>
        <w:jc w:val="both"/>
        <w:rPr>
          <w:rFonts w:ascii="Times New Roman" w:hAnsi="Times New Roman"/>
          <w:sz w:val="28"/>
          <w:szCs w:val="28"/>
        </w:rPr>
      </w:pPr>
      <w:r>
        <w:rPr>
          <w:rFonts w:ascii="Times New Roman" w:hAnsi="Times New Roman"/>
          <w:sz w:val="28"/>
          <w:szCs w:val="28"/>
        </w:rPr>
        <w:t xml:space="preserve">De asemenea, ținând </w:t>
      </w:r>
      <w:r w:rsidR="002A50F1">
        <w:rPr>
          <w:rFonts w:ascii="Times New Roman" w:hAnsi="Times New Roman"/>
          <w:sz w:val="28"/>
          <w:szCs w:val="28"/>
        </w:rPr>
        <w:t xml:space="preserve">cont de factorii menționați au fost adoptate modificări la Legea </w:t>
      </w:r>
      <w:r w:rsidR="00F67C8A" w:rsidRPr="00F67C8A">
        <w:rPr>
          <w:rFonts w:ascii="Times New Roman" w:hAnsi="Times New Roman"/>
          <w:sz w:val="28"/>
          <w:szCs w:val="28"/>
        </w:rPr>
        <w:t>bugetului asigurăril</w:t>
      </w:r>
      <w:r w:rsidR="00F67C8A">
        <w:rPr>
          <w:rFonts w:ascii="Times New Roman" w:hAnsi="Times New Roman"/>
          <w:sz w:val="28"/>
          <w:szCs w:val="28"/>
        </w:rPr>
        <w:t xml:space="preserve">or sociale de stat pe anul 2025 </w:t>
      </w:r>
      <w:r w:rsidR="00F67C8A" w:rsidRPr="00F67C8A">
        <w:rPr>
          <w:rFonts w:ascii="Times New Roman" w:hAnsi="Times New Roman"/>
          <w:sz w:val="28"/>
          <w:szCs w:val="28"/>
        </w:rPr>
        <w:t>și Legea fondurilor asigurării obligatorii de asistență medicală</w:t>
      </w:r>
      <w:r>
        <w:rPr>
          <w:rFonts w:ascii="Times New Roman" w:hAnsi="Times New Roman"/>
          <w:sz w:val="28"/>
          <w:szCs w:val="28"/>
        </w:rPr>
        <w:t xml:space="preserve"> </w:t>
      </w:r>
      <w:r w:rsidR="00F67C8A" w:rsidRPr="00F67C8A">
        <w:rPr>
          <w:rFonts w:ascii="Times New Roman" w:hAnsi="Times New Roman"/>
          <w:sz w:val="28"/>
          <w:szCs w:val="28"/>
        </w:rPr>
        <w:t>pe anul 2025</w:t>
      </w:r>
      <w:r w:rsidR="005462BD">
        <w:rPr>
          <w:rFonts w:ascii="Times New Roman" w:hAnsi="Times New Roman"/>
          <w:sz w:val="28"/>
          <w:szCs w:val="28"/>
        </w:rPr>
        <w:t>.</w:t>
      </w:r>
    </w:p>
    <w:p w:rsidR="005462BD" w:rsidRDefault="005462BD" w:rsidP="005765F4">
      <w:pPr>
        <w:spacing w:line="276" w:lineRule="auto"/>
        <w:ind w:firstLine="709"/>
        <w:jc w:val="both"/>
        <w:rPr>
          <w:rFonts w:ascii="Times New Roman" w:hAnsi="Times New Roman"/>
          <w:sz w:val="28"/>
          <w:szCs w:val="28"/>
        </w:rPr>
      </w:pPr>
      <w:r>
        <w:rPr>
          <w:rFonts w:ascii="Times New Roman" w:hAnsi="Times New Roman"/>
          <w:sz w:val="28"/>
          <w:szCs w:val="28"/>
        </w:rPr>
        <w:t xml:space="preserve">Astfel, ținând cont de modificările adoptate, inclusiv reestimarea bugetelor UAT urmare a revizuirii transferurilor, estimările </w:t>
      </w:r>
      <w:r w:rsidRPr="005462BD">
        <w:rPr>
          <w:rFonts w:ascii="Times New Roman" w:hAnsi="Times New Roman"/>
          <w:sz w:val="28"/>
          <w:szCs w:val="28"/>
        </w:rPr>
        <w:t>executării scontate a bugetului public național pentru anul 2025 se prezintă în tabelul 4.</w:t>
      </w:r>
      <w:r>
        <w:rPr>
          <w:rFonts w:ascii="Times New Roman" w:hAnsi="Times New Roman"/>
          <w:sz w:val="28"/>
          <w:szCs w:val="28"/>
        </w:rPr>
        <w:t xml:space="preserve"> </w:t>
      </w:r>
    </w:p>
    <w:p w:rsidR="00913149" w:rsidRPr="00012CA3" w:rsidRDefault="00913149" w:rsidP="00913149">
      <w:pPr>
        <w:pStyle w:val="Default"/>
        <w:spacing w:line="276" w:lineRule="auto"/>
        <w:ind w:firstLine="709"/>
        <w:jc w:val="both"/>
        <w:rPr>
          <w:rFonts w:ascii="Times New Roman" w:eastAsia="Times New Roman" w:hAnsi="Times New Roman" w:cs="Times New Roman"/>
          <w:b/>
          <w:bCs/>
          <w:i/>
          <w:color w:val="323E4F"/>
          <w:sz w:val="28"/>
          <w:lang w:val="ro-RO"/>
        </w:rPr>
      </w:pPr>
      <w:r w:rsidRPr="00012CA3">
        <w:rPr>
          <w:rFonts w:ascii="Times New Roman" w:eastAsia="Times New Roman" w:hAnsi="Times New Roman" w:cs="Times New Roman"/>
          <w:b/>
          <w:bCs/>
          <w:i/>
          <w:color w:val="323E4F"/>
          <w:sz w:val="28"/>
          <w:lang w:val="ro-RO"/>
        </w:rPr>
        <w:t>Tabelul 4 Estimările executării scontate a indicatorilor bugetului public național pentru anul 2025</w:t>
      </w:r>
    </w:p>
    <w:p w:rsidR="004E48B4" w:rsidRDefault="007E1AF4" w:rsidP="00E118C6">
      <w:pPr>
        <w:jc w:val="both"/>
        <w:rPr>
          <w:rFonts w:ascii="Times New Roman" w:hAnsi="Times New Roman"/>
          <w:sz w:val="20"/>
          <w:szCs w:val="20"/>
          <w:lang w:val="en-US" w:eastAsia="en-US"/>
        </w:rPr>
      </w:pPr>
      <w:r>
        <w:fldChar w:fldCharType="begin"/>
      </w:r>
      <w:r>
        <w:instrText xml:space="preserve"> LINK Excel.Sheet.12 "D:\\ELENA\\BUGET 2025\\Raport semianual 2025 in lucru\\tab 4 la semianual (1).xlsx" "Foaie1!R5C1:R40C8" \a \f 4 \h  \* MERGEFORMAT </w:instrText>
      </w:r>
      <w:r w:rsidR="004E48B4">
        <w:fldChar w:fldCharType="separate"/>
      </w:r>
    </w:p>
    <w:tbl>
      <w:tblPr>
        <w:tblW w:w="9863" w:type="dxa"/>
        <w:tblInd w:w="108" w:type="dxa"/>
        <w:tblLook w:val="04A0" w:firstRow="1" w:lastRow="0" w:firstColumn="1" w:lastColumn="0" w:noHBand="0" w:noVBand="1"/>
      </w:tblPr>
      <w:tblGrid>
        <w:gridCol w:w="2742"/>
        <w:gridCol w:w="795"/>
        <w:gridCol w:w="1117"/>
        <w:gridCol w:w="1127"/>
        <w:gridCol w:w="1127"/>
        <w:gridCol w:w="1127"/>
        <w:gridCol w:w="986"/>
        <w:gridCol w:w="845"/>
      </w:tblGrid>
      <w:tr w:rsidR="00C42D16" w:rsidRPr="004E48B4" w:rsidTr="00C42D16">
        <w:trPr>
          <w:divId w:val="444080007"/>
          <w:trHeight w:val="293"/>
          <w:tblHeader/>
        </w:trPr>
        <w:tc>
          <w:tcPr>
            <w:tcW w:w="274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center"/>
              <w:rPr>
                <w:rFonts w:ascii="Times New Roman" w:hAnsi="Times New Roman"/>
                <w:color w:val="000000"/>
                <w:lang w:val="en-US" w:eastAsia="en-US"/>
              </w:rPr>
            </w:pPr>
            <w:r w:rsidRPr="004E48B4">
              <w:rPr>
                <w:rFonts w:ascii="Times New Roman" w:hAnsi="Times New Roman"/>
                <w:color w:val="000000"/>
                <w:lang w:val="en-US" w:eastAsia="en-US"/>
              </w:rPr>
              <w:t> </w:t>
            </w:r>
          </w:p>
        </w:tc>
        <w:tc>
          <w:tcPr>
            <w:tcW w:w="7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48B4" w:rsidRPr="004E48B4" w:rsidRDefault="004E48B4" w:rsidP="004E48B4">
            <w:pPr>
              <w:suppressAutoHyphens w:val="0"/>
              <w:spacing w:after="0" w:line="240" w:lineRule="auto"/>
              <w:jc w:val="center"/>
              <w:rPr>
                <w:rFonts w:ascii="Times New Roman" w:hAnsi="Times New Roman"/>
                <w:color w:val="000000"/>
                <w:sz w:val="20"/>
                <w:szCs w:val="20"/>
                <w:lang w:val="en-US" w:eastAsia="en-US"/>
              </w:rPr>
            </w:pPr>
            <w:r w:rsidRPr="004E48B4">
              <w:rPr>
                <w:rFonts w:ascii="Times New Roman" w:hAnsi="Times New Roman"/>
                <w:color w:val="000000"/>
                <w:sz w:val="20"/>
                <w:szCs w:val="20"/>
                <w:lang w:val="en-US" w:eastAsia="en-US"/>
              </w:rPr>
              <w:t>Cod</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48B4" w:rsidRPr="004E48B4" w:rsidRDefault="004E48B4" w:rsidP="004E48B4">
            <w:pPr>
              <w:suppressAutoHyphens w:val="0"/>
              <w:spacing w:after="0" w:line="240" w:lineRule="auto"/>
              <w:jc w:val="center"/>
              <w:rPr>
                <w:rFonts w:ascii="Times New Roman" w:hAnsi="Times New Roman"/>
                <w:color w:val="000000"/>
                <w:sz w:val="20"/>
                <w:szCs w:val="20"/>
                <w:lang w:val="en-US" w:eastAsia="en-US"/>
              </w:rPr>
            </w:pPr>
            <w:r w:rsidRPr="004E48B4">
              <w:rPr>
                <w:rFonts w:ascii="Times New Roman" w:hAnsi="Times New Roman"/>
                <w:color w:val="000000"/>
                <w:sz w:val="20"/>
                <w:szCs w:val="20"/>
                <w:lang w:val="en-US" w:eastAsia="en-US"/>
              </w:rPr>
              <w:t>Aprobat</w:t>
            </w:r>
          </w:p>
        </w:tc>
        <w:tc>
          <w:tcPr>
            <w:tcW w:w="112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E48B4" w:rsidRPr="004E48B4" w:rsidRDefault="004E48B4" w:rsidP="004E48B4">
            <w:pPr>
              <w:suppressAutoHyphens w:val="0"/>
              <w:spacing w:after="0" w:line="240" w:lineRule="auto"/>
              <w:jc w:val="center"/>
              <w:rPr>
                <w:rFonts w:ascii="Times New Roman" w:hAnsi="Times New Roman"/>
                <w:sz w:val="20"/>
                <w:szCs w:val="20"/>
                <w:lang w:val="en-US" w:eastAsia="en-US"/>
              </w:rPr>
            </w:pPr>
            <w:r w:rsidRPr="004E48B4">
              <w:rPr>
                <w:rFonts w:ascii="Times New Roman" w:hAnsi="Times New Roman"/>
                <w:sz w:val="20"/>
                <w:szCs w:val="20"/>
                <w:lang w:val="en-US" w:eastAsia="en-US"/>
              </w:rPr>
              <w:t xml:space="preserve">Modificat </w:t>
            </w:r>
          </w:p>
        </w:tc>
        <w:tc>
          <w:tcPr>
            <w:tcW w:w="11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48B4" w:rsidRPr="004E48B4" w:rsidRDefault="004E48B4" w:rsidP="004E48B4">
            <w:pPr>
              <w:suppressAutoHyphens w:val="0"/>
              <w:spacing w:after="0" w:line="240" w:lineRule="auto"/>
              <w:jc w:val="center"/>
              <w:rPr>
                <w:rFonts w:ascii="Times New Roman" w:hAnsi="Times New Roman"/>
                <w:color w:val="000000"/>
                <w:sz w:val="20"/>
                <w:szCs w:val="20"/>
                <w:lang w:val="en-US" w:eastAsia="en-US"/>
              </w:rPr>
            </w:pPr>
            <w:r w:rsidRPr="004E48B4">
              <w:rPr>
                <w:rFonts w:ascii="Times New Roman" w:hAnsi="Times New Roman"/>
                <w:color w:val="000000"/>
                <w:sz w:val="20"/>
                <w:szCs w:val="20"/>
                <w:lang w:val="en-US" w:eastAsia="en-US"/>
              </w:rPr>
              <w:t>Executat semestrul I</w:t>
            </w:r>
          </w:p>
        </w:tc>
        <w:tc>
          <w:tcPr>
            <w:tcW w:w="11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48B4" w:rsidRPr="004E48B4" w:rsidRDefault="004E48B4" w:rsidP="004E48B4">
            <w:pPr>
              <w:suppressAutoHyphens w:val="0"/>
              <w:spacing w:after="0" w:line="240" w:lineRule="auto"/>
              <w:jc w:val="center"/>
              <w:rPr>
                <w:rFonts w:ascii="Times New Roman" w:hAnsi="Times New Roman"/>
                <w:color w:val="000000"/>
                <w:sz w:val="20"/>
                <w:szCs w:val="20"/>
                <w:lang w:val="en-US" w:eastAsia="en-US"/>
              </w:rPr>
            </w:pPr>
            <w:r w:rsidRPr="004E48B4">
              <w:rPr>
                <w:rFonts w:ascii="Times New Roman" w:hAnsi="Times New Roman"/>
                <w:color w:val="000000"/>
                <w:sz w:val="20"/>
                <w:szCs w:val="20"/>
                <w:lang w:val="en-US" w:eastAsia="en-US"/>
              </w:rPr>
              <w:t>Estimările executării scontate pe an</w:t>
            </w:r>
          </w:p>
        </w:tc>
        <w:tc>
          <w:tcPr>
            <w:tcW w:w="183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E48B4" w:rsidRPr="004E48B4" w:rsidRDefault="004E48B4" w:rsidP="004E48B4">
            <w:pPr>
              <w:suppressAutoHyphens w:val="0"/>
              <w:spacing w:after="0" w:line="240" w:lineRule="auto"/>
              <w:jc w:val="center"/>
              <w:rPr>
                <w:rFonts w:ascii="Times New Roman" w:hAnsi="Times New Roman"/>
                <w:color w:val="000000"/>
                <w:sz w:val="20"/>
                <w:szCs w:val="20"/>
                <w:lang w:val="en-US" w:eastAsia="en-US"/>
              </w:rPr>
            </w:pPr>
            <w:r w:rsidRPr="004E48B4">
              <w:rPr>
                <w:rFonts w:ascii="Times New Roman" w:hAnsi="Times New Roman"/>
                <w:color w:val="000000"/>
                <w:sz w:val="20"/>
                <w:szCs w:val="20"/>
                <w:lang w:val="en-US" w:eastAsia="en-US"/>
              </w:rPr>
              <w:t>Estimările executării scontate pe an față de modificat</w:t>
            </w:r>
          </w:p>
        </w:tc>
      </w:tr>
      <w:tr w:rsidR="004E48B4" w:rsidRPr="004E48B4" w:rsidTr="00C42D16">
        <w:trPr>
          <w:divId w:val="444080007"/>
          <w:trHeight w:val="517"/>
          <w:tblHeader/>
        </w:trPr>
        <w:tc>
          <w:tcPr>
            <w:tcW w:w="2742" w:type="dxa"/>
            <w:vMerge/>
            <w:tcBorders>
              <w:top w:val="single" w:sz="4" w:space="0" w:color="000000"/>
              <w:left w:val="single" w:sz="4" w:space="0" w:color="000000"/>
              <w:bottom w:val="single" w:sz="4" w:space="0" w:color="000000"/>
              <w:right w:val="single" w:sz="4" w:space="0" w:color="000000"/>
            </w:tcBorders>
            <w:vAlign w:val="center"/>
            <w:hideMark/>
          </w:tcPr>
          <w:p w:rsidR="004E48B4" w:rsidRPr="004E48B4" w:rsidRDefault="004E48B4" w:rsidP="004E48B4">
            <w:pPr>
              <w:suppressAutoHyphens w:val="0"/>
              <w:spacing w:after="0" w:line="240" w:lineRule="auto"/>
              <w:rPr>
                <w:rFonts w:ascii="Times New Roman" w:hAnsi="Times New Roman"/>
                <w:color w:val="000000"/>
                <w:lang w:val="en-US" w:eastAsia="en-US"/>
              </w:rPr>
            </w:pPr>
          </w:p>
        </w:tc>
        <w:tc>
          <w:tcPr>
            <w:tcW w:w="790" w:type="dxa"/>
            <w:vMerge/>
            <w:tcBorders>
              <w:top w:val="single" w:sz="4" w:space="0" w:color="000000"/>
              <w:left w:val="single" w:sz="4" w:space="0" w:color="000000"/>
              <w:bottom w:val="single" w:sz="4" w:space="0" w:color="000000"/>
              <w:right w:val="single" w:sz="4" w:space="0" w:color="000000"/>
            </w:tcBorders>
            <w:vAlign w:val="center"/>
            <w:hideMark/>
          </w:tcPr>
          <w:p w:rsidR="004E48B4" w:rsidRPr="004E48B4" w:rsidRDefault="004E48B4" w:rsidP="004E48B4">
            <w:pPr>
              <w:suppressAutoHyphens w:val="0"/>
              <w:spacing w:after="0" w:line="240" w:lineRule="auto"/>
              <w:rPr>
                <w:rFonts w:ascii="Times New Roman" w:hAnsi="Times New Roman"/>
                <w:color w:val="000000"/>
                <w:sz w:val="20"/>
                <w:szCs w:val="20"/>
                <w:lang w:val="en-US" w:eastAsia="en-US"/>
              </w:rPr>
            </w:pPr>
          </w:p>
        </w:tc>
        <w:tc>
          <w:tcPr>
            <w:tcW w:w="1117" w:type="dxa"/>
            <w:vMerge/>
            <w:tcBorders>
              <w:top w:val="single" w:sz="4" w:space="0" w:color="000000"/>
              <w:left w:val="single" w:sz="4" w:space="0" w:color="000000"/>
              <w:bottom w:val="single" w:sz="4" w:space="0" w:color="000000"/>
              <w:right w:val="single" w:sz="4" w:space="0" w:color="000000"/>
            </w:tcBorders>
            <w:vAlign w:val="center"/>
            <w:hideMark/>
          </w:tcPr>
          <w:p w:rsidR="004E48B4" w:rsidRPr="004E48B4" w:rsidRDefault="004E48B4" w:rsidP="004E48B4">
            <w:pPr>
              <w:suppressAutoHyphens w:val="0"/>
              <w:spacing w:after="0" w:line="240" w:lineRule="auto"/>
              <w:rPr>
                <w:rFonts w:ascii="Times New Roman" w:hAnsi="Times New Roman"/>
                <w:color w:val="000000"/>
                <w:sz w:val="20"/>
                <w:szCs w:val="20"/>
                <w:lang w:val="en-US" w:eastAsia="en-US"/>
              </w:rPr>
            </w:pPr>
          </w:p>
        </w:tc>
        <w:tc>
          <w:tcPr>
            <w:tcW w:w="1127" w:type="dxa"/>
            <w:vMerge/>
            <w:tcBorders>
              <w:top w:val="single" w:sz="4" w:space="0" w:color="000000"/>
              <w:left w:val="single" w:sz="4" w:space="0" w:color="000000"/>
              <w:bottom w:val="single" w:sz="4" w:space="0" w:color="000000"/>
              <w:right w:val="single" w:sz="4" w:space="0" w:color="000000"/>
            </w:tcBorders>
            <w:vAlign w:val="center"/>
            <w:hideMark/>
          </w:tcPr>
          <w:p w:rsidR="004E48B4" w:rsidRPr="004E48B4" w:rsidRDefault="004E48B4" w:rsidP="004E48B4">
            <w:pPr>
              <w:suppressAutoHyphens w:val="0"/>
              <w:spacing w:after="0" w:line="240" w:lineRule="auto"/>
              <w:rPr>
                <w:rFonts w:ascii="Times New Roman" w:hAnsi="Times New Roman"/>
                <w:sz w:val="20"/>
                <w:szCs w:val="20"/>
                <w:lang w:val="en-US" w:eastAsia="en-US"/>
              </w:rPr>
            </w:pPr>
          </w:p>
        </w:tc>
        <w:tc>
          <w:tcPr>
            <w:tcW w:w="1127" w:type="dxa"/>
            <w:vMerge/>
            <w:tcBorders>
              <w:top w:val="single" w:sz="4" w:space="0" w:color="000000"/>
              <w:left w:val="single" w:sz="4" w:space="0" w:color="000000"/>
              <w:bottom w:val="single" w:sz="4" w:space="0" w:color="000000"/>
              <w:right w:val="single" w:sz="4" w:space="0" w:color="000000"/>
            </w:tcBorders>
            <w:vAlign w:val="center"/>
            <w:hideMark/>
          </w:tcPr>
          <w:p w:rsidR="004E48B4" w:rsidRPr="004E48B4" w:rsidRDefault="004E48B4" w:rsidP="004E48B4">
            <w:pPr>
              <w:suppressAutoHyphens w:val="0"/>
              <w:spacing w:after="0" w:line="240" w:lineRule="auto"/>
              <w:rPr>
                <w:rFonts w:ascii="Times New Roman" w:hAnsi="Times New Roman"/>
                <w:color w:val="000000"/>
                <w:sz w:val="20"/>
                <w:szCs w:val="20"/>
                <w:lang w:val="en-US" w:eastAsia="en-US"/>
              </w:rPr>
            </w:pPr>
          </w:p>
        </w:tc>
        <w:tc>
          <w:tcPr>
            <w:tcW w:w="1127" w:type="dxa"/>
            <w:vMerge/>
            <w:tcBorders>
              <w:top w:val="single" w:sz="4" w:space="0" w:color="000000"/>
              <w:left w:val="single" w:sz="4" w:space="0" w:color="000000"/>
              <w:bottom w:val="single" w:sz="4" w:space="0" w:color="000000"/>
              <w:right w:val="single" w:sz="4" w:space="0" w:color="000000"/>
            </w:tcBorders>
            <w:vAlign w:val="center"/>
            <w:hideMark/>
          </w:tcPr>
          <w:p w:rsidR="004E48B4" w:rsidRPr="004E48B4" w:rsidRDefault="004E48B4" w:rsidP="004E48B4">
            <w:pPr>
              <w:suppressAutoHyphens w:val="0"/>
              <w:spacing w:after="0" w:line="240" w:lineRule="auto"/>
              <w:rPr>
                <w:rFonts w:ascii="Times New Roman" w:hAnsi="Times New Roman"/>
                <w:color w:val="000000"/>
                <w:sz w:val="20"/>
                <w:szCs w:val="20"/>
                <w:lang w:val="en-US" w:eastAsia="en-US"/>
              </w:rPr>
            </w:pPr>
          </w:p>
        </w:tc>
        <w:tc>
          <w:tcPr>
            <w:tcW w:w="1831" w:type="dxa"/>
            <w:gridSpan w:val="2"/>
            <w:vMerge/>
            <w:tcBorders>
              <w:top w:val="single" w:sz="4" w:space="0" w:color="000000"/>
              <w:left w:val="single" w:sz="4" w:space="0" w:color="000000"/>
              <w:bottom w:val="single" w:sz="4" w:space="0" w:color="000000"/>
              <w:right w:val="single" w:sz="4" w:space="0" w:color="000000"/>
            </w:tcBorders>
            <w:vAlign w:val="center"/>
            <w:hideMark/>
          </w:tcPr>
          <w:p w:rsidR="004E48B4" w:rsidRPr="004E48B4" w:rsidRDefault="004E48B4" w:rsidP="004E48B4">
            <w:pPr>
              <w:suppressAutoHyphens w:val="0"/>
              <w:spacing w:after="0" w:line="240" w:lineRule="auto"/>
              <w:rPr>
                <w:rFonts w:ascii="Times New Roman" w:hAnsi="Times New Roman"/>
                <w:color w:val="000000"/>
                <w:sz w:val="20"/>
                <w:szCs w:val="20"/>
                <w:lang w:val="en-US" w:eastAsia="en-US"/>
              </w:rPr>
            </w:pPr>
          </w:p>
        </w:tc>
      </w:tr>
      <w:tr w:rsidR="004E48B4" w:rsidRPr="004E48B4" w:rsidTr="00C42D16">
        <w:trPr>
          <w:divId w:val="444080007"/>
          <w:trHeight w:val="293"/>
          <w:tblHeader/>
        </w:trPr>
        <w:tc>
          <w:tcPr>
            <w:tcW w:w="2742" w:type="dxa"/>
            <w:vMerge/>
            <w:tcBorders>
              <w:top w:val="single" w:sz="4" w:space="0" w:color="000000"/>
              <w:left w:val="single" w:sz="4" w:space="0" w:color="000000"/>
              <w:bottom w:val="single" w:sz="4" w:space="0" w:color="000000"/>
              <w:right w:val="single" w:sz="4" w:space="0" w:color="000000"/>
            </w:tcBorders>
            <w:vAlign w:val="center"/>
            <w:hideMark/>
          </w:tcPr>
          <w:p w:rsidR="004E48B4" w:rsidRPr="004E48B4" w:rsidRDefault="004E48B4" w:rsidP="004E48B4">
            <w:pPr>
              <w:suppressAutoHyphens w:val="0"/>
              <w:spacing w:after="0" w:line="240" w:lineRule="auto"/>
              <w:rPr>
                <w:rFonts w:ascii="Times New Roman" w:hAnsi="Times New Roman"/>
                <w:color w:val="000000"/>
                <w:lang w:val="en-US" w:eastAsia="en-US"/>
              </w:rPr>
            </w:pPr>
          </w:p>
        </w:tc>
        <w:tc>
          <w:tcPr>
            <w:tcW w:w="790" w:type="dxa"/>
            <w:vMerge/>
            <w:tcBorders>
              <w:top w:val="single" w:sz="4" w:space="0" w:color="000000"/>
              <w:left w:val="single" w:sz="4" w:space="0" w:color="000000"/>
              <w:bottom w:val="single" w:sz="4" w:space="0" w:color="000000"/>
              <w:right w:val="single" w:sz="4" w:space="0" w:color="000000"/>
            </w:tcBorders>
            <w:vAlign w:val="center"/>
            <w:hideMark/>
          </w:tcPr>
          <w:p w:rsidR="004E48B4" w:rsidRPr="004E48B4" w:rsidRDefault="004E48B4" w:rsidP="004E48B4">
            <w:pPr>
              <w:suppressAutoHyphens w:val="0"/>
              <w:spacing w:after="0" w:line="240" w:lineRule="auto"/>
              <w:rPr>
                <w:rFonts w:ascii="Times New Roman" w:hAnsi="Times New Roman"/>
                <w:color w:val="000000"/>
                <w:sz w:val="20"/>
                <w:szCs w:val="20"/>
                <w:lang w:val="en-US" w:eastAsia="en-US"/>
              </w:rPr>
            </w:pPr>
          </w:p>
        </w:tc>
        <w:tc>
          <w:tcPr>
            <w:tcW w:w="1117" w:type="dxa"/>
            <w:vMerge/>
            <w:tcBorders>
              <w:top w:val="single" w:sz="4" w:space="0" w:color="000000"/>
              <w:left w:val="single" w:sz="4" w:space="0" w:color="000000"/>
              <w:bottom w:val="single" w:sz="4" w:space="0" w:color="000000"/>
              <w:right w:val="single" w:sz="4" w:space="0" w:color="000000"/>
            </w:tcBorders>
            <w:vAlign w:val="center"/>
            <w:hideMark/>
          </w:tcPr>
          <w:p w:rsidR="004E48B4" w:rsidRPr="004E48B4" w:rsidRDefault="004E48B4" w:rsidP="004E48B4">
            <w:pPr>
              <w:suppressAutoHyphens w:val="0"/>
              <w:spacing w:after="0" w:line="240" w:lineRule="auto"/>
              <w:rPr>
                <w:rFonts w:ascii="Times New Roman" w:hAnsi="Times New Roman"/>
                <w:color w:val="000000"/>
                <w:sz w:val="20"/>
                <w:szCs w:val="20"/>
                <w:lang w:val="en-US" w:eastAsia="en-US"/>
              </w:rPr>
            </w:pPr>
          </w:p>
        </w:tc>
        <w:tc>
          <w:tcPr>
            <w:tcW w:w="1127" w:type="dxa"/>
            <w:vMerge/>
            <w:tcBorders>
              <w:top w:val="single" w:sz="4" w:space="0" w:color="000000"/>
              <w:left w:val="single" w:sz="4" w:space="0" w:color="000000"/>
              <w:bottom w:val="single" w:sz="4" w:space="0" w:color="000000"/>
              <w:right w:val="single" w:sz="4" w:space="0" w:color="000000"/>
            </w:tcBorders>
            <w:vAlign w:val="center"/>
            <w:hideMark/>
          </w:tcPr>
          <w:p w:rsidR="004E48B4" w:rsidRPr="004E48B4" w:rsidRDefault="004E48B4" w:rsidP="004E48B4">
            <w:pPr>
              <w:suppressAutoHyphens w:val="0"/>
              <w:spacing w:after="0" w:line="240" w:lineRule="auto"/>
              <w:rPr>
                <w:rFonts w:ascii="Times New Roman" w:hAnsi="Times New Roman"/>
                <w:sz w:val="20"/>
                <w:szCs w:val="20"/>
                <w:lang w:val="en-US" w:eastAsia="en-US"/>
              </w:rPr>
            </w:pPr>
          </w:p>
        </w:tc>
        <w:tc>
          <w:tcPr>
            <w:tcW w:w="1127" w:type="dxa"/>
            <w:vMerge/>
            <w:tcBorders>
              <w:top w:val="single" w:sz="4" w:space="0" w:color="000000"/>
              <w:left w:val="single" w:sz="4" w:space="0" w:color="000000"/>
              <w:bottom w:val="single" w:sz="4" w:space="0" w:color="000000"/>
              <w:right w:val="single" w:sz="4" w:space="0" w:color="000000"/>
            </w:tcBorders>
            <w:vAlign w:val="center"/>
            <w:hideMark/>
          </w:tcPr>
          <w:p w:rsidR="004E48B4" w:rsidRPr="004E48B4" w:rsidRDefault="004E48B4" w:rsidP="004E48B4">
            <w:pPr>
              <w:suppressAutoHyphens w:val="0"/>
              <w:spacing w:after="0" w:line="240" w:lineRule="auto"/>
              <w:rPr>
                <w:rFonts w:ascii="Times New Roman" w:hAnsi="Times New Roman"/>
                <w:color w:val="000000"/>
                <w:sz w:val="20"/>
                <w:szCs w:val="20"/>
                <w:lang w:val="en-US" w:eastAsia="en-US"/>
              </w:rPr>
            </w:pPr>
          </w:p>
        </w:tc>
        <w:tc>
          <w:tcPr>
            <w:tcW w:w="1127" w:type="dxa"/>
            <w:vMerge/>
            <w:tcBorders>
              <w:top w:val="single" w:sz="4" w:space="0" w:color="000000"/>
              <w:left w:val="single" w:sz="4" w:space="0" w:color="000000"/>
              <w:bottom w:val="single" w:sz="4" w:space="0" w:color="000000"/>
              <w:right w:val="single" w:sz="4" w:space="0" w:color="000000"/>
            </w:tcBorders>
            <w:vAlign w:val="center"/>
            <w:hideMark/>
          </w:tcPr>
          <w:p w:rsidR="004E48B4" w:rsidRPr="004E48B4" w:rsidRDefault="004E48B4" w:rsidP="004E48B4">
            <w:pPr>
              <w:suppressAutoHyphens w:val="0"/>
              <w:spacing w:after="0" w:line="240" w:lineRule="auto"/>
              <w:rPr>
                <w:rFonts w:ascii="Times New Roman" w:hAnsi="Times New Roman"/>
                <w:color w:val="000000"/>
                <w:sz w:val="20"/>
                <w:szCs w:val="20"/>
                <w:lang w:val="en-US" w:eastAsia="en-US"/>
              </w:rPr>
            </w:pPr>
          </w:p>
        </w:tc>
        <w:tc>
          <w:tcPr>
            <w:tcW w:w="986"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center"/>
              <w:rPr>
                <w:rFonts w:ascii="Times New Roman" w:hAnsi="Times New Roman"/>
                <w:color w:val="000000"/>
                <w:sz w:val="20"/>
                <w:szCs w:val="20"/>
                <w:lang w:val="en-US" w:eastAsia="en-US"/>
              </w:rPr>
            </w:pPr>
            <w:r w:rsidRPr="004E48B4">
              <w:rPr>
                <w:rFonts w:ascii="Times New Roman" w:hAnsi="Times New Roman"/>
                <w:color w:val="000000"/>
                <w:sz w:val="20"/>
                <w:szCs w:val="20"/>
                <w:lang w:val="en-US" w:eastAsia="en-US"/>
              </w:rPr>
              <w:t>devieri (+,-)</w:t>
            </w:r>
          </w:p>
        </w:tc>
        <w:tc>
          <w:tcPr>
            <w:tcW w:w="845"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center"/>
              <w:rPr>
                <w:rFonts w:ascii="Times New Roman" w:hAnsi="Times New Roman"/>
                <w:color w:val="000000"/>
                <w:sz w:val="20"/>
                <w:szCs w:val="20"/>
                <w:lang w:val="en-US" w:eastAsia="en-US"/>
              </w:rPr>
            </w:pPr>
            <w:r w:rsidRPr="004E48B4">
              <w:rPr>
                <w:rFonts w:ascii="Times New Roman" w:hAnsi="Times New Roman"/>
                <w:color w:val="000000"/>
                <w:sz w:val="20"/>
                <w:szCs w:val="20"/>
                <w:lang w:val="en-US" w:eastAsia="en-US"/>
              </w:rPr>
              <w:t>în %%</w:t>
            </w:r>
          </w:p>
        </w:tc>
      </w:tr>
      <w:tr w:rsidR="004E48B4" w:rsidRPr="004E48B4" w:rsidTr="00C42D16">
        <w:trPr>
          <w:divId w:val="444080007"/>
          <w:trHeight w:val="517"/>
        </w:trPr>
        <w:tc>
          <w:tcPr>
            <w:tcW w:w="9863"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E48B4" w:rsidRPr="004E48B4" w:rsidRDefault="004E48B4" w:rsidP="004E48B4">
            <w:pPr>
              <w:suppressAutoHyphens w:val="0"/>
              <w:spacing w:after="0" w:line="240" w:lineRule="auto"/>
              <w:jc w:val="center"/>
              <w:rPr>
                <w:rFonts w:ascii="Times New Roman" w:hAnsi="Times New Roman"/>
                <w:b/>
                <w:bCs/>
                <w:i/>
                <w:iCs/>
                <w:color w:val="000000"/>
                <w:lang w:val="en-US" w:eastAsia="en-US"/>
              </w:rPr>
            </w:pPr>
            <w:r w:rsidRPr="004E48B4">
              <w:rPr>
                <w:rFonts w:ascii="Times New Roman" w:hAnsi="Times New Roman"/>
                <w:b/>
                <w:bCs/>
                <w:i/>
                <w:iCs/>
                <w:color w:val="000000"/>
                <w:lang w:val="en-US" w:eastAsia="en-US"/>
              </w:rPr>
              <w:t>Bugetul Public Național</w:t>
            </w:r>
          </w:p>
        </w:tc>
      </w:tr>
      <w:tr w:rsidR="00C42D16" w:rsidRPr="004E48B4" w:rsidTr="00C42D16">
        <w:trPr>
          <w:divId w:val="444080007"/>
          <w:trHeight w:val="293"/>
        </w:trPr>
        <w:tc>
          <w:tcPr>
            <w:tcW w:w="2742" w:type="dxa"/>
            <w:tcBorders>
              <w:top w:val="nil"/>
              <w:left w:val="single" w:sz="4" w:space="0" w:color="000000"/>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rPr>
                <w:rFonts w:ascii="Times New Roman" w:hAnsi="Times New Roman"/>
                <w:color w:val="000000"/>
                <w:lang w:val="en-US" w:eastAsia="en-US"/>
              </w:rPr>
            </w:pPr>
            <w:r w:rsidRPr="004E48B4">
              <w:rPr>
                <w:rFonts w:ascii="Times New Roman" w:hAnsi="Times New Roman"/>
                <w:color w:val="000000"/>
                <w:lang w:val="en-US" w:eastAsia="en-US"/>
              </w:rPr>
              <w:t>I. VENITURI, total</w:t>
            </w:r>
          </w:p>
        </w:tc>
        <w:tc>
          <w:tcPr>
            <w:tcW w:w="790"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center"/>
              <w:rPr>
                <w:rFonts w:ascii="Times New Roman" w:hAnsi="Times New Roman"/>
                <w:color w:val="000000"/>
                <w:lang w:val="en-US" w:eastAsia="en-US"/>
              </w:rPr>
            </w:pPr>
            <w:r w:rsidRPr="004E48B4">
              <w:rPr>
                <w:rFonts w:ascii="Times New Roman" w:hAnsi="Times New Roman"/>
                <w:color w:val="000000"/>
                <w:lang w:val="en-US" w:eastAsia="en-US"/>
              </w:rPr>
              <w:t>1</w:t>
            </w:r>
          </w:p>
        </w:tc>
        <w:tc>
          <w:tcPr>
            <w:tcW w:w="111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119 253,0</w:t>
            </w:r>
          </w:p>
        </w:tc>
        <w:tc>
          <w:tcPr>
            <w:tcW w:w="1127" w:type="dxa"/>
            <w:tcBorders>
              <w:top w:val="nil"/>
              <w:left w:val="nil"/>
              <w:bottom w:val="single" w:sz="4" w:space="0" w:color="000000"/>
              <w:right w:val="single" w:sz="4" w:space="0" w:color="000000"/>
            </w:tcBorders>
            <w:shd w:val="clear" w:color="000000" w:fill="FFFFFF"/>
            <w:noWrap/>
            <w:vAlign w:val="bottom"/>
            <w:hideMark/>
          </w:tcPr>
          <w:p w:rsidR="004E48B4" w:rsidRPr="004E48B4" w:rsidRDefault="004E48B4" w:rsidP="004E48B4">
            <w:pPr>
              <w:suppressAutoHyphens w:val="0"/>
              <w:spacing w:after="0" w:line="240" w:lineRule="auto"/>
              <w:jc w:val="right"/>
              <w:rPr>
                <w:rFonts w:ascii="Times New Roman" w:hAnsi="Times New Roman"/>
                <w:lang w:val="en-US" w:eastAsia="en-US"/>
              </w:rPr>
            </w:pPr>
            <w:r w:rsidRPr="004E48B4">
              <w:rPr>
                <w:rFonts w:ascii="Times New Roman" w:hAnsi="Times New Roman"/>
                <w:lang w:val="en-US" w:eastAsia="en-US"/>
              </w:rPr>
              <w:t>122 983,9</w:t>
            </w:r>
          </w:p>
        </w:tc>
        <w:tc>
          <w:tcPr>
            <w:tcW w:w="112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60 531,5</w:t>
            </w:r>
          </w:p>
        </w:tc>
        <w:tc>
          <w:tcPr>
            <w:tcW w:w="112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124 052,1</w:t>
            </w:r>
          </w:p>
        </w:tc>
        <w:tc>
          <w:tcPr>
            <w:tcW w:w="986"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lang w:val="en-US" w:eastAsia="en-US"/>
              </w:rPr>
            </w:pPr>
            <w:r w:rsidRPr="004E48B4">
              <w:rPr>
                <w:rFonts w:ascii="Times New Roman" w:hAnsi="Times New Roman"/>
                <w:i/>
                <w:iCs/>
                <w:color w:val="000000"/>
                <w:lang w:val="en-US" w:eastAsia="en-US"/>
              </w:rPr>
              <w:t>1 068,2</w:t>
            </w:r>
          </w:p>
        </w:tc>
        <w:tc>
          <w:tcPr>
            <w:tcW w:w="845"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lang w:val="en-US" w:eastAsia="en-US"/>
              </w:rPr>
            </w:pPr>
            <w:r w:rsidRPr="004E48B4">
              <w:rPr>
                <w:rFonts w:ascii="Times New Roman" w:hAnsi="Times New Roman"/>
                <w:i/>
                <w:iCs/>
                <w:color w:val="000000"/>
                <w:lang w:val="en-US" w:eastAsia="en-US"/>
              </w:rPr>
              <w:t>100,9</w:t>
            </w:r>
          </w:p>
        </w:tc>
      </w:tr>
      <w:tr w:rsidR="00C42D16" w:rsidRPr="004E48B4" w:rsidTr="00C42D16">
        <w:trPr>
          <w:divId w:val="444080007"/>
          <w:trHeight w:val="293"/>
        </w:trPr>
        <w:tc>
          <w:tcPr>
            <w:tcW w:w="2742" w:type="dxa"/>
            <w:tcBorders>
              <w:top w:val="nil"/>
              <w:left w:val="single" w:sz="4" w:space="0" w:color="000000"/>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rPr>
                <w:rFonts w:ascii="Times New Roman" w:hAnsi="Times New Roman"/>
                <w:color w:val="000000"/>
                <w:lang w:val="en-US" w:eastAsia="en-US"/>
              </w:rPr>
            </w:pPr>
            <w:r w:rsidRPr="004E48B4">
              <w:rPr>
                <w:rFonts w:ascii="Times New Roman" w:hAnsi="Times New Roman"/>
                <w:color w:val="000000"/>
                <w:lang w:val="en-US" w:eastAsia="en-US"/>
              </w:rPr>
              <w:lastRenderedPageBreak/>
              <w:t>II.CHELTUIELI, total</w:t>
            </w:r>
          </w:p>
        </w:tc>
        <w:tc>
          <w:tcPr>
            <w:tcW w:w="790"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center"/>
              <w:rPr>
                <w:rFonts w:ascii="Times New Roman" w:hAnsi="Times New Roman"/>
                <w:color w:val="000000"/>
                <w:lang w:val="en-US" w:eastAsia="en-US"/>
              </w:rPr>
            </w:pPr>
            <w:r w:rsidRPr="004E48B4">
              <w:rPr>
                <w:rFonts w:ascii="Times New Roman" w:hAnsi="Times New Roman"/>
                <w:color w:val="000000"/>
                <w:lang w:val="en-US" w:eastAsia="en-US"/>
              </w:rPr>
              <w:t>2+3</w:t>
            </w:r>
          </w:p>
        </w:tc>
        <w:tc>
          <w:tcPr>
            <w:tcW w:w="111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133 347,0</w:t>
            </w:r>
          </w:p>
        </w:tc>
        <w:tc>
          <w:tcPr>
            <w:tcW w:w="1127" w:type="dxa"/>
            <w:tcBorders>
              <w:top w:val="nil"/>
              <w:left w:val="nil"/>
              <w:bottom w:val="single" w:sz="4" w:space="0" w:color="000000"/>
              <w:right w:val="single" w:sz="4" w:space="0" w:color="000000"/>
            </w:tcBorders>
            <w:shd w:val="clear" w:color="000000" w:fill="FFFFFF"/>
            <w:noWrap/>
            <w:vAlign w:val="bottom"/>
            <w:hideMark/>
          </w:tcPr>
          <w:p w:rsidR="004E48B4" w:rsidRPr="004E48B4" w:rsidRDefault="004E48B4" w:rsidP="004E48B4">
            <w:pPr>
              <w:suppressAutoHyphens w:val="0"/>
              <w:spacing w:after="0" w:line="240" w:lineRule="auto"/>
              <w:jc w:val="right"/>
              <w:rPr>
                <w:rFonts w:ascii="Times New Roman" w:hAnsi="Times New Roman"/>
                <w:lang w:val="en-US" w:eastAsia="en-US"/>
              </w:rPr>
            </w:pPr>
            <w:r w:rsidRPr="004E48B4">
              <w:rPr>
                <w:rFonts w:ascii="Times New Roman" w:hAnsi="Times New Roman"/>
                <w:lang w:val="en-US" w:eastAsia="en-US"/>
              </w:rPr>
              <w:t>141 090,2</w:t>
            </w:r>
          </w:p>
        </w:tc>
        <w:tc>
          <w:tcPr>
            <w:tcW w:w="112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66 292,4</w:t>
            </w:r>
          </w:p>
        </w:tc>
        <w:tc>
          <w:tcPr>
            <w:tcW w:w="112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142 158,4</w:t>
            </w:r>
          </w:p>
        </w:tc>
        <w:tc>
          <w:tcPr>
            <w:tcW w:w="986"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lang w:val="en-US" w:eastAsia="en-US"/>
              </w:rPr>
            </w:pPr>
            <w:r w:rsidRPr="004E48B4">
              <w:rPr>
                <w:rFonts w:ascii="Times New Roman" w:hAnsi="Times New Roman"/>
                <w:i/>
                <w:iCs/>
                <w:color w:val="000000"/>
                <w:lang w:val="en-US" w:eastAsia="en-US"/>
              </w:rPr>
              <w:t>1 068,2</w:t>
            </w:r>
          </w:p>
        </w:tc>
        <w:tc>
          <w:tcPr>
            <w:tcW w:w="845"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lang w:val="en-US" w:eastAsia="en-US"/>
              </w:rPr>
            </w:pPr>
            <w:r w:rsidRPr="004E48B4">
              <w:rPr>
                <w:rFonts w:ascii="Times New Roman" w:hAnsi="Times New Roman"/>
                <w:i/>
                <w:iCs/>
                <w:color w:val="000000"/>
                <w:lang w:val="en-US" w:eastAsia="en-US"/>
              </w:rPr>
              <w:t>100,8</w:t>
            </w:r>
          </w:p>
        </w:tc>
      </w:tr>
      <w:tr w:rsidR="00C42D16" w:rsidRPr="004E48B4" w:rsidTr="00C42D16">
        <w:trPr>
          <w:divId w:val="444080007"/>
          <w:trHeight w:val="293"/>
        </w:trPr>
        <w:tc>
          <w:tcPr>
            <w:tcW w:w="2742" w:type="dxa"/>
            <w:tcBorders>
              <w:top w:val="nil"/>
              <w:left w:val="single" w:sz="4" w:space="0" w:color="000000"/>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rPr>
                <w:rFonts w:ascii="Times New Roman" w:hAnsi="Times New Roman"/>
                <w:color w:val="000000"/>
                <w:lang w:val="en-US" w:eastAsia="en-US"/>
              </w:rPr>
            </w:pPr>
            <w:r w:rsidRPr="004E48B4">
              <w:rPr>
                <w:rFonts w:ascii="Times New Roman" w:hAnsi="Times New Roman"/>
                <w:color w:val="000000"/>
                <w:lang w:val="en-US" w:eastAsia="en-US"/>
              </w:rPr>
              <w:t>III.SOLD BUGETAR</w:t>
            </w:r>
          </w:p>
        </w:tc>
        <w:tc>
          <w:tcPr>
            <w:tcW w:w="790"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center"/>
              <w:rPr>
                <w:rFonts w:ascii="Times New Roman" w:hAnsi="Times New Roman"/>
                <w:color w:val="000000"/>
                <w:lang w:val="en-US" w:eastAsia="en-US"/>
              </w:rPr>
            </w:pPr>
            <w:r w:rsidRPr="004E48B4">
              <w:rPr>
                <w:rFonts w:ascii="Times New Roman" w:hAnsi="Times New Roman"/>
                <w:color w:val="000000"/>
                <w:lang w:val="en-US" w:eastAsia="en-US"/>
              </w:rPr>
              <w:t>1-(2+3)</w:t>
            </w:r>
          </w:p>
        </w:tc>
        <w:tc>
          <w:tcPr>
            <w:tcW w:w="111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-14 094,0</w:t>
            </w:r>
          </w:p>
        </w:tc>
        <w:tc>
          <w:tcPr>
            <w:tcW w:w="1127" w:type="dxa"/>
            <w:tcBorders>
              <w:top w:val="nil"/>
              <w:left w:val="nil"/>
              <w:bottom w:val="single" w:sz="4" w:space="0" w:color="000000"/>
              <w:right w:val="single" w:sz="4" w:space="0" w:color="000000"/>
            </w:tcBorders>
            <w:shd w:val="clear" w:color="000000" w:fill="FFFFFF"/>
            <w:noWrap/>
            <w:vAlign w:val="bottom"/>
            <w:hideMark/>
          </w:tcPr>
          <w:p w:rsidR="004E48B4" w:rsidRPr="004E48B4" w:rsidRDefault="004E48B4" w:rsidP="004E48B4">
            <w:pPr>
              <w:suppressAutoHyphens w:val="0"/>
              <w:spacing w:after="0" w:line="240" w:lineRule="auto"/>
              <w:jc w:val="right"/>
              <w:rPr>
                <w:rFonts w:ascii="Times New Roman" w:hAnsi="Times New Roman"/>
                <w:lang w:val="en-US" w:eastAsia="en-US"/>
              </w:rPr>
            </w:pPr>
            <w:r w:rsidRPr="004E48B4">
              <w:rPr>
                <w:rFonts w:ascii="Times New Roman" w:hAnsi="Times New Roman"/>
                <w:lang w:val="en-US" w:eastAsia="en-US"/>
              </w:rPr>
              <w:t>-18 106,3</w:t>
            </w:r>
          </w:p>
        </w:tc>
        <w:tc>
          <w:tcPr>
            <w:tcW w:w="112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-5 760,9</w:t>
            </w:r>
          </w:p>
        </w:tc>
        <w:tc>
          <w:tcPr>
            <w:tcW w:w="112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-18 106,3</w:t>
            </w:r>
          </w:p>
        </w:tc>
        <w:tc>
          <w:tcPr>
            <w:tcW w:w="986"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lang w:val="en-US" w:eastAsia="en-US"/>
              </w:rPr>
            </w:pPr>
            <w:r w:rsidRPr="004E48B4">
              <w:rPr>
                <w:rFonts w:ascii="Times New Roman" w:hAnsi="Times New Roman"/>
                <w:i/>
                <w:iCs/>
                <w:color w:val="000000"/>
                <w:lang w:val="en-US" w:eastAsia="en-US"/>
              </w:rPr>
              <w:t>0,0</w:t>
            </w:r>
          </w:p>
        </w:tc>
        <w:tc>
          <w:tcPr>
            <w:tcW w:w="845"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lang w:val="en-US" w:eastAsia="en-US"/>
              </w:rPr>
            </w:pPr>
            <w:r w:rsidRPr="004E48B4">
              <w:rPr>
                <w:rFonts w:ascii="Times New Roman" w:hAnsi="Times New Roman"/>
                <w:i/>
                <w:iCs/>
                <w:color w:val="000000"/>
                <w:lang w:val="en-US" w:eastAsia="en-US"/>
              </w:rPr>
              <w:t>100,0</w:t>
            </w:r>
          </w:p>
        </w:tc>
      </w:tr>
      <w:tr w:rsidR="00C42D16" w:rsidRPr="004E48B4" w:rsidTr="00C42D16">
        <w:trPr>
          <w:divId w:val="444080007"/>
          <w:trHeight w:val="293"/>
        </w:trPr>
        <w:tc>
          <w:tcPr>
            <w:tcW w:w="2742" w:type="dxa"/>
            <w:tcBorders>
              <w:top w:val="nil"/>
              <w:left w:val="single" w:sz="4" w:space="0" w:color="000000"/>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rPr>
                <w:rFonts w:ascii="Times New Roman" w:hAnsi="Times New Roman"/>
                <w:color w:val="000000"/>
                <w:lang w:val="en-US" w:eastAsia="en-US"/>
              </w:rPr>
            </w:pPr>
            <w:r w:rsidRPr="004E48B4">
              <w:rPr>
                <w:rFonts w:ascii="Times New Roman" w:hAnsi="Times New Roman"/>
                <w:color w:val="000000"/>
                <w:lang w:val="en-US" w:eastAsia="en-US"/>
              </w:rPr>
              <w:t>IV.SURSE DE FINANȚARE, total</w:t>
            </w:r>
          </w:p>
        </w:tc>
        <w:tc>
          <w:tcPr>
            <w:tcW w:w="790"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center"/>
              <w:rPr>
                <w:rFonts w:ascii="Times New Roman" w:hAnsi="Times New Roman"/>
                <w:color w:val="000000"/>
                <w:lang w:val="en-US" w:eastAsia="en-US"/>
              </w:rPr>
            </w:pPr>
            <w:r w:rsidRPr="004E48B4">
              <w:rPr>
                <w:rFonts w:ascii="Times New Roman" w:hAnsi="Times New Roman"/>
                <w:color w:val="000000"/>
                <w:lang w:val="en-US" w:eastAsia="en-US"/>
              </w:rPr>
              <w:t>4+5+9</w:t>
            </w:r>
          </w:p>
        </w:tc>
        <w:tc>
          <w:tcPr>
            <w:tcW w:w="111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14 094,0</w:t>
            </w:r>
          </w:p>
        </w:tc>
        <w:tc>
          <w:tcPr>
            <w:tcW w:w="1127" w:type="dxa"/>
            <w:tcBorders>
              <w:top w:val="nil"/>
              <w:left w:val="nil"/>
              <w:bottom w:val="single" w:sz="4" w:space="0" w:color="000000"/>
              <w:right w:val="single" w:sz="4" w:space="0" w:color="000000"/>
            </w:tcBorders>
            <w:shd w:val="clear" w:color="000000" w:fill="FFFFFF"/>
            <w:noWrap/>
            <w:vAlign w:val="bottom"/>
            <w:hideMark/>
          </w:tcPr>
          <w:p w:rsidR="004E48B4" w:rsidRPr="004E48B4" w:rsidRDefault="004E48B4" w:rsidP="004E48B4">
            <w:pPr>
              <w:suppressAutoHyphens w:val="0"/>
              <w:spacing w:after="0" w:line="240" w:lineRule="auto"/>
              <w:jc w:val="right"/>
              <w:rPr>
                <w:rFonts w:ascii="Times New Roman" w:hAnsi="Times New Roman"/>
                <w:lang w:val="en-US" w:eastAsia="en-US"/>
              </w:rPr>
            </w:pPr>
            <w:r w:rsidRPr="004E48B4">
              <w:rPr>
                <w:rFonts w:ascii="Times New Roman" w:hAnsi="Times New Roman"/>
                <w:lang w:val="en-US" w:eastAsia="en-US"/>
              </w:rPr>
              <w:t>18 106,3</w:t>
            </w:r>
          </w:p>
        </w:tc>
        <w:tc>
          <w:tcPr>
            <w:tcW w:w="112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5 760,9</w:t>
            </w:r>
          </w:p>
        </w:tc>
        <w:tc>
          <w:tcPr>
            <w:tcW w:w="112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18 106,3</w:t>
            </w:r>
          </w:p>
        </w:tc>
        <w:tc>
          <w:tcPr>
            <w:tcW w:w="986"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lang w:val="en-US" w:eastAsia="en-US"/>
              </w:rPr>
            </w:pPr>
            <w:r w:rsidRPr="004E48B4">
              <w:rPr>
                <w:rFonts w:ascii="Times New Roman" w:hAnsi="Times New Roman"/>
                <w:i/>
                <w:iCs/>
                <w:color w:val="000000"/>
                <w:lang w:val="en-US" w:eastAsia="en-US"/>
              </w:rPr>
              <w:t>0,0</w:t>
            </w:r>
          </w:p>
        </w:tc>
        <w:tc>
          <w:tcPr>
            <w:tcW w:w="845"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lang w:val="en-US" w:eastAsia="en-US"/>
              </w:rPr>
            </w:pPr>
            <w:r w:rsidRPr="004E48B4">
              <w:rPr>
                <w:rFonts w:ascii="Times New Roman" w:hAnsi="Times New Roman"/>
                <w:i/>
                <w:iCs/>
                <w:color w:val="000000"/>
                <w:lang w:val="en-US" w:eastAsia="en-US"/>
              </w:rPr>
              <w:t>100,0</w:t>
            </w:r>
          </w:p>
        </w:tc>
      </w:tr>
      <w:tr w:rsidR="004E48B4" w:rsidRPr="004E48B4" w:rsidTr="00C42D16">
        <w:trPr>
          <w:divId w:val="444080007"/>
          <w:trHeight w:val="352"/>
        </w:trPr>
        <w:tc>
          <w:tcPr>
            <w:tcW w:w="9863"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E48B4" w:rsidRPr="004E48B4" w:rsidRDefault="004E48B4" w:rsidP="004E48B4">
            <w:pPr>
              <w:suppressAutoHyphens w:val="0"/>
              <w:spacing w:after="0" w:line="240" w:lineRule="auto"/>
              <w:jc w:val="center"/>
              <w:rPr>
                <w:rFonts w:ascii="Times New Roman" w:hAnsi="Times New Roman"/>
                <w:b/>
                <w:bCs/>
                <w:i/>
                <w:iCs/>
                <w:color w:val="000000"/>
                <w:lang w:val="en-US" w:eastAsia="en-US"/>
              </w:rPr>
            </w:pPr>
            <w:r w:rsidRPr="004E48B4">
              <w:rPr>
                <w:rFonts w:ascii="Times New Roman" w:hAnsi="Times New Roman"/>
                <w:b/>
                <w:bCs/>
                <w:i/>
                <w:iCs/>
                <w:color w:val="000000"/>
                <w:lang w:val="en-US" w:eastAsia="en-US"/>
              </w:rPr>
              <w:t>Bugetul de Stat</w:t>
            </w:r>
          </w:p>
        </w:tc>
      </w:tr>
      <w:tr w:rsidR="00C42D16" w:rsidRPr="004E48B4" w:rsidTr="00C42D16">
        <w:trPr>
          <w:divId w:val="444080007"/>
          <w:trHeight w:val="293"/>
        </w:trPr>
        <w:tc>
          <w:tcPr>
            <w:tcW w:w="2742" w:type="dxa"/>
            <w:tcBorders>
              <w:top w:val="nil"/>
              <w:left w:val="single" w:sz="4" w:space="0" w:color="000000"/>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rPr>
                <w:rFonts w:ascii="Times New Roman" w:hAnsi="Times New Roman"/>
                <w:color w:val="000000"/>
                <w:lang w:val="en-US" w:eastAsia="en-US"/>
              </w:rPr>
            </w:pPr>
            <w:r w:rsidRPr="004E48B4">
              <w:rPr>
                <w:rFonts w:ascii="Times New Roman" w:hAnsi="Times New Roman"/>
                <w:color w:val="000000"/>
                <w:lang w:val="en-US" w:eastAsia="en-US"/>
              </w:rPr>
              <w:t>I. VENITURI, total</w:t>
            </w:r>
          </w:p>
        </w:tc>
        <w:tc>
          <w:tcPr>
            <w:tcW w:w="790"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center"/>
              <w:rPr>
                <w:rFonts w:ascii="Times New Roman" w:hAnsi="Times New Roman"/>
                <w:color w:val="000000"/>
                <w:lang w:val="en-US" w:eastAsia="en-US"/>
              </w:rPr>
            </w:pPr>
            <w:r w:rsidRPr="004E48B4">
              <w:rPr>
                <w:rFonts w:ascii="Times New Roman" w:hAnsi="Times New Roman"/>
                <w:color w:val="000000"/>
                <w:lang w:val="en-US" w:eastAsia="en-US"/>
              </w:rPr>
              <w:t>1</w:t>
            </w:r>
          </w:p>
        </w:tc>
        <w:tc>
          <w:tcPr>
            <w:tcW w:w="111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71 553,9</w:t>
            </w:r>
          </w:p>
        </w:tc>
        <w:tc>
          <w:tcPr>
            <w:tcW w:w="1127" w:type="dxa"/>
            <w:tcBorders>
              <w:top w:val="nil"/>
              <w:left w:val="nil"/>
              <w:bottom w:val="single" w:sz="4" w:space="0" w:color="000000"/>
              <w:right w:val="single" w:sz="4" w:space="0" w:color="000000"/>
            </w:tcBorders>
            <w:shd w:val="clear" w:color="000000" w:fill="FFFFFF"/>
            <w:noWrap/>
            <w:vAlign w:val="bottom"/>
            <w:hideMark/>
          </w:tcPr>
          <w:p w:rsidR="004E48B4" w:rsidRPr="004E48B4" w:rsidRDefault="004E48B4" w:rsidP="004E48B4">
            <w:pPr>
              <w:suppressAutoHyphens w:val="0"/>
              <w:spacing w:after="0" w:line="240" w:lineRule="auto"/>
              <w:jc w:val="right"/>
              <w:rPr>
                <w:rFonts w:ascii="Times New Roman" w:hAnsi="Times New Roman"/>
                <w:lang w:val="en-US" w:eastAsia="en-US"/>
              </w:rPr>
            </w:pPr>
            <w:r w:rsidRPr="004E48B4">
              <w:rPr>
                <w:rFonts w:ascii="Times New Roman" w:hAnsi="Times New Roman"/>
                <w:lang w:val="en-US" w:eastAsia="en-US"/>
              </w:rPr>
              <w:t>75 284,8</w:t>
            </w:r>
          </w:p>
        </w:tc>
        <w:tc>
          <w:tcPr>
            <w:tcW w:w="112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36 759,6</w:t>
            </w:r>
          </w:p>
        </w:tc>
        <w:tc>
          <w:tcPr>
            <w:tcW w:w="112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75 932,5</w:t>
            </w:r>
          </w:p>
        </w:tc>
        <w:tc>
          <w:tcPr>
            <w:tcW w:w="986"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lang w:val="en-US" w:eastAsia="en-US"/>
              </w:rPr>
            </w:pPr>
            <w:r w:rsidRPr="004E48B4">
              <w:rPr>
                <w:rFonts w:ascii="Times New Roman" w:hAnsi="Times New Roman"/>
                <w:i/>
                <w:iCs/>
                <w:color w:val="000000"/>
                <w:lang w:val="en-US" w:eastAsia="en-US"/>
              </w:rPr>
              <w:t>647,7</w:t>
            </w:r>
          </w:p>
        </w:tc>
        <w:tc>
          <w:tcPr>
            <w:tcW w:w="845"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lang w:val="en-US" w:eastAsia="en-US"/>
              </w:rPr>
            </w:pPr>
            <w:r w:rsidRPr="004E48B4">
              <w:rPr>
                <w:rFonts w:ascii="Times New Roman" w:hAnsi="Times New Roman"/>
                <w:i/>
                <w:iCs/>
                <w:color w:val="000000"/>
                <w:lang w:val="en-US" w:eastAsia="en-US"/>
              </w:rPr>
              <w:t>100,9</w:t>
            </w:r>
          </w:p>
        </w:tc>
      </w:tr>
      <w:tr w:rsidR="00C42D16" w:rsidRPr="004E48B4" w:rsidTr="00C42D16">
        <w:trPr>
          <w:divId w:val="444080007"/>
          <w:trHeight w:val="293"/>
        </w:trPr>
        <w:tc>
          <w:tcPr>
            <w:tcW w:w="2742" w:type="dxa"/>
            <w:tcBorders>
              <w:top w:val="nil"/>
              <w:left w:val="single" w:sz="4" w:space="0" w:color="000000"/>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rPr>
                <w:rFonts w:ascii="Times New Roman" w:hAnsi="Times New Roman"/>
                <w:i/>
                <w:iCs/>
                <w:color w:val="000000"/>
                <w:sz w:val="20"/>
                <w:szCs w:val="20"/>
                <w:lang w:val="en-US" w:eastAsia="en-US"/>
              </w:rPr>
            </w:pPr>
            <w:r w:rsidRPr="004E48B4">
              <w:rPr>
                <w:rFonts w:ascii="Times New Roman" w:hAnsi="Times New Roman"/>
                <w:i/>
                <w:iCs/>
                <w:color w:val="000000"/>
                <w:sz w:val="20"/>
                <w:szCs w:val="20"/>
                <w:lang w:val="en-US" w:eastAsia="en-US"/>
              </w:rPr>
              <w:t xml:space="preserve"> inclusiv transferuri la alte bugete</w:t>
            </w:r>
          </w:p>
        </w:tc>
        <w:tc>
          <w:tcPr>
            <w:tcW w:w="790"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ind w:firstLineChars="100" w:firstLine="200"/>
              <w:rPr>
                <w:rFonts w:ascii="Times New Roman" w:hAnsi="Times New Roman"/>
                <w:i/>
                <w:iCs/>
                <w:color w:val="000000"/>
                <w:sz w:val="20"/>
                <w:szCs w:val="20"/>
                <w:lang w:val="en-US" w:eastAsia="en-US"/>
              </w:rPr>
            </w:pPr>
            <w:r w:rsidRPr="004E48B4">
              <w:rPr>
                <w:rFonts w:ascii="Times New Roman" w:hAnsi="Times New Roman"/>
                <w:i/>
                <w:iCs/>
                <w:color w:val="000000"/>
                <w:sz w:val="20"/>
                <w:szCs w:val="20"/>
                <w:lang w:val="en-US" w:eastAsia="en-US"/>
              </w:rPr>
              <w:t> </w:t>
            </w:r>
          </w:p>
        </w:tc>
        <w:tc>
          <w:tcPr>
            <w:tcW w:w="111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sz w:val="20"/>
                <w:szCs w:val="20"/>
                <w:lang w:val="en-US" w:eastAsia="en-US"/>
              </w:rPr>
            </w:pPr>
            <w:r w:rsidRPr="004E48B4">
              <w:rPr>
                <w:rFonts w:ascii="Times New Roman" w:hAnsi="Times New Roman"/>
                <w:i/>
                <w:iCs/>
                <w:color w:val="000000"/>
                <w:sz w:val="20"/>
                <w:szCs w:val="20"/>
                <w:lang w:val="en-US" w:eastAsia="en-US"/>
              </w:rPr>
              <w:t>28,4</w:t>
            </w:r>
          </w:p>
        </w:tc>
        <w:tc>
          <w:tcPr>
            <w:tcW w:w="1127" w:type="dxa"/>
            <w:tcBorders>
              <w:top w:val="nil"/>
              <w:left w:val="nil"/>
              <w:bottom w:val="single" w:sz="4" w:space="0" w:color="000000"/>
              <w:right w:val="single" w:sz="4" w:space="0" w:color="000000"/>
            </w:tcBorders>
            <w:shd w:val="clear" w:color="000000" w:fill="FFFFFF"/>
            <w:noWrap/>
            <w:vAlign w:val="bottom"/>
            <w:hideMark/>
          </w:tcPr>
          <w:p w:rsidR="004E48B4" w:rsidRPr="004E48B4" w:rsidRDefault="004E48B4" w:rsidP="004E48B4">
            <w:pPr>
              <w:suppressAutoHyphens w:val="0"/>
              <w:spacing w:after="0" w:line="240" w:lineRule="auto"/>
              <w:jc w:val="right"/>
              <w:rPr>
                <w:rFonts w:ascii="Times New Roman" w:hAnsi="Times New Roman"/>
                <w:i/>
                <w:iCs/>
                <w:sz w:val="20"/>
                <w:szCs w:val="20"/>
                <w:lang w:val="en-US" w:eastAsia="en-US"/>
              </w:rPr>
            </w:pPr>
            <w:r w:rsidRPr="004E48B4">
              <w:rPr>
                <w:rFonts w:ascii="Times New Roman" w:hAnsi="Times New Roman"/>
                <w:i/>
                <w:iCs/>
                <w:sz w:val="20"/>
                <w:szCs w:val="20"/>
                <w:lang w:val="en-US" w:eastAsia="en-US"/>
              </w:rPr>
              <w:t>28,4</w:t>
            </w:r>
          </w:p>
        </w:tc>
        <w:tc>
          <w:tcPr>
            <w:tcW w:w="112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sz w:val="20"/>
                <w:szCs w:val="20"/>
                <w:lang w:val="en-US" w:eastAsia="en-US"/>
              </w:rPr>
            </w:pPr>
            <w:r w:rsidRPr="004E48B4">
              <w:rPr>
                <w:rFonts w:ascii="Times New Roman" w:hAnsi="Times New Roman"/>
                <w:i/>
                <w:iCs/>
                <w:color w:val="000000"/>
                <w:sz w:val="20"/>
                <w:szCs w:val="20"/>
                <w:lang w:val="en-US" w:eastAsia="en-US"/>
              </w:rPr>
              <w:t>6,9</w:t>
            </w:r>
          </w:p>
        </w:tc>
        <w:tc>
          <w:tcPr>
            <w:tcW w:w="112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sz w:val="20"/>
                <w:szCs w:val="20"/>
                <w:lang w:val="en-US" w:eastAsia="en-US"/>
              </w:rPr>
            </w:pPr>
            <w:r w:rsidRPr="004E48B4">
              <w:rPr>
                <w:rFonts w:ascii="Times New Roman" w:hAnsi="Times New Roman"/>
                <w:i/>
                <w:iCs/>
                <w:color w:val="000000"/>
                <w:sz w:val="20"/>
                <w:szCs w:val="20"/>
                <w:lang w:val="en-US" w:eastAsia="en-US"/>
              </w:rPr>
              <w:t>28,4</w:t>
            </w:r>
          </w:p>
        </w:tc>
        <w:tc>
          <w:tcPr>
            <w:tcW w:w="986"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lang w:val="en-US" w:eastAsia="en-US"/>
              </w:rPr>
            </w:pPr>
            <w:r w:rsidRPr="004E48B4">
              <w:rPr>
                <w:rFonts w:ascii="Times New Roman" w:hAnsi="Times New Roman"/>
                <w:i/>
                <w:iCs/>
                <w:color w:val="000000"/>
                <w:lang w:val="en-US" w:eastAsia="en-US"/>
              </w:rPr>
              <w:t>0,0</w:t>
            </w:r>
          </w:p>
        </w:tc>
        <w:tc>
          <w:tcPr>
            <w:tcW w:w="845"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lang w:val="en-US" w:eastAsia="en-US"/>
              </w:rPr>
            </w:pPr>
            <w:r w:rsidRPr="004E48B4">
              <w:rPr>
                <w:rFonts w:ascii="Times New Roman" w:hAnsi="Times New Roman"/>
                <w:i/>
                <w:iCs/>
                <w:color w:val="000000"/>
                <w:lang w:val="en-US" w:eastAsia="en-US"/>
              </w:rPr>
              <w:t>100,0</w:t>
            </w:r>
          </w:p>
        </w:tc>
      </w:tr>
      <w:tr w:rsidR="00C42D16" w:rsidRPr="004E48B4" w:rsidTr="00C42D16">
        <w:trPr>
          <w:divId w:val="444080007"/>
          <w:trHeight w:val="513"/>
        </w:trPr>
        <w:tc>
          <w:tcPr>
            <w:tcW w:w="2742" w:type="dxa"/>
            <w:tcBorders>
              <w:top w:val="nil"/>
              <w:left w:val="single" w:sz="4" w:space="0" w:color="000000"/>
              <w:bottom w:val="single" w:sz="4" w:space="0" w:color="000000"/>
              <w:right w:val="single" w:sz="4" w:space="0" w:color="000000"/>
            </w:tcBorders>
            <w:shd w:val="clear" w:color="auto" w:fill="auto"/>
            <w:vAlign w:val="bottom"/>
            <w:hideMark/>
          </w:tcPr>
          <w:p w:rsidR="004E48B4" w:rsidRPr="004E48B4" w:rsidRDefault="004E48B4" w:rsidP="004E48B4">
            <w:pPr>
              <w:suppressAutoHyphens w:val="0"/>
              <w:spacing w:after="0" w:line="240" w:lineRule="auto"/>
              <w:rPr>
                <w:rFonts w:ascii="Times New Roman" w:hAnsi="Times New Roman"/>
                <w:i/>
                <w:iCs/>
                <w:color w:val="000000"/>
                <w:sz w:val="20"/>
                <w:szCs w:val="20"/>
                <w:lang w:val="en-US" w:eastAsia="en-US"/>
              </w:rPr>
            </w:pPr>
            <w:r w:rsidRPr="004E48B4">
              <w:rPr>
                <w:rFonts w:ascii="Times New Roman" w:hAnsi="Times New Roman"/>
                <w:i/>
                <w:iCs/>
                <w:color w:val="000000"/>
                <w:sz w:val="20"/>
                <w:szCs w:val="20"/>
                <w:lang w:val="en-US" w:eastAsia="en-US"/>
              </w:rPr>
              <w:t>inclusiv dobînzi din împrumuturile recreditate bugetelor de alt nivel</w:t>
            </w:r>
          </w:p>
        </w:tc>
        <w:tc>
          <w:tcPr>
            <w:tcW w:w="790"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ind w:firstLineChars="100" w:firstLine="200"/>
              <w:rPr>
                <w:rFonts w:ascii="Times New Roman" w:hAnsi="Times New Roman"/>
                <w:i/>
                <w:iCs/>
                <w:color w:val="000000"/>
                <w:sz w:val="20"/>
                <w:szCs w:val="20"/>
                <w:lang w:val="en-US" w:eastAsia="en-US"/>
              </w:rPr>
            </w:pPr>
            <w:r w:rsidRPr="004E48B4">
              <w:rPr>
                <w:rFonts w:ascii="Times New Roman" w:hAnsi="Times New Roman"/>
                <w:i/>
                <w:iCs/>
                <w:color w:val="000000"/>
                <w:sz w:val="20"/>
                <w:szCs w:val="20"/>
                <w:lang w:val="en-US" w:eastAsia="en-US"/>
              </w:rPr>
              <w:t> </w:t>
            </w:r>
          </w:p>
        </w:tc>
        <w:tc>
          <w:tcPr>
            <w:tcW w:w="111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sz w:val="20"/>
                <w:szCs w:val="20"/>
                <w:lang w:val="en-US" w:eastAsia="en-US"/>
              </w:rPr>
            </w:pPr>
            <w:r w:rsidRPr="004E48B4">
              <w:rPr>
                <w:rFonts w:ascii="Times New Roman" w:hAnsi="Times New Roman"/>
                <w:i/>
                <w:iCs/>
                <w:color w:val="000000"/>
                <w:sz w:val="20"/>
                <w:szCs w:val="20"/>
                <w:lang w:val="en-US" w:eastAsia="en-US"/>
              </w:rPr>
              <w:t> </w:t>
            </w:r>
          </w:p>
        </w:tc>
        <w:tc>
          <w:tcPr>
            <w:tcW w:w="1127" w:type="dxa"/>
            <w:tcBorders>
              <w:top w:val="nil"/>
              <w:left w:val="nil"/>
              <w:bottom w:val="single" w:sz="4" w:space="0" w:color="000000"/>
              <w:right w:val="single" w:sz="4" w:space="0" w:color="000000"/>
            </w:tcBorders>
            <w:shd w:val="clear" w:color="000000" w:fill="FFFFFF"/>
            <w:noWrap/>
            <w:vAlign w:val="bottom"/>
            <w:hideMark/>
          </w:tcPr>
          <w:p w:rsidR="004E48B4" w:rsidRPr="004E48B4" w:rsidRDefault="004E48B4" w:rsidP="004E48B4">
            <w:pPr>
              <w:suppressAutoHyphens w:val="0"/>
              <w:spacing w:after="0" w:line="240" w:lineRule="auto"/>
              <w:jc w:val="right"/>
              <w:rPr>
                <w:rFonts w:ascii="Times New Roman" w:hAnsi="Times New Roman"/>
                <w:i/>
                <w:iCs/>
                <w:sz w:val="20"/>
                <w:szCs w:val="20"/>
                <w:lang w:val="en-US" w:eastAsia="en-US"/>
              </w:rPr>
            </w:pPr>
            <w:r w:rsidRPr="004E48B4">
              <w:rPr>
                <w:rFonts w:ascii="Times New Roman" w:hAnsi="Times New Roman"/>
                <w:i/>
                <w:iCs/>
                <w:sz w:val="20"/>
                <w:szCs w:val="20"/>
                <w:lang w:val="en-US" w:eastAsia="en-US"/>
              </w:rPr>
              <w:t> </w:t>
            </w:r>
          </w:p>
        </w:tc>
        <w:tc>
          <w:tcPr>
            <w:tcW w:w="1127" w:type="dxa"/>
            <w:tcBorders>
              <w:top w:val="nil"/>
              <w:left w:val="nil"/>
              <w:bottom w:val="single" w:sz="4" w:space="0" w:color="000000"/>
              <w:right w:val="single" w:sz="4" w:space="0" w:color="000000"/>
            </w:tcBorders>
            <w:shd w:val="clear" w:color="000000" w:fill="FFFFFF"/>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sz w:val="20"/>
                <w:szCs w:val="20"/>
                <w:lang w:val="en-US" w:eastAsia="en-US"/>
              </w:rPr>
            </w:pPr>
            <w:r w:rsidRPr="004E48B4">
              <w:rPr>
                <w:rFonts w:ascii="Times New Roman" w:hAnsi="Times New Roman"/>
                <w:i/>
                <w:iCs/>
                <w:color w:val="000000"/>
                <w:sz w:val="20"/>
                <w:szCs w:val="20"/>
                <w:lang w:val="en-US" w:eastAsia="en-US"/>
              </w:rPr>
              <w:t>2,0</w:t>
            </w:r>
          </w:p>
        </w:tc>
        <w:tc>
          <w:tcPr>
            <w:tcW w:w="112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sz w:val="20"/>
                <w:szCs w:val="20"/>
                <w:lang w:val="en-US" w:eastAsia="en-US"/>
              </w:rPr>
            </w:pPr>
            <w:r w:rsidRPr="004E48B4">
              <w:rPr>
                <w:rFonts w:ascii="Times New Roman" w:hAnsi="Times New Roman"/>
                <w:i/>
                <w:iCs/>
                <w:color w:val="000000"/>
                <w:sz w:val="20"/>
                <w:szCs w:val="20"/>
                <w:lang w:val="en-US" w:eastAsia="en-US"/>
              </w:rPr>
              <w:t> </w:t>
            </w:r>
          </w:p>
        </w:tc>
        <w:tc>
          <w:tcPr>
            <w:tcW w:w="986"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lang w:val="en-US" w:eastAsia="en-US"/>
              </w:rPr>
            </w:pPr>
            <w:r w:rsidRPr="004E48B4">
              <w:rPr>
                <w:rFonts w:ascii="Times New Roman" w:hAnsi="Times New Roman"/>
                <w:i/>
                <w:iCs/>
                <w:color w:val="000000"/>
                <w:lang w:val="en-US" w:eastAsia="en-US"/>
              </w:rPr>
              <w:t>0,0</w:t>
            </w:r>
          </w:p>
        </w:tc>
        <w:tc>
          <w:tcPr>
            <w:tcW w:w="845"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rPr>
                <w:rFonts w:ascii="Times New Roman" w:hAnsi="Times New Roman"/>
                <w:i/>
                <w:iCs/>
                <w:color w:val="000000"/>
                <w:lang w:val="en-US" w:eastAsia="en-US"/>
              </w:rPr>
            </w:pPr>
            <w:r w:rsidRPr="004E48B4">
              <w:rPr>
                <w:rFonts w:ascii="Times New Roman" w:hAnsi="Times New Roman"/>
                <w:i/>
                <w:iCs/>
                <w:color w:val="000000"/>
                <w:lang w:val="en-US" w:eastAsia="en-US"/>
              </w:rPr>
              <w:t> </w:t>
            </w:r>
          </w:p>
        </w:tc>
      </w:tr>
      <w:tr w:rsidR="00C42D16" w:rsidRPr="004E48B4" w:rsidTr="00C42D16">
        <w:trPr>
          <w:divId w:val="444080007"/>
          <w:trHeight w:val="293"/>
        </w:trPr>
        <w:tc>
          <w:tcPr>
            <w:tcW w:w="2742" w:type="dxa"/>
            <w:tcBorders>
              <w:top w:val="nil"/>
              <w:left w:val="single" w:sz="4" w:space="0" w:color="000000"/>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rPr>
                <w:rFonts w:ascii="Times New Roman" w:hAnsi="Times New Roman"/>
                <w:color w:val="000000"/>
                <w:lang w:val="en-US" w:eastAsia="en-US"/>
              </w:rPr>
            </w:pPr>
            <w:r w:rsidRPr="004E48B4">
              <w:rPr>
                <w:rFonts w:ascii="Times New Roman" w:hAnsi="Times New Roman"/>
                <w:color w:val="000000"/>
                <w:lang w:val="en-US" w:eastAsia="en-US"/>
              </w:rPr>
              <w:t>II.CHELTUIELI, total</w:t>
            </w:r>
          </w:p>
        </w:tc>
        <w:tc>
          <w:tcPr>
            <w:tcW w:w="790"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center"/>
              <w:rPr>
                <w:rFonts w:ascii="Times New Roman" w:hAnsi="Times New Roman"/>
                <w:color w:val="000000"/>
                <w:lang w:val="en-US" w:eastAsia="en-US"/>
              </w:rPr>
            </w:pPr>
            <w:r w:rsidRPr="004E48B4">
              <w:rPr>
                <w:rFonts w:ascii="Times New Roman" w:hAnsi="Times New Roman"/>
                <w:color w:val="000000"/>
                <w:lang w:val="en-US" w:eastAsia="en-US"/>
              </w:rPr>
              <w:t>2+3</w:t>
            </w:r>
          </w:p>
        </w:tc>
        <w:tc>
          <w:tcPr>
            <w:tcW w:w="111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85 447,9</w:t>
            </w:r>
          </w:p>
        </w:tc>
        <w:tc>
          <w:tcPr>
            <w:tcW w:w="1127" w:type="dxa"/>
            <w:tcBorders>
              <w:top w:val="nil"/>
              <w:left w:val="nil"/>
              <w:bottom w:val="single" w:sz="4" w:space="0" w:color="000000"/>
              <w:right w:val="single" w:sz="4" w:space="0" w:color="000000"/>
            </w:tcBorders>
            <w:shd w:val="clear" w:color="000000" w:fill="FFFFFF"/>
            <w:noWrap/>
            <w:vAlign w:val="bottom"/>
            <w:hideMark/>
          </w:tcPr>
          <w:p w:rsidR="004E48B4" w:rsidRPr="004E48B4" w:rsidRDefault="004E48B4" w:rsidP="004E48B4">
            <w:pPr>
              <w:suppressAutoHyphens w:val="0"/>
              <w:spacing w:after="0" w:line="240" w:lineRule="auto"/>
              <w:jc w:val="right"/>
              <w:rPr>
                <w:rFonts w:ascii="Times New Roman" w:hAnsi="Times New Roman"/>
                <w:lang w:val="en-US" w:eastAsia="en-US"/>
              </w:rPr>
            </w:pPr>
            <w:r w:rsidRPr="004E48B4">
              <w:rPr>
                <w:rFonts w:ascii="Times New Roman" w:hAnsi="Times New Roman"/>
                <w:lang w:val="en-US" w:eastAsia="en-US"/>
              </w:rPr>
              <w:t>93 191,1</w:t>
            </w:r>
          </w:p>
        </w:tc>
        <w:tc>
          <w:tcPr>
            <w:tcW w:w="112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44 369,5</w:t>
            </w:r>
          </w:p>
        </w:tc>
        <w:tc>
          <w:tcPr>
            <w:tcW w:w="112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93 838,8</w:t>
            </w:r>
          </w:p>
        </w:tc>
        <w:tc>
          <w:tcPr>
            <w:tcW w:w="986"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lang w:val="en-US" w:eastAsia="en-US"/>
              </w:rPr>
            </w:pPr>
            <w:r w:rsidRPr="004E48B4">
              <w:rPr>
                <w:rFonts w:ascii="Times New Roman" w:hAnsi="Times New Roman"/>
                <w:i/>
                <w:iCs/>
                <w:color w:val="000000"/>
                <w:lang w:val="en-US" w:eastAsia="en-US"/>
              </w:rPr>
              <w:t>647,7</w:t>
            </w:r>
          </w:p>
        </w:tc>
        <w:tc>
          <w:tcPr>
            <w:tcW w:w="845"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lang w:val="en-US" w:eastAsia="en-US"/>
              </w:rPr>
            </w:pPr>
            <w:r w:rsidRPr="004E48B4">
              <w:rPr>
                <w:rFonts w:ascii="Times New Roman" w:hAnsi="Times New Roman"/>
                <w:i/>
                <w:iCs/>
                <w:color w:val="000000"/>
                <w:lang w:val="en-US" w:eastAsia="en-US"/>
              </w:rPr>
              <w:t>100,7</w:t>
            </w:r>
          </w:p>
        </w:tc>
      </w:tr>
      <w:tr w:rsidR="00C42D16" w:rsidRPr="004E48B4" w:rsidTr="00C42D16">
        <w:trPr>
          <w:divId w:val="444080007"/>
          <w:trHeight w:val="293"/>
        </w:trPr>
        <w:tc>
          <w:tcPr>
            <w:tcW w:w="2742" w:type="dxa"/>
            <w:tcBorders>
              <w:top w:val="nil"/>
              <w:left w:val="single" w:sz="4" w:space="0" w:color="000000"/>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ind w:firstLineChars="100" w:firstLine="200"/>
              <w:rPr>
                <w:rFonts w:ascii="Times New Roman" w:hAnsi="Times New Roman"/>
                <w:i/>
                <w:iCs/>
                <w:color w:val="000000"/>
                <w:sz w:val="20"/>
                <w:szCs w:val="20"/>
                <w:lang w:val="en-US" w:eastAsia="en-US"/>
              </w:rPr>
            </w:pPr>
            <w:r w:rsidRPr="004E48B4">
              <w:rPr>
                <w:rFonts w:ascii="Times New Roman" w:hAnsi="Times New Roman"/>
                <w:i/>
                <w:iCs/>
                <w:color w:val="000000"/>
                <w:sz w:val="20"/>
                <w:szCs w:val="20"/>
                <w:lang w:val="en-US" w:eastAsia="en-US"/>
              </w:rPr>
              <w:t xml:space="preserve"> inclusiv transferuri la alte bugete</w:t>
            </w:r>
          </w:p>
        </w:tc>
        <w:tc>
          <w:tcPr>
            <w:tcW w:w="790"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ind w:firstLineChars="100" w:firstLine="200"/>
              <w:rPr>
                <w:rFonts w:ascii="Times New Roman" w:hAnsi="Times New Roman"/>
                <w:i/>
                <w:iCs/>
                <w:color w:val="000000"/>
                <w:sz w:val="20"/>
                <w:szCs w:val="20"/>
                <w:lang w:val="en-US" w:eastAsia="en-US"/>
              </w:rPr>
            </w:pPr>
            <w:r w:rsidRPr="004E48B4">
              <w:rPr>
                <w:rFonts w:ascii="Times New Roman" w:hAnsi="Times New Roman"/>
                <w:i/>
                <w:iCs/>
                <w:color w:val="000000"/>
                <w:sz w:val="20"/>
                <w:szCs w:val="20"/>
                <w:lang w:val="en-US" w:eastAsia="en-US"/>
              </w:rPr>
              <w:t> </w:t>
            </w:r>
          </w:p>
        </w:tc>
        <w:tc>
          <w:tcPr>
            <w:tcW w:w="1117" w:type="dxa"/>
            <w:tcBorders>
              <w:top w:val="nil"/>
              <w:left w:val="nil"/>
              <w:bottom w:val="single" w:sz="4" w:space="0" w:color="000000"/>
              <w:right w:val="single" w:sz="4" w:space="0" w:color="000000"/>
            </w:tcBorders>
            <w:shd w:val="clear" w:color="000000" w:fill="FFFFFF"/>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sz w:val="20"/>
                <w:szCs w:val="20"/>
                <w:lang w:val="en-US" w:eastAsia="en-US"/>
              </w:rPr>
            </w:pPr>
            <w:r w:rsidRPr="004E48B4">
              <w:rPr>
                <w:rFonts w:ascii="Times New Roman" w:hAnsi="Times New Roman"/>
                <w:i/>
                <w:iCs/>
                <w:color w:val="000000"/>
                <w:sz w:val="20"/>
                <w:szCs w:val="20"/>
                <w:lang w:val="en-US" w:eastAsia="en-US"/>
              </w:rPr>
              <w:t>45 370,9</w:t>
            </w:r>
          </w:p>
        </w:tc>
        <w:tc>
          <w:tcPr>
            <w:tcW w:w="1127" w:type="dxa"/>
            <w:tcBorders>
              <w:top w:val="nil"/>
              <w:left w:val="nil"/>
              <w:bottom w:val="single" w:sz="4" w:space="0" w:color="000000"/>
              <w:right w:val="single" w:sz="4" w:space="0" w:color="000000"/>
            </w:tcBorders>
            <w:shd w:val="clear" w:color="000000" w:fill="FFFFFF"/>
            <w:noWrap/>
            <w:vAlign w:val="bottom"/>
            <w:hideMark/>
          </w:tcPr>
          <w:p w:rsidR="004E48B4" w:rsidRPr="004E48B4" w:rsidRDefault="004E48B4" w:rsidP="004E48B4">
            <w:pPr>
              <w:suppressAutoHyphens w:val="0"/>
              <w:spacing w:after="0" w:line="240" w:lineRule="auto"/>
              <w:jc w:val="right"/>
              <w:rPr>
                <w:rFonts w:ascii="Times New Roman" w:hAnsi="Times New Roman"/>
                <w:i/>
                <w:iCs/>
                <w:sz w:val="20"/>
                <w:szCs w:val="20"/>
                <w:lang w:val="en-US" w:eastAsia="en-US"/>
              </w:rPr>
            </w:pPr>
            <w:r w:rsidRPr="004E48B4">
              <w:rPr>
                <w:rFonts w:ascii="Times New Roman" w:hAnsi="Times New Roman"/>
                <w:i/>
                <w:iCs/>
                <w:sz w:val="20"/>
                <w:szCs w:val="20"/>
                <w:lang w:val="en-US" w:eastAsia="en-US"/>
              </w:rPr>
              <w:t>47 043,8</w:t>
            </w:r>
          </w:p>
        </w:tc>
        <w:tc>
          <w:tcPr>
            <w:tcW w:w="1127" w:type="dxa"/>
            <w:tcBorders>
              <w:top w:val="nil"/>
              <w:left w:val="nil"/>
              <w:bottom w:val="single" w:sz="4" w:space="0" w:color="000000"/>
              <w:right w:val="single" w:sz="4" w:space="0" w:color="000000"/>
            </w:tcBorders>
            <w:shd w:val="clear" w:color="000000" w:fill="FFFFFF"/>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sz w:val="20"/>
                <w:szCs w:val="20"/>
                <w:lang w:val="en-US" w:eastAsia="en-US"/>
              </w:rPr>
            </w:pPr>
            <w:r w:rsidRPr="004E48B4">
              <w:rPr>
                <w:rFonts w:ascii="Times New Roman" w:hAnsi="Times New Roman"/>
                <w:i/>
                <w:iCs/>
                <w:color w:val="000000"/>
                <w:sz w:val="20"/>
                <w:szCs w:val="20"/>
                <w:lang w:val="en-US" w:eastAsia="en-US"/>
              </w:rPr>
              <w:t>25 788,1</w:t>
            </w:r>
          </w:p>
        </w:tc>
        <w:tc>
          <w:tcPr>
            <w:tcW w:w="1127" w:type="dxa"/>
            <w:tcBorders>
              <w:top w:val="nil"/>
              <w:left w:val="nil"/>
              <w:bottom w:val="single" w:sz="4" w:space="0" w:color="000000"/>
              <w:right w:val="single" w:sz="4" w:space="0" w:color="000000"/>
            </w:tcBorders>
            <w:shd w:val="clear" w:color="000000" w:fill="FFFFFF"/>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sz w:val="20"/>
                <w:szCs w:val="20"/>
                <w:lang w:val="en-US" w:eastAsia="en-US"/>
              </w:rPr>
            </w:pPr>
            <w:r w:rsidRPr="004E48B4">
              <w:rPr>
                <w:rFonts w:ascii="Times New Roman" w:hAnsi="Times New Roman"/>
                <w:i/>
                <w:iCs/>
                <w:color w:val="000000"/>
                <w:sz w:val="20"/>
                <w:szCs w:val="20"/>
                <w:lang w:val="en-US" w:eastAsia="en-US"/>
              </w:rPr>
              <w:t>47 437,0</w:t>
            </w:r>
          </w:p>
        </w:tc>
        <w:tc>
          <w:tcPr>
            <w:tcW w:w="986"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lang w:val="en-US" w:eastAsia="en-US"/>
              </w:rPr>
            </w:pPr>
            <w:r w:rsidRPr="004E48B4">
              <w:rPr>
                <w:rFonts w:ascii="Times New Roman" w:hAnsi="Times New Roman"/>
                <w:i/>
                <w:iCs/>
                <w:color w:val="000000"/>
                <w:lang w:val="en-US" w:eastAsia="en-US"/>
              </w:rPr>
              <w:t>393,2</w:t>
            </w:r>
          </w:p>
        </w:tc>
        <w:tc>
          <w:tcPr>
            <w:tcW w:w="845"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lang w:val="en-US" w:eastAsia="en-US"/>
              </w:rPr>
            </w:pPr>
            <w:r w:rsidRPr="004E48B4">
              <w:rPr>
                <w:rFonts w:ascii="Times New Roman" w:hAnsi="Times New Roman"/>
                <w:i/>
                <w:iCs/>
                <w:color w:val="000000"/>
                <w:lang w:val="en-US" w:eastAsia="en-US"/>
              </w:rPr>
              <w:t>100,8</w:t>
            </w:r>
          </w:p>
        </w:tc>
      </w:tr>
      <w:tr w:rsidR="00C42D16" w:rsidRPr="004E48B4" w:rsidTr="00C42D16">
        <w:trPr>
          <w:divId w:val="444080007"/>
          <w:trHeight w:val="293"/>
        </w:trPr>
        <w:tc>
          <w:tcPr>
            <w:tcW w:w="2742" w:type="dxa"/>
            <w:tcBorders>
              <w:top w:val="nil"/>
              <w:left w:val="single" w:sz="4" w:space="0" w:color="000000"/>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rPr>
                <w:rFonts w:ascii="Times New Roman" w:hAnsi="Times New Roman"/>
                <w:color w:val="000000"/>
                <w:lang w:val="en-US" w:eastAsia="en-US"/>
              </w:rPr>
            </w:pPr>
            <w:r w:rsidRPr="004E48B4">
              <w:rPr>
                <w:rFonts w:ascii="Times New Roman" w:hAnsi="Times New Roman"/>
                <w:color w:val="000000"/>
                <w:lang w:val="en-US" w:eastAsia="en-US"/>
              </w:rPr>
              <w:t>III.SOLD BUGETAR</w:t>
            </w:r>
          </w:p>
        </w:tc>
        <w:tc>
          <w:tcPr>
            <w:tcW w:w="790"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center"/>
              <w:rPr>
                <w:rFonts w:ascii="Times New Roman" w:hAnsi="Times New Roman"/>
                <w:color w:val="000000"/>
                <w:lang w:val="en-US" w:eastAsia="en-US"/>
              </w:rPr>
            </w:pPr>
            <w:r w:rsidRPr="004E48B4">
              <w:rPr>
                <w:rFonts w:ascii="Times New Roman" w:hAnsi="Times New Roman"/>
                <w:color w:val="000000"/>
                <w:lang w:val="en-US" w:eastAsia="en-US"/>
              </w:rPr>
              <w:t>1-(2+3)</w:t>
            </w:r>
          </w:p>
        </w:tc>
        <w:tc>
          <w:tcPr>
            <w:tcW w:w="1117" w:type="dxa"/>
            <w:tcBorders>
              <w:top w:val="nil"/>
              <w:left w:val="nil"/>
              <w:bottom w:val="single" w:sz="4" w:space="0" w:color="000000"/>
              <w:right w:val="single" w:sz="4" w:space="0" w:color="000000"/>
            </w:tcBorders>
            <w:shd w:val="clear" w:color="000000" w:fill="FFFFFF"/>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-13 894,0</w:t>
            </w:r>
          </w:p>
        </w:tc>
        <w:tc>
          <w:tcPr>
            <w:tcW w:w="1127" w:type="dxa"/>
            <w:tcBorders>
              <w:top w:val="nil"/>
              <w:left w:val="nil"/>
              <w:bottom w:val="single" w:sz="4" w:space="0" w:color="000000"/>
              <w:right w:val="single" w:sz="4" w:space="0" w:color="000000"/>
            </w:tcBorders>
            <w:shd w:val="clear" w:color="000000" w:fill="FFFFFF"/>
            <w:noWrap/>
            <w:vAlign w:val="bottom"/>
            <w:hideMark/>
          </w:tcPr>
          <w:p w:rsidR="004E48B4" w:rsidRPr="004E48B4" w:rsidRDefault="004E48B4" w:rsidP="004E48B4">
            <w:pPr>
              <w:suppressAutoHyphens w:val="0"/>
              <w:spacing w:after="0" w:line="240" w:lineRule="auto"/>
              <w:jc w:val="right"/>
              <w:rPr>
                <w:rFonts w:ascii="Times New Roman" w:hAnsi="Times New Roman"/>
                <w:lang w:val="en-US" w:eastAsia="en-US"/>
              </w:rPr>
            </w:pPr>
            <w:r w:rsidRPr="004E48B4">
              <w:rPr>
                <w:rFonts w:ascii="Times New Roman" w:hAnsi="Times New Roman"/>
                <w:lang w:val="en-US" w:eastAsia="en-US"/>
              </w:rPr>
              <w:t>-17 906,3</w:t>
            </w:r>
          </w:p>
        </w:tc>
        <w:tc>
          <w:tcPr>
            <w:tcW w:w="1127" w:type="dxa"/>
            <w:tcBorders>
              <w:top w:val="nil"/>
              <w:left w:val="nil"/>
              <w:bottom w:val="single" w:sz="4" w:space="0" w:color="000000"/>
              <w:right w:val="single" w:sz="4" w:space="0" w:color="000000"/>
            </w:tcBorders>
            <w:shd w:val="clear" w:color="000000" w:fill="FFFFFF"/>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-7 609,9</w:t>
            </w:r>
          </w:p>
        </w:tc>
        <w:tc>
          <w:tcPr>
            <w:tcW w:w="1127" w:type="dxa"/>
            <w:tcBorders>
              <w:top w:val="nil"/>
              <w:left w:val="nil"/>
              <w:bottom w:val="single" w:sz="4" w:space="0" w:color="000000"/>
              <w:right w:val="single" w:sz="4" w:space="0" w:color="000000"/>
            </w:tcBorders>
            <w:shd w:val="clear" w:color="000000" w:fill="FFFFFF"/>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-17 906,3</w:t>
            </w:r>
          </w:p>
        </w:tc>
        <w:tc>
          <w:tcPr>
            <w:tcW w:w="986"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lang w:val="en-US" w:eastAsia="en-US"/>
              </w:rPr>
            </w:pPr>
            <w:r w:rsidRPr="004E48B4">
              <w:rPr>
                <w:rFonts w:ascii="Times New Roman" w:hAnsi="Times New Roman"/>
                <w:i/>
                <w:iCs/>
                <w:color w:val="000000"/>
                <w:lang w:val="en-US" w:eastAsia="en-US"/>
              </w:rPr>
              <w:t>0,0</w:t>
            </w:r>
          </w:p>
        </w:tc>
        <w:tc>
          <w:tcPr>
            <w:tcW w:w="845"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lang w:val="en-US" w:eastAsia="en-US"/>
              </w:rPr>
            </w:pPr>
            <w:r w:rsidRPr="004E48B4">
              <w:rPr>
                <w:rFonts w:ascii="Times New Roman" w:hAnsi="Times New Roman"/>
                <w:i/>
                <w:iCs/>
                <w:color w:val="000000"/>
                <w:lang w:val="en-US" w:eastAsia="en-US"/>
              </w:rPr>
              <w:t>100,0</w:t>
            </w:r>
          </w:p>
        </w:tc>
      </w:tr>
      <w:tr w:rsidR="00C42D16" w:rsidRPr="004E48B4" w:rsidTr="00C42D16">
        <w:trPr>
          <w:divId w:val="444080007"/>
          <w:trHeight w:val="293"/>
        </w:trPr>
        <w:tc>
          <w:tcPr>
            <w:tcW w:w="2742" w:type="dxa"/>
            <w:tcBorders>
              <w:top w:val="nil"/>
              <w:left w:val="single" w:sz="4" w:space="0" w:color="000000"/>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rPr>
                <w:rFonts w:ascii="Times New Roman" w:hAnsi="Times New Roman"/>
                <w:color w:val="000000"/>
                <w:lang w:val="en-US" w:eastAsia="en-US"/>
              </w:rPr>
            </w:pPr>
            <w:r w:rsidRPr="004E48B4">
              <w:rPr>
                <w:rFonts w:ascii="Times New Roman" w:hAnsi="Times New Roman"/>
                <w:color w:val="000000"/>
                <w:lang w:val="en-US" w:eastAsia="en-US"/>
              </w:rPr>
              <w:t>IV.SURSE DE FINANȚARE, total</w:t>
            </w:r>
          </w:p>
        </w:tc>
        <w:tc>
          <w:tcPr>
            <w:tcW w:w="790"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center"/>
              <w:rPr>
                <w:rFonts w:ascii="Times New Roman" w:hAnsi="Times New Roman"/>
                <w:color w:val="000000"/>
                <w:lang w:val="en-US" w:eastAsia="en-US"/>
              </w:rPr>
            </w:pPr>
            <w:r w:rsidRPr="004E48B4">
              <w:rPr>
                <w:rFonts w:ascii="Times New Roman" w:hAnsi="Times New Roman"/>
                <w:color w:val="000000"/>
                <w:lang w:val="en-US" w:eastAsia="en-US"/>
              </w:rPr>
              <w:t>4+5+9</w:t>
            </w:r>
          </w:p>
        </w:tc>
        <w:tc>
          <w:tcPr>
            <w:tcW w:w="1117" w:type="dxa"/>
            <w:tcBorders>
              <w:top w:val="nil"/>
              <w:left w:val="nil"/>
              <w:bottom w:val="single" w:sz="4" w:space="0" w:color="000000"/>
              <w:right w:val="single" w:sz="4" w:space="0" w:color="000000"/>
            </w:tcBorders>
            <w:shd w:val="clear" w:color="000000" w:fill="FFFFFF"/>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13 894,0</w:t>
            </w:r>
          </w:p>
        </w:tc>
        <w:tc>
          <w:tcPr>
            <w:tcW w:w="1127" w:type="dxa"/>
            <w:tcBorders>
              <w:top w:val="nil"/>
              <w:left w:val="nil"/>
              <w:bottom w:val="single" w:sz="4" w:space="0" w:color="000000"/>
              <w:right w:val="single" w:sz="4" w:space="0" w:color="000000"/>
            </w:tcBorders>
            <w:shd w:val="clear" w:color="000000" w:fill="FFFFFF"/>
            <w:noWrap/>
            <w:vAlign w:val="bottom"/>
            <w:hideMark/>
          </w:tcPr>
          <w:p w:rsidR="004E48B4" w:rsidRPr="004E48B4" w:rsidRDefault="004E48B4" w:rsidP="004E48B4">
            <w:pPr>
              <w:suppressAutoHyphens w:val="0"/>
              <w:spacing w:after="0" w:line="240" w:lineRule="auto"/>
              <w:jc w:val="right"/>
              <w:rPr>
                <w:rFonts w:ascii="Times New Roman" w:hAnsi="Times New Roman"/>
                <w:lang w:val="en-US" w:eastAsia="en-US"/>
              </w:rPr>
            </w:pPr>
            <w:r w:rsidRPr="004E48B4">
              <w:rPr>
                <w:rFonts w:ascii="Times New Roman" w:hAnsi="Times New Roman"/>
                <w:lang w:val="en-US" w:eastAsia="en-US"/>
              </w:rPr>
              <w:t>17 906,3</w:t>
            </w:r>
          </w:p>
        </w:tc>
        <w:tc>
          <w:tcPr>
            <w:tcW w:w="1127" w:type="dxa"/>
            <w:tcBorders>
              <w:top w:val="nil"/>
              <w:left w:val="nil"/>
              <w:bottom w:val="single" w:sz="4" w:space="0" w:color="000000"/>
              <w:right w:val="single" w:sz="4" w:space="0" w:color="000000"/>
            </w:tcBorders>
            <w:shd w:val="clear" w:color="000000" w:fill="FFFFFF"/>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7 609,9</w:t>
            </w:r>
          </w:p>
        </w:tc>
        <w:tc>
          <w:tcPr>
            <w:tcW w:w="1127" w:type="dxa"/>
            <w:tcBorders>
              <w:top w:val="nil"/>
              <w:left w:val="nil"/>
              <w:bottom w:val="single" w:sz="4" w:space="0" w:color="000000"/>
              <w:right w:val="single" w:sz="4" w:space="0" w:color="000000"/>
            </w:tcBorders>
            <w:shd w:val="clear" w:color="000000" w:fill="FFFFFF"/>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17 906,3</w:t>
            </w:r>
          </w:p>
        </w:tc>
        <w:tc>
          <w:tcPr>
            <w:tcW w:w="986"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lang w:val="en-US" w:eastAsia="en-US"/>
              </w:rPr>
            </w:pPr>
            <w:r w:rsidRPr="004E48B4">
              <w:rPr>
                <w:rFonts w:ascii="Times New Roman" w:hAnsi="Times New Roman"/>
                <w:i/>
                <w:iCs/>
                <w:color w:val="000000"/>
                <w:lang w:val="en-US" w:eastAsia="en-US"/>
              </w:rPr>
              <w:t>0,0</w:t>
            </w:r>
          </w:p>
        </w:tc>
        <w:tc>
          <w:tcPr>
            <w:tcW w:w="845"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lang w:val="en-US" w:eastAsia="en-US"/>
              </w:rPr>
            </w:pPr>
            <w:r w:rsidRPr="004E48B4">
              <w:rPr>
                <w:rFonts w:ascii="Times New Roman" w:hAnsi="Times New Roman"/>
                <w:i/>
                <w:iCs/>
                <w:color w:val="000000"/>
                <w:lang w:val="en-US" w:eastAsia="en-US"/>
              </w:rPr>
              <w:t>100,0</w:t>
            </w:r>
          </w:p>
        </w:tc>
      </w:tr>
      <w:tr w:rsidR="004E48B4" w:rsidRPr="004E48B4" w:rsidTr="00C42D16">
        <w:trPr>
          <w:divId w:val="444080007"/>
          <w:trHeight w:val="455"/>
        </w:trPr>
        <w:tc>
          <w:tcPr>
            <w:tcW w:w="9863" w:type="dxa"/>
            <w:gridSpan w:val="8"/>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4E48B4" w:rsidRPr="004E48B4" w:rsidRDefault="004E48B4" w:rsidP="004E48B4">
            <w:pPr>
              <w:suppressAutoHyphens w:val="0"/>
              <w:spacing w:after="0" w:line="240" w:lineRule="auto"/>
              <w:jc w:val="center"/>
              <w:rPr>
                <w:rFonts w:ascii="Times New Roman" w:hAnsi="Times New Roman"/>
                <w:b/>
                <w:bCs/>
                <w:i/>
                <w:iCs/>
                <w:color w:val="000000"/>
                <w:lang w:val="en-US" w:eastAsia="en-US"/>
              </w:rPr>
            </w:pPr>
            <w:r w:rsidRPr="004E48B4">
              <w:rPr>
                <w:rFonts w:ascii="Times New Roman" w:hAnsi="Times New Roman"/>
                <w:b/>
                <w:bCs/>
                <w:i/>
                <w:iCs/>
                <w:color w:val="000000"/>
                <w:lang w:val="en-US" w:eastAsia="en-US"/>
              </w:rPr>
              <w:t>Bugetul Asigurărilor Sociale de Stat</w:t>
            </w:r>
          </w:p>
        </w:tc>
      </w:tr>
      <w:tr w:rsidR="00C42D16" w:rsidRPr="004E48B4" w:rsidTr="00C42D16">
        <w:trPr>
          <w:divId w:val="444080007"/>
          <w:trHeight w:val="293"/>
        </w:trPr>
        <w:tc>
          <w:tcPr>
            <w:tcW w:w="2742" w:type="dxa"/>
            <w:tcBorders>
              <w:top w:val="nil"/>
              <w:left w:val="single" w:sz="4" w:space="0" w:color="000000"/>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rPr>
                <w:rFonts w:ascii="Times New Roman" w:hAnsi="Times New Roman"/>
                <w:color w:val="000000"/>
                <w:lang w:val="en-US" w:eastAsia="en-US"/>
              </w:rPr>
            </w:pPr>
            <w:r w:rsidRPr="004E48B4">
              <w:rPr>
                <w:rFonts w:ascii="Times New Roman" w:hAnsi="Times New Roman"/>
                <w:color w:val="000000"/>
                <w:lang w:val="en-US" w:eastAsia="en-US"/>
              </w:rPr>
              <w:t>I. VENITURI, total</w:t>
            </w:r>
          </w:p>
        </w:tc>
        <w:tc>
          <w:tcPr>
            <w:tcW w:w="790"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center"/>
              <w:rPr>
                <w:rFonts w:ascii="Times New Roman" w:hAnsi="Times New Roman"/>
                <w:color w:val="000000"/>
                <w:lang w:val="en-US" w:eastAsia="en-US"/>
              </w:rPr>
            </w:pPr>
            <w:r w:rsidRPr="004E48B4">
              <w:rPr>
                <w:rFonts w:ascii="Times New Roman" w:hAnsi="Times New Roman"/>
                <w:color w:val="000000"/>
                <w:lang w:val="en-US" w:eastAsia="en-US"/>
              </w:rPr>
              <w:t>1</w:t>
            </w:r>
          </w:p>
        </w:tc>
        <w:tc>
          <w:tcPr>
            <w:tcW w:w="111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46 513,7</w:t>
            </w:r>
          </w:p>
        </w:tc>
        <w:tc>
          <w:tcPr>
            <w:tcW w:w="1127" w:type="dxa"/>
            <w:tcBorders>
              <w:top w:val="nil"/>
              <w:left w:val="nil"/>
              <w:bottom w:val="single" w:sz="4" w:space="0" w:color="000000"/>
              <w:right w:val="single" w:sz="4" w:space="0" w:color="000000"/>
            </w:tcBorders>
            <w:shd w:val="clear" w:color="000000" w:fill="FFFFFF"/>
            <w:noWrap/>
            <w:vAlign w:val="bottom"/>
            <w:hideMark/>
          </w:tcPr>
          <w:p w:rsidR="004E48B4" w:rsidRPr="004E48B4" w:rsidRDefault="004E48B4" w:rsidP="004E48B4">
            <w:pPr>
              <w:suppressAutoHyphens w:val="0"/>
              <w:spacing w:after="0" w:line="240" w:lineRule="auto"/>
              <w:jc w:val="right"/>
              <w:rPr>
                <w:rFonts w:ascii="Times New Roman" w:hAnsi="Times New Roman"/>
                <w:lang w:val="en-US" w:eastAsia="en-US"/>
              </w:rPr>
            </w:pPr>
            <w:r w:rsidRPr="004E48B4">
              <w:rPr>
                <w:rFonts w:ascii="Times New Roman" w:hAnsi="Times New Roman"/>
                <w:lang w:val="en-US" w:eastAsia="en-US"/>
              </w:rPr>
              <w:t>47 963,0</w:t>
            </w:r>
          </w:p>
        </w:tc>
        <w:tc>
          <w:tcPr>
            <w:tcW w:w="112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26 501,4</w:t>
            </w:r>
          </w:p>
        </w:tc>
        <w:tc>
          <w:tcPr>
            <w:tcW w:w="112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48 484,5</w:t>
            </w:r>
          </w:p>
        </w:tc>
        <w:tc>
          <w:tcPr>
            <w:tcW w:w="986"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lang w:val="en-US" w:eastAsia="en-US"/>
              </w:rPr>
            </w:pPr>
            <w:r w:rsidRPr="004E48B4">
              <w:rPr>
                <w:rFonts w:ascii="Times New Roman" w:hAnsi="Times New Roman"/>
                <w:i/>
                <w:iCs/>
                <w:color w:val="000000"/>
                <w:lang w:val="en-US" w:eastAsia="en-US"/>
              </w:rPr>
              <w:t>521,5</w:t>
            </w:r>
          </w:p>
        </w:tc>
        <w:tc>
          <w:tcPr>
            <w:tcW w:w="845"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lang w:val="en-US" w:eastAsia="en-US"/>
              </w:rPr>
            </w:pPr>
            <w:r w:rsidRPr="004E48B4">
              <w:rPr>
                <w:rFonts w:ascii="Times New Roman" w:hAnsi="Times New Roman"/>
                <w:i/>
                <w:iCs/>
                <w:color w:val="000000"/>
                <w:lang w:val="en-US" w:eastAsia="en-US"/>
              </w:rPr>
              <w:t>101,1</w:t>
            </w:r>
          </w:p>
        </w:tc>
      </w:tr>
      <w:tr w:rsidR="00C42D16" w:rsidRPr="004E48B4" w:rsidTr="00C42D16">
        <w:trPr>
          <w:divId w:val="444080007"/>
          <w:trHeight w:val="293"/>
        </w:trPr>
        <w:tc>
          <w:tcPr>
            <w:tcW w:w="2742" w:type="dxa"/>
            <w:tcBorders>
              <w:top w:val="nil"/>
              <w:left w:val="single" w:sz="4" w:space="0" w:color="000000"/>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ind w:firstLineChars="100" w:firstLine="200"/>
              <w:rPr>
                <w:rFonts w:ascii="Times New Roman" w:hAnsi="Times New Roman"/>
                <w:i/>
                <w:iCs/>
                <w:color w:val="000000"/>
                <w:sz w:val="20"/>
                <w:szCs w:val="20"/>
                <w:lang w:val="en-US" w:eastAsia="en-US"/>
              </w:rPr>
            </w:pPr>
            <w:r w:rsidRPr="004E48B4">
              <w:rPr>
                <w:rFonts w:ascii="Times New Roman" w:hAnsi="Times New Roman"/>
                <w:i/>
                <w:iCs/>
                <w:color w:val="000000"/>
                <w:sz w:val="20"/>
                <w:szCs w:val="20"/>
                <w:lang w:val="en-US" w:eastAsia="en-US"/>
              </w:rPr>
              <w:t xml:space="preserve"> inclusiv transferuri la alte bugete</w:t>
            </w:r>
          </w:p>
        </w:tc>
        <w:tc>
          <w:tcPr>
            <w:tcW w:w="790"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ind w:firstLineChars="100" w:firstLine="200"/>
              <w:rPr>
                <w:rFonts w:ascii="Times New Roman" w:hAnsi="Times New Roman"/>
                <w:i/>
                <w:iCs/>
                <w:color w:val="000000"/>
                <w:sz w:val="20"/>
                <w:szCs w:val="20"/>
                <w:lang w:val="en-US" w:eastAsia="en-US"/>
              </w:rPr>
            </w:pPr>
            <w:r w:rsidRPr="004E48B4">
              <w:rPr>
                <w:rFonts w:ascii="Times New Roman" w:hAnsi="Times New Roman"/>
                <w:i/>
                <w:iCs/>
                <w:color w:val="000000"/>
                <w:sz w:val="20"/>
                <w:szCs w:val="20"/>
                <w:lang w:val="en-US" w:eastAsia="en-US"/>
              </w:rPr>
              <w:t> </w:t>
            </w:r>
          </w:p>
        </w:tc>
        <w:tc>
          <w:tcPr>
            <w:tcW w:w="111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sz w:val="20"/>
                <w:szCs w:val="20"/>
                <w:lang w:val="en-US" w:eastAsia="en-US"/>
              </w:rPr>
            </w:pPr>
            <w:r w:rsidRPr="004E48B4">
              <w:rPr>
                <w:rFonts w:ascii="Times New Roman" w:hAnsi="Times New Roman"/>
                <w:i/>
                <w:iCs/>
                <w:color w:val="000000"/>
                <w:sz w:val="20"/>
                <w:szCs w:val="20"/>
                <w:lang w:val="en-US" w:eastAsia="en-US"/>
              </w:rPr>
              <w:t>17 948,5</w:t>
            </w:r>
          </w:p>
        </w:tc>
        <w:tc>
          <w:tcPr>
            <w:tcW w:w="1127" w:type="dxa"/>
            <w:tcBorders>
              <w:top w:val="nil"/>
              <w:left w:val="nil"/>
              <w:bottom w:val="single" w:sz="4" w:space="0" w:color="000000"/>
              <w:right w:val="single" w:sz="4" w:space="0" w:color="000000"/>
            </w:tcBorders>
            <w:shd w:val="clear" w:color="000000" w:fill="FFFFFF"/>
            <w:noWrap/>
            <w:vAlign w:val="bottom"/>
            <w:hideMark/>
          </w:tcPr>
          <w:p w:rsidR="004E48B4" w:rsidRPr="004E48B4" w:rsidRDefault="004E48B4" w:rsidP="004E48B4">
            <w:pPr>
              <w:suppressAutoHyphens w:val="0"/>
              <w:spacing w:after="0" w:line="240" w:lineRule="auto"/>
              <w:jc w:val="right"/>
              <w:rPr>
                <w:rFonts w:ascii="Times New Roman" w:hAnsi="Times New Roman"/>
                <w:i/>
                <w:iCs/>
                <w:sz w:val="20"/>
                <w:szCs w:val="20"/>
                <w:lang w:val="en-US" w:eastAsia="en-US"/>
              </w:rPr>
            </w:pPr>
            <w:r w:rsidRPr="004E48B4">
              <w:rPr>
                <w:rFonts w:ascii="Times New Roman" w:hAnsi="Times New Roman"/>
                <w:i/>
                <w:iCs/>
                <w:sz w:val="20"/>
                <w:szCs w:val="20"/>
                <w:lang w:val="en-US" w:eastAsia="en-US"/>
              </w:rPr>
              <w:t>19 397,8</w:t>
            </w:r>
          </w:p>
        </w:tc>
        <w:tc>
          <w:tcPr>
            <w:tcW w:w="112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sz w:val="20"/>
                <w:szCs w:val="20"/>
                <w:lang w:val="en-US" w:eastAsia="en-US"/>
              </w:rPr>
            </w:pPr>
            <w:r w:rsidRPr="004E48B4">
              <w:rPr>
                <w:rFonts w:ascii="Times New Roman" w:hAnsi="Times New Roman"/>
                <w:i/>
                <w:iCs/>
                <w:color w:val="000000"/>
                <w:sz w:val="20"/>
                <w:szCs w:val="20"/>
                <w:lang w:val="en-US" w:eastAsia="en-US"/>
              </w:rPr>
              <w:t>12 546,5</w:t>
            </w:r>
          </w:p>
        </w:tc>
        <w:tc>
          <w:tcPr>
            <w:tcW w:w="112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sz w:val="20"/>
                <w:szCs w:val="20"/>
                <w:lang w:val="en-US" w:eastAsia="en-US"/>
              </w:rPr>
            </w:pPr>
            <w:r w:rsidRPr="004E48B4">
              <w:rPr>
                <w:rFonts w:ascii="Times New Roman" w:hAnsi="Times New Roman"/>
                <w:i/>
                <w:iCs/>
                <w:color w:val="000000"/>
                <w:sz w:val="20"/>
                <w:szCs w:val="20"/>
                <w:lang w:val="en-US" w:eastAsia="en-US"/>
              </w:rPr>
              <w:t>19 698,3</w:t>
            </w:r>
          </w:p>
        </w:tc>
        <w:tc>
          <w:tcPr>
            <w:tcW w:w="986"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lang w:val="en-US" w:eastAsia="en-US"/>
              </w:rPr>
            </w:pPr>
            <w:r w:rsidRPr="004E48B4">
              <w:rPr>
                <w:rFonts w:ascii="Times New Roman" w:hAnsi="Times New Roman"/>
                <w:i/>
                <w:iCs/>
                <w:color w:val="000000"/>
                <w:lang w:val="en-US" w:eastAsia="en-US"/>
              </w:rPr>
              <w:t>300,5</w:t>
            </w:r>
          </w:p>
        </w:tc>
        <w:tc>
          <w:tcPr>
            <w:tcW w:w="845"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lang w:val="en-US" w:eastAsia="en-US"/>
              </w:rPr>
            </w:pPr>
            <w:r w:rsidRPr="004E48B4">
              <w:rPr>
                <w:rFonts w:ascii="Times New Roman" w:hAnsi="Times New Roman"/>
                <w:i/>
                <w:iCs/>
                <w:color w:val="000000"/>
                <w:lang w:val="en-US" w:eastAsia="en-US"/>
              </w:rPr>
              <w:t>101,5</w:t>
            </w:r>
          </w:p>
        </w:tc>
      </w:tr>
      <w:tr w:rsidR="00C42D16" w:rsidRPr="004E48B4" w:rsidTr="00C42D16">
        <w:trPr>
          <w:divId w:val="444080007"/>
          <w:trHeight w:val="293"/>
        </w:trPr>
        <w:tc>
          <w:tcPr>
            <w:tcW w:w="2742" w:type="dxa"/>
            <w:tcBorders>
              <w:top w:val="nil"/>
              <w:left w:val="single" w:sz="4" w:space="0" w:color="000000"/>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rPr>
                <w:rFonts w:ascii="Times New Roman" w:hAnsi="Times New Roman"/>
                <w:color w:val="000000"/>
                <w:lang w:val="en-US" w:eastAsia="en-US"/>
              </w:rPr>
            </w:pPr>
            <w:r w:rsidRPr="004E48B4">
              <w:rPr>
                <w:rFonts w:ascii="Times New Roman" w:hAnsi="Times New Roman"/>
                <w:color w:val="000000"/>
                <w:lang w:val="en-US" w:eastAsia="en-US"/>
              </w:rPr>
              <w:t>II.CHELTUIELI, total</w:t>
            </w:r>
          </w:p>
        </w:tc>
        <w:tc>
          <w:tcPr>
            <w:tcW w:w="790"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center"/>
              <w:rPr>
                <w:rFonts w:ascii="Times New Roman" w:hAnsi="Times New Roman"/>
                <w:color w:val="000000"/>
                <w:lang w:val="en-US" w:eastAsia="en-US"/>
              </w:rPr>
            </w:pPr>
            <w:r w:rsidRPr="004E48B4">
              <w:rPr>
                <w:rFonts w:ascii="Times New Roman" w:hAnsi="Times New Roman"/>
                <w:color w:val="000000"/>
                <w:lang w:val="en-US" w:eastAsia="en-US"/>
              </w:rPr>
              <w:t>2+3</w:t>
            </w:r>
          </w:p>
        </w:tc>
        <w:tc>
          <w:tcPr>
            <w:tcW w:w="111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46 513,7</w:t>
            </w:r>
          </w:p>
        </w:tc>
        <w:tc>
          <w:tcPr>
            <w:tcW w:w="1127" w:type="dxa"/>
            <w:tcBorders>
              <w:top w:val="nil"/>
              <w:left w:val="nil"/>
              <w:bottom w:val="single" w:sz="4" w:space="0" w:color="000000"/>
              <w:right w:val="single" w:sz="4" w:space="0" w:color="000000"/>
            </w:tcBorders>
            <w:shd w:val="clear" w:color="000000" w:fill="FFFFFF"/>
            <w:noWrap/>
            <w:vAlign w:val="bottom"/>
            <w:hideMark/>
          </w:tcPr>
          <w:p w:rsidR="004E48B4" w:rsidRPr="004E48B4" w:rsidRDefault="004E48B4" w:rsidP="004E48B4">
            <w:pPr>
              <w:suppressAutoHyphens w:val="0"/>
              <w:spacing w:after="0" w:line="240" w:lineRule="auto"/>
              <w:jc w:val="right"/>
              <w:rPr>
                <w:rFonts w:ascii="Times New Roman" w:hAnsi="Times New Roman"/>
                <w:lang w:val="en-US" w:eastAsia="en-US"/>
              </w:rPr>
            </w:pPr>
            <w:r w:rsidRPr="004E48B4">
              <w:rPr>
                <w:rFonts w:ascii="Times New Roman" w:hAnsi="Times New Roman"/>
                <w:lang w:val="en-US" w:eastAsia="en-US"/>
              </w:rPr>
              <w:t>47 963,0</w:t>
            </w:r>
          </w:p>
        </w:tc>
        <w:tc>
          <w:tcPr>
            <w:tcW w:w="112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24 965,6</w:t>
            </w:r>
          </w:p>
        </w:tc>
        <w:tc>
          <w:tcPr>
            <w:tcW w:w="112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48 484,5</w:t>
            </w:r>
          </w:p>
        </w:tc>
        <w:tc>
          <w:tcPr>
            <w:tcW w:w="986"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lang w:val="en-US" w:eastAsia="en-US"/>
              </w:rPr>
            </w:pPr>
            <w:r w:rsidRPr="004E48B4">
              <w:rPr>
                <w:rFonts w:ascii="Times New Roman" w:hAnsi="Times New Roman"/>
                <w:i/>
                <w:iCs/>
                <w:color w:val="000000"/>
                <w:lang w:val="en-US" w:eastAsia="en-US"/>
              </w:rPr>
              <w:t>521,5</w:t>
            </w:r>
          </w:p>
        </w:tc>
        <w:tc>
          <w:tcPr>
            <w:tcW w:w="845"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lang w:val="en-US" w:eastAsia="en-US"/>
              </w:rPr>
            </w:pPr>
            <w:r w:rsidRPr="004E48B4">
              <w:rPr>
                <w:rFonts w:ascii="Times New Roman" w:hAnsi="Times New Roman"/>
                <w:i/>
                <w:iCs/>
                <w:color w:val="000000"/>
                <w:lang w:val="en-US" w:eastAsia="en-US"/>
              </w:rPr>
              <w:t>101,1</w:t>
            </w:r>
          </w:p>
        </w:tc>
      </w:tr>
      <w:tr w:rsidR="00C42D16" w:rsidRPr="004E48B4" w:rsidTr="00C42D16">
        <w:trPr>
          <w:divId w:val="444080007"/>
          <w:trHeight w:val="293"/>
        </w:trPr>
        <w:tc>
          <w:tcPr>
            <w:tcW w:w="2742" w:type="dxa"/>
            <w:tcBorders>
              <w:top w:val="nil"/>
              <w:left w:val="single" w:sz="4" w:space="0" w:color="000000"/>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rPr>
                <w:rFonts w:ascii="Times New Roman" w:hAnsi="Times New Roman"/>
                <w:color w:val="000000"/>
                <w:lang w:val="en-US" w:eastAsia="en-US"/>
              </w:rPr>
            </w:pPr>
            <w:r w:rsidRPr="004E48B4">
              <w:rPr>
                <w:rFonts w:ascii="Times New Roman" w:hAnsi="Times New Roman"/>
                <w:color w:val="000000"/>
                <w:lang w:val="en-US" w:eastAsia="en-US"/>
              </w:rPr>
              <w:t>III.SOLD BUGETAR</w:t>
            </w:r>
          </w:p>
        </w:tc>
        <w:tc>
          <w:tcPr>
            <w:tcW w:w="790"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center"/>
              <w:rPr>
                <w:rFonts w:ascii="Times New Roman" w:hAnsi="Times New Roman"/>
                <w:color w:val="000000"/>
                <w:lang w:val="en-US" w:eastAsia="en-US"/>
              </w:rPr>
            </w:pPr>
            <w:r w:rsidRPr="004E48B4">
              <w:rPr>
                <w:rFonts w:ascii="Times New Roman" w:hAnsi="Times New Roman"/>
                <w:color w:val="000000"/>
                <w:lang w:val="en-US" w:eastAsia="en-US"/>
              </w:rPr>
              <w:t>1-(2+3)</w:t>
            </w:r>
          </w:p>
        </w:tc>
        <w:tc>
          <w:tcPr>
            <w:tcW w:w="111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0,0</w:t>
            </w:r>
          </w:p>
        </w:tc>
        <w:tc>
          <w:tcPr>
            <w:tcW w:w="1127" w:type="dxa"/>
            <w:tcBorders>
              <w:top w:val="nil"/>
              <w:left w:val="nil"/>
              <w:bottom w:val="single" w:sz="4" w:space="0" w:color="000000"/>
              <w:right w:val="single" w:sz="4" w:space="0" w:color="000000"/>
            </w:tcBorders>
            <w:shd w:val="clear" w:color="000000" w:fill="FFFFFF"/>
            <w:noWrap/>
            <w:vAlign w:val="bottom"/>
            <w:hideMark/>
          </w:tcPr>
          <w:p w:rsidR="004E48B4" w:rsidRPr="004E48B4" w:rsidRDefault="004E48B4" w:rsidP="004E48B4">
            <w:pPr>
              <w:suppressAutoHyphens w:val="0"/>
              <w:spacing w:after="0" w:line="240" w:lineRule="auto"/>
              <w:jc w:val="right"/>
              <w:rPr>
                <w:rFonts w:ascii="Times New Roman" w:hAnsi="Times New Roman"/>
                <w:lang w:val="en-US" w:eastAsia="en-US"/>
              </w:rPr>
            </w:pPr>
            <w:r w:rsidRPr="004E48B4">
              <w:rPr>
                <w:rFonts w:ascii="Times New Roman" w:hAnsi="Times New Roman"/>
                <w:lang w:val="en-US" w:eastAsia="en-US"/>
              </w:rPr>
              <w:t>0,0</w:t>
            </w:r>
          </w:p>
        </w:tc>
        <w:tc>
          <w:tcPr>
            <w:tcW w:w="112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1 535,8</w:t>
            </w:r>
          </w:p>
        </w:tc>
        <w:tc>
          <w:tcPr>
            <w:tcW w:w="112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0,0</w:t>
            </w:r>
          </w:p>
        </w:tc>
        <w:tc>
          <w:tcPr>
            <w:tcW w:w="986"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lang w:val="en-US" w:eastAsia="en-US"/>
              </w:rPr>
            </w:pPr>
            <w:r w:rsidRPr="004E48B4">
              <w:rPr>
                <w:rFonts w:ascii="Times New Roman" w:hAnsi="Times New Roman"/>
                <w:i/>
                <w:iCs/>
                <w:color w:val="000000"/>
                <w:lang w:val="en-US" w:eastAsia="en-US"/>
              </w:rPr>
              <w:t>0,0</w:t>
            </w:r>
          </w:p>
        </w:tc>
        <w:tc>
          <w:tcPr>
            <w:tcW w:w="845"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rPr>
                <w:rFonts w:ascii="Times New Roman" w:hAnsi="Times New Roman"/>
                <w:i/>
                <w:iCs/>
                <w:color w:val="000000"/>
                <w:lang w:val="en-US" w:eastAsia="en-US"/>
              </w:rPr>
            </w:pPr>
            <w:r w:rsidRPr="004E48B4">
              <w:rPr>
                <w:rFonts w:ascii="Times New Roman" w:hAnsi="Times New Roman"/>
                <w:i/>
                <w:iCs/>
                <w:color w:val="000000"/>
                <w:lang w:val="en-US" w:eastAsia="en-US"/>
              </w:rPr>
              <w:t> </w:t>
            </w:r>
          </w:p>
        </w:tc>
      </w:tr>
      <w:tr w:rsidR="00C42D16" w:rsidRPr="004E48B4" w:rsidTr="00C42D16">
        <w:trPr>
          <w:divId w:val="444080007"/>
          <w:trHeight w:val="293"/>
        </w:trPr>
        <w:tc>
          <w:tcPr>
            <w:tcW w:w="2742" w:type="dxa"/>
            <w:tcBorders>
              <w:top w:val="nil"/>
              <w:left w:val="single" w:sz="4" w:space="0" w:color="000000"/>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rPr>
                <w:rFonts w:ascii="Times New Roman" w:hAnsi="Times New Roman"/>
                <w:color w:val="000000"/>
                <w:lang w:val="en-US" w:eastAsia="en-US"/>
              </w:rPr>
            </w:pPr>
            <w:r w:rsidRPr="004E48B4">
              <w:rPr>
                <w:rFonts w:ascii="Times New Roman" w:hAnsi="Times New Roman"/>
                <w:color w:val="000000"/>
                <w:lang w:val="en-US" w:eastAsia="en-US"/>
              </w:rPr>
              <w:t>IV.SURSE DE FINANȚARE, total</w:t>
            </w:r>
          </w:p>
        </w:tc>
        <w:tc>
          <w:tcPr>
            <w:tcW w:w="790"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center"/>
              <w:rPr>
                <w:rFonts w:ascii="Times New Roman" w:hAnsi="Times New Roman"/>
                <w:color w:val="000000"/>
                <w:lang w:val="en-US" w:eastAsia="en-US"/>
              </w:rPr>
            </w:pPr>
            <w:r w:rsidRPr="004E48B4">
              <w:rPr>
                <w:rFonts w:ascii="Times New Roman" w:hAnsi="Times New Roman"/>
                <w:color w:val="000000"/>
                <w:lang w:val="en-US" w:eastAsia="en-US"/>
              </w:rPr>
              <w:t>4+5+9</w:t>
            </w:r>
          </w:p>
        </w:tc>
        <w:tc>
          <w:tcPr>
            <w:tcW w:w="111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 </w:t>
            </w:r>
          </w:p>
        </w:tc>
        <w:tc>
          <w:tcPr>
            <w:tcW w:w="1127" w:type="dxa"/>
            <w:tcBorders>
              <w:top w:val="nil"/>
              <w:left w:val="nil"/>
              <w:bottom w:val="single" w:sz="4" w:space="0" w:color="000000"/>
              <w:right w:val="single" w:sz="4" w:space="0" w:color="000000"/>
            </w:tcBorders>
            <w:shd w:val="clear" w:color="000000" w:fill="FFFFFF"/>
            <w:noWrap/>
            <w:vAlign w:val="bottom"/>
            <w:hideMark/>
          </w:tcPr>
          <w:p w:rsidR="004E48B4" w:rsidRPr="004E48B4" w:rsidRDefault="004E48B4" w:rsidP="004E48B4">
            <w:pPr>
              <w:suppressAutoHyphens w:val="0"/>
              <w:spacing w:after="0" w:line="240" w:lineRule="auto"/>
              <w:jc w:val="right"/>
              <w:rPr>
                <w:rFonts w:ascii="Times New Roman" w:hAnsi="Times New Roman"/>
                <w:lang w:val="en-US" w:eastAsia="en-US"/>
              </w:rPr>
            </w:pPr>
            <w:r w:rsidRPr="004E48B4">
              <w:rPr>
                <w:rFonts w:ascii="Times New Roman" w:hAnsi="Times New Roman"/>
                <w:lang w:val="en-US" w:eastAsia="en-US"/>
              </w:rPr>
              <w:t> </w:t>
            </w:r>
          </w:p>
        </w:tc>
        <w:tc>
          <w:tcPr>
            <w:tcW w:w="112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-1 535,8</w:t>
            </w:r>
          </w:p>
        </w:tc>
        <w:tc>
          <w:tcPr>
            <w:tcW w:w="112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 </w:t>
            </w:r>
          </w:p>
        </w:tc>
        <w:tc>
          <w:tcPr>
            <w:tcW w:w="986"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lang w:val="en-US" w:eastAsia="en-US"/>
              </w:rPr>
            </w:pPr>
            <w:r w:rsidRPr="004E48B4">
              <w:rPr>
                <w:rFonts w:ascii="Times New Roman" w:hAnsi="Times New Roman"/>
                <w:i/>
                <w:iCs/>
                <w:color w:val="000000"/>
                <w:lang w:val="en-US" w:eastAsia="en-US"/>
              </w:rPr>
              <w:t>0,0</w:t>
            </w:r>
          </w:p>
        </w:tc>
        <w:tc>
          <w:tcPr>
            <w:tcW w:w="845"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rPr>
                <w:rFonts w:ascii="Times New Roman" w:hAnsi="Times New Roman"/>
                <w:i/>
                <w:iCs/>
                <w:color w:val="000000"/>
                <w:lang w:val="en-US" w:eastAsia="en-US"/>
              </w:rPr>
            </w:pPr>
            <w:r w:rsidRPr="004E48B4">
              <w:rPr>
                <w:rFonts w:ascii="Times New Roman" w:hAnsi="Times New Roman"/>
                <w:i/>
                <w:iCs/>
                <w:color w:val="000000"/>
                <w:lang w:val="en-US" w:eastAsia="en-US"/>
              </w:rPr>
              <w:t> </w:t>
            </w:r>
          </w:p>
        </w:tc>
      </w:tr>
      <w:tr w:rsidR="004E48B4" w:rsidRPr="004E48B4" w:rsidTr="00C42D16">
        <w:trPr>
          <w:divId w:val="444080007"/>
          <w:trHeight w:val="425"/>
        </w:trPr>
        <w:tc>
          <w:tcPr>
            <w:tcW w:w="9863"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E48B4" w:rsidRPr="004E48B4" w:rsidRDefault="004E48B4" w:rsidP="004E48B4">
            <w:pPr>
              <w:suppressAutoHyphens w:val="0"/>
              <w:spacing w:after="0" w:line="240" w:lineRule="auto"/>
              <w:jc w:val="center"/>
              <w:rPr>
                <w:rFonts w:ascii="Times New Roman" w:hAnsi="Times New Roman"/>
                <w:b/>
                <w:bCs/>
                <w:i/>
                <w:iCs/>
                <w:color w:val="000000"/>
                <w:lang w:val="en-US" w:eastAsia="en-US"/>
              </w:rPr>
            </w:pPr>
            <w:r w:rsidRPr="004E48B4">
              <w:rPr>
                <w:rFonts w:ascii="Times New Roman" w:hAnsi="Times New Roman"/>
                <w:b/>
                <w:bCs/>
                <w:i/>
                <w:iCs/>
                <w:color w:val="000000"/>
                <w:lang w:val="en-US" w:eastAsia="en-US"/>
              </w:rPr>
              <w:t>Fondurile Asigurării Obligatorii de Asistență Medicală</w:t>
            </w:r>
          </w:p>
        </w:tc>
      </w:tr>
      <w:tr w:rsidR="00C42D16" w:rsidRPr="004E48B4" w:rsidTr="00C42D16">
        <w:trPr>
          <w:divId w:val="444080007"/>
          <w:trHeight w:val="293"/>
        </w:trPr>
        <w:tc>
          <w:tcPr>
            <w:tcW w:w="2742" w:type="dxa"/>
            <w:tcBorders>
              <w:top w:val="nil"/>
              <w:left w:val="single" w:sz="4" w:space="0" w:color="000000"/>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rPr>
                <w:rFonts w:ascii="Times New Roman" w:hAnsi="Times New Roman"/>
                <w:color w:val="000000"/>
                <w:lang w:val="en-US" w:eastAsia="en-US"/>
              </w:rPr>
            </w:pPr>
            <w:r w:rsidRPr="004E48B4">
              <w:rPr>
                <w:rFonts w:ascii="Times New Roman" w:hAnsi="Times New Roman"/>
                <w:color w:val="000000"/>
                <w:lang w:val="en-US" w:eastAsia="en-US"/>
              </w:rPr>
              <w:t>I. VENITURI, total</w:t>
            </w:r>
          </w:p>
        </w:tc>
        <w:tc>
          <w:tcPr>
            <w:tcW w:w="790"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center"/>
              <w:rPr>
                <w:rFonts w:ascii="Times New Roman" w:hAnsi="Times New Roman"/>
                <w:color w:val="000000"/>
                <w:lang w:val="en-US" w:eastAsia="en-US"/>
              </w:rPr>
            </w:pPr>
            <w:r w:rsidRPr="004E48B4">
              <w:rPr>
                <w:rFonts w:ascii="Times New Roman" w:hAnsi="Times New Roman"/>
                <w:color w:val="000000"/>
                <w:lang w:val="en-US" w:eastAsia="en-US"/>
              </w:rPr>
              <w:t>1</w:t>
            </w:r>
          </w:p>
        </w:tc>
        <w:tc>
          <w:tcPr>
            <w:tcW w:w="111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17 391,5</w:t>
            </w:r>
          </w:p>
        </w:tc>
        <w:tc>
          <w:tcPr>
            <w:tcW w:w="1127" w:type="dxa"/>
            <w:tcBorders>
              <w:top w:val="nil"/>
              <w:left w:val="nil"/>
              <w:bottom w:val="single" w:sz="4" w:space="0" w:color="000000"/>
              <w:right w:val="single" w:sz="4" w:space="0" w:color="000000"/>
            </w:tcBorders>
            <w:shd w:val="clear" w:color="000000" w:fill="FFFFFF"/>
            <w:noWrap/>
            <w:vAlign w:val="bottom"/>
            <w:hideMark/>
          </w:tcPr>
          <w:p w:rsidR="004E48B4" w:rsidRPr="004E48B4" w:rsidRDefault="004E48B4" w:rsidP="004E48B4">
            <w:pPr>
              <w:suppressAutoHyphens w:val="0"/>
              <w:spacing w:after="0" w:line="240" w:lineRule="auto"/>
              <w:jc w:val="right"/>
              <w:rPr>
                <w:rFonts w:ascii="Times New Roman" w:hAnsi="Times New Roman"/>
                <w:lang w:val="en-US" w:eastAsia="en-US"/>
              </w:rPr>
            </w:pPr>
            <w:r w:rsidRPr="004E48B4">
              <w:rPr>
                <w:rFonts w:ascii="Times New Roman" w:hAnsi="Times New Roman"/>
                <w:lang w:val="en-US" w:eastAsia="en-US"/>
              </w:rPr>
              <w:t>17 391,5</w:t>
            </w:r>
          </w:p>
        </w:tc>
        <w:tc>
          <w:tcPr>
            <w:tcW w:w="112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6 885,1</w:t>
            </w:r>
          </w:p>
        </w:tc>
        <w:tc>
          <w:tcPr>
            <w:tcW w:w="112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17 591,0</w:t>
            </w:r>
          </w:p>
        </w:tc>
        <w:tc>
          <w:tcPr>
            <w:tcW w:w="986"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lang w:val="en-US" w:eastAsia="en-US"/>
              </w:rPr>
            </w:pPr>
            <w:r w:rsidRPr="004E48B4">
              <w:rPr>
                <w:rFonts w:ascii="Times New Roman" w:hAnsi="Times New Roman"/>
                <w:i/>
                <w:iCs/>
                <w:color w:val="000000"/>
                <w:lang w:val="en-US" w:eastAsia="en-US"/>
              </w:rPr>
              <w:t>199,5</w:t>
            </w:r>
          </w:p>
        </w:tc>
        <w:tc>
          <w:tcPr>
            <w:tcW w:w="845"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lang w:val="en-US" w:eastAsia="en-US"/>
              </w:rPr>
            </w:pPr>
            <w:r w:rsidRPr="004E48B4">
              <w:rPr>
                <w:rFonts w:ascii="Times New Roman" w:hAnsi="Times New Roman"/>
                <w:i/>
                <w:iCs/>
                <w:color w:val="000000"/>
                <w:lang w:val="en-US" w:eastAsia="en-US"/>
              </w:rPr>
              <w:t>101,1</w:t>
            </w:r>
          </w:p>
        </w:tc>
      </w:tr>
      <w:tr w:rsidR="00C42D16" w:rsidRPr="004E48B4" w:rsidTr="00C42D16">
        <w:trPr>
          <w:divId w:val="444080007"/>
          <w:trHeight w:val="293"/>
        </w:trPr>
        <w:tc>
          <w:tcPr>
            <w:tcW w:w="2742" w:type="dxa"/>
            <w:tcBorders>
              <w:top w:val="nil"/>
              <w:left w:val="single" w:sz="4" w:space="0" w:color="000000"/>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ind w:firstLineChars="100" w:firstLine="200"/>
              <w:rPr>
                <w:rFonts w:ascii="Times New Roman" w:hAnsi="Times New Roman"/>
                <w:i/>
                <w:iCs/>
                <w:color w:val="000000"/>
                <w:sz w:val="20"/>
                <w:szCs w:val="20"/>
                <w:lang w:val="en-US" w:eastAsia="en-US"/>
              </w:rPr>
            </w:pPr>
            <w:r w:rsidRPr="004E48B4">
              <w:rPr>
                <w:rFonts w:ascii="Times New Roman" w:hAnsi="Times New Roman"/>
                <w:i/>
                <w:iCs/>
                <w:color w:val="000000"/>
                <w:sz w:val="20"/>
                <w:szCs w:val="20"/>
                <w:lang w:val="en-US" w:eastAsia="en-US"/>
              </w:rPr>
              <w:t xml:space="preserve"> inclusiv transferuri la alte bugete</w:t>
            </w:r>
          </w:p>
        </w:tc>
        <w:tc>
          <w:tcPr>
            <w:tcW w:w="790"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ind w:firstLineChars="100" w:firstLine="200"/>
              <w:rPr>
                <w:rFonts w:ascii="Times New Roman" w:hAnsi="Times New Roman"/>
                <w:i/>
                <w:iCs/>
                <w:color w:val="000000"/>
                <w:sz w:val="20"/>
                <w:szCs w:val="20"/>
                <w:lang w:val="en-US" w:eastAsia="en-US"/>
              </w:rPr>
            </w:pPr>
            <w:r w:rsidRPr="004E48B4">
              <w:rPr>
                <w:rFonts w:ascii="Times New Roman" w:hAnsi="Times New Roman"/>
                <w:i/>
                <w:iCs/>
                <w:color w:val="000000"/>
                <w:sz w:val="20"/>
                <w:szCs w:val="20"/>
                <w:lang w:val="en-US" w:eastAsia="en-US"/>
              </w:rPr>
              <w:t> </w:t>
            </w:r>
          </w:p>
        </w:tc>
        <w:tc>
          <w:tcPr>
            <w:tcW w:w="111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sz w:val="20"/>
                <w:szCs w:val="20"/>
                <w:lang w:val="en-US" w:eastAsia="en-US"/>
              </w:rPr>
            </w:pPr>
            <w:r w:rsidRPr="004E48B4">
              <w:rPr>
                <w:rFonts w:ascii="Times New Roman" w:hAnsi="Times New Roman"/>
                <w:i/>
                <w:iCs/>
                <w:color w:val="000000"/>
                <w:sz w:val="20"/>
                <w:szCs w:val="20"/>
                <w:lang w:val="en-US" w:eastAsia="en-US"/>
              </w:rPr>
              <w:t>7 328,1</w:t>
            </w:r>
          </w:p>
        </w:tc>
        <w:tc>
          <w:tcPr>
            <w:tcW w:w="1127" w:type="dxa"/>
            <w:tcBorders>
              <w:top w:val="nil"/>
              <w:left w:val="nil"/>
              <w:bottom w:val="single" w:sz="4" w:space="0" w:color="000000"/>
              <w:right w:val="single" w:sz="4" w:space="0" w:color="000000"/>
            </w:tcBorders>
            <w:shd w:val="clear" w:color="000000" w:fill="FFFFFF"/>
            <w:noWrap/>
            <w:vAlign w:val="bottom"/>
            <w:hideMark/>
          </w:tcPr>
          <w:p w:rsidR="004E48B4" w:rsidRPr="004E48B4" w:rsidRDefault="004E48B4" w:rsidP="004E48B4">
            <w:pPr>
              <w:suppressAutoHyphens w:val="0"/>
              <w:spacing w:after="0" w:line="240" w:lineRule="auto"/>
              <w:jc w:val="right"/>
              <w:rPr>
                <w:rFonts w:ascii="Times New Roman" w:hAnsi="Times New Roman"/>
                <w:i/>
                <w:iCs/>
                <w:sz w:val="20"/>
                <w:szCs w:val="20"/>
                <w:lang w:val="en-US" w:eastAsia="en-US"/>
              </w:rPr>
            </w:pPr>
            <w:r w:rsidRPr="004E48B4">
              <w:rPr>
                <w:rFonts w:ascii="Times New Roman" w:hAnsi="Times New Roman"/>
                <w:i/>
                <w:iCs/>
                <w:sz w:val="20"/>
                <w:szCs w:val="20"/>
                <w:lang w:val="en-US" w:eastAsia="en-US"/>
              </w:rPr>
              <w:t>7 328,1</w:t>
            </w:r>
          </w:p>
        </w:tc>
        <w:tc>
          <w:tcPr>
            <w:tcW w:w="112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sz w:val="20"/>
                <w:szCs w:val="20"/>
                <w:lang w:val="en-US" w:eastAsia="en-US"/>
              </w:rPr>
            </w:pPr>
            <w:r w:rsidRPr="004E48B4">
              <w:rPr>
                <w:rFonts w:ascii="Times New Roman" w:hAnsi="Times New Roman"/>
                <w:i/>
                <w:iCs/>
                <w:color w:val="000000"/>
                <w:sz w:val="20"/>
                <w:szCs w:val="20"/>
                <w:lang w:val="en-US" w:eastAsia="en-US"/>
              </w:rPr>
              <w:t>1 832,1</w:t>
            </w:r>
          </w:p>
        </w:tc>
        <w:tc>
          <w:tcPr>
            <w:tcW w:w="112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sz w:val="20"/>
                <w:szCs w:val="20"/>
                <w:lang w:val="en-US" w:eastAsia="en-US"/>
              </w:rPr>
            </w:pPr>
            <w:r w:rsidRPr="004E48B4">
              <w:rPr>
                <w:rFonts w:ascii="Times New Roman" w:hAnsi="Times New Roman"/>
                <w:i/>
                <w:iCs/>
                <w:color w:val="000000"/>
                <w:sz w:val="20"/>
                <w:szCs w:val="20"/>
                <w:lang w:val="en-US" w:eastAsia="en-US"/>
              </w:rPr>
              <w:t>7 328,1</w:t>
            </w:r>
          </w:p>
        </w:tc>
        <w:tc>
          <w:tcPr>
            <w:tcW w:w="986"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lang w:val="en-US" w:eastAsia="en-US"/>
              </w:rPr>
            </w:pPr>
            <w:r w:rsidRPr="004E48B4">
              <w:rPr>
                <w:rFonts w:ascii="Times New Roman" w:hAnsi="Times New Roman"/>
                <w:i/>
                <w:iCs/>
                <w:color w:val="000000"/>
                <w:lang w:val="en-US" w:eastAsia="en-US"/>
              </w:rPr>
              <w:t>0,0</w:t>
            </w:r>
          </w:p>
        </w:tc>
        <w:tc>
          <w:tcPr>
            <w:tcW w:w="845"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lang w:val="en-US" w:eastAsia="en-US"/>
              </w:rPr>
            </w:pPr>
            <w:r w:rsidRPr="004E48B4">
              <w:rPr>
                <w:rFonts w:ascii="Times New Roman" w:hAnsi="Times New Roman"/>
                <w:i/>
                <w:iCs/>
                <w:color w:val="000000"/>
                <w:lang w:val="en-US" w:eastAsia="en-US"/>
              </w:rPr>
              <w:t>100,0</w:t>
            </w:r>
          </w:p>
        </w:tc>
      </w:tr>
      <w:tr w:rsidR="00C42D16" w:rsidRPr="004E48B4" w:rsidTr="00C42D16">
        <w:trPr>
          <w:divId w:val="444080007"/>
          <w:trHeight w:val="293"/>
        </w:trPr>
        <w:tc>
          <w:tcPr>
            <w:tcW w:w="2742" w:type="dxa"/>
            <w:tcBorders>
              <w:top w:val="nil"/>
              <w:left w:val="single" w:sz="4" w:space="0" w:color="000000"/>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rPr>
                <w:rFonts w:ascii="Times New Roman" w:hAnsi="Times New Roman"/>
                <w:color w:val="000000"/>
                <w:lang w:val="en-US" w:eastAsia="en-US"/>
              </w:rPr>
            </w:pPr>
            <w:r w:rsidRPr="004E48B4">
              <w:rPr>
                <w:rFonts w:ascii="Times New Roman" w:hAnsi="Times New Roman"/>
                <w:color w:val="000000"/>
                <w:lang w:val="en-US" w:eastAsia="en-US"/>
              </w:rPr>
              <w:t>II.CHELTUIELI, total</w:t>
            </w:r>
          </w:p>
        </w:tc>
        <w:tc>
          <w:tcPr>
            <w:tcW w:w="790"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center"/>
              <w:rPr>
                <w:rFonts w:ascii="Times New Roman" w:hAnsi="Times New Roman"/>
                <w:color w:val="000000"/>
                <w:lang w:val="en-US" w:eastAsia="en-US"/>
              </w:rPr>
            </w:pPr>
            <w:r w:rsidRPr="004E48B4">
              <w:rPr>
                <w:rFonts w:ascii="Times New Roman" w:hAnsi="Times New Roman"/>
                <w:color w:val="000000"/>
                <w:lang w:val="en-US" w:eastAsia="en-US"/>
              </w:rPr>
              <w:t>2+3</w:t>
            </w:r>
          </w:p>
        </w:tc>
        <w:tc>
          <w:tcPr>
            <w:tcW w:w="111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17 391,5</w:t>
            </w:r>
          </w:p>
        </w:tc>
        <w:tc>
          <w:tcPr>
            <w:tcW w:w="1127" w:type="dxa"/>
            <w:tcBorders>
              <w:top w:val="nil"/>
              <w:left w:val="nil"/>
              <w:bottom w:val="single" w:sz="4" w:space="0" w:color="000000"/>
              <w:right w:val="single" w:sz="4" w:space="0" w:color="000000"/>
            </w:tcBorders>
            <w:shd w:val="clear" w:color="000000" w:fill="FFFFFF"/>
            <w:noWrap/>
            <w:vAlign w:val="bottom"/>
            <w:hideMark/>
          </w:tcPr>
          <w:p w:rsidR="004E48B4" w:rsidRPr="004E48B4" w:rsidRDefault="004E48B4" w:rsidP="004E48B4">
            <w:pPr>
              <w:suppressAutoHyphens w:val="0"/>
              <w:spacing w:after="0" w:line="240" w:lineRule="auto"/>
              <w:jc w:val="right"/>
              <w:rPr>
                <w:rFonts w:ascii="Times New Roman" w:hAnsi="Times New Roman"/>
                <w:lang w:val="en-US" w:eastAsia="en-US"/>
              </w:rPr>
            </w:pPr>
            <w:r w:rsidRPr="004E48B4">
              <w:rPr>
                <w:rFonts w:ascii="Times New Roman" w:hAnsi="Times New Roman"/>
                <w:lang w:val="en-US" w:eastAsia="en-US"/>
              </w:rPr>
              <w:t>17 391,5</w:t>
            </w:r>
          </w:p>
        </w:tc>
        <w:tc>
          <w:tcPr>
            <w:tcW w:w="112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8 327,8</w:t>
            </w:r>
          </w:p>
        </w:tc>
        <w:tc>
          <w:tcPr>
            <w:tcW w:w="112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17 591,0</w:t>
            </w:r>
          </w:p>
        </w:tc>
        <w:tc>
          <w:tcPr>
            <w:tcW w:w="986"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lang w:val="en-US" w:eastAsia="en-US"/>
              </w:rPr>
            </w:pPr>
            <w:r w:rsidRPr="004E48B4">
              <w:rPr>
                <w:rFonts w:ascii="Times New Roman" w:hAnsi="Times New Roman"/>
                <w:i/>
                <w:iCs/>
                <w:color w:val="000000"/>
                <w:lang w:val="en-US" w:eastAsia="en-US"/>
              </w:rPr>
              <w:t>199,5</w:t>
            </w:r>
          </w:p>
        </w:tc>
        <w:tc>
          <w:tcPr>
            <w:tcW w:w="845"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lang w:val="en-US" w:eastAsia="en-US"/>
              </w:rPr>
            </w:pPr>
            <w:r w:rsidRPr="004E48B4">
              <w:rPr>
                <w:rFonts w:ascii="Times New Roman" w:hAnsi="Times New Roman"/>
                <w:i/>
                <w:iCs/>
                <w:color w:val="000000"/>
                <w:lang w:val="en-US" w:eastAsia="en-US"/>
              </w:rPr>
              <w:t>101,1</w:t>
            </w:r>
          </w:p>
        </w:tc>
      </w:tr>
      <w:tr w:rsidR="00C42D16" w:rsidRPr="004E48B4" w:rsidTr="00C42D16">
        <w:trPr>
          <w:divId w:val="444080007"/>
          <w:trHeight w:val="293"/>
        </w:trPr>
        <w:tc>
          <w:tcPr>
            <w:tcW w:w="2742" w:type="dxa"/>
            <w:tcBorders>
              <w:top w:val="nil"/>
              <w:left w:val="single" w:sz="4" w:space="0" w:color="000000"/>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rPr>
                <w:rFonts w:ascii="Times New Roman" w:hAnsi="Times New Roman"/>
                <w:color w:val="000000"/>
                <w:lang w:val="en-US" w:eastAsia="en-US"/>
              </w:rPr>
            </w:pPr>
            <w:r w:rsidRPr="004E48B4">
              <w:rPr>
                <w:rFonts w:ascii="Times New Roman" w:hAnsi="Times New Roman"/>
                <w:color w:val="000000"/>
                <w:lang w:val="en-US" w:eastAsia="en-US"/>
              </w:rPr>
              <w:t>III.SOLD BUGETAR</w:t>
            </w:r>
          </w:p>
        </w:tc>
        <w:tc>
          <w:tcPr>
            <w:tcW w:w="790"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center"/>
              <w:rPr>
                <w:rFonts w:ascii="Times New Roman" w:hAnsi="Times New Roman"/>
                <w:color w:val="000000"/>
                <w:lang w:val="en-US" w:eastAsia="en-US"/>
              </w:rPr>
            </w:pPr>
            <w:r w:rsidRPr="004E48B4">
              <w:rPr>
                <w:rFonts w:ascii="Times New Roman" w:hAnsi="Times New Roman"/>
                <w:color w:val="000000"/>
                <w:lang w:val="en-US" w:eastAsia="en-US"/>
              </w:rPr>
              <w:t>1-(2+3)</w:t>
            </w:r>
          </w:p>
        </w:tc>
        <w:tc>
          <w:tcPr>
            <w:tcW w:w="111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0,0</w:t>
            </w:r>
          </w:p>
        </w:tc>
        <w:tc>
          <w:tcPr>
            <w:tcW w:w="1127" w:type="dxa"/>
            <w:tcBorders>
              <w:top w:val="nil"/>
              <w:left w:val="nil"/>
              <w:bottom w:val="single" w:sz="4" w:space="0" w:color="000000"/>
              <w:right w:val="single" w:sz="4" w:space="0" w:color="000000"/>
            </w:tcBorders>
            <w:shd w:val="clear" w:color="000000" w:fill="FFFFFF"/>
            <w:noWrap/>
            <w:vAlign w:val="bottom"/>
            <w:hideMark/>
          </w:tcPr>
          <w:p w:rsidR="004E48B4" w:rsidRPr="004E48B4" w:rsidRDefault="004E48B4" w:rsidP="004E48B4">
            <w:pPr>
              <w:suppressAutoHyphens w:val="0"/>
              <w:spacing w:after="0" w:line="240" w:lineRule="auto"/>
              <w:jc w:val="right"/>
              <w:rPr>
                <w:rFonts w:ascii="Times New Roman" w:hAnsi="Times New Roman"/>
                <w:lang w:val="en-US" w:eastAsia="en-US"/>
              </w:rPr>
            </w:pPr>
            <w:r w:rsidRPr="004E48B4">
              <w:rPr>
                <w:rFonts w:ascii="Times New Roman" w:hAnsi="Times New Roman"/>
                <w:lang w:val="en-US" w:eastAsia="en-US"/>
              </w:rPr>
              <w:t>0,0</w:t>
            </w:r>
          </w:p>
        </w:tc>
        <w:tc>
          <w:tcPr>
            <w:tcW w:w="112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-1 442,7</w:t>
            </w:r>
          </w:p>
        </w:tc>
        <w:tc>
          <w:tcPr>
            <w:tcW w:w="112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0,0</w:t>
            </w:r>
          </w:p>
        </w:tc>
        <w:tc>
          <w:tcPr>
            <w:tcW w:w="986"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lang w:val="en-US" w:eastAsia="en-US"/>
              </w:rPr>
            </w:pPr>
            <w:r w:rsidRPr="004E48B4">
              <w:rPr>
                <w:rFonts w:ascii="Times New Roman" w:hAnsi="Times New Roman"/>
                <w:i/>
                <w:iCs/>
                <w:color w:val="000000"/>
                <w:lang w:val="en-US" w:eastAsia="en-US"/>
              </w:rPr>
              <w:t>0,0</w:t>
            </w:r>
          </w:p>
        </w:tc>
        <w:tc>
          <w:tcPr>
            <w:tcW w:w="845"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rPr>
                <w:rFonts w:ascii="Times New Roman" w:hAnsi="Times New Roman"/>
                <w:i/>
                <w:iCs/>
                <w:color w:val="000000"/>
                <w:lang w:val="en-US" w:eastAsia="en-US"/>
              </w:rPr>
            </w:pPr>
            <w:r w:rsidRPr="004E48B4">
              <w:rPr>
                <w:rFonts w:ascii="Times New Roman" w:hAnsi="Times New Roman"/>
                <w:i/>
                <w:iCs/>
                <w:color w:val="000000"/>
                <w:lang w:val="en-US" w:eastAsia="en-US"/>
              </w:rPr>
              <w:t> </w:t>
            </w:r>
          </w:p>
        </w:tc>
      </w:tr>
      <w:tr w:rsidR="00C42D16" w:rsidRPr="004E48B4" w:rsidTr="00C42D16">
        <w:trPr>
          <w:divId w:val="444080007"/>
          <w:trHeight w:val="293"/>
        </w:trPr>
        <w:tc>
          <w:tcPr>
            <w:tcW w:w="2742" w:type="dxa"/>
            <w:tcBorders>
              <w:top w:val="nil"/>
              <w:left w:val="single" w:sz="4" w:space="0" w:color="000000"/>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rPr>
                <w:rFonts w:ascii="Times New Roman" w:hAnsi="Times New Roman"/>
                <w:color w:val="000000"/>
                <w:lang w:val="en-US" w:eastAsia="en-US"/>
              </w:rPr>
            </w:pPr>
            <w:r w:rsidRPr="004E48B4">
              <w:rPr>
                <w:rFonts w:ascii="Times New Roman" w:hAnsi="Times New Roman"/>
                <w:color w:val="000000"/>
                <w:lang w:val="en-US" w:eastAsia="en-US"/>
              </w:rPr>
              <w:t>IV.SURSE DE FINANȚARE, total</w:t>
            </w:r>
          </w:p>
        </w:tc>
        <w:tc>
          <w:tcPr>
            <w:tcW w:w="790"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center"/>
              <w:rPr>
                <w:rFonts w:ascii="Times New Roman" w:hAnsi="Times New Roman"/>
                <w:color w:val="000000"/>
                <w:lang w:val="en-US" w:eastAsia="en-US"/>
              </w:rPr>
            </w:pPr>
            <w:r w:rsidRPr="004E48B4">
              <w:rPr>
                <w:rFonts w:ascii="Times New Roman" w:hAnsi="Times New Roman"/>
                <w:color w:val="000000"/>
                <w:lang w:val="en-US" w:eastAsia="en-US"/>
              </w:rPr>
              <w:t>4+5+9</w:t>
            </w:r>
          </w:p>
        </w:tc>
        <w:tc>
          <w:tcPr>
            <w:tcW w:w="111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 </w:t>
            </w:r>
          </w:p>
        </w:tc>
        <w:tc>
          <w:tcPr>
            <w:tcW w:w="1127" w:type="dxa"/>
            <w:tcBorders>
              <w:top w:val="nil"/>
              <w:left w:val="nil"/>
              <w:bottom w:val="single" w:sz="4" w:space="0" w:color="000000"/>
              <w:right w:val="single" w:sz="4" w:space="0" w:color="000000"/>
            </w:tcBorders>
            <w:shd w:val="clear" w:color="000000" w:fill="FFFFFF"/>
            <w:noWrap/>
            <w:vAlign w:val="bottom"/>
            <w:hideMark/>
          </w:tcPr>
          <w:p w:rsidR="004E48B4" w:rsidRPr="004E48B4" w:rsidRDefault="004E48B4" w:rsidP="004E48B4">
            <w:pPr>
              <w:suppressAutoHyphens w:val="0"/>
              <w:spacing w:after="0" w:line="240" w:lineRule="auto"/>
              <w:jc w:val="right"/>
              <w:rPr>
                <w:rFonts w:ascii="Times New Roman" w:hAnsi="Times New Roman"/>
                <w:lang w:val="en-US" w:eastAsia="en-US"/>
              </w:rPr>
            </w:pPr>
            <w:r w:rsidRPr="004E48B4">
              <w:rPr>
                <w:rFonts w:ascii="Times New Roman" w:hAnsi="Times New Roman"/>
                <w:lang w:val="en-US" w:eastAsia="en-US"/>
              </w:rPr>
              <w:t>0,0</w:t>
            </w:r>
          </w:p>
        </w:tc>
        <w:tc>
          <w:tcPr>
            <w:tcW w:w="112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1 442,7</w:t>
            </w:r>
          </w:p>
        </w:tc>
        <w:tc>
          <w:tcPr>
            <w:tcW w:w="112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 </w:t>
            </w:r>
          </w:p>
        </w:tc>
        <w:tc>
          <w:tcPr>
            <w:tcW w:w="986"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lang w:val="en-US" w:eastAsia="en-US"/>
              </w:rPr>
            </w:pPr>
            <w:r w:rsidRPr="004E48B4">
              <w:rPr>
                <w:rFonts w:ascii="Times New Roman" w:hAnsi="Times New Roman"/>
                <w:i/>
                <w:iCs/>
                <w:color w:val="000000"/>
                <w:lang w:val="en-US" w:eastAsia="en-US"/>
              </w:rPr>
              <w:t>0,0</w:t>
            </w:r>
          </w:p>
        </w:tc>
        <w:tc>
          <w:tcPr>
            <w:tcW w:w="845"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rPr>
                <w:rFonts w:ascii="Times New Roman" w:hAnsi="Times New Roman"/>
                <w:i/>
                <w:iCs/>
                <w:color w:val="000000"/>
                <w:lang w:val="en-US" w:eastAsia="en-US"/>
              </w:rPr>
            </w:pPr>
            <w:r w:rsidRPr="004E48B4">
              <w:rPr>
                <w:rFonts w:ascii="Times New Roman" w:hAnsi="Times New Roman"/>
                <w:i/>
                <w:iCs/>
                <w:color w:val="000000"/>
                <w:lang w:val="en-US" w:eastAsia="en-US"/>
              </w:rPr>
              <w:t> </w:t>
            </w:r>
          </w:p>
        </w:tc>
      </w:tr>
      <w:tr w:rsidR="004E48B4" w:rsidRPr="004E48B4" w:rsidTr="00C42D16">
        <w:trPr>
          <w:divId w:val="444080007"/>
          <w:trHeight w:val="528"/>
        </w:trPr>
        <w:tc>
          <w:tcPr>
            <w:tcW w:w="9863"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E48B4" w:rsidRPr="004E48B4" w:rsidRDefault="006C3F07" w:rsidP="004E48B4">
            <w:pPr>
              <w:suppressAutoHyphens w:val="0"/>
              <w:spacing w:after="0" w:line="240" w:lineRule="auto"/>
              <w:jc w:val="center"/>
              <w:rPr>
                <w:rFonts w:ascii="Times New Roman" w:hAnsi="Times New Roman"/>
                <w:b/>
                <w:bCs/>
                <w:i/>
                <w:iCs/>
                <w:color w:val="000000"/>
                <w:lang w:val="en-US" w:eastAsia="en-US"/>
              </w:rPr>
            </w:pPr>
            <w:r>
              <w:rPr>
                <w:rFonts w:ascii="Times New Roman" w:hAnsi="Times New Roman"/>
                <w:b/>
                <w:bCs/>
                <w:i/>
                <w:iCs/>
                <w:color w:val="000000"/>
                <w:lang w:val="en-US" w:eastAsia="en-US"/>
              </w:rPr>
              <w:t>Bugetele Locale</w:t>
            </w:r>
          </w:p>
        </w:tc>
      </w:tr>
      <w:tr w:rsidR="00C42D16" w:rsidRPr="004E48B4" w:rsidTr="00C42D16">
        <w:trPr>
          <w:divId w:val="444080007"/>
          <w:trHeight w:val="293"/>
        </w:trPr>
        <w:tc>
          <w:tcPr>
            <w:tcW w:w="2742" w:type="dxa"/>
            <w:tcBorders>
              <w:top w:val="nil"/>
              <w:left w:val="single" w:sz="4" w:space="0" w:color="000000"/>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rPr>
                <w:rFonts w:ascii="Times New Roman" w:hAnsi="Times New Roman"/>
                <w:color w:val="000000"/>
                <w:lang w:val="en-US" w:eastAsia="en-US"/>
              </w:rPr>
            </w:pPr>
            <w:r w:rsidRPr="004E48B4">
              <w:rPr>
                <w:rFonts w:ascii="Times New Roman" w:hAnsi="Times New Roman"/>
                <w:color w:val="000000"/>
                <w:lang w:val="en-US" w:eastAsia="en-US"/>
              </w:rPr>
              <w:t>I. VENITURI, total</w:t>
            </w:r>
          </w:p>
        </w:tc>
        <w:tc>
          <w:tcPr>
            <w:tcW w:w="790"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center"/>
              <w:rPr>
                <w:rFonts w:ascii="Times New Roman" w:hAnsi="Times New Roman"/>
                <w:color w:val="000000"/>
                <w:lang w:val="en-US" w:eastAsia="en-US"/>
              </w:rPr>
            </w:pPr>
            <w:r w:rsidRPr="004E48B4">
              <w:rPr>
                <w:rFonts w:ascii="Times New Roman" w:hAnsi="Times New Roman"/>
                <w:color w:val="000000"/>
                <w:lang w:val="en-US" w:eastAsia="en-US"/>
              </w:rPr>
              <w:t>1</w:t>
            </w:r>
          </w:p>
        </w:tc>
        <w:tc>
          <w:tcPr>
            <w:tcW w:w="111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29 193,2</w:t>
            </w:r>
          </w:p>
        </w:tc>
        <w:tc>
          <w:tcPr>
            <w:tcW w:w="1127" w:type="dxa"/>
            <w:tcBorders>
              <w:top w:val="nil"/>
              <w:left w:val="nil"/>
              <w:bottom w:val="single" w:sz="4" w:space="0" w:color="000000"/>
              <w:right w:val="single" w:sz="4" w:space="0" w:color="000000"/>
            </w:tcBorders>
            <w:shd w:val="clear" w:color="000000" w:fill="FFFFFF"/>
            <w:noWrap/>
            <w:vAlign w:val="bottom"/>
            <w:hideMark/>
          </w:tcPr>
          <w:p w:rsidR="004E48B4" w:rsidRPr="004E48B4" w:rsidRDefault="004E48B4" w:rsidP="004E48B4">
            <w:pPr>
              <w:suppressAutoHyphens w:val="0"/>
              <w:spacing w:after="0" w:line="240" w:lineRule="auto"/>
              <w:jc w:val="right"/>
              <w:rPr>
                <w:rFonts w:ascii="Times New Roman" w:hAnsi="Times New Roman"/>
                <w:lang w:val="en-US" w:eastAsia="en-US"/>
              </w:rPr>
            </w:pPr>
            <w:r w:rsidRPr="004E48B4">
              <w:rPr>
                <w:rFonts w:ascii="Times New Roman" w:hAnsi="Times New Roman"/>
                <w:lang w:val="en-US" w:eastAsia="en-US"/>
              </w:rPr>
              <w:t>29 416,8</w:t>
            </w:r>
          </w:p>
        </w:tc>
        <w:tc>
          <w:tcPr>
            <w:tcW w:w="112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16 182,4</w:t>
            </w:r>
          </w:p>
        </w:tc>
        <w:tc>
          <w:tcPr>
            <w:tcW w:w="112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29 509,5</w:t>
            </w:r>
          </w:p>
        </w:tc>
        <w:tc>
          <w:tcPr>
            <w:tcW w:w="986"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lang w:val="en-US" w:eastAsia="en-US"/>
              </w:rPr>
            </w:pPr>
            <w:r w:rsidRPr="004E48B4">
              <w:rPr>
                <w:rFonts w:ascii="Times New Roman" w:hAnsi="Times New Roman"/>
                <w:i/>
                <w:iCs/>
                <w:color w:val="000000"/>
                <w:lang w:val="en-US" w:eastAsia="en-US"/>
              </w:rPr>
              <w:t>92,7</w:t>
            </w:r>
          </w:p>
        </w:tc>
        <w:tc>
          <w:tcPr>
            <w:tcW w:w="845"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lang w:val="en-US" w:eastAsia="en-US"/>
              </w:rPr>
            </w:pPr>
            <w:r w:rsidRPr="004E48B4">
              <w:rPr>
                <w:rFonts w:ascii="Times New Roman" w:hAnsi="Times New Roman"/>
                <w:i/>
                <w:iCs/>
                <w:color w:val="000000"/>
                <w:lang w:val="en-US" w:eastAsia="en-US"/>
              </w:rPr>
              <w:t>100,3</w:t>
            </w:r>
          </w:p>
        </w:tc>
      </w:tr>
      <w:tr w:rsidR="00C42D16" w:rsidRPr="004E48B4" w:rsidTr="00C42D16">
        <w:trPr>
          <w:divId w:val="444080007"/>
          <w:trHeight w:val="293"/>
        </w:trPr>
        <w:tc>
          <w:tcPr>
            <w:tcW w:w="2742" w:type="dxa"/>
            <w:tcBorders>
              <w:top w:val="nil"/>
              <w:left w:val="single" w:sz="4" w:space="0" w:color="000000"/>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ind w:firstLineChars="100" w:firstLine="200"/>
              <w:rPr>
                <w:rFonts w:ascii="Times New Roman" w:hAnsi="Times New Roman"/>
                <w:i/>
                <w:iCs/>
                <w:color w:val="000000"/>
                <w:sz w:val="20"/>
                <w:szCs w:val="20"/>
                <w:lang w:val="en-US" w:eastAsia="en-US"/>
              </w:rPr>
            </w:pPr>
            <w:r w:rsidRPr="004E48B4">
              <w:rPr>
                <w:rFonts w:ascii="Times New Roman" w:hAnsi="Times New Roman"/>
                <w:i/>
                <w:iCs/>
                <w:color w:val="000000"/>
                <w:sz w:val="20"/>
                <w:szCs w:val="20"/>
                <w:lang w:val="en-US" w:eastAsia="en-US"/>
              </w:rPr>
              <w:t xml:space="preserve"> inclusiv transferuri la alte bugete</w:t>
            </w:r>
          </w:p>
        </w:tc>
        <w:tc>
          <w:tcPr>
            <w:tcW w:w="790"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ind w:firstLineChars="100" w:firstLine="200"/>
              <w:rPr>
                <w:rFonts w:ascii="Times New Roman" w:hAnsi="Times New Roman"/>
                <w:i/>
                <w:iCs/>
                <w:color w:val="000000"/>
                <w:sz w:val="20"/>
                <w:szCs w:val="20"/>
                <w:lang w:val="en-US" w:eastAsia="en-US"/>
              </w:rPr>
            </w:pPr>
            <w:r w:rsidRPr="004E48B4">
              <w:rPr>
                <w:rFonts w:ascii="Times New Roman" w:hAnsi="Times New Roman"/>
                <w:i/>
                <w:iCs/>
                <w:color w:val="000000"/>
                <w:sz w:val="20"/>
                <w:szCs w:val="20"/>
                <w:lang w:val="en-US" w:eastAsia="en-US"/>
              </w:rPr>
              <w:t> </w:t>
            </w:r>
          </w:p>
        </w:tc>
        <w:tc>
          <w:tcPr>
            <w:tcW w:w="111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sz w:val="20"/>
                <w:szCs w:val="20"/>
                <w:lang w:val="en-US" w:eastAsia="en-US"/>
              </w:rPr>
            </w:pPr>
            <w:r w:rsidRPr="004E48B4">
              <w:rPr>
                <w:rFonts w:ascii="Times New Roman" w:hAnsi="Times New Roman"/>
                <w:i/>
                <w:iCs/>
                <w:color w:val="000000"/>
                <w:sz w:val="20"/>
                <w:szCs w:val="20"/>
                <w:lang w:val="en-US" w:eastAsia="en-US"/>
              </w:rPr>
              <w:t>20 094,3</w:t>
            </w:r>
          </w:p>
        </w:tc>
        <w:tc>
          <w:tcPr>
            <w:tcW w:w="1127" w:type="dxa"/>
            <w:tcBorders>
              <w:top w:val="nil"/>
              <w:left w:val="nil"/>
              <w:bottom w:val="single" w:sz="4" w:space="0" w:color="000000"/>
              <w:right w:val="single" w:sz="4" w:space="0" w:color="000000"/>
            </w:tcBorders>
            <w:shd w:val="clear" w:color="000000" w:fill="FFFFFF"/>
            <w:noWrap/>
            <w:vAlign w:val="bottom"/>
            <w:hideMark/>
          </w:tcPr>
          <w:p w:rsidR="004E48B4" w:rsidRPr="004E48B4" w:rsidRDefault="004E48B4" w:rsidP="004E48B4">
            <w:pPr>
              <w:suppressAutoHyphens w:val="0"/>
              <w:spacing w:after="0" w:line="240" w:lineRule="auto"/>
              <w:jc w:val="right"/>
              <w:rPr>
                <w:rFonts w:ascii="Times New Roman" w:hAnsi="Times New Roman"/>
                <w:i/>
                <w:iCs/>
                <w:sz w:val="20"/>
                <w:szCs w:val="20"/>
                <w:lang w:val="en-US" w:eastAsia="en-US"/>
              </w:rPr>
            </w:pPr>
            <w:r w:rsidRPr="004E48B4">
              <w:rPr>
                <w:rFonts w:ascii="Times New Roman" w:hAnsi="Times New Roman"/>
                <w:i/>
                <w:iCs/>
                <w:sz w:val="20"/>
                <w:szCs w:val="20"/>
                <w:lang w:val="en-US" w:eastAsia="en-US"/>
              </w:rPr>
              <w:t>20 317,9</w:t>
            </w:r>
          </w:p>
        </w:tc>
        <w:tc>
          <w:tcPr>
            <w:tcW w:w="112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sz w:val="20"/>
                <w:szCs w:val="20"/>
                <w:lang w:val="en-US" w:eastAsia="en-US"/>
              </w:rPr>
            </w:pPr>
            <w:r w:rsidRPr="004E48B4">
              <w:rPr>
                <w:rFonts w:ascii="Times New Roman" w:hAnsi="Times New Roman"/>
                <w:i/>
                <w:iCs/>
                <w:color w:val="000000"/>
                <w:sz w:val="20"/>
                <w:szCs w:val="20"/>
                <w:lang w:val="en-US" w:eastAsia="en-US"/>
              </w:rPr>
              <w:t>11 409,5</w:t>
            </w:r>
          </w:p>
        </w:tc>
        <w:tc>
          <w:tcPr>
            <w:tcW w:w="112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sz w:val="20"/>
                <w:szCs w:val="20"/>
                <w:lang w:val="en-US" w:eastAsia="en-US"/>
              </w:rPr>
            </w:pPr>
            <w:r w:rsidRPr="004E48B4">
              <w:rPr>
                <w:rFonts w:ascii="Times New Roman" w:hAnsi="Times New Roman"/>
                <w:i/>
                <w:iCs/>
                <w:color w:val="000000"/>
                <w:sz w:val="20"/>
                <w:szCs w:val="20"/>
                <w:lang w:val="en-US" w:eastAsia="en-US"/>
              </w:rPr>
              <w:t>20 410,6</w:t>
            </w:r>
          </w:p>
        </w:tc>
        <w:tc>
          <w:tcPr>
            <w:tcW w:w="986"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lang w:val="en-US" w:eastAsia="en-US"/>
              </w:rPr>
            </w:pPr>
            <w:r w:rsidRPr="004E48B4">
              <w:rPr>
                <w:rFonts w:ascii="Times New Roman" w:hAnsi="Times New Roman"/>
                <w:i/>
                <w:iCs/>
                <w:color w:val="000000"/>
                <w:lang w:val="en-US" w:eastAsia="en-US"/>
              </w:rPr>
              <w:t>92,7</w:t>
            </w:r>
          </w:p>
        </w:tc>
        <w:tc>
          <w:tcPr>
            <w:tcW w:w="845"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lang w:val="en-US" w:eastAsia="en-US"/>
              </w:rPr>
            </w:pPr>
            <w:r w:rsidRPr="004E48B4">
              <w:rPr>
                <w:rFonts w:ascii="Times New Roman" w:hAnsi="Times New Roman"/>
                <w:i/>
                <w:iCs/>
                <w:color w:val="000000"/>
                <w:lang w:val="en-US" w:eastAsia="en-US"/>
              </w:rPr>
              <w:t>100,5</w:t>
            </w:r>
          </w:p>
        </w:tc>
      </w:tr>
      <w:tr w:rsidR="00C42D16" w:rsidRPr="004E48B4" w:rsidTr="00C42D16">
        <w:trPr>
          <w:divId w:val="444080007"/>
          <w:trHeight w:val="293"/>
        </w:trPr>
        <w:tc>
          <w:tcPr>
            <w:tcW w:w="2742" w:type="dxa"/>
            <w:tcBorders>
              <w:top w:val="nil"/>
              <w:left w:val="single" w:sz="4" w:space="0" w:color="000000"/>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rPr>
                <w:rFonts w:ascii="Times New Roman" w:hAnsi="Times New Roman"/>
                <w:color w:val="000000"/>
                <w:lang w:val="en-US" w:eastAsia="en-US"/>
              </w:rPr>
            </w:pPr>
            <w:r w:rsidRPr="004E48B4">
              <w:rPr>
                <w:rFonts w:ascii="Times New Roman" w:hAnsi="Times New Roman"/>
                <w:color w:val="000000"/>
                <w:lang w:val="en-US" w:eastAsia="en-US"/>
              </w:rPr>
              <w:t>II.CHELTUIELI, total</w:t>
            </w:r>
          </w:p>
        </w:tc>
        <w:tc>
          <w:tcPr>
            <w:tcW w:w="790"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center"/>
              <w:rPr>
                <w:rFonts w:ascii="Times New Roman" w:hAnsi="Times New Roman"/>
                <w:color w:val="000000"/>
                <w:lang w:val="en-US" w:eastAsia="en-US"/>
              </w:rPr>
            </w:pPr>
            <w:r w:rsidRPr="004E48B4">
              <w:rPr>
                <w:rFonts w:ascii="Times New Roman" w:hAnsi="Times New Roman"/>
                <w:color w:val="000000"/>
                <w:lang w:val="en-US" w:eastAsia="en-US"/>
              </w:rPr>
              <w:t>2+3</w:t>
            </w:r>
          </w:p>
        </w:tc>
        <w:tc>
          <w:tcPr>
            <w:tcW w:w="111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29 393,2</w:t>
            </w:r>
          </w:p>
        </w:tc>
        <w:tc>
          <w:tcPr>
            <w:tcW w:w="1127" w:type="dxa"/>
            <w:tcBorders>
              <w:top w:val="nil"/>
              <w:left w:val="nil"/>
              <w:bottom w:val="single" w:sz="4" w:space="0" w:color="000000"/>
              <w:right w:val="single" w:sz="4" w:space="0" w:color="000000"/>
            </w:tcBorders>
            <w:shd w:val="clear" w:color="000000" w:fill="FFFFFF"/>
            <w:noWrap/>
            <w:vAlign w:val="bottom"/>
            <w:hideMark/>
          </w:tcPr>
          <w:p w:rsidR="004E48B4" w:rsidRPr="004E48B4" w:rsidRDefault="004E48B4" w:rsidP="004E48B4">
            <w:pPr>
              <w:suppressAutoHyphens w:val="0"/>
              <w:spacing w:after="0" w:line="240" w:lineRule="auto"/>
              <w:jc w:val="right"/>
              <w:rPr>
                <w:rFonts w:ascii="Times New Roman" w:hAnsi="Times New Roman"/>
                <w:lang w:val="en-US" w:eastAsia="en-US"/>
              </w:rPr>
            </w:pPr>
            <w:r w:rsidRPr="004E48B4">
              <w:rPr>
                <w:rFonts w:ascii="Times New Roman" w:hAnsi="Times New Roman"/>
                <w:lang w:val="en-US" w:eastAsia="en-US"/>
              </w:rPr>
              <w:t>29 616,8</w:t>
            </w:r>
          </w:p>
        </w:tc>
        <w:tc>
          <w:tcPr>
            <w:tcW w:w="112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14 426,5</w:t>
            </w:r>
          </w:p>
        </w:tc>
        <w:tc>
          <w:tcPr>
            <w:tcW w:w="112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29 709,5</w:t>
            </w:r>
          </w:p>
        </w:tc>
        <w:tc>
          <w:tcPr>
            <w:tcW w:w="986"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lang w:val="en-US" w:eastAsia="en-US"/>
              </w:rPr>
            </w:pPr>
            <w:r w:rsidRPr="004E48B4">
              <w:rPr>
                <w:rFonts w:ascii="Times New Roman" w:hAnsi="Times New Roman"/>
                <w:i/>
                <w:iCs/>
                <w:color w:val="000000"/>
                <w:lang w:val="en-US" w:eastAsia="en-US"/>
              </w:rPr>
              <w:t>92,7</w:t>
            </w:r>
          </w:p>
        </w:tc>
        <w:tc>
          <w:tcPr>
            <w:tcW w:w="845"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lang w:val="en-US" w:eastAsia="en-US"/>
              </w:rPr>
            </w:pPr>
            <w:r w:rsidRPr="004E48B4">
              <w:rPr>
                <w:rFonts w:ascii="Times New Roman" w:hAnsi="Times New Roman"/>
                <w:i/>
                <w:iCs/>
                <w:color w:val="000000"/>
                <w:lang w:val="en-US" w:eastAsia="en-US"/>
              </w:rPr>
              <w:t>100,3</w:t>
            </w:r>
          </w:p>
        </w:tc>
      </w:tr>
      <w:tr w:rsidR="00C42D16" w:rsidRPr="004E48B4" w:rsidTr="00C42D16">
        <w:trPr>
          <w:divId w:val="444080007"/>
          <w:trHeight w:val="308"/>
        </w:trPr>
        <w:tc>
          <w:tcPr>
            <w:tcW w:w="2742" w:type="dxa"/>
            <w:tcBorders>
              <w:top w:val="nil"/>
              <w:left w:val="single" w:sz="4" w:space="0" w:color="000000"/>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rPr>
                <w:rFonts w:ascii="Times New Roman" w:hAnsi="Times New Roman"/>
                <w:i/>
                <w:iCs/>
                <w:color w:val="000000"/>
                <w:sz w:val="20"/>
                <w:szCs w:val="20"/>
                <w:lang w:val="en-US" w:eastAsia="en-US"/>
              </w:rPr>
            </w:pPr>
            <w:r w:rsidRPr="004E48B4">
              <w:rPr>
                <w:rFonts w:ascii="Times New Roman" w:hAnsi="Times New Roman"/>
                <w:i/>
                <w:iCs/>
                <w:color w:val="000000"/>
                <w:sz w:val="20"/>
                <w:szCs w:val="20"/>
                <w:lang w:val="en-US" w:eastAsia="en-US"/>
              </w:rPr>
              <w:t xml:space="preserve"> inclusiv transferuri la alte bugete</w:t>
            </w:r>
          </w:p>
        </w:tc>
        <w:tc>
          <w:tcPr>
            <w:tcW w:w="790"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ind w:firstLineChars="100" w:firstLine="200"/>
              <w:rPr>
                <w:rFonts w:ascii="Times New Roman" w:hAnsi="Times New Roman"/>
                <w:i/>
                <w:iCs/>
                <w:color w:val="000000"/>
                <w:sz w:val="20"/>
                <w:szCs w:val="20"/>
                <w:lang w:val="en-US" w:eastAsia="en-US"/>
              </w:rPr>
            </w:pPr>
            <w:r w:rsidRPr="004E48B4">
              <w:rPr>
                <w:rFonts w:ascii="Times New Roman" w:hAnsi="Times New Roman"/>
                <w:i/>
                <w:iCs/>
                <w:color w:val="000000"/>
                <w:sz w:val="20"/>
                <w:szCs w:val="20"/>
                <w:lang w:val="en-US" w:eastAsia="en-US"/>
              </w:rPr>
              <w:t> </w:t>
            </w:r>
          </w:p>
        </w:tc>
        <w:tc>
          <w:tcPr>
            <w:tcW w:w="111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28,4</w:t>
            </w:r>
          </w:p>
        </w:tc>
        <w:tc>
          <w:tcPr>
            <w:tcW w:w="1127" w:type="dxa"/>
            <w:tcBorders>
              <w:top w:val="nil"/>
              <w:left w:val="nil"/>
              <w:bottom w:val="single" w:sz="4" w:space="0" w:color="000000"/>
              <w:right w:val="single" w:sz="4" w:space="0" w:color="000000"/>
            </w:tcBorders>
            <w:shd w:val="clear" w:color="000000" w:fill="FFFFFF"/>
            <w:noWrap/>
            <w:vAlign w:val="bottom"/>
            <w:hideMark/>
          </w:tcPr>
          <w:p w:rsidR="004E48B4" w:rsidRPr="004E48B4" w:rsidRDefault="004E48B4" w:rsidP="004E48B4">
            <w:pPr>
              <w:suppressAutoHyphens w:val="0"/>
              <w:spacing w:after="0" w:line="240" w:lineRule="auto"/>
              <w:jc w:val="right"/>
              <w:rPr>
                <w:rFonts w:ascii="Times New Roman" w:hAnsi="Times New Roman"/>
                <w:lang w:val="en-US" w:eastAsia="en-US"/>
              </w:rPr>
            </w:pPr>
            <w:r w:rsidRPr="004E48B4">
              <w:rPr>
                <w:rFonts w:ascii="Times New Roman" w:hAnsi="Times New Roman"/>
                <w:lang w:val="en-US" w:eastAsia="en-US"/>
              </w:rPr>
              <w:t>28,4</w:t>
            </w:r>
          </w:p>
        </w:tc>
        <w:tc>
          <w:tcPr>
            <w:tcW w:w="112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6,9</w:t>
            </w:r>
          </w:p>
        </w:tc>
        <w:tc>
          <w:tcPr>
            <w:tcW w:w="112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28,4</w:t>
            </w:r>
          </w:p>
        </w:tc>
        <w:tc>
          <w:tcPr>
            <w:tcW w:w="986"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lang w:val="en-US" w:eastAsia="en-US"/>
              </w:rPr>
            </w:pPr>
            <w:r w:rsidRPr="004E48B4">
              <w:rPr>
                <w:rFonts w:ascii="Times New Roman" w:hAnsi="Times New Roman"/>
                <w:i/>
                <w:iCs/>
                <w:color w:val="000000"/>
                <w:lang w:val="en-US" w:eastAsia="en-US"/>
              </w:rPr>
              <w:t>0,0</w:t>
            </w:r>
          </w:p>
        </w:tc>
        <w:tc>
          <w:tcPr>
            <w:tcW w:w="845"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lang w:val="en-US" w:eastAsia="en-US"/>
              </w:rPr>
            </w:pPr>
            <w:r w:rsidRPr="004E48B4">
              <w:rPr>
                <w:rFonts w:ascii="Times New Roman" w:hAnsi="Times New Roman"/>
                <w:i/>
                <w:iCs/>
                <w:color w:val="000000"/>
                <w:lang w:val="en-US" w:eastAsia="en-US"/>
              </w:rPr>
              <w:t>100,0</w:t>
            </w:r>
          </w:p>
        </w:tc>
      </w:tr>
      <w:tr w:rsidR="00C42D16" w:rsidRPr="004E48B4" w:rsidTr="00C42D16">
        <w:trPr>
          <w:divId w:val="444080007"/>
          <w:trHeight w:val="513"/>
        </w:trPr>
        <w:tc>
          <w:tcPr>
            <w:tcW w:w="2742" w:type="dxa"/>
            <w:tcBorders>
              <w:top w:val="nil"/>
              <w:left w:val="single" w:sz="4" w:space="0" w:color="000000"/>
              <w:bottom w:val="single" w:sz="4" w:space="0" w:color="000000"/>
              <w:right w:val="single" w:sz="4" w:space="0" w:color="000000"/>
            </w:tcBorders>
            <w:shd w:val="clear" w:color="auto" w:fill="auto"/>
            <w:vAlign w:val="bottom"/>
            <w:hideMark/>
          </w:tcPr>
          <w:p w:rsidR="004E48B4" w:rsidRPr="004E48B4" w:rsidRDefault="004E48B4" w:rsidP="004E48B4">
            <w:pPr>
              <w:suppressAutoHyphens w:val="0"/>
              <w:spacing w:after="0" w:line="240" w:lineRule="auto"/>
              <w:rPr>
                <w:rFonts w:ascii="Times New Roman" w:hAnsi="Times New Roman"/>
                <w:i/>
                <w:iCs/>
                <w:color w:val="000000"/>
                <w:sz w:val="20"/>
                <w:szCs w:val="20"/>
                <w:lang w:val="en-US" w:eastAsia="en-US"/>
              </w:rPr>
            </w:pPr>
            <w:r w:rsidRPr="004E48B4">
              <w:rPr>
                <w:rFonts w:ascii="Times New Roman" w:hAnsi="Times New Roman"/>
                <w:i/>
                <w:iCs/>
                <w:color w:val="000000"/>
                <w:sz w:val="20"/>
                <w:szCs w:val="20"/>
                <w:lang w:val="en-US" w:eastAsia="en-US"/>
              </w:rPr>
              <w:t xml:space="preserve"> inclusiv dobînzi din împrumuturile recreditate bugetelor de alt nivel</w:t>
            </w:r>
          </w:p>
        </w:tc>
        <w:tc>
          <w:tcPr>
            <w:tcW w:w="790"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ind w:firstLineChars="100" w:firstLine="200"/>
              <w:rPr>
                <w:rFonts w:ascii="Times New Roman" w:hAnsi="Times New Roman"/>
                <w:i/>
                <w:iCs/>
                <w:color w:val="000000"/>
                <w:sz w:val="20"/>
                <w:szCs w:val="20"/>
                <w:lang w:val="en-US" w:eastAsia="en-US"/>
              </w:rPr>
            </w:pPr>
            <w:r w:rsidRPr="004E48B4">
              <w:rPr>
                <w:rFonts w:ascii="Times New Roman" w:hAnsi="Times New Roman"/>
                <w:i/>
                <w:iCs/>
                <w:color w:val="000000"/>
                <w:sz w:val="20"/>
                <w:szCs w:val="20"/>
                <w:lang w:val="en-US" w:eastAsia="en-US"/>
              </w:rPr>
              <w:t> </w:t>
            </w:r>
          </w:p>
        </w:tc>
        <w:tc>
          <w:tcPr>
            <w:tcW w:w="111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 </w:t>
            </w:r>
          </w:p>
        </w:tc>
        <w:tc>
          <w:tcPr>
            <w:tcW w:w="1127" w:type="dxa"/>
            <w:tcBorders>
              <w:top w:val="nil"/>
              <w:left w:val="nil"/>
              <w:bottom w:val="single" w:sz="4" w:space="0" w:color="000000"/>
              <w:right w:val="single" w:sz="4" w:space="0" w:color="000000"/>
            </w:tcBorders>
            <w:shd w:val="clear" w:color="000000" w:fill="FFFFFF"/>
            <w:noWrap/>
            <w:vAlign w:val="bottom"/>
            <w:hideMark/>
          </w:tcPr>
          <w:p w:rsidR="004E48B4" w:rsidRPr="004E48B4" w:rsidRDefault="004E48B4" w:rsidP="004E48B4">
            <w:pPr>
              <w:suppressAutoHyphens w:val="0"/>
              <w:spacing w:after="0" w:line="240" w:lineRule="auto"/>
              <w:jc w:val="right"/>
              <w:rPr>
                <w:rFonts w:ascii="Times New Roman" w:hAnsi="Times New Roman"/>
                <w:lang w:val="en-US" w:eastAsia="en-US"/>
              </w:rPr>
            </w:pPr>
            <w:r w:rsidRPr="004E48B4">
              <w:rPr>
                <w:rFonts w:ascii="Times New Roman" w:hAnsi="Times New Roman"/>
                <w:lang w:val="en-US" w:eastAsia="en-US"/>
              </w:rPr>
              <w:t> </w:t>
            </w:r>
          </w:p>
        </w:tc>
        <w:tc>
          <w:tcPr>
            <w:tcW w:w="112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2,0</w:t>
            </w:r>
          </w:p>
        </w:tc>
        <w:tc>
          <w:tcPr>
            <w:tcW w:w="112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 </w:t>
            </w:r>
          </w:p>
        </w:tc>
        <w:tc>
          <w:tcPr>
            <w:tcW w:w="986"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lang w:val="en-US" w:eastAsia="en-US"/>
              </w:rPr>
            </w:pPr>
            <w:r w:rsidRPr="004E48B4">
              <w:rPr>
                <w:rFonts w:ascii="Times New Roman" w:hAnsi="Times New Roman"/>
                <w:i/>
                <w:iCs/>
                <w:color w:val="000000"/>
                <w:lang w:val="en-US" w:eastAsia="en-US"/>
              </w:rPr>
              <w:t>0,0</w:t>
            </w:r>
          </w:p>
        </w:tc>
        <w:tc>
          <w:tcPr>
            <w:tcW w:w="845"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rPr>
                <w:rFonts w:ascii="Times New Roman" w:hAnsi="Times New Roman"/>
                <w:i/>
                <w:iCs/>
                <w:color w:val="000000"/>
                <w:lang w:val="en-US" w:eastAsia="en-US"/>
              </w:rPr>
            </w:pPr>
            <w:r w:rsidRPr="004E48B4">
              <w:rPr>
                <w:rFonts w:ascii="Times New Roman" w:hAnsi="Times New Roman"/>
                <w:i/>
                <w:iCs/>
                <w:color w:val="000000"/>
                <w:lang w:val="en-US" w:eastAsia="en-US"/>
              </w:rPr>
              <w:t> </w:t>
            </w:r>
          </w:p>
        </w:tc>
      </w:tr>
      <w:tr w:rsidR="00C42D16" w:rsidRPr="004E48B4" w:rsidTr="00C42D16">
        <w:trPr>
          <w:divId w:val="444080007"/>
          <w:trHeight w:val="293"/>
        </w:trPr>
        <w:tc>
          <w:tcPr>
            <w:tcW w:w="2742" w:type="dxa"/>
            <w:tcBorders>
              <w:top w:val="nil"/>
              <w:left w:val="single" w:sz="4" w:space="0" w:color="000000"/>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rPr>
                <w:rFonts w:ascii="Times New Roman" w:hAnsi="Times New Roman"/>
                <w:color w:val="000000"/>
                <w:lang w:val="en-US" w:eastAsia="en-US"/>
              </w:rPr>
            </w:pPr>
            <w:r w:rsidRPr="004E48B4">
              <w:rPr>
                <w:rFonts w:ascii="Times New Roman" w:hAnsi="Times New Roman"/>
                <w:color w:val="000000"/>
                <w:lang w:val="en-US" w:eastAsia="en-US"/>
              </w:rPr>
              <w:lastRenderedPageBreak/>
              <w:t>III.SOLD BUGETAR</w:t>
            </w:r>
          </w:p>
        </w:tc>
        <w:tc>
          <w:tcPr>
            <w:tcW w:w="790"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center"/>
              <w:rPr>
                <w:rFonts w:ascii="Times New Roman" w:hAnsi="Times New Roman"/>
                <w:color w:val="000000"/>
                <w:lang w:val="en-US" w:eastAsia="en-US"/>
              </w:rPr>
            </w:pPr>
            <w:r w:rsidRPr="004E48B4">
              <w:rPr>
                <w:rFonts w:ascii="Times New Roman" w:hAnsi="Times New Roman"/>
                <w:color w:val="000000"/>
                <w:lang w:val="en-US" w:eastAsia="en-US"/>
              </w:rPr>
              <w:t>1-(2+3)</w:t>
            </w:r>
          </w:p>
        </w:tc>
        <w:tc>
          <w:tcPr>
            <w:tcW w:w="111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-200,0</w:t>
            </w:r>
          </w:p>
        </w:tc>
        <w:tc>
          <w:tcPr>
            <w:tcW w:w="1127" w:type="dxa"/>
            <w:tcBorders>
              <w:top w:val="nil"/>
              <w:left w:val="nil"/>
              <w:bottom w:val="single" w:sz="4" w:space="0" w:color="000000"/>
              <w:right w:val="single" w:sz="4" w:space="0" w:color="000000"/>
            </w:tcBorders>
            <w:shd w:val="clear" w:color="000000" w:fill="FFFFFF"/>
            <w:noWrap/>
            <w:vAlign w:val="bottom"/>
            <w:hideMark/>
          </w:tcPr>
          <w:p w:rsidR="004E48B4" w:rsidRPr="004E48B4" w:rsidRDefault="004E48B4" w:rsidP="004E48B4">
            <w:pPr>
              <w:suppressAutoHyphens w:val="0"/>
              <w:spacing w:after="0" w:line="240" w:lineRule="auto"/>
              <w:jc w:val="right"/>
              <w:rPr>
                <w:rFonts w:ascii="Times New Roman" w:hAnsi="Times New Roman"/>
                <w:lang w:val="en-US" w:eastAsia="en-US"/>
              </w:rPr>
            </w:pPr>
            <w:r w:rsidRPr="004E48B4">
              <w:rPr>
                <w:rFonts w:ascii="Times New Roman" w:hAnsi="Times New Roman"/>
                <w:lang w:val="en-US" w:eastAsia="en-US"/>
              </w:rPr>
              <w:t>-200,0</w:t>
            </w:r>
          </w:p>
        </w:tc>
        <w:tc>
          <w:tcPr>
            <w:tcW w:w="112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1 755,9</w:t>
            </w:r>
          </w:p>
        </w:tc>
        <w:tc>
          <w:tcPr>
            <w:tcW w:w="112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-200,0</w:t>
            </w:r>
          </w:p>
        </w:tc>
        <w:tc>
          <w:tcPr>
            <w:tcW w:w="986"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lang w:val="en-US" w:eastAsia="en-US"/>
              </w:rPr>
            </w:pPr>
            <w:r w:rsidRPr="004E48B4">
              <w:rPr>
                <w:rFonts w:ascii="Times New Roman" w:hAnsi="Times New Roman"/>
                <w:i/>
                <w:iCs/>
                <w:color w:val="000000"/>
                <w:lang w:val="en-US" w:eastAsia="en-US"/>
              </w:rPr>
              <w:t>0,0</w:t>
            </w:r>
          </w:p>
        </w:tc>
        <w:tc>
          <w:tcPr>
            <w:tcW w:w="845"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lang w:val="en-US" w:eastAsia="en-US"/>
              </w:rPr>
            </w:pPr>
            <w:r w:rsidRPr="004E48B4">
              <w:rPr>
                <w:rFonts w:ascii="Times New Roman" w:hAnsi="Times New Roman"/>
                <w:i/>
                <w:iCs/>
                <w:color w:val="000000"/>
                <w:lang w:val="en-US" w:eastAsia="en-US"/>
              </w:rPr>
              <w:t>100,0</w:t>
            </w:r>
          </w:p>
        </w:tc>
      </w:tr>
      <w:tr w:rsidR="00C42D16" w:rsidRPr="004E48B4" w:rsidTr="00C42D16">
        <w:trPr>
          <w:divId w:val="444080007"/>
          <w:trHeight w:val="293"/>
        </w:trPr>
        <w:tc>
          <w:tcPr>
            <w:tcW w:w="2742" w:type="dxa"/>
            <w:tcBorders>
              <w:top w:val="nil"/>
              <w:left w:val="single" w:sz="4" w:space="0" w:color="000000"/>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rPr>
                <w:rFonts w:ascii="Times New Roman" w:hAnsi="Times New Roman"/>
                <w:color w:val="000000"/>
                <w:lang w:val="en-US" w:eastAsia="en-US"/>
              </w:rPr>
            </w:pPr>
            <w:r w:rsidRPr="004E48B4">
              <w:rPr>
                <w:rFonts w:ascii="Times New Roman" w:hAnsi="Times New Roman"/>
                <w:color w:val="000000"/>
                <w:lang w:val="en-US" w:eastAsia="en-US"/>
              </w:rPr>
              <w:t>IV.SURSE DE FINANȚARE, total</w:t>
            </w:r>
          </w:p>
        </w:tc>
        <w:tc>
          <w:tcPr>
            <w:tcW w:w="790"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center"/>
              <w:rPr>
                <w:rFonts w:ascii="Times New Roman" w:hAnsi="Times New Roman"/>
                <w:color w:val="000000"/>
                <w:lang w:val="en-US" w:eastAsia="en-US"/>
              </w:rPr>
            </w:pPr>
            <w:r w:rsidRPr="004E48B4">
              <w:rPr>
                <w:rFonts w:ascii="Times New Roman" w:hAnsi="Times New Roman"/>
                <w:color w:val="000000"/>
                <w:lang w:val="en-US" w:eastAsia="en-US"/>
              </w:rPr>
              <w:t>4+5+9</w:t>
            </w:r>
          </w:p>
        </w:tc>
        <w:tc>
          <w:tcPr>
            <w:tcW w:w="111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200,0</w:t>
            </w:r>
          </w:p>
        </w:tc>
        <w:tc>
          <w:tcPr>
            <w:tcW w:w="1127" w:type="dxa"/>
            <w:tcBorders>
              <w:top w:val="nil"/>
              <w:left w:val="nil"/>
              <w:bottom w:val="single" w:sz="4" w:space="0" w:color="000000"/>
              <w:right w:val="single" w:sz="4" w:space="0" w:color="000000"/>
            </w:tcBorders>
            <w:shd w:val="clear" w:color="000000" w:fill="FFFFFF"/>
            <w:noWrap/>
            <w:vAlign w:val="bottom"/>
            <w:hideMark/>
          </w:tcPr>
          <w:p w:rsidR="004E48B4" w:rsidRPr="004E48B4" w:rsidRDefault="004E48B4" w:rsidP="004E48B4">
            <w:pPr>
              <w:suppressAutoHyphens w:val="0"/>
              <w:spacing w:after="0" w:line="240" w:lineRule="auto"/>
              <w:jc w:val="right"/>
              <w:rPr>
                <w:rFonts w:ascii="Times New Roman" w:hAnsi="Times New Roman"/>
                <w:lang w:val="en-US" w:eastAsia="en-US"/>
              </w:rPr>
            </w:pPr>
            <w:r w:rsidRPr="004E48B4">
              <w:rPr>
                <w:rFonts w:ascii="Times New Roman" w:hAnsi="Times New Roman"/>
                <w:lang w:val="en-US" w:eastAsia="en-US"/>
              </w:rPr>
              <w:t>200,0</w:t>
            </w:r>
          </w:p>
        </w:tc>
        <w:tc>
          <w:tcPr>
            <w:tcW w:w="112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-1 755,9</w:t>
            </w:r>
          </w:p>
        </w:tc>
        <w:tc>
          <w:tcPr>
            <w:tcW w:w="1127"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color w:val="000000"/>
                <w:lang w:val="en-US" w:eastAsia="en-US"/>
              </w:rPr>
            </w:pPr>
            <w:r w:rsidRPr="004E48B4">
              <w:rPr>
                <w:rFonts w:ascii="Times New Roman" w:hAnsi="Times New Roman"/>
                <w:color w:val="000000"/>
                <w:lang w:val="en-US" w:eastAsia="en-US"/>
              </w:rPr>
              <w:t>200,0</w:t>
            </w:r>
          </w:p>
        </w:tc>
        <w:tc>
          <w:tcPr>
            <w:tcW w:w="986"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lang w:val="en-US" w:eastAsia="en-US"/>
              </w:rPr>
            </w:pPr>
            <w:r w:rsidRPr="004E48B4">
              <w:rPr>
                <w:rFonts w:ascii="Times New Roman" w:hAnsi="Times New Roman"/>
                <w:i/>
                <w:iCs/>
                <w:color w:val="000000"/>
                <w:lang w:val="en-US" w:eastAsia="en-US"/>
              </w:rPr>
              <w:t>0,0</w:t>
            </w:r>
          </w:p>
        </w:tc>
        <w:tc>
          <w:tcPr>
            <w:tcW w:w="845" w:type="dxa"/>
            <w:tcBorders>
              <w:top w:val="nil"/>
              <w:left w:val="nil"/>
              <w:bottom w:val="single" w:sz="4" w:space="0" w:color="000000"/>
              <w:right w:val="single" w:sz="4" w:space="0" w:color="000000"/>
            </w:tcBorders>
            <w:shd w:val="clear" w:color="auto" w:fill="auto"/>
            <w:noWrap/>
            <w:vAlign w:val="bottom"/>
            <w:hideMark/>
          </w:tcPr>
          <w:p w:rsidR="004E48B4" w:rsidRPr="004E48B4" w:rsidRDefault="004E48B4" w:rsidP="004E48B4">
            <w:pPr>
              <w:suppressAutoHyphens w:val="0"/>
              <w:spacing w:after="0" w:line="240" w:lineRule="auto"/>
              <w:jc w:val="right"/>
              <w:rPr>
                <w:rFonts w:ascii="Times New Roman" w:hAnsi="Times New Roman"/>
                <w:i/>
                <w:iCs/>
                <w:color w:val="000000"/>
                <w:lang w:val="en-US" w:eastAsia="en-US"/>
              </w:rPr>
            </w:pPr>
            <w:r w:rsidRPr="004E48B4">
              <w:rPr>
                <w:rFonts w:ascii="Times New Roman" w:hAnsi="Times New Roman"/>
                <w:i/>
                <w:iCs/>
                <w:color w:val="000000"/>
                <w:lang w:val="en-US" w:eastAsia="en-US"/>
              </w:rPr>
              <w:t>100,0</w:t>
            </w:r>
          </w:p>
        </w:tc>
      </w:tr>
    </w:tbl>
    <w:p w:rsidR="004E48B4" w:rsidRDefault="007E1AF4" w:rsidP="0052258C">
      <w:pPr>
        <w:jc w:val="both"/>
        <w:rPr>
          <w:rFonts w:ascii="Times New Roman" w:hAnsi="Times New Roman"/>
          <w:sz w:val="20"/>
          <w:szCs w:val="20"/>
          <w:lang w:val="en-US" w:eastAsia="en-US"/>
        </w:rPr>
      </w:pPr>
      <w:r>
        <w:fldChar w:fldCharType="end"/>
      </w:r>
      <w:r w:rsidR="00E118C6">
        <w:fldChar w:fldCharType="begin"/>
      </w:r>
      <w:r w:rsidR="00E118C6">
        <w:instrText xml:space="preserve"> LINK Excel.Sheet.12 "D:\\ELENA\\BUGET 2025\\Raport semianual 2025 in lucru\\tab 4 la semianual (1).xlsx" "Foaie1!R5C1:R40C8" \a \f 4 \h  \* MERGEFORMAT </w:instrText>
      </w:r>
      <w:r w:rsidR="004E48B4">
        <w:fldChar w:fldCharType="separate"/>
      </w:r>
    </w:p>
    <w:p w:rsidR="00A3377E" w:rsidRPr="00012CA3" w:rsidRDefault="00E118C6" w:rsidP="0052258C">
      <w:pPr>
        <w:jc w:val="both"/>
        <w:rPr>
          <w:rFonts w:ascii="Times New Roman" w:hAnsi="Times New Roman"/>
          <w:sz w:val="28"/>
          <w:szCs w:val="28"/>
        </w:rPr>
      </w:pPr>
      <w:r>
        <w:rPr>
          <w:rFonts w:ascii="Times New Roman" w:hAnsi="Times New Roman"/>
          <w:sz w:val="28"/>
          <w:szCs w:val="28"/>
        </w:rPr>
        <w:fldChar w:fldCharType="end"/>
      </w:r>
      <w:r w:rsidR="007E1AF4" w:rsidRPr="007E1AF4">
        <w:rPr>
          <w:rFonts w:ascii="Times New Roman" w:hAnsi="Times New Roman"/>
          <w:sz w:val="28"/>
          <w:szCs w:val="28"/>
        </w:rPr>
        <w:t xml:space="preserve"> </w:t>
      </w:r>
      <w:r w:rsidR="0052258C">
        <w:rPr>
          <w:rFonts w:ascii="Times New Roman" w:hAnsi="Times New Roman"/>
          <w:sz w:val="28"/>
          <w:szCs w:val="28"/>
        </w:rPr>
        <w:tab/>
      </w:r>
      <w:r w:rsidR="00A3377E" w:rsidRPr="00012CA3">
        <w:rPr>
          <w:rFonts w:ascii="Times New Roman" w:hAnsi="Times New Roman"/>
          <w:sz w:val="28"/>
          <w:szCs w:val="28"/>
        </w:rPr>
        <w:t>Conform acestui scenariu, comparativ cu indicatorii aprobați, veniturile bugetului public</w:t>
      </w:r>
      <w:r w:rsidR="00E86B16">
        <w:rPr>
          <w:rFonts w:ascii="Times New Roman" w:hAnsi="Times New Roman"/>
          <w:sz w:val="28"/>
          <w:szCs w:val="28"/>
        </w:rPr>
        <w:t xml:space="preserve"> național s-au majorat cu 4 799,</w:t>
      </w:r>
      <w:r w:rsidR="00A3377E" w:rsidRPr="00012CA3">
        <w:rPr>
          <w:rFonts w:ascii="Times New Roman" w:hAnsi="Times New Roman"/>
          <w:sz w:val="28"/>
          <w:szCs w:val="28"/>
        </w:rPr>
        <w:t xml:space="preserve">1 mil.lei, cheltuielile </w:t>
      </w:r>
      <w:r w:rsidR="004B6B6C" w:rsidRPr="004B6B6C">
        <w:rPr>
          <w:rFonts w:ascii="Times New Roman" w:hAnsi="Times New Roman"/>
          <w:sz w:val="28"/>
          <w:szCs w:val="28"/>
        </w:rPr>
        <w:t>–</w:t>
      </w:r>
      <w:r w:rsidR="004B6B6C">
        <w:rPr>
          <w:rFonts w:ascii="Times New Roman" w:hAnsi="Times New Roman"/>
          <w:sz w:val="28"/>
          <w:szCs w:val="28"/>
        </w:rPr>
        <w:t xml:space="preserve"> </w:t>
      </w:r>
      <w:r w:rsidR="006D0225">
        <w:rPr>
          <w:rFonts w:ascii="Times New Roman" w:hAnsi="Times New Roman"/>
          <w:sz w:val="28"/>
          <w:szCs w:val="28"/>
        </w:rPr>
        <w:t>cu</w:t>
      </w:r>
      <w:r w:rsidR="006D0225" w:rsidRPr="00012CA3">
        <w:rPr>
          <w:rFonts w:ascii="Times New Roman" w:hAnsi="Times New Roman"/>
          <w:sz w:val="28"/>
          <w:szCs w:val="28"/>
        </w:rPr>
        <w:t xml:space="preserve"> </w:t>
      </w:r>
      <w:r w:rsidR="00A3377E" w:rsidRPr="00012CA3">
        <w:rPr>
          <w:rFonts w:ascii="Times New Roman" w:hAnsi="Times New Roman"/>
          <w:sz w:val="28"/>
          <w:szCs w:val="28"/>
        </w:rPr>
        <w:t>8 811,4 mil.lei și deficitul cu</w:t>
      </w:r>
      <w:r w:rsidR="009C569B">
        <w:rPr>
          <w:rFonts w:ascii="Times New Roman" w:hAnsi="Times New Roman"/>
          <w:sz w:val="28"/>
          <w:szCs w:val="28"/>
        </w:rPr>
        <w:t xml:space="preserve"> -</w:t>
      </w:r>
      <w:r w:rsidR="00A3377E" w:rsidRPr="00012CA3">
        <w:rPr>
          <w:rFonts w:ascii="Times New Roman" w:hAnsi="Times New Roman"/>
          <w:sz w:val="28"/>
          <w:szCs w:val="28"/>
        </w:rPr>
        <w:t xml:space="preserve"> 4</w:t>
      </w:r>
      <w:r w:rsidR="009C569B">
        <w:rPr>
          <w:rFonts w:ascii="Times New Roman" w:hAnsi="Times New Roman"/>
          <w:sz w:val="28"/>
          <w:szCs w:val="28"/>
        </w:rPr>
        <w:t> </w:t>
      </w:r>
      <w:r w:rsidR="00A3377E" w:rsidRPr="00012CA3">
        <w:rPr>
          <w:rFonts w:ascii="Times New Roman" w:hAnsi="Times New Roman"/>
          <w:sz w:val="28"/>
          <w:szCs w:val="28"/>
        </w:rPr>
        <w:t>012</w:t>
      </w:r>
      <w:r w:rsidR="009C569B">
        <w:rPr>
          <w:rFonts w:ascii="Times New Roman" w:hAnsi="Times New Roman"/>
          <w:sz w:val="28"/>
          <w:szCs w:val="28"/>
        </w:rPr>
        <w:t>,</w:t>
      </w:r>
      <w:r w:rsidR="00A3377E" w:rsidRPr="00012CA3">
        <w:rPr>
          <w:rFonts w:ascii="Times New Roman" w:hAnsi="Times New Roman"/>
          <w:sz w:val="28"/>
          <w:szCs w:val="28"/>
        </w:rPr>
        <w:t>3 mil. lei, constituind suma de 18 106,3 mil.lei sau 5,16% din PIB.</w:t>
      </w:r>
    </w:p>
    <w:p w:rsidR="00F655DE" w:rsidRPr="00012CA3" w:rsidRDefault="00F655DE" w:rsidP="00F655DE">
      <w:pPr>
        <w:pStyle w:val="Default"/>
        <w:spacing w:line="276" w:lineRule="auto"/>
        <w:ind w:firstLine="720"/>
        <w:jc w:val="both"/>
        <w:rPr>
          <w:rFonts w:ascii="Times New Roman" w:hAnsi="Times New Roman" w:cs="Times New Roman"/>
          <w:sz w:val="28"/>
          <w:szCs w:val="28"/>
          <w:lang w:val="ro-MD"/>
        </w:rPr>
      </w:pPr>
      <w:r w:rsidRPr="00012CA3">
        <w:rPr>
          <w:rFonts w:ascii="Times New Roman" w:hAnsi="Times New Roman" w:cs="Times New Roman"/>
          <w:sz w:val="28"/>
          <w:szCs w:val="28"/>
          <w:lang w:val="ro-MD"/>
        </w:rPr>
        <w:t>Volumul bugetului de stat pentru anul 202</w:t>
      </w:r>
      <w:r w:rsidR="004F2C4A" w:rsidRPr="00012CA3">
        <w:rPr>
          <w:rFonts w:ascii="Times New Roman" w:hAnsi="Times New Roman" w:cs="Times New Roman"/>
          <w:sz w:val="28"/>
          <w:szCs w:val="28"/>
          <w:lang w:val="ro-MD"/>
        </w:rPr>
        <w:t>5</w:t>
      </w:r>
      <w:r w:rsidRPr="00012CA3">
        <w:rPr>
          <w:rFonts w:ascii="Times New Roman" w:hAnsi="Times New Roman" w:cs="Times New Roman"/>
          <w:sz w:val="28"/>
          <w:szCs w:val="28"/>
          <w:lang w:val="ro-MD"/>
        </w:rPr>
        <w:t xml:space="preserve"> a fost revizuit față de volumul aprobat inițial, după cum urmează:</w:t>
      </w:r>
    </w:p>
    <w:p w:rsidR="00F655DE" w:rsidRPr="00012CA3" w:rsidRDefault="00F655DE" w:rsidP="00F655DE">
      <w:pPr>
        <w:pStyle w:val="Default"/>
        <w:tabs>
          <w:tab w:val="left" w:pos="851"/>
        </w:tabs>
        <w:spacing w:line="276" w:lineRule="auto"/>
        <w:ind w:firstLine="720"/>
        <w:jc w:val="both"/>
        <w:rPr>
          <w:rFonts w:ascii="Times New Roman" w:hAnsi="Times New Roman" w:cs="Times New Roman"/>
          <w:sz w:val="28"/>
          <w:szCs w:val="28"/>
          <w:lang w:val="ro-MD"/>
        </w:rPr>
      </w:pPr>
      <w:r w:rsidRPr="00012CA3">
        <w:rPr>
          <w:rFonts w:ascii="Times New Roman" w:hAnsi="Times New Roman" w:cs="Times New Roman"/>
          <w:sz w:val="28"/>
          <w:szCs w:val="28"/>
          <w:lang w:val="ro-MD"/>
        </w:rPr>
        <w:t>-</w:t>
      </w:r>
      <w:r w:rsidRPr="00012CA3">
        <w:rPr>
          <w:rFonts w:ascii="Times New Roman" w:hAnsi="Times New Roman" w:cs="Times New Roman"/>
          <w:sz w:val="28"/>
          <w:szCs w:val="28"/>
          <w:lang w:val="ro-MD"/>
        </w:rPr>
        <w:tab/>
        <w:t xml:space="preserve"> </w:t>
      </w:r>
      <w:r w:rsidR="00613485" w:rsidRPr="00012CA3">
        <w:rPr>
          <w:rFonts w:ascii="Times New Roman" w:hAnsi="Times New Roman" w:cs="Times New Roman"/>
          <w:bCs/>
          <w:sz w:val="28"/>
          <w:szCs w:val="28"/>
          <w:lang w:val="ro-MD"/>
        </w:rPr>
        <w:t>veniturile bugetului de stat s-au majorat cu 4 378,6 mil.lei și vor constitui suma de 75 932,5 mil.lei;</w:t>
      </w:r>
    </w:p>
    <w:p w:rsidR="00F655DE" w:rsidRPr="00012CA3" w:rsidRDefault="00F655DE" w:rsidP="00F655DE">
      <w:pPr>
        <w:pStyle w:val="Default"/>
        <w:tabs>
          <w:tab w:val="left" w:pos="993"/>
        </w:tabs>
        <w:spacing w:line="276" w:lineRule="auto"/>
        <w:ind w:firstLine="720"/>
        <w:jc w:val="both"/>
        <w:rPr>
          <w:rFonts w:ascii="Times New Roman" w:hAnsi="Times New Roman" w:cs="Times New Roman"/>
          <w:sz w:val="28"/>
          <w:szCs w:val="28"/>
          <w:lang w:val="ro-MD"/>
        </w:rPr>
      </w:pPr>
      <w:r w:rsidRPr="00012CA3">
        <w:rPr>
          <w:rFonts w:ascii="Times New Roman" w:hAnsi="Times New Roman" w:cs="Times New Roman"/>
          <w:sz w:val="28"/>
          <w:szCs w:val="28"/>
          <w:lang w:val="ro-MD"/>
        </w:rPr>
        <w:t>-</w:t>
      </w:r>
      <w:r w:rsidRPr="00012CA3">
        <w:rPr>
          <w:rFonts w:ascii="Times New Roman" w:hAnsi="Times New Roman" w:cs="Times New Roman"/>
          <w:sz w:val="28"/>
          <w:szCs w:val="28"/>
          <w:lang w:val="ro-MD"/>
        </w:rPr>
        <w:tab/>
      </w:r>
      <w:r w:rsidR="00613485" w:rsidRPr="00012CA3">
        <w:rPr>
          <w:rFonts w:ascii="Times New Roman" w:hAnsi="Times New Roman" w:cs="Times New Roman"/>
          <w:bCs/>
          <w:sz w:val="28"/>
          <w:szCs w:val="28"/>
          <w:lang w:val="ro-MD"/>
        </w:rPr>
        <w:t>cheltuielile bugetului de stat s-au majorat cu 8 390,9 mil.lei și vor constitui suma de 93 838,8 mil.lei;</w:t>
      </w:r>
    </w:p>
    <w:p w:rsidR="00F655DE" w:rsidRPr="00012CA3" w:rsidRDefault="00F655DE" w:rsidP="00F655DE">
      <w:pPr>
        <w:tabs>
          <w:tab w:val="left" w:pos="567"/>
          <w:tab w:val="left" w:pos="993"/>
        </w:tabs>
        <w:suppressAutoHyphens w:val="0"/>
        <w:spacing w:after="0" w:line="276" w:lineRule="auto"/>
        <w:ind w:firstLine="709"/>
        <w:jc w:val="both"/>
        <w:rPr>
          <w:rFonts w:ascii="Times New Roman" w:hAnsi="Times New Roman"/>
          <w:sz w:val="28"/>
          <w:szCs w:val="28"/>
          <w:lang w:val="ro-MD" w:eastAsia="en-US"/>
        </w:rPr>
      </w:pPr>
      <w:r w:rsidRPr="00012CA3">
        <w:rPr>
          <w:rFonts w:ascii="Times New Roman" w:hAnsi="Times New Roman"/>
          <w:sz w:val="28"/>
          <w:szCs w:val="28"/>
          <w:lang w:val="ro-MD"/>
        </w:rPr>
        <w:t>-</w:t>
      </w:r>
      <w:r w:rsidRPr="00012CA3">
        <w:rPr>
          <w:rFonts w:ascii="Times New Roman" w:hAnsi="Times New Roman"/>
          <w:sz w:val="28"/>
          <w:szCs w:val="28"/>
          <w:lang w:val="ro-MD"/>
        </w:rPr>
        <w:tab/>
      </w:r>
      <w:r w:rsidR="00613485" w:rsidRPr="00012CA3">
        <w:rPr>
          <w:rFonts w:ascii="Times New Roman" w:hAnsi="Times New Roman"/>
          <w:bCs/>
          <w:sz w:val="28"/>
          <w:szCs w:val="28"/>
          <w:lang w:val="ro-MD"/>
        </w:rPr>
        <w:t>soldul bugetar (deficitul) s-a majorat cu 4 012,3 mil. lei și va constitui suma de 17 906,3 mil.lei.</w:t>
      </w:r>
    </w:p>
    <w:p w:rsidR="00CE6676" w:rsidRPr="00012CA3" w:rsidRDefault="00F655DE" w:rsidP="005F4C2E">
      <w:pPr>
        <w:tabs>
          <w:tab w:val="left" w:pos="567"/>
        </w:tabs>
        <w:suppressAutoHyphens w:val="0"/>
        <w:spacing w:after="0" w:line="276" w:lineRule="auto"/>
        <w:ind w:firstLine="567"/>
        <w:jc w:val="both"/>
        <w:rPr>
          <w:rFonts w:ascii="Times New Roman" w:hAnsi="Times New Roman"/>
          <w:sz w:val="28"/>
          <w:szCs w:val="28"/>
        </w:rPr>
      </w:pPr>
      <w:r w:rsidRPr="00012CA3">
        <w:rPr>
          <w:rFonts w:ascii="Times New Roman" w:hAnsi="Times New Roman"/>
          <w:sz w:val="28"/>
          <w:szCs w:val="28"/>
          <w:lang w:val="ro-MD" w:eastAsia="en-US"/>
        </w:rPr>
        <w:t xml:space="preserve"> </w:t>
      </w:r>
      <w:r w:rsidR="00EE5E50" w:rsidRPr="00012CA3">
        <w:rPr>
          <w:rFonts w:ascii="Times New Roman" w:hAnsi="Times New Roman"/>
          <w:sz w:val="28"/>
          <w:szCs w:val="28"/>
        </w:rPr>
        <w:t xml:space="preserve">Pentru anul 2025 se estimează diminuarea cheltuielilor pentru serviciul datoriei de stat (atât internă cât și externă), ca urmare a reestimării cursului de schimb al monedei naționale, diminuării ratelor Euribor 6 luni și ratei DST pe piețele internaționale, precum și urmare a micșorării ratelor la VMS emise pe piața internă în anul precedent. </w:t>
      </w:r>
      <w:r w:rsidR="006D6D8D" w:rsidRPr="00012CA3">
        <w:rPr>
          <w:rFonts w:ascii="Times New Roman" w:hAnsi="Times New Roman"/>
          <w:sz w:val="28"/>
          <w:szCs w:val="28"/>
        </w:rPr>
        <w:t xml:space="preserve">De asemenea, se estimează diminuarea cheltuielilor pentru investiții capitale efectuate din mijloacele proiectelor finanțate din surse externe. </w:t>
      </w:r>
      <w:r w:rsidR="00774AAF" w:rsidRPr="00012CA3">
        <w:rPr>
          <w:rFonts w:ascii="Times New Roman" w:hAnsi="Times New Roman"/>
          <w:sz w:val="28"/>
          <w:szCs w:val="28"/>
        </w:rPr>
        <w:t xml:space="preserve">Totodată, nivelul redus de valorificare a resurselor financiare aferente proiectelor finanțate din surse externe, determinat de capacitățile limitate ale autorităților centrale de a absorbi aceste resurse, afectează negativ nivelul de executare a cheltuielilor pentru serviciul datoriei de stat. </w:t>
      </w:r>
      <w:r w:rsidR="006D6D8D" w:rsidRPr="00012CA3">
        <w:rPr>
          <w:rFonts w:ascii="Times New Roman" w:hAnsi="Times New Roman"/>
          <w:sz w:val="28"/>
          <w:szCs w:val="28"/>
        </w:rPr>
        <w:t xml:space="preserve">Concomitent, </w:t>
      </w:r>
      <w:r w:rsidR="007E7BD3" w:rsidRPr="00012CA3">
        <w:rPr>
          <w:rFonts w:ascii="Times New Roman" w:hAnsi="Times New Roman"/>
          <w:sz w:val="28"/>
          <w:szCs w:val="28"/>
        </w:rPr>
        <w:t xml:space="preserve">principalele </w:t>
      </w:r>
      <w:r w:rsidR="006D6D8D" w:rsidRPr="00012CA3">
        <w:rPr>
          <w:rFonts w:ascii="Times New Roman" w:hAnsi="Times New Roman"/>
          <w:sz w:val="28"/>
          <w:szCs w:val="28"/>
        </w:rPr>
        <w:t xml:space="preserve">majorări de alocații se </w:t>
      </w:r>
      <w:r w:rsidR="007E7BD3" w:rsidRPr="00012CA3">
        <w:rPr>
          <w:rFonts w:ascii="Times New Roman" w:hAnsi="Times New Roman"/>
          <w:sz w:val="28"/>
          <w:szCs w:val="28"/>
        </w:rPr>
        <w:t xml:space="preserve">estimează pentru transferurile către bugetele locale </w:t>
      </w:r>
      <w:r w:rsidR="00680E41">
        <w:rPr>
          <w:rFonts w:ascii="Times New Roman" w:hAnsi="Times New Roman"/>
          <w:sz w:val="28"/>
          <w:szCs w:val="28"/>
        </w:rPr>
        <w:t xml:space="preserve">și </w:t>
      </w:r>
      <w:r w:rsidR="007E7BD3" w:rsidRPr="00012CA3">
        <w:rPr>
          <w:rFonts w:ascii="Times New Roman" w:hAnsi="Times New Roman"/>
          <w:sz w:val="28"/>
          <w:szCs w:val="28"/>
        </w:rPr>
        <w:t xml:space="preserve"> </w:t>
      </w:r>
      <w:r w:rsidR="005750DD" w:rsidRPr="00012CA3">
        <w:rPr>
          <w:rFonts w:ascii="Times New Roman" w:hAnsi="Times New Roman"/>
          <w:sz w:val="28"/>
          <w:szCs w:val="28"/>
        </w:rPr>
        <w:t>transferurile către</w:t>
      </w:r>
      <w:r w:rsidR="005750DD" w:rsidRPr="00012CA3">
        <w:t xml:space="preserve"> </w:t>
      </w:r>
      <w:r w:rsidR="005750DD" w:rsidRPr="00012CA3">
        <w:rPr>
          <w:rFonts w:ascii="Times New Roman" w:hAnsi="Times New Roman"/>
          <w:sz w:val="28"/>
          <w:szCs w:val="28"/>
        </w:rPr>
        <w:t>bugetul asigurărilor sociale de stat</w:t>
      </w:r>
      <w:r w:rsidR="003E2E81" w:rsidRPr="00012CA3">
        <w:rPr>
          <w:rFonts w:ascii="Times New Roman" w:hAnsi="Times New Roman"/>
          <w:sz w:val="28"/>
          <w:szCs w:val="28"/>
        </w:rPr>
        <w:t xml:space="preserve"> pentru acordarea unui suport financiar unic pentru pregătirea elevilor claselor I-IX de noul an școlar 2025-2026</w:t>
      </w:r>
      <w:r w:rsidR="007E7BD3" w:rsidRPr="00012CA3">
        <w:rPr>
          <w:rFonts w:ascii="Times New Roman" w:hAnsi="Times New Roman"/>
          <w:sz w:val="28"/>
          <w:szCs w:val="28"/>
        </w:rPr>
        <w:t>.</w:t>
      </w:r>
    </w:p>
    <w:p w:rsidR="00D41AEE" w:rsidRPr="00012CA3" w:rsidRDefault="00D41AEE" w:rsidP="005F4C2E">
      <w:pPr>
        <w:pStyle w:val="Default"/>
        <w:spacing w:line="276" w:lineRule="auto"/>
        <w:ind w:firstLine="567"/>
        <w:jc w:val="both"/>
        <w:rPr>
          <w:rFonts w:ascii="Times New Roman" w:eastAsia="Times New Roman" w:hAnsi="Times New Roman" w:cs="Times New Roman"/>
          <w:color w:val="auto"/>
          <w:sz w:val="28"/>
          <w:szCs w:val="28"/>
          <w:lang w:val="ro-MD" w:eastAsia="en-US"/>
        </w:rPr>
      </w:pPr>
      <w:r w:rsidRPr="00012CA3">
        <w:rPr>
          <w:rFonts w:ascii="Times New Roman" w:eastAsia="Times New Roman" w:hAnsi="Times New Roman" w:cs="Times New Roman"/>
          <w:color w:val="auto"/>
          <w:sz w:val="28"/>
          <w:szCs w:val="28"/>
          <w:lang w:val="ro-MD" w:eastAsia="en-US"/>
        </w:rPr>
        <w:t>Deficitului bugetului de stat s-a estimat cu o majorarea de 4 012,3 mil. lei față de volumul aprobat, în sumă nominală constituind 17 906,3 mil. lei sau 5,</w:t>
      </w:r>
      <w:r w:rsidR="003F54A8" w:rsidRPr="00012CA3">
        <w:rPr>
          <w:rFonts w:ascii="Times New Roman" w:eastAsia="Times New Roman" w:hAnsi="Times New Roman" w:cs="Times New Roman"/>
          <w:color w:val="auto"/>
          <w:sz w:val="28"/>
          <w:szCs w:val="28"/>
          <w:lang w:val="ro-MD" w:eastAsia="en-US"/>
        </w:rPr>
        <w:t>2</w:t>
      </w:r>
      <w:r w:rsidRPr="00012CA3">
        <w:rPr>
          <w:rFonts w:ascii="Times New Roman" w:eastAsia="Times New Roman" w:hAnsi="Times New Roman" w:cs="Times New Roman"/>
          <w:color w:val="auto"/>
          <w:sz w:val="28"/>
          <w:szCs w:val="28"/>
          <w:lang w:val="ro-MD" w:eastAsia="en-US"/>
        </w:rPr>
        <w:t>% în PIB. Totodată, a fost modificată structura surselor de finanțare a deficitului, din contul revizuirii surselor interne și a intrărilor de împrumuturi externe, inclusiv și a celor pentru proiectele finanțate din surse externe.</w:t>
      </w:r>
    </w:p>
    <w:p w:rsidR="002E1FB1" w:rsidRPr="00012CA3" w:rsidRDefault="00111FCC" w:rsidP="005F4C2E">
      <w:pPr>
        <w:spacing w:after="0" w:line="276" w:lineRule="auto"/>
        <w:ind w:firstLine="567"/>
        <w:jc w:val="both"/>
        <w:rPr>
          <w:rFonts w:ascii="Times New Roman" w:hAnsi="Times New Roman"/>
          <w:sz w:val="28"/>
          <w:szCs w:val="28"/>
          <w:lang w:val="ro-MD" w:eastAsia="en-US"/>
        </w:rPr>
      </w:pPr>
      <w:r w:rsidRPr="00012CA3">
        <w:rPr>
          <w:rFonts w:ascii="Times New Roman" w:hAnsi="Times New Roman"/>
          <w:sz w:val="28"/>
          <w:szCs w:val="28"/>
          <w:lang w:val="ro-MD" w:eastAsia="en-US"/>
        </w:rPr>
        <w:lastRenderedPageBreak/>
        <w:t>În continuare, obiectivele primordiale vor rămâne asigurarea stabilității și disciplinei bugetar-fiscale, precum și exercitarea unui control strict</w:t>
      </w:r>
      <w:r w:rsidR="009F4F0B">
        <w:rPr>
          <w:rFonts w:ascii="Times New Roman" w:hAnsi="Times New Roman"/>
          <w:sz w:val="28"/>
          <w:szCs w:val="28"/>
          <w:lang w:val="ro-MD" w:eastAsia="en-US"/>
        </w:rPr>
        <w:t xml:space="preserve"> asupra cheltuielilor, </w:t>
      </w:r>
      <w:r w:rsidR="009F4F0B" w:rsidRPr="009F4F0B">
        <w:rPr>
          <w:rFonts w:ascii="Times New Roman" w:hAnsi="Times New Roman"/>
          <w:sz w:val="28"/>
          <w:szCs w:val="28"/>
          <w:lang w:val="ro-MD" w:eastAsia="en-US"/>
        </w:rPr>
        <w:t>precum și asigurarea obiectivelor asumate în cadrul Agendei de reforme aferentă Planului de creștere al Republicii Moldova pentru 2025-2027.</w:t>
      </w:r>
    </w:p>
    <w:p w:rsidR="00A13EAD" w:rsidRPr="00012CA3" w:rsidRDefault="00A13EAD" w:rsidP="00AA6986">
      <w:pPr>
        <w:spacing w:after="0" w:line="276" w:lineRule="auto"/>
        <w:ind w:firstLine="567"/>
        <w:jc w:val="both"/>
        <w:rPr>
          <w:rFonts w:ascii="Times New Roman" w:hAnsi="Times New Roman"/>
          <w:sz w:val="28"/>
          <w:szCs w:val="28"/>
          <w:lang w:val="ro-MD" w:eastAsia="en-US"/>
        </w:rPr>
      </w:pPr>
    </w:p>
    <w:p w:rsidR="00A13EAD" w:rsidRDefault="00A13EAD" w:rsidP="00AA6986">
      <w:pPr>
        <w:spacing w:after="0" w:line="276" w:lineRule="auto"/>
        <w:ind w:firstLine="567"/>
        <w:jc w:val="both"/>
        <w:rPr>
          <w:rFonts w:ascii="Times New Roman" w:hAnsi="Times New Roman"/>
          <w:sz w:val="28"/>
          <w:szCs w:val="28"/>
          <w:lang w:val="ro-MD" w:eastAsia="en-US"/>
        </w:rPr>
      </w:pPr>
    </w:p>
    <w:p w:rsidR="00DA0B85" w:rsidRPr="00012CA3" w:rsidRDefault="00DA0B85" w:rsidP="00AA6986">
      <w:pPr>
        <w:spacing w:after="0" w:line="276" w:lineRule="auto"/>
        <w:ind w:firstLine="567"/>
        <w:jc w:val="both"/>
        <w:rPr>
          <w:rFonts w:ascii="Times New Roman" w:hAnsi="Times New Roman"/>
          <w:sz w:val="28"/>
          <w:szCs w:val="28"/>
          <w:lang w:val="ro-MD" w:eastAsia="en-US"/>
        </w:rPr>
      </w:pPr>
    </w:p>
    <w:p w:rsidR="002E1FB1" w:rsidRPr="00012CA3" w:rsidRDefault="002E1FB1">
      <w:pPr>
        <w:spacing w:after="0"/>
        <w:ind w:firstLine="567"/>
        <w:rPr>
          <w:lang w:val="ro-MD"/>
        </w:rPr>
      </w:pPr>
    </w:p>
    <w:p w:rsidR="00C82F48" w:rsidRPr="007F7AAB" w:rsidRDefault="00ED43FC" w:rsidP="000E0366">
      <w:pPr>
        <w:tabs>
          <w:tab w:val="left" w:pos="1134"/>
        </w:tabs>
        <w:spacing w:after="0" w:line="276" w:lineRule="auto"/>
        <w:ind w:firstLine="567"/>
        <w:jc w:val="center"/>
        <w:rPr>
          <w:b/>
          <w:sz w:val="28"/>
          <w:szCs w:val="28"/>
          <w:lang w:val="ro-MD"/>
        </w:rPr>
      </w:pPr>
      <w:r>
        <w:rPr>
          <w:rFonts w:ascii="Times New Roman" w:hAnsi="Times New Roman"/>
          <w:b/>
          <w:sz w:val="28"/>
          <w:szCs w:val="28"/>
          <w:lang w:val="ro-MD"/>
        </w:rPr>
        <w:t>Secretară generală</w:t>
      </w:r>
      <w:r w:rsidR="007F7AAB" w:rsidRPr="007F7AAB">
        <w:rPr>
          <w:b/>
          <w:sz w:val="28"/>
          <w:szCs w:val="28"/>
          <w:lang w:val="ro-MD"/>
        </w:rPr>
        <w:tab/>
        <w:t xml:space="preserve">                                   </w:t>
      </w:r>
      <w:r w:rsidR="006003C7">
        <w:rPr>
          <w:rFonts w:ascii="Times New Roman" w:hAnsi="Times New Roman"/>
          <w:b/>
          <w:sz w:val="28"/>
          <w:szCs w:val="28"/>
          <w:lang w:val="ro-MD"/>
        </w:rPr>
        <w:t>Dina</w:t>
      </w:r>
      <w:r w:rsidR="007F7AAB" w:rsidRPr="007F7AAB">
        <w:rPr>
          <w:rFonts w:ascii="Times New Roman" w:hAnsi="Times New Roman"/>
          <w:b/>
          <w:sz w:val="28"/>
          <w:szCs w:val="28"/>
          <w:lang w:val="ro-MD"/>
        </w:rPr>
        <w:t xml:space="preserve"> </w:t>
      </w:r>
      <w:r w:rsidR="006003C7">
        <w:rPr>
          <w:rFonts w:ascii="Times New Roman" w:hAnsi="Times New Roman"/>
          <w:b/>
          <w:sz w:val="28"/>
          <w:szCs w:val="28"/>
          <w:lang w:val="ro-MD"/>
        </w:rPr>
        <w:t>ROȘCA</w:t>
      </w:r>
      <w:r w:rsidR="000E0366">
        <w:rPr>
          <w:rFonts w:ascii="Times New Roman" w:hAnsi="Times New Roman"/>
          <w:b/>
          <w:sz w:val="28"/>
          <w:szCs w:val="28"/>
          <w:lang w:val="ro-MD"/>
        </w:rPr>
        <w:t xml:space="preserve"> </w:t>
      </w:r>
    </w:p>
    <w:sectPr w:rsidR="00C82F48" w:rsidRPr="007F7AAB" w:rsidSect="00432448">
      <w:footerReference w:type="default" r:id="rId17"/>
      <w:footerReference w:type="first" r:id="rId18"/>
      <w:pgSz w:w="11906" w:h="16838"/>
      <w:pgMar w:top="1134" w:right="851"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8D7" w:rsidRDefault="000A08D7">
      <w:pPr>
        <w:spacing w:after="0" w:line="240" w:lineRule="auto"/>
      </w:pPr>
      <w:r>
        <w:separator/>
      </w:r>
    </w:p>
  </w:endnote>
  <w:endnote w:type="continuationSeparator" w:id="0">
    <w:p w:rsidR="000A08D7" w:rsidRDefault="000A0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Baltica RR">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Calibri"/>
    <w:charset w:val="00"/>
    <w:family w:val="swiss"/>
    <w:pitch w:val="variable"/>
    <w:sig w:usb0="00000001"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8C6" w:rsidRDefault="00E118C6">
    <w:pPr>
      <w:pStyle w:val="Footer"/>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PAGE </w:instrText>
    </w:r>
    <w:r>
      <w:rPr>
        <w:rFonts w:ascii="Times New Roman" w:hAnsi="Times New Roman"/>
        <w:sz w:val="24"/>
      </w:rPr>
      <w:fldChar w:fldCharType="separate"/>
    </w:r>
    <w:r w:rsidR="00792FFF">
      <w:rPr>
        <w:rFonts w:ascii="Times New Roman" w:hAnsi="Times New Roman"/>
        <w:noProof/>
        <w:sz w:val="24"/>
      </w:rPr>
      <w:t>2</w:t>
    </w:r>
    <w:r>
      <w:rPr>
        <w:rFonts w:ascii="Times New Roman" w:hAnsi="Times New Roman"/>
        <w:sz w:val="24"/>
      </w:rPr>
      <w:fldChar w:fldCharType="end"/>
    </w:r>
  </w:p>
  <w:p w:rsidR="00E118C6" w:rsidRDefault="00E118C6">
    <w:pPr>
      <w:pStyle w:val="Footer"/>
      <w:rPr>
        <w:rFonts w:ascii="Times New Roman"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8C6" w:rsidRDefault="00E118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8D7" w:rsidRDefault="000A08D7">
      <w:pPr>
        <w:spacing w:after="0" w:line="240" w:lineRule="auto"/>
      </w:pPr>
      <w:r>
        <w:separator/>
      </w:r>
    </w:p>
  </w:footnote>
  <w:footnote w:type="continuationSeparator" w:id="0">
    <w:p w:rsidR="000A08D7" w:rsidRDefault="000A08D7">
      <w:pPr>
        <w:spacing w:after="0" w:line="240" w:lineRule="auto"/>
      </w:pPr>
      <w:r>
        <w:continuationSeparator/>
      </w:r>
    </w:p>
  </w:footnote>
  <w:footnote w:id="1">
    <w:p w:rsidR="00E118C6" w:rsidRPr="004356A1" w:rsidRDefault="00E118C6" w:rsidP="00654EB9">
      <w:pPr>
        <w:pStyle w:val="FootnoteText"/>
        <w:jc w:val="both"/>
        <w:rPr>
          <w:rFonts w:ascii="Times New Roman" w:hAnsi="Times New Roman"/>
          <w:sz w:val="16"/>
          <w:szCs w:val="16"/>
        </w:rPr>
      </w:pPr>
      <w:r w:rsidRPr="001752FD">
        <w:rPr>
          <w:rStyle w:val="FootnoteReference"/>
          <w:rFonts w:ascii="Times New Roman" w:hAnsi="Times New Roman"/>
          <w:sz w:val="16"/>
          <w:szCs w:val="16"/>
          <w:vertAlign w:val="baseline"/>
        </w:rPr>
        <w:t>1</w:t>
      </w:r>
      <w:r>
        <w:rPr>
          <w:rStyle w:val="FootnoteReference"/>
          <w:rFonts w:ascii="Times New Roman" w:hAnsi="Times New Roman"/>
          <w:sz w:val="16"/>
          <w:szCs w:val="16"/>
          <w:vertAlign w:val="baseline"/>
        </w:rPr>
        <w:t>.</w:t>
      </w:r>
      <w:r>
        <w:rPr>
          <w:rStyle w:val="FootnoteReference"/>
          <w:rFonts w:ascii="Times New Roman" w:hAnsi="Times New Roman"/>
          <w:sz w:val="16"/>
          <w:szCs w:val="16"/>
        </w:rPr>
        <w:t>.</w:t>
      </w:r>
      <w:r w:rsidRPr="004356A1">
        <w:rPr>
          <w:rFonts w:ascii="Times New Roman" w:hAnsi="Times New Roman"/>
          <w:sz w:val="16"/>
          <w:szCs w:val="16"/>
        </w:rPr>
        <w:t xml:space="preserve">Legea nr.190/30.09.2011 </w:t>
      </w:r>
      <w:r w:rsidRPr="004356A1">
        <w:rPr>
          <w:rFonts w:ascii="Times New Roman" w:hAnsi="Times New Roman"/>
          <w:sz w:val="16"/>
          <w:szCs w:val="16"/>
          <w:lang w:val="en-GB"/>
        </w:rPr>
        <w:t>privind unele masuri suplimentare de asigurare a stabilității financiare</w:t>
      </w:r>
    </w:p>
  </w:footnote>
  <w:footnote w:id="2">
    <w:p w:rsidR="00E118C6" w:rsidRPr="004356A1" w:rsidRDefault="00E118C6" w:rsidP="00654EB9">
      <w:pPr>
        <w:spacing w:after="0" w:line="240" w:lineRule="auto"/>
        <w:jc w:val="both"/>
        <w:rPr>
          <w:rFonts w:ascii="Arial" w:hAnsi="Arial" w:cs="Arial"/>
          <w:sz w:val="19"/>
          <w:szCs w:val="19"/>
          <w:lang w:val="en-GB" w:eastAsia="en-GB"/>
        </w:rPr>
      </w:pPr>
      <w:r w:rsidRPr="004356A1">
        <w:rPr>
          <w:rFonts w:ascii="Times New Roman" w:hAnsi="Times New Roman"/>
          <w:sz w:val="16"/>
          <w:szCs w:val="16"/>
          <w:lang w:val="en-GB" w:eastAsia="en-GB"/>
        </w:rPr>
        <w:t>2</w:t>
      </w:r>
      <w:r w:rsidRPr="001752FD">
        <w:rPr>
          <w:rFonts w:ascii="Times New Roman" w:hAnsi="Times New Roman"/>
          <w:sz w:val="16"/>
          <w:szCs w:val="16"/>
          <w:lang w:val="en-GB" w:eastAsia="en-GB"/>
        </w:rPr>
        <w:t xml:space="preserve">. </w:t>
      </w:r>
      <w:hyperlink w:history="1">
        <w:r w:rsidRPr="001752FD">
          <w:rPr>
            <w:rFonts w:ascii="Times New Roman" w:hAnsi="Times New Roman"/>
            <w:sz w:val="16"/>
            <w:szCs w:val="16"/>
            <w:u w:val="single"/>
            <w:lang w:val="en-GB" w:eastAsia="en-GB"/>
          </w:rPr>
          <w:t>Legea nr. 235/03.10.2016 privind emisiunea obligaţiunilor de stat în vederea executării de către Ministerul Finanţelor a obligaţiilor de plată derivate din garanţiile de stat nr.807 din 17 noiembrie 2014 şi nr.101 din 1 aprilie 2015</w:t>
        </w:r>
      </w:hyperlink>
    </w:p>
  </w:footnote>
  <w:footnote w:id="3">
    <w:p w:rsidR="00E118C6" w:rsidRPr="004356A1" w:rsidRDefault="00E118C6" w:rsidP="007D292B">
      <w:pPr>
        <w:pStyle w:val="FootnoteText"/>
        <w:rPr>
          <w:rFonts w:ascii="Times New Roman" w:hAnsi="Times New Roman"/>
        </w:rPr>
      </w:pPr>
      <w:r w:rsidRPr="004356A1">
        <w:rPr>
          <w:rStyle w:val="FootnoteReference"/>
          <w:rFonts w:ascii="Times New Roman" w:hAnsi="Times New Roman"/>
        </w:rPr>
        <w:footnoteRef/>
      </w:r>
      <w:r w:rsidRPr="004356A1">
        <w:rPr>
          <w:rFonts w:ascii="Times New Roman" w:hAnsi="Times New Roman"/>
        </w:rPr>
        <w:t xml:space="preserve"> Legea nr.293/2017 privind unele măsuri în vederea implementării Programului de stat „Prima casă”</w:t>
      </w:r>
    </w:p>
  </w:footnote>
  <w:footnote w:id="4">
    <w:p w:rsidR="00E118C6" w:rsidRPr="004356A1" w:rsidRDefault="00E118C6" w:rsidP="007D292B">
      <w:pPr>
        <w:pStyle w:val="FootnoteText"/>
        <w:jc w:val="both"/>
        <w:rPr>
          <w:rFonts w:ascii="Times New Roman" w:hAnsi="Times New Roman"/>
        </w:rPr>
      </w:pPr>
      <w:r w:rsidRPr="004356A1">
        <w:rPr>
          <w:rStyle w:val="FootnoteReference"/>
          <w:rFonts w:ascii="Times New Roman" w:hAnsi="Times New Roman"/>
        </w:rPr>
        <w:footnoteRef/>
      </w:r>
      <w:r w:rsidRPr="004356A1">
        <w:rPr>
          <w:rFonts w:ascii="Times New Roman" w:hAnsi="Times New Roman"/>
        </w:rPr>
        <w:t xml:space="preserve"> Hotărîrea Guvernului nr.202/2018 cu privire la aprobarea Regulamentului de implementare a Programului de stat „Prima casă”</w:t>
      </w:r>
    </w:p>
  </w:footnote>
  <w:footnote w:id="5">
    <w:p w:rsidR="00E118C6" w:rsidRPr="006F17B9" w:rsidRDefault="00E118C6" w:rsidP="00E2057E">
      <w:pPr>
        <w:pStyle w:val="FootnoteText"/>
        <w:jc w:val="both"/>
        <w:rPr>
          <w:rFonts w:ascii="Times New Roman" w:hAnsi="Times New Roman"/>
        </w:rPr>
      </w:pPr>
      <w:r w:rsidRPr="006F17B9">
        <w:rPr>
          <w:rStyle w:val="FootnoteReference"/>
          <w:rFonts w:ascii="Times New Roman" w:hAnsi="Times New Roman"/>
        </w:rPr>
        <w:footnoteRef/>
      </w:r>
      <w:r w:rsidRPr="006F17B9">
        <w:rPr>
          <w:rFonts w:ascii="Times New Roman" w:hAnsi="Times New Roman"/>
        </w:rPr>
        <w:t xml:space="preserve"> </w:t>
      </w:r>
      <w:hyperlink w:history="1">
        <w:r w:rsidRPr="006F17B9">
          <w:rPr>
            <w:rFonts w:ascii="Times New Roman" w:hAnsi="Times New Roman"/>
            <w:sz w:val="19"/>
            <w:szCs w:val="19"/>
            <w:lang w:val="en-GB" w:eastAsia="en-GB"/>
          </w:rPr>
          <w:t xml:space="preserve"> Legea nr.</w:t>
        </w:r>
        <w:r w:rsidRPr="006D5390">
          <w:rPr>
            <w:rFonts w:ascii="Times New Roman" w:hAnsi="Times New Roman"/>
            <w:lang w:val="en-GB" w:eastAsia="en-GB"/>
          </w:rPr>
          <w:t xml:space="preserve"> </w:t>
        </w:r>
        <w:r w:rsidRPr="006F17B9">
          <w:rPr>
            <w:rFonts w:ascii="Times New Roman" w:hAnsi="Times New Roman"/>
            <w:sz w:val="19"/>
            <w:szCs w:val="19"/>
            <w:lang w:val="en-GB" w:eastAsia="en-GB"/>
          </w:rPr>
          <w:t>1530/2002 privind indexarea depunerilor băneşti ale cetăţenilor în Banca de Economii</w:t>
        </w:r>
      </w:hyperlink>
    </w:p>
  </w:footnote>
  <w:footnote w:id="6">
    <w:p w:rsidR="00E118C6" w:rsidRPr="006F17B9" w:rsidRDefault="00E118C6" w:rsidP="00E2057E">
      <w:pPr>
        <w:pStyle w:val="FootnoteText"/>
        <w:jc w:val="both"/>
        <w:rPr>
          <w:rFonts w:ascii="Times New Roman" w:hAnsi="Times New Roman"/>
        </w:rPr>
      </w:pPr>
      <w:r w:rsidRPr="006F17B9">
        <w:rPr>
          <w:rStyle w:val="FootnoteReference"/>
          <w:rFonts w:ascii="Times New Roman" w:hAnsi="Times New Roman"/>
        </w:rPr>
        <w:footnoteRef/>
      </w:r>
      <w:r w:rsidRPr="006F17B9">
        <w:rPr>
          <w:rFonts w:ascii="Times New Roman" w:hAnsi="Times New Roman"/>
        </w:rPr>
        <w:t xml:space="preserve"> Hotărîrea Guvernului nr. 290/2023 privind plata sumei indexate deponenţilor Băncii de Economii</w:t>
      </w:r>
    </w:p>
  </w:footnote>
  <w:footnote w:id="7">
    <w:p w:rsidR="00E118C6" w:rsidRDefault="00E118C6" w:rsidP="00E2057E">
      <w:pPr>
        <w:pStyle w:val="FootnoteText"/>
        <w:jc w:val="both"/>
      </w:pPr>
      <w:r w:rsidRPr="006F17B9">
        <w:rPr>
          <w:rStyle w:val="FootnoteReference"/>
          <w:rFonts w:ascii="Times New Roman" w:hAnsi="Times New Roman"/>
        </w:rPr>
        <w:footnoteRef/>
      </w:r>
      <w:r w:rsidRPr="006F17B9">
        <w:rPr>
          <w:rFonts w:ascii="Times New Roman" w:hAnsi="Times New Roman"/>
        </w:rPr>
        <w:t xml:space="preserve"> Legea bugetului de stat pentru anul 2025 nr. 310/2024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0"/>
    <w:lvl w:ilvl="0">
      <w:start w:val="1"/>
      <w:numFmt w:val="bullet"/>
      <w:lvlText w:val=""/>
      <w:lvlJc w:val="left"/>
      <w:pPr>
        <w:tabs>
          <w:tab w:val="num" w:pos="0"/>
        </w:tabs>
        <w:ind w:left="1200" w:hanging="360"/>
      </w:pPr>
      <w:rPr>
        <w:rFonts w:ascii="Symbol" w:hAnsi="Symbol" w:cs="Symbol" w:hint="default"/>
      </w:rPr>
    </w:lvl>
  </w:abstractNum>
  <w:abstractNum w:abstractNumId="2" w15:restartNumberingAfterBreak="0">
    <w:nsid w:val="00000003"/>
    <w:multiLevelType w:val="singleLevel"/>
    <w:tmpl w:val="00000003"/>
    <w:name w:val="WW8Num16"/>
    <w:lvl w:ilvl="0">
      <w:start w:val="1"/>
      <w:numFmt w:val="bullet"/>
      <w:lvlText w:val=""/>
      <w:lvlJc w:val="left"/>
      <w:pPr>
        <w:tabs>
          <w:tab w:val="num" w:pos="0"/>
        </w:tabs>
        <w:ind w:left="786" w:hanging="360"/>
      </w:pPr>
      <w:rPr>
        <w:rFonts w:ascii="Wingdings" w:hAnsi="Wingdings" w:cs="Wingdings" w:hint="default"/>
      </w:rPr>
    </w:lvl>
  </w:abstractNum>
  <w:abstractNum w:abstractNumId="3" w15:restartNumberingAfterBreak="0">
    <w:nsid w:val="00000004"/>
    <w:multiLevelType w:val="singleLevel"/>
    <w:tmpl w:val="00000004"/>
    <w:name w:val="WW8Num18"/>
    <w:lvl w:ilvl="0">
      <w:start w:val="1"/>
      <w:numFmt w:val="bullet"/>
      <w:lvlText w:val=""/>
      <w:lvlJc w:val="left"/>
      <w:pPr>
        <w:tabs>
          <w:tab w:val="num" w:pos="709"/>
        </w:tabs>
        <w:ind w:left="927" w:hanging="360"/>
      </w:pPr>
      <w:rPr>
        <w:rFonts w:ascii="Symbol" w:hAnsi="Symbol" w:cs="Symbol" w:hint="default"/>
      </w:rPr>
    </w:lvl>
  </w:abstractNum>
  <w:abstractNum w:abstractNumId="4" w15:restartNumberingAfterBreak="0">
    <w:nsid w:val="00000005"/>
    <w:multiLevelType w:val="singleLevel"/>
    <w:tmpl w:val="00000005"/>
    <w:name w:val="WW8Num21"/>
    <w:lvl w:ilvl="0">
      <w:start w:val="1"/>
      <w:numFmt w:val="bullet"/>
      <w:lvlText w:val=""/>
      <w:lvlJc w:val="left"/>
      <w:pPr>
        <w:tabs>
          <w:tab w:val="num" w:pos="709"/>
        </w:tabs>
        <w:ind w:left="1070" w:hanging="360"/>
      </w:pPr>
      <w:rPr>
        <w:rFonts w:ascii="Wingdings" w:hAnsi="Wingdings" w:cs="Wingdings" w:hint="default"/>
        <w:sz w:val="28"/>
        <w:szCs w:val="28"/>
      </w:rPr>
    </w:lvl>
  </w:abstractNum>
  <w:abstractNum w:abstractNumId="5" w15:restartNumberingAfterBreak="0">
    <w:nsid w:val="00000006"/>
    <w:multiLevelType w:val="singleLevel"/>
    <w:tmpl w:val="00000006"/>
    <w:name w:val="WW8Num22"/>
    <w:lvl w:ilvl="0">
      <w:start w:val="1"/>
      <w:numFmt w:val="bullet"/>
      <w:lvlText w:val=""/>
      <w:lvlJc w:val="left"/>
      <w:pPr>
        <w:tabs>
          <w:tab w:val="num" w:pos="0"/>
        </w:tabs>
        <w:ind w:left="1146" w:hanging="360"/>
      </w:pPr>
      <w:rPr>
        <w:rFonts w:ascii="Symbol" w:hAnsi="Symbol" w:cs="Symbol" w:hint="default"/>
      </w:rPr>
    </w:lvl>
  </w:abstractNum>
  <w:abstractNum w:abstractNumId="6" w15:restartNumberingAfterBreak="0">
    <w:nsid w:val="00000007"/>
    <w:multiLevelType w:val="singleLevel"/>
    <w:tmpl w:val="00000007"/>
    <w:name w:val="WW8Num24"/>
    <w:lvl w:ilvl="0">
      <w:start w:val="1"/>
      <w:numFmt w:val="bullet"/>
      <w:lvlText w:val=""/>
      <w:lvlJc w:val="left"/>
      <w:pPr>
        <w:tabs>
          <w:tab w:val="num" w:pos="0"/>
        </w:tabs>
        <w:ind w:left="1287" w:hanging="360"/>
      </w:pPr>
      <w:rPr>
        <w:rFonts w:ascii="Wingdings" w:hAnsi="Wingdings" w:cs="Wingdings" w:hint="default"/>
      </w:rPr>
    </w:lvl>
  </w:abstractNum>
  <w:abstractNum w:abstractNumId="7" w15:restartNumberingAfterBreak="0">
    <w:nsid w:val="00000008"/>
    <w:multiLevelType w:val="singleLevel"/>
    <w:tmpl w:val="00000008"/>
    <w:name w:val="WW8Num27"/>
    <w:lvl w:ilvl="0">
      <w:start w:val="1"/>
      <w:numFmt w:val="bullet"/>
      <w:lvlText w:val=""/>
      <w:lvlJc w:val="left"/>
      <w:pPr>
        <w:tabs>
          <w:tab w:val="num" w:pos="709"/>
        </w:tabs>
        <w:ind w:left="720" w:hanging="360"/>
      </w:pPr>
      <w:rPr>
        <w:rFonts w:ascii="Wingdings" w:hAnsi="Wingdings" w:cs="Wingdings" w:hint="default"/>
      </w:rPr>
    </w:lvl>
  </w:abstractNum>
  <w:abstractNum w:abstractNumId="8" w15:restartNumberingAfterBreak="0">
    <w:nsid w:val="00000009"/>
    <w:multiLevelType w:val="singleLevel"/>
    <w:tmpl w:val="00000009"/>
    <w:name w:val="WW8Num29"/>
    <w:lvl w:ilvl="0">
      <w:start w:val="1"/>
      <w:numFmt w:val="bullet"/>
      <w:lvlText w:val=""/>
      <w:lvlJc w:val="left"/>
      <w:pPr>
        <w:tabs>
          <w:tab w:val="num" w:pos="709"/>
        </w:tabs>
        <w:ind w:left="1287" w:hanging="360"/>
      </w:pPr>
      <w:rPr>
        <w:rFonts w:ascii="Wingdings" w:hAnsi="Wingdings" w:cs="Wingdings" w:hint="default"/>
      </w:rPr>
    </w:lvl>
  </w:abstractNum>
  <w:abstractNum w:abstractNumId="9" w15:restartNumberingAfterBreak="0">
    <w:nsid w:val="0000000A"/>
    <w:multiLevelType w:val="singleLevel"/>
    <w:tmpl w:val="0000000A"/>
    <w:name w:val="WW8Num34"/>
    <w:lvl w:ilvl="0">
      <w:start w:val="1"/>
      <w:numFmt w:val="bullet"/>
      <w:lvlText w:val=""/>
      <w:lvlJc w:val="left"/>
      <w:pPr>
        <w:tabs>
          <w:tab w:val="num" w:pos="0"/>
        </w:tabs>
        <w:ind w:left="1287" w:hanging="360"/>
      </w:pPr>
      <w:rPr>
        <w:rFonts w:ascii="Wingdings" w:hAnsi="Wingdings" w:cs="Wingdings" w:hint="default"/>
      </w:rPr>
    </w:lvl>
  </w:abstractNum>
  <w:abstractNum w:abstractNumId="10" w15:restartNumberingAfterBreak="0">
    <w:nsid w:val="0000000B"/>
    <w:multiLevelType w:val="singleLevel"/>
    <w:tmpl w:val="0000000B"/>
    <w:name w:val="WW8Num38"/>
    <w:lvl w:ilvl="0">
      <w:start w:val="1"/>
      <w:numFmt w:val="bullet"/>
      <w:lvlText w:val=""/>
      <w:lvlJc w:val="left"/>
      <w:pPr>
        <w:tabs>
          <w:tab w:val="num" w:pos="0"/>
        </w:tabs>
        <w:ind w:left="1287" w:hanging="360"/>
      </w:pPr>
      <w:rPr>
        <w:rFonts w:ascii="Wingdings" w:hAnsi="Wingdings" w:cs="Wingdings" w:hint="default"/>
      </w:rPr>
    </w:lvl>
  </w:abstractNum>
  <w:abstractNum w:abstractNumId="11" w15:restartNumberingAfterBreak="0">
    <w:nsid w:val="0000000C"/>
    <w:multiLevelType w:val="singleLevel"/>
    <w:tmpl w:val="0000000C"/>
    <w:name w:val="WW8Num40"/>
    <w:lvl w:ilvl="0">
      <w:numFmt w:val="bullet"/>
      <w:lvlText w:val="-"/>
      <w:lvlJc w:val="left"/>
      <w:pPr>
        <w:tabs>
          <w:tab w:val="num" w:pos="0"/>
        </w:tabs>
        <w:ind w:left="786" w:hanging="360"/>
      </w:pPr>
      <w:rPr>
        <w:rFonts w:ascii="Times New Roman" w:hAnsi="Times New Roman" w:cs="Times New Roman" w:hint="default"/>
        <w:color w:val="000000"/>
      </w:rPr>
    </w:lvl>
  </w:abstractNum>
  <w:abstractNum w:abstractNumId="12" w15:restartNumberingAfterBreak="0">
    <w:nsid w:val="0D1A5C5B"/>
    <w:multiLevelType w:val="hybridMultilevel"/>
    <w:tmpl w:val="0DC214E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41830051"/>
    <w:multiLevelType w:val="hybridMultilevel"/>
    <w:tmpl w:val="499EA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5B15C1"/>
    <w:multiLevelType w:val="hybridMultilevel"/>
    <w:tmpl w:val="9642D75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5F133290"/>
    <w:multiLevelType w:val="hybridMultilevel"/>
    <w:tmpl w:val="0C88220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7951359"/>
    <w:multiLevelType w:val="hybridMultilevel"/>
    <w:tmpl w:val="CB6CA67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5"/>
  </w:num>
  <w:num w:numId="14">
    <w:abstractNumId w:val="16"/>
  </w:num>
  <w:num w:numId="15">
    <w:abstractNumId w:val="14"/>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F48"/>
    <w:rsid w:val="00001B4B"/>
    <w:rsid w:val="00003718"/>
    <w:rsid w:val="00004DAB"/>
    <w:rsid w:val="00005538"/>
    <w:rsid w:val="00005D68"/>
    <w:rsid w:val="0000649A"/>
    <w:rsid w:val="000072D6"/>
    <w:rsid w:val="00010062"/>
    <w:rsid w:val="00010372"/>
    <w:rsid w:val="00012CA3"/>
    <w:rsid w:val="00014E73"/>
    <w:rsid w:val="00015250"/>
    <w:rsid w:val="000156B1"/>
    <w:rsid w:val="00016954"/>
    <w:rsid w:val="0001779E"/>
    <w:rsid w:val="000179A9"/>
    <w:rsid w:val="00017EC3"/>
    <w:rsid w:val="00021461"/>
    <w:rsid w:val="000218E5"/>
    <w:rsid w:val="000219BF"/>
    <w:rsid w:val="00021A77"/>
    <w:rsid w:val="000225CC"/>
    <w:rsid w:val="00024464"/>
    <w:rsid w:val="000250B1"/>
    <w:rsid w:val="0002569C"/>
    <w:rsid w:val="000256F6"/>
    <w:rsid w:val="000317C5"/>
    <w:rsid w:val="00032018"/>
    <w:rsid w:val="0003223A"/>
    <w:rsid w:val="0003332D"/>
    <w:rsid w:val="00034ED8"/>
    <w:rsid w:val="00035647"/>
    <w:rsid w:val="00035ECE"/>
    <w:rsid w:val="00036821"/>
    <w:rsid w:val="000375D2"/>
    <w:rsid w:val="00040209"/>
    <w:rsid w:val="000440F8"/>
    <w:rsid w:val="00044A8D"/>
    <w:rsid w:val="000454C8"/>
    <w:rsid w:val="0004613C"/>
    <w:rsid w:val="00046827"/>
    <w:rsid w:val="000471F6"/>
    <w:rsid w:val="00050239"/>
    <w:rsid w:val="0005161F"/>
    <w:rsid w:val="00051D80"/>
    <w:rsid w:val="00057388"/>
    <w:rsid w:val="00057636"/>
    <w:rsid w:val="00061307"/>
    <w:rsid w:val="00062B7B"/>
    <w:rsid w:val="00062F31"/>
    <w:rsid w:val="000631D7"/>
    <w:rsid w:val="00063871"/>
    <w:rsid w:val="00063F0F"/>
    <w:rsid w:val="00064BAC"/>
    <w:rsid w:val="00064E63"/>
    <w:rsid w:val="000650A2"/>
    <w:rsid w:val="00065322"/>
    <w:rsid w:val="00065496"/>
    <w:rsid w:val="00066435"/>
    <w:rsid w:val="0007244A"/>
    <w:rsid w:val="0007292A"/>
    <w:rsid w:val="0007342E"/>
    <w:rsid w:val="000742A0"/>
    <w:rsid w:val="0008014B"/>
    <w:rsid w:val="00082E95"/>
    <w:rsid w:val="00085448"/>
    <w:rsid w:val="00085611"/>
    <w:rsid w:val="00085E2B"/>
    <w:rsid w:val="00090255"/>
    <w:rsid w:val="0009047B"/>
    <w:rsid w:val="0009056B"/>
    <w:rsid w:val="00090711"/>
    <w:rsid w:val="00090D28"/>
    <w:rsid w:val="00092CE3"/>
    <w:rsid w:val="000956CD"/>
    <w:rsid w:val="000979DF"/>
    <w:rsid w:val="000A08D7"/>
    <w:rsid w:val="000A1C3B"/>
    <w:rsid w:val="000A28E6"/>
    <w:rsid w:val="000A3E7B"/>
    <w:rsid w:val="000A430F"/>
    <w:rsid w:val="000A5928"/>
    <w:rsid w:val="000B047F"/>
    <w:rsid w:val="000B1471"/>
    <w:rsid w:val="000B210B"/>
    <w:rsid w:val="000B30D7"/>
    <w:rsid w:val="000B3A99"/>
    <w:rsid w:val="000B55EB"/>
    <w:rsid w:val="000B56BD"/>
    <w:rsid w:val="000B5D4B"/>
    <w:rsid w:val="000B5EEE"/>
    <w:rsid w:val="000B6E0B"/>
    <w:rsid w:val="000B737B"/>
    <w:rsid w:val="000B7A92"/>
    <w:rsid w:val="000C1B24"/>
    <w:rsid w:val="000C2BC8"/>
    <w:rsid w:val="000C3D1D"/>
    <w:rsid w:val="000C5250"/>
    <w:rsid w:val="000C541A"/>
    <w:rsid w:val="000C5736"/>
    <w:rsid w:val="000C62C6"/>
    <w:rsid w:val="000D022A"/>
    <w:rsid w:val="000D0422"/>
    <w:rsid w:val="000D2638"/>
    <w:rsid w:val="000D3650"/>
    <w:rsid w:val="000D3EF6"/>
    <w:rsid w:val="000D5ADA"/>
    <w:rsid w:val="000D6374"/>
    <w:rsid w:val="000D6385"/>
    <w:rsid w:val="000D684D"/>
    <w:rsid w:val="000D7A35"/>
    <w:rsid w:val="000E035F"/>
    <w:rsid w:val="000E0366"/>
    <w:rsid w:val="000E1DD1"/>
    <w:rsid w:val="000E2D85"/>
    <w:rsid w:val="000E372A"/>
    <w:rsid w:val="000E5E34"/>
    <w:rsid w:val="000E60E3"/>
    <w:rsid w:val="000F055A"/>
    <w:rsid w:val="000F23EA"/>
    <w:rsid w:val="000F2FCE"/>
    <w:rsid w:val="000F397E"/>
    <w:rsid w:val="000F409B"/>
    <w:rsid w:val="000F431A"/>
    <w:rsid w:val="000F43F2"/>
    <w:rsid w:val="000F66F3"/>
    <w:rsid w:val="00100957"/>
    <w:rsid w:val="00100B14"/>
    <w:rsid w:val="00100C9C"/>
    <w:rsid w:val="00101BED"/>
    <w:rsid w:val="00102A1D"/>
    <w:rsid w:val="001048FD"/>
    <w:rsid w:val="001054F5"/>
    <w:rsid w:val="0010720C"/>
    <w:rsid w:val="0010725F"/>
    <w:rsid w:val="00110B4E"/>
    <w:rsid w:val="00111FCC"/>
    <w:rsid w:val="00112089"/>
    <w:rsid w:val="00113653"/>
    <w:rsid w:val="00113B70"/>
    <w:rsid w:val="00113D8D"/>
    <w:rsid w:val="00114ACB"/>
    <w:rsid w:val="00114DE2"/>
    <w:rsid w:val="00117C6F"/>
    <w:rsid w:val="00120835"/>
    <w:rsid w:val="00121281"/>
    <w:rsid w:val="00121A6A"/>
    <w:rsid w:val="0012272A"/>
    <w:rsid w:val="00122E74"/>
    <w:rsid w:val="00124832"/>
    <w:rsid w:val="00124A88"/>
    <w:rsid w:val="00125624"/>
    <w:rsid w:val="00126D93"/>
    <w:rsid w:val="00132738"/>
    <w:rsid w:val="00132D35"/>
    <w:rsid w:val="001346DD"/>
    <w:rsid w:val="00134A98"/>
    <w:rsid w:val="00135693"/>
    <w:rsid w:val="00136B35"/>
    <w:rsid w:val="00136E3B"/>
    <w:rsid w:val="00137002"/>
    <w:rsid w:val="001375BD"/>
    <w:rsid w:val="00137C6C"/>
    <w:rsid w:val="00137F15"/>
    <w:rsid w:val="00140D2F"/>
    <w:rsid w:val="001427C6"/>
    <w:rsid w:val="00143652"/>
    <w:rsid w:val="00144057"/>
    <w:rsid w:val="00144B92"/>
    <w:rsid w:val="00146443"/>
    <w:rsid w:val="001519FE"/>
    <w:rsid w:val="001529CA"/>
    <w:rsid w:val="00152CB7"/>
    <w:rsid w:val="001541D8"/>
    <w:rsid w:val="0015533C"/>
    <w:rsid w:val="001575D4"/>
    <w:rsid w:val="00157A15"/>
    <w:rsid w:val="00157FFA"/>
    <w:rsid w:val="001601C8"/>
    <w:rsid w:val="00160203"/>
    <w:rsid w:val="0016193A"/>
    <w:rsid w:val="00162106"/>
    <w:rsid w:val="00164022"/>
    <w:rsid w:val="00164BFF"/>
    <w:rsid w:val="00165142"/>
    <w:rsid w:val="001657F6"/>
    <w:rsid w:val="00165DE4"/>
    <w:rsid w:val="00166BCF"/>
    <w:rsid w:val="00166D58"/>
    <w:rsid w:val="001675E5"/>
    <w:rsid w:val="00167788"/>
    <w:rsid w:val="00167F73"/>
    <w:rsid w:val="001703FB"/>
    <w:rsid w:val="00170D63"/>
    <w:rsid w:val="0017183E"/>
    <w:rsid w:val="00172611"/>
    <w:rsid w:val="00172A83"/>
    <w:rsid w:val="00173EA1"/>
    <w:rsid w:val="00175278"/>
    <w:rsid w:val="001752FD"/>
    <w:rsid w:val="00175835"/>
    <w:rsid w:val="00175D22"/>
    <w:rsid w:val="00177027"/>
    <w:rsid w:val="001777AB"/>
    <w:rsid w:val="00177CF8"/>
    <w:rsid w:val="00177D31"/>
    <w:rsid w:val="001801C7"/>
    <w:rsid w:val="001823E5"/>
    <w:rsid w:val="00184CD6"/>
    <w:rsid w:val="00186B0B"/>
    <w:rsid w:val="00187BBD"/>
    <w:rsid w:val="00190B76"/>
    <w:rsid w:val="00192FAD"/>
    <w:rsid w:val="0019424F"/>
    <w:rsid w:val="00196EA6"/>
    <w:rsid w:val="0019747E"/>
    <w:rsid w:val="00197BF7"/>
    <w:rsid w:val="00197D8F"/>
    <w:rsid w:val="001A0173"/>
    <w:rsid w:val="001A02C0"/>
    <w:rsid w:val="001A0D0D"/>
    <w:rsid w:val="001A16B8"/>
    <w:rsid w:val="001A1A3C"/>
    <w:rsid w:val="001A1D1E"/>
    <w:rsid w:val="001A3562"/>
    <w:rsid w:val="001A4A1C"/>
    <w:rsid w:val="001A5AC9"/>
    <w:rsid w:val="001A6B61"/>
    <w:rsid w:val="001A6FE8"/>
    <w:rsid w:val="001A7151"/>
    <w:rsid w:val="001A785E"/>
    <w:rsid w:val="001B007B"/>
    <w:rsid w:val="001B19F9"/>
    <w:rsid w:val="001B2AF3"/>
    <w:rsid w:val="001B375A"/>
    <w:rsid w:val="001B4BF7"/>
    <w:rsid w:val="001B4E5F"/>
    <w:rsid w:val="001B4F8B"/>
    <w:rsid w:val="001B6006"/>
    <w:rsid w:val="001B7559"/>
    <w:rsid w:val="001C11FA"/>
    <w:rsid w:val="001C1A22"/>
    <w:rsid w:val="001C297B"/>
    <w:rsid w:val="001C2999"/>
    <w:rsid w:val="001C2EB2"/>
    <w:rsid w:val="001C3AF1"/>
    <w:rsid w:val="001C6025"/>
    <w:rsid w:val="001D03BF"/>
    <w:rsid w:val="001D0774"/>
    <w:rsid w:val="001D3354"/>
    <w:rsid w:val="001D3E37"/>
    <w:rsid w:val="001D637A"/>
    <w:rsid w:val="001E0165"/>
    <w:rsid w:val="001E066C"/>
    <w:rsid w:val="001E0B44"/>
    <w:rsid w:val="001E0EE1"/>
    <w:rsid w:val="001E0FE3"/>
    <w:rsid w:val="001E1B21"/>
    <w:rsid w:val="001E2577"/>
    <w:rsid w:val="001E45BC"/>
    <w:rsid w:val="001E6B8C"/>
    <w:rsid w:val="001E7AC9"/>
    <w:rsid w:val="001F010D"/>
    <w:rsid w:val="001F01C1"/>
    <w:rsid w:val="001F1612"/>
    <w:rsid w:val="001F2274"/>
    <w:rsid w:val="001F30F4"/>
    <w:rsid w:val="001F3B44"/>
    <w:rsid w:val="001F45F8"/>
    <w:rsid w:val="001F53B4"/>
    <w:rsid w:val="001F6D62"/>
    <w:rsid w:val="001F7858"/>
    <w:rsid w:val="001F7A12"/>
    <w:rsid w:val="0020008B"/>
    <w:rsid w:val="0020088E"/>
    <w:rsid w:val="00201128"/>
    <w:rsid w:val="002015DD"/>
    <w:rsid w:val="00203437"/>
    <w:rsid w:val="002057DC"/>
    <w:rsid w:val="0020636F"/>
    <w:rsid w:val="00207703"/>
    <w:rsid w:val="00210AB0"/>
    <w:rsid w:val="002111D7"/>
    <w:rsid w:val="0021237C"/>
    <w:rsid w:val="00212758"/>
    <w:rsid w:val="00212C63"/>
    <w:rsid w:val="00212E99"/>
    <w:rsid w:val="0021459C"/>
    <w:rsid w:val="00215F1C"/>
    <w:rsid w:val="002165B7"/>
    <w:rsid w:val="00216E06"/>
    <w:rsid w:val="002204F9"/>
    <w:rsid w:val="00220604"/>
    <w:rsid w:val="00221BF7"/>
    <w:rsid w:val="002239B6"/>
    <w:rsid w:val="00223E09"/>
    <w:rsid w:val="002256AB"/>
    <w:rsid w:val="0022606D"/>
    <w:rsid w:val="00226A29"/>
    <w:rsid w:val="00227F2D"/>
    <w:rsid w:val="00232534"/>
    <w:rsid w:val="0023257B"/>
    <w:rsid w:val="00233D86"/>
    <w:rsid w:val="00234B43"/>
    <w:rsid w:val="00235E5B"/>
    <w:rsid w:val="0023640E"/>
    <w:rsid w:val="00236ED7"/>
    <w:rsid w:val="00236F6D"/>
    <w:rsid w:val="002407D7"/>
    <w:rsid w:val="00241283"/>
    <w:rsid w:val="0024134C"/>
    <w:rsid w:val="002413F1"/>
    <w:rsid w:val="00243092"/>
    <w:rsid w:val="0024470B"/>
    <w:rsid w:val="00244FAD"/>
    <w:rsid w:val="00246AD5"/>
    <w:rsid w:val="00247F2E"/>
    <w:rsid w:val="00252190"/>
    <w:rsid w:val="00253667"/>
    <w:rsid w:val="002563A9"/>
    <w:rsid w:val="00257071"/>
    <w:rsid w:val="00257BC5"/>
    <w:rsid w:val="00260A45"/>
    <w:rsid w:val="002629F4"/>
    <w:rsid w:val="0026446C"/>
    <w:rsid w:val="00264711"/>
    <w:rsid w:val="002656A0"/>
    <w:rsid w:val="00265B03"/>
    <w:rsid w:val="00266A29"/>
    <w:rsid w:val="00267794"/>
    <w:rsid w:val="0027043F"/>
    <w:rsid w:val="00271472"/>
    <w:rsid w:val="00271BBA"/>
    <w:rsid w:val="00274050"/>
    <w:rsid w:val="0027581F"/>
    <w:rsid w:val="0027623B"/>
    <w:rsid w:val="002770E0"/>
    <w:rsid w:val="00281937"/>
    <w:rsid w:val="00282390"/>
    <w:rsid w:val="002831C7"/>
    <w:rsid w:val="00284501"/>
    <w:rsid w:val="00284DF9"/>
    <w:rsid w:val="00285ACA"/>
    <w:rsid w:val="00287AC7"/>
    <w:rsid w:val="00287D32"/>
    <w:rsid w:val="00290289"/>
    <w:rsid w:val="0029043A"/>
    <w:rsid w:val="00290819"/>
    <w:rsid w:val="00290B6C"/>
    <w:rsid w:val="0029222A"/>
    <w:rsid w:val="00293E71"/>
    <w:rsid w:val="002945C1"/>
    <w:rsid w:val="00294664"/>
    <w:rsid w:val="002959C0"/>
    <w:rsid w:val="002976CF"/>
    <w:rsid w:val="00297F42"/>
    <w:rsid w:val="002A2D9E"/>
    <w:rsid w:val="002A50F1"/>
    <w:rsid w:val="002A5364"/>
    <w:rsid w:val="002A6B5E"/>
    <w:rsid w:val="002A7107"/>
    <w:rsid w:val="002A7B4E"/>
    <w:rsid w:val="002B0808"/>
    <w:rsid w:val="002B224D"/>
    <w:rsid w:val="002B25D9"/>
    <w:rsid w:val="002B4400"/>
    <w:rsid w:val="002B4548"/>
    <w:rsid w:val="002B4C42"/>
    <w:rsid w:val="002B5F1B"/>
    <w:rsid w:val="002B5FD9"/>
    <w:rsid w:val="002B6781"/>
    <w:rsid w:val="002B6F7D"/>
    <w:rsid w:val="002C04FE"/>
    <w:rsid w:val="002C1C8F"/>
    <w:rsid w:val="002C30C6"/>
    <w:rsid w:val="002C38C3"/>
    <w:rsid w:val="002C3CA7"/>
    <w:rsid w:val="002C4EC2"/>
    <w:rsid w:val="002C4F75"/>
    <w:rsid w:val="002C5127"/>
    <w:rsid w:val="002C765A"/>
    <w:rsid w:val="002C7BB9"/>
    <w:rsid w:val="002D17C1"/>
    <w:rsid w:val="002D2F5C"/>
    <w:rsid w:val="002D7AAF"/>
    <w:rsid w:val="002E05BE"/>
    <w:rsid w:val="002E0F1E"/>
    <w:rsid w:val="002E1C92"/>
    <w:rsid w:val="002E1FB1"/>
    <w:rsid w:val="002E2912"/>
    <w:rsid w:val="002E4037"/>
    <w:rsid w:val="002E4A1E"/>
    <w:rsid w:val="002E7207"/>
    <w:rsid w:val="002E757E"/>
    <w:rsid w:val="002F09B4"/>
    <w:rsid w:val="002F1793"/>
    <w:rsid w:val="002F20AD"/>
    <w:rsid w:val="002F52B9"/>
    <w:rsid w:val="002F7EF9"/>
    <w:rsid w:val="003008CC"/>
    <w:rsid w:val="00301915"/>
    <w:rsid w:val="00302CE8"/>
    <w:rsid w:val="00303272"/>
    <w:rsid w:val="003033C2"/>
    <w:rsid w:val="00304DA7"/>
    <w:rsid w:val="00304F7A"/>
    <w:rsid w:val="00304FAF"/>
    <w:rsid w:val="00305A88"/>
    <w:rsid w:val="0030674E"/>
    <w:rsid w:val="00306D98"/>
    <w:rsid w:val="00307E9C"/>
    <w:rsid w:val="00307FC9"/>
    <w:rsid w:val="003111E7"/>
    <w:rsid w:val="00312970"/>
    <w:rsid w:val="00313EA1"/>
    <w:rsid w:val="00314F12"/>
    <w:rsid w:val="00320737"/>
    <w:rsid w:val="003225B6"/>
    <w:rsid w:val="00322665"/>
    <w:rsid w:val="003226D2"/>
    <w:rsid w:val="00323FE8"/>
    <w:rsid w:val="0032443A"/>
    <w:rsid w:val="00324549"/>
    <w:rsid w:val="0032502F"/>
    <w:rsid w:val="003252ED"/>
    <w:rsid w:val="003257DD"/>
    <w:rsid w:val="00326283"/>
    <w:rsid w:val="003264FF"/>
    <w:rsid w:val="00330B34"/>
    <w:rsid w:val="00330ED0"/>
    <w:rsid w:val="003319A3"/>
    <w:rsid w:val="00331DE4"/>
    <w:rsid w:val="00332FE9"/>
    <w:rsid w:val="00333711"/>
    <w:rsid w:val="00333FB8"/>
    <w:rsid w:val="003353CD"/>
    <w:rsid w:val="00336C97"/>
    <w:rsid w:val="00340287"/>
    <w:rsid w:val="003408A8"/>
    <w:rsid w:val="003414A4"/>
    <w:rsid w:val="003424CF"/>
    <w:rsid w:val="00344360"/>
    <w:rsid w:val="00345AB3"/>
    <w:rsid w:val="00345BEB"/>
    <w:rsid w:val="00346097"/>
    <w:rsid w:val="0034618D"/>
    <w:rsid w:val="003461E8"/>
    <w:rsid w:val="00346691"/>
    <w:rsid w:val="0035020F"/>
    <w:rsid w:val="003504D9"/>
    <w:rsid w:val="00351181"/>
    <w:rsid w:val="00351B09"/>
    <w:rsid w:val="0035323E"/>
    <w:rsid w:val="00354155"/>
    <w:rsid w:val="00354370"/>
    <w:rsid w:val="00354E34"/>
    <w:rsid w:val="00355589"/>
    <w:rsid w:val="003556DC"/>
    <w:rsid w:val="00355A4E"/>
    <w:rsid w:val="00360204"/>
    <w:rsid w:val="00360345"/>
    <w:rsid w:val="00363917"/>
    <w:rsid w:val="003653FD"/>
    <w:rsid w:val="00365440"/>
    <w:rsid w:val="00365883"/>
    <w:rsid w:val="0036661A"/>
    <w:rsid w:val="0036661C"/>
    <w:rsid w:val="00367626"/>
    <w:rsid w:val="0037031D"/>
    <w:rsid w:val="00370860"/>
    <w:rsid w:val="00371640"/>
    <w:rsid w:val="00371ECE"/>
    <w:rsid w:val="00372A9F"/>
    <w:rsid w:val="003733EE"/>
    <w:rsid w:val="00373C42"/>
    <w:rsid w:val="00374246"/>
    <w:rsid w:val="0037443A"/>
    <w:rsid w:val="00375A1C"/>
    <w:rsid w:val="00390797"/>
    <w:rsid w:val="00396ADE"/>
    <w:rsid w:val="003971D3"/>
    <w:rsid w:val="003A1356"/>
    <w:rsid w:val="003A3BCA"/>
    <w:rsid w:val="003A7817"/>
    <w:rsid w:val="003B0A15"/>
    <w:rsid w:val="003B0A4C"/>
    <w:rsid w:val="003B3BDA"/>
    <w:rsid w:val="003B483E"/>
    <w:rsid w:val="003B5B69"/>
    <w:rsid w:val="003B6EEE"/>
    <w:rsid w:val="003C0B0B"/>
    <w:rsid w:val="003C0B40"/>
    <w:rsid w:val="003C2882"/>
    <w:rsid w:val="003C4BB5"/>
    <w:rsid w:val="003C611F"/>
    <w:rsid w:val="003C65D5"/>
    <w:rsid w:val="003C67DA"/>
    <w:rsid w:val="003C7099"/>
    <w:rsid w:val="003C7911"/>
    <w:rsid w:val="003D064C"/>
    <w:rsid w:val="003D07FC"/>
    <w:rsid w:val="003D0CF7"/>
    <w:rsid w:val="003D1249"/>
    <w:rsid w:val="003D1390"/>
    <w:rsid w:val="003D18C6"/>
    <w:rsid w:val="003D1AE5"/>
    <w:rsid w:val="003D3827"/>
    <w:rsid w:val="003D524A"/>
    <w:rsid w:val="003E1CED"/>
    <w:rsid w:val="003E291E"/>
    <w:rsid w:val="003E2E81"/>
    <w:rsid w:val="003E7D77"/>
    <w:rsid w:val="003E7FAB"/>
    <w:rsid w:val="003F190F"/>
    <w:rsid w:val="003F1A70"/>
    <w:rsid w:val="003F2416"/>
    <w:rsid w:val="003F2976"/>
    <w:rsid w:val="003F33B9"/>
    <w:rsid w:val="003F3FD4"/>
    <w:rsid w:val="003F54A8"/>
    <w:rsid w:val="003F5A63"/>
    <w:rsid w:val="003F6FBF"/>
    <w:rsid w:val="003F723A"/>
    <w:rsid w:val="004017F8"/>
    <w:rsid w:val="00402438"/>
    <w:rsid w:val="00403401"/>
    <w:rsid w:val="00404806"/>
    <w:rsid w:val="004051E5"/>
    <w:rsid w:val="0040652D"/>
    <w:rsid w:val="00410FD6"/>
    <w:rsid w:val="00411AF8"/>
    <w:rsid w:val="00411BDB"/>
    <w:rsid w:val="00412B5A"/>
    <w:rsid w:val="00412CD8"/>
    <w:rsid w:val="00415E61"/>
    <w:rsid w:val="00416114"/>
    <w:rsid w:val="0042200A"/>
    <w:rsid w:val="00424ABD"/>
    <w:rsid w:val="00424D25"/>
    <w:rsid w:val="00425289"/>
    <w:rsid w:val="00425C1A"/>
    <w:rsid w:val="004262FA"/>
    <w:rsid w:val="00426878"/>
    <w:rsid w:val="00426E2E"/>
    <w:rsid w:val="004272B5"/>
    <w:rsid w:val="004276CA"/>
    <w:rsid w:val="00430CAB"/>
    <w:rsid w:val="004322DF"/>
    <w:rsid w:val="00432448"/>
    <w:rsid w:val="004339ED"/>
    <w:rsid w:val="004342D8"/>
    <w:rsid w:val="00434427"/>
    <w:rsid w:val="004345C7"/>
    <w:rsid w:val="00436046"/>
    <w:rsid w:val="00436584"/>
    <w:rsid w:val="0043753F"/>
    <w:rsid w:val="004405D8"/>
    <w:rsid w:val="0044225C"/>
    <w:rsid w:val="0044256E"/>
    <w:rsid w:val="00443A4E"/>
    <w:rsid w:val="004441B1"/>
    <w:rsid w:val="00444678"/>
    <w:rsid w:val="004446CC"/>
    <w:rsid w:val="00447490"/>
    <w:rsid w:val="00447AAA"/>
    <w:rsid w:val="004501A1"/>
    <w:rsid w:val="00450306"/>
    <w:rsid w:val="00450F79"/>
    <w:rsid w:val="004515FC"/>
    <w:rsid w:val="00453FF1"/>
    <w:rsid w:val="004545FC"/>
    <w:rsid w:val="00455BE3"/>
    <w:rsid w:val="00460F65"/>
    <w:rsid w:val="004649C0"/>
    <w:rsid w:val="00467B65"/>
    <w:rsid w:val="00470EFB"/>
    <w:rsid w:val="00470F89"/>
    <w:rsid w:val="004710DB"/>
    <w:rsid w:val="0047229D"/>
    <w:rsid w:val="004731E5"/>
    <w:rsid w:val="00475557"/>
    <w:rsid w:val="00475F1A"/>
    <w:rsid w:val="00476FFD"/>
    <w:rsid w:val="004770B3"/>
    <w:rsid w:val="00477690"/>
    <w:rsid w:val="0048017E"/>
    <w:rsid w:val="00481D47"/>
    <w:rsid w:val="0048264D"/>
    <w:rsid w:val="00483289"/>
    <w:rsid w:val="00483487"/>
    <w:rsid w:val="00484153"/>
    <w:rsid w:val="00485BF1"/>
    <w:rsid w:val="00485D5B"/>
    <w:rsid w:val="00486FD6"/>
    <w:rsid w:val="0048739F"/>
    <w:rsid w:val="00492052"/>
    <w:rsid w:val="00492E97"/>
    <w:rsid w:val="00494DE5"/>
    <w:rsid w:val="004958F0"/>
    <w:rsid w:val="00497103"/>
    <w:rsid w:val="004A10E6"/>
    <w:rsid w:val="004A1B54"/>
    <w:rsid w:val="004A249B"/>
    <w:rsid w:val="004A2A61"/>
    <w:rsid w:val="004A353A"/>
    <w:rsid w:val="004A3891"/>
    <w:rsid w:val="004A3DA9"/>
    <w:rsid w:val="004A6A88"/>
    <w:rsid w:val="004B1180"/>
    <w:rsid w:val="004B2396"/>
    <w:rsid w:val="004B2893"/>
    <w:rsid w:val="004B32C7"/>
    <w:rsid w:val="004B3662"/>
    <w:rsid w:val="004B3914"/>
    <w:rsid w:val="004B50F9"/>
    <w:rsid w:val="004B567B"/>
    <w:rsid w:val="004B6877"/>
    <w:rsid w:val="004B6959"/>
    <w:rsid w:val="004B6B6C"/>
    <w:rsid w:val="004B748D"/>
    <w:rsid w:val="004C0A4F"/>
    <w:rsid w:val="004C1706"/>
    <w:rsid w:val="004C28E2"/>
    <w:rsid w:val="004C3CC8"/>
    <w:rsid w:val="004C4336"/>
    <w:rsid w:val="004C6C76"/>
    <w:rsid w:val="004D165E"/>
    <w:rsid w:val="004D1994"/>
    <w:rsid w:val="004D649D"/>
    <w:rsid w:val="004D758B"/>
    <w:rsid w:val="004D7927"/>
    <w:rsid w:val="004E0B90"/>
    <w:rsid w:val="004E1D6B"/>
    <w:rsid w:val="004E3711"/>
    <w:rsid w:val="004E48B4"/>
    <w:rsid w:val="004E4968"/>
    <w:rsid w:val="004E5539"/>
    <w:rsid w:val="004E58B3"/>
    <w:rsid w:val="004E653C"/>
    <w:rsid w:val="004E6C20"/>
    <w:rsid w:val="004F2C4A"/>
    <w:rsid w:val="004F2D3B"/>
    <w:rsid w:val="004F312E"/>
    <w:rsid w:val="004F4C77"/>
    <w:rsid w:val="004F7172"/>
    <w:rsid w:val="004F79C1"/>
    <w:rsid w:val="00500087"/>
    <w:rsid w:val="00501981"/>
    <w:rsid w:val="00501E03"/>
    <w:rsid w:val="00502323"/>
    <w:rsid w:val="00502624"/>
    <w:rsid w:val="00502837"/>
    <w:rsid w:val="005037CD"/>
    <w:rsid w:val="00503B92"/>
    <w:rsid w:val="00503FB8"/>
    <w:rsid w:val="00505606"/>
    <w:rsid w:val="00506AEE"/>
    <w:rsid w:val="0051341B"/>
    <w:rsid w:val="005134FA"/>
    <w:rsid w:val="00514A3E"/>
    <w:rsid w:val="00515245"/>
    <w:rsid w:val="0051580F"/>
    <w:rsid w:val="00516FFB"/>
    <w:rsid w:val="005203AC"/>
    <w:rsid w:val="00520EF2"/>
    <w:rsid w:val="00521D9D"/>
    <w:rsid w:val="0052258C"/>
    <w:rsid w:val="00524BB5"/>
    <w:rsid w:val="0052506D"/>
    <w:rsid w:val="005260EF"/>
    <w:rsid w:val="005267F0"/>
    <w:rsid w:val="00527A86"/>
    <w:rsid w:val="00530CB0"/>
    <w:rsid w:val="00531D7F"/>
    <w:rsid w:val="00532680"/>
    <w:rsid w:val="0053278F"/>
    <w:rsid w:val="005331B6"/>
    <w:rsid w:val="0053349E"/>
    <w:rsid w:val="00534492"/>
    <w:rsid w:val="00534A4E"/>
    <w:rsid w:val="00534AF3"/>
    <w:rsid w:val="00534BB5"/>
    <w:rsid w:val="00535777"/>
    <w:rsid w:val="00535A49"/>
    <w:rsid w:val="00540269"/>
    <w:rsid w:val="005403D7"/>
    <w:rsid w:val="005411F5"/>
    <w:rsid w:val="00542FDE"/>
    <w:rsid w:val="005433BC"/>
    <w:rsid w:val="00544145"/>
    <w:rsid w:val="00544C2A"/>
    <w:rsid w:val="005462BD"/>
    <w:rsid w:val="00546EE3"/>
    <w:rsid w:val="00551581"/>
    <w:rsid w:val="00551DD2"/>
    <w:rsid w:val="005529EB"/>
    <w:rsid w:val="00553B33"/>
    <w:rsid w:val="00554AF9"/>
    <w:rsid w:val="005551F7"/>
    <w:rsid w:val="00555997"/>
    <w:rsid w:val="005561EE"/>
    <w:rsid w:val="00556985"/>
    <w:rsid w:val="00557AAB"/>
    <w:rsid w:val="0056078D"/>
    <w:rsid w:val="0056136B"/>
    <w:rsid w:val="00561CC2"/>
    <w:rsid w:val="00562ABA"/>
    <w:rsid w:val="00562B94"/>
    <w:rsid w:val="00564248"/>
    <w:rsid w:val="0056458C"/>
    <w:rsid w:val="00566E2F"/>
    <w:rsid w:val="00567399"/>
    <w:rsid w:val="0057032C"/>
    <w:rsid w:val="00572248"/>
    <w:rsid w:val="0057266C"/>
    <w:rsid w:val="005730F7"/>
    <w:rsid w:val="00573EAD"/>
    <w:rsid w:val="005750DD"/>
    <w:rsid w:val="00575DFB"/>
    <w:rsid w:val="005765F4"/>
    <w:rsid w:val="005828A4"/>
    <w:rsid w:val="00582E90"/>
    <w:rsid w:val="0058326B"/>
    <w:rsid w:val="00584D81"/>
    <w:rsid w:val="0058548C"/>
    <w:rsid w:val="00586851"/>
    <w:rsid w:val="00587BEF"/>
    <w:rsid w:val="00587E7C"/>
    <w:rsid w:val="005910F9"/>
    <w:rsid w:val="005921E3"/>
    <w:rsid w:val="0059376C"/>
    <w:rsid w:val="005947CE"/>
    <w:rsid w:val="00594833"/>
    <w:rsid w:val="005959CD"/>
    <w:rsid w:val="005A0DC3"/>
    <w:rsid w:val="005A32B4"/>
    <w:rsid w:val="005A49D6"/>
    <w:rsid w:val="005A6600"/>
    <w:rsid w:val="005B13C9"/>
    <w:rsid w:val="005B16CA"/>
    <w:rsid w:val="005B3940"/>
    <w:rsid w:val="005B3BC6"/>
    <w:rsid w:val="005B424D"/>
    <w:rsid w:val="005B43C7"/>
    <w:rsid w:val="005C000E"/>
    <w:rsid w:val="005C1336"/>
    <w:rsid w:val="005C13AF"/>
    <w:rsid w:val="005C1972"/>
    <w:rsid w:val="005C2134"/>
    <w:rsid w:val="005C22B7"/>
    <w:rsid w:val="005C3AAA"/>
    <w:rsid w:val="005C457B"/>
    <w:rsid w:val="005C4DFC"/>
    <w:rsid w:val="005C5569"/>
    <w:rsid w:val="005C7EA4"/>
    <w:rsid w:val="005D0A7E"/>
    <w:rsid w:val="005D0FAC"/>
    <w:rsid w:val="005D26B6"/>
    <w:rsid w:val="005D3C1D"/>
    <w:rsid w:val="005D6639"/>
    <w:rsid w:val="005D6BAF"/>
    <w:rsid w:val="005D7023"/>
    <w:rsid w:val="005D7635"/>
    <w:rsid w:val="005E0691"/>
    <w:rsid w:val="005E0C75"/>
    <w:rsid w:val="005E1675"/>
    <w:rsid w:val="005E1A3C"/>
    <w:rsid w:val="005E23A0"/>
    <w:rsid w:val="005E2553"/>
    <w:rsid w:val="005E29DB"/>
    <w:rsid w:val="005E429B"/>
    <w:rsid w:val="005E5448"/>
    <w:rsid w:val="005E5E25"/>
    <w:rsid w:val="005E7FC8"/>
    <w:rsid w:val="005F0466"/>
    <w:rsid w:val="005F1701"/>
    <w:rsid w:val="005F1702"/>
    <w:rsid w:val="005F3377"/>
    <w:rsid w:val="005F4C2E"/>
    <w:rsid w:val="005F4F4B"/>
    <w:rsid w:val="005F58EF"/>
    <w:rsid w:val="005F5A42"/>
    <w:rsid w:val="005F70F3"/>
    <w:rsid w:val="005F73CC"/>
    <w:rsid w:val="005F73D2"/>
    <w:rsid w:val="006003C7"/>
    <w:rsid w:val="00600968"/>
    <w:rsid w:val="00600B83"/>
    <w:rsid w:val="006012FE"/>
    <w:rsid w:val="006022EF"/>
    <w:rsid w:val="006037C0"/>
    <w:rsid w:val="00603874"/>
    <w:rsid w:val="006047C2"/>
    <w:rsid w:val="00604C1A"/>
    <w:rsid w:val="006058D1"/>
    <w:rsid w:val="00605E25"/>
    <w:rsid w:val="00606E3D"/>
    <w:rsid w:val="00607AD4"/>
    <w:rsid w:val="00610736"/>
    <w:rsid w:val="00611218"/>
    <w:rsid w:val="00611261"/>
    <w:rsid w:val="00612A52"/>
    <w:rsid w:val="00613485"/>
    <w:rsid w:val="00613723"/>
    <w:rsid w:val="006143AE"/>
    <w:rsid w:val="00614EA9"/>
    <w:rsid w:val="006161FC"/>
    <w:rsid w:val="00617A3D"/>
    <w:rsid w:val="00622751"/>
    <w:rsid w:val="00624D26"/>
    <w:rsid w:val="00625B2B"/>
    <w:rsid w:val="00626ED9"/>
    <w:rsid w:val="0063231D"/>
    <w:rsid w:val="00632CAD"/>
    <w:rsid w:val="006339AD"/>
    <w:rsid w:val="00634D82"/>
    <w:rsid w:val="00635A0E"/>
    <w:rsid w:val="00635A5C"/>
    <w:rsid w:val="00635F55"/>
    <w:rsid w:val="00637D42"/>
    <w:rsid w:val="00640F28"/>
    <w:rsid w:val="00641F4B"/>
    <w:rsid w:val="00642733"/>
    <w:rsid w:val="00642DD5"/>
    <w:rsid w:val="00643198"/>
    <w:rsid w:val="0064329A"/>
    <w:rsid w:val="006433F1"/>
    <w:rsid w:val="00644189"/>
    <w:rsid w:val="00644205"/>
    <w:rsid w:val="00645751"/>
    <w:rsid w:val="006464AD"/>
    <w:rsid w:val="00646B60"/>
    <w:rsid w:val="00647F8E"/>
    <w:rsid w:val="006507A4"/>
    <w:rsid w:val="006508A7"/>
    <w:rsid w:val="00650AD7"/>
    <w:rsid w:val="006511F3"/>
    <w:rsid w:val="00651E77"/>
    <w:rsid w:val="00652B21"/>
    <w:rsid w:val="00653E44"/>
    <w:rsid w:val="00654EB9"/>
    <w:rsid w:val="00655E29"/>
    <w:rsid w:val="00655F52"/>
    <w:rsid w:val="006574DA"/>
    <w:rsid w:val="00664CD3"/>
    <w:rsid w:val="00665E4C"/>
    <w:rsid w:val="006675F1"/>
    <w:rsid w:val="00667804"/>
    <w:rsid w:val="00667B03"/>
    <w:rsid w:val="00667E62"/>
    <w:rsid w:val="00673C83"/>
    <w:rsid w:val="00674CA0"/>
    <w:rsid w:val="00674CFB"/>
    <w:rsid w:val="0067701F"/>
    <w:rsid w:val="00680E41"/>
    <w:rsid w:val="00681B93"/>
    <w:rsid w:val="00682795"/>
    <w:rsid w:val="00682E0F"/>
    <w:rsid w:val="00683E1F"/>
    <w:rsid w:val="00683ED6"/>
    <w:rsid w:val="00684C3A"/>
    <w:rsid w:val="00687C71"/>
    <w:rsid w:val="00690F5C"/>
    <w:rsid w:val="00691400"/>
    <w:rsid w:val="00691A02"/>
    <w:rsid w:val="00697662"/>
    <w:rsid w:val="0069786B"/>
    <w:rsid w:val="00697A48"/>
    <w:rsid w:val="006A23C4"/>
    <w:rsid w:val="006A30B7"/>
    <w:rsid w:val="006A30C3"/>
    <w:rsid w:val="006A44D1"/>
    <w:rsid w:val="006A4ECD"/>
    <w:rsid w:val="006A5612"/>
    <w:rsid w:val="006A5A6F"/>
    <w:rsid w:val="006A5F7D"/>
    <w:rsid w:val="006A785C"/>
    <w:rsid w:val="006B0D19"/>
    <w:rsid w:val="006B22EA"/>
    <w:rsid w:val="006B2C1B"/>
    <w:rsid w:val="006B33F1"/>
    <w:rsid w:val="006B3F69"/>
    <w:rsid w:val="006B472F"/>
    <w:rsid w:val="006B519F"/>
    <w:rsid w:val="006B5DCA"/>
    <w:rsid w:val="006B6AA7"/>
    <w:rsid w:val="006C17E1"/>
    <w:rsid w:val="006C25F4"/>
    <w:rsid w:val="006C2708"/>
    <w:rsid w:val="006C336B"/>
    <w:rsid w:val="006C3F07"/>
    <w:rsid w:val="006C4B01"/>
    <w:rsid w:val="006C5840"/>
    <w:rsid w:val="006D0225"/>
    <w:rsid w:val="006D15E7"/>
    <w:rsid w:val="006D1670"/>
    <w:rsid w:val="006D378C"/>
    <w:rsid w:val="006D3851"/>
    <w:rsid w:val="006D38F3"/>
    <w:rsid w:val="006D3A47"/>
    <w:rsid w:val="006D4208"/>
    <w:rsid w:val="006D4550"/>
    <w:rsid w:val="006D5988"/>
    <w:rsid w:val="006D648F"/>
    <w:rsid w:val="006D65BF"/>
    <w:rsid w:val="006D688C"/>
    <w:rsid w:val="006D6D8D"/>
    <w:rsid w:val="006D75B7"/>
    <w:rsid w:val="006E17A7"/>
    <w:rsid w:val="006E2133"/>
    <w:rsid w:val="006E3A96"/>
    <w:rsid w:val="006E4107"/>
    <w:rsid w:val="006E47F3"/>
    <w:rsid w:val="006E53B6"/>
    <w:rsid w:val="006E5629"/>
    <w:rsid w:val="006E64A4"/>
    <w:rsid w:val="006E6FCE"/>
    <w:rsid w:val="006E7626"/>
    <w:rsid w:val="006F084D"/>
    <w:rsid w:val="006F18A7"/>
    <w:rsid w:val="006F4529"/>
    <w:rsid w:val="006F5B95"/>
    <w:rsid w:val="006F607C"/>
    <w:rsid w:val="006F6FF8"/>
    <w:rsid w:val="00700C12"/>
    <w:rsid w:val="00700FD9"/>
    <w:rsid w:val="0070407B"/>
    <w:rsid w:val="00705CF8"/>
    <w:rsid w:val="0070635F"/>
    <w:rsid w:val="00710B3A"/>
    <w:rsid w:val="00711D6C"/>
    <w:rsid w:val="007134E6"/>
    <w:rsid w:val="00713E72"/>
    <w:rsid w:val="00713F1D"/>
    <w:rsid w:val="0071513A"/>
    <w:rsid w:val="00722572"/>
    <w:rsid w:val="0072382F"/>
    <w:rsid w:val="0072572C"/>
    <w:rsid w:val="00725AAB"/>
    <w:rsid w:val="00725D75"/>
    <w:rsid w:val="00725DBD"/>
    <w:rsid w:val="00726317"/>
    <w:rsid w:val="00726703"/>
    <w:rsid w:val="00726D55"/>
    <w:rsid w:val="00727189"/>
    <w:rsid w:val="00730A05"/>
    <w:rsid w:val="00730CFF"/>
    <w:rsid w:val="007312EF"/>
    <w:rsid w:val="0073241B"/>
    <w:rsid w:val="007326A0"/>
    <w:rsid w:val="00735351"/>
    <w:rsid w:val="0073538D"/>
    <w:rsid w:val="007356A0"/>
    <w:rsid w:val="00736B34"/>
    <w:rsid w:val="00745432"/>
    <w:rsid w:val="00747737"/>
    <w:rsid w:val="007502A1"/>
    <w:rsid w:val="00751585"/>
    <w:rsid w:val="0075340F"/>
    <w:rsid w:val="0075371E"/>
    <w:rsid w:val="00754EDD"/>
    <w:rsid w:val="0075547C"/>
    <w:rsid w:val="00757BBA"/>
    <w:rsid w:val="007613B4"/>
    <w:rsid w:val="007625CE"/>
    <w:rsid w:val="007628C6"/>
    <w:rsid w:val="00762F75"/>
    <w:rsid w:val="007632B6"/>
    <w:rsid w:val="007654C0"/>
    <w:rsid w:val="00765A61"/>
    <w:rsid w:val="00765B79"/>
    <w:rsid w:val="00766519"/>
    <w:rsid w:val="00767055"/>
    <w:rsid w:val="0077089A"/>
    <w:rsid w:val="00770B77"/>
    <w:rsid w:val="00770E15"/>
    <w:rsid w:val="007718AE"/>
    <w:rsid w:val="00772C13"/>
    <w:rsid w:val="00774AAF"/>
    <w:rsid w:val="007754A0"/>
    <w:rsid w:val="007758A0"/>
    <w:rsid w:val="00775FA8"/>
    <w:rsid w:val="00776A0E"/>
    <w:rsid w:val="00777B6E"/>
    <w:rsid w:val="007818A8"/>
    <w:rsid w:val="00781E7E"/>
    <w:rsid w:val="00781E8E"/>
    <w:rsid w:val="007823B9"/>
    <w:rsid w:val="007824E9"/>
    <w:rsid w:val="00782804"/>
    <w:rsid w:val="00787222"/>
    <w:rsid w:val="00790571"/>
    <w:rsid w:val="00790B24"/>
    <w:rsid w:val="00792FFF"/>
    <w:rsid w:val="00793449"/>
    <w:rsid w:val="00793EB4"/>
    <w:rsid w:val="0079645B"/>
    <w:rsid w:val="00796574"/>
    <w:rsid w:val="007A472B"/>
    <w:rsid w:val="007A5325"/>
    <w:rsid w:val="007B157C"/>
    <w:rsid w:val="007B1819"/>
    <w:rsid w:val="007B28D1"/>
    <w:rsid w:val="007B2CAE"/>
    <w:rsid w:val="007B36AB"/>
    <w:rsid w:val="007B4571"/>
    <w:rsid w:val="007B624C"/>
    <w:rsid w:val="007B645F"/>
    <w:rsid w:val="007B7CAC"/>
    <w:rsid w:val="007C13BC"/>
    <w:rsid w:val="007C1770"/>
    <w:rsid w:val="007C3C5F"/>
    <w:rsid w:val="007C4550"/>
    <w:rsid w:val="007C5A10"/>
    <w:rsid w:val="007C7244"/>
    <w:rsid w:val="007C7DDE"/>
    <w:rsid w:val="007D0145"/>
    <w:rsid w:val="007D20E5"/>
    <w:rsid w:val="007D292B"/>
    <w:rsid w:val="007D445D"/>
    <w:rsid w:val="007D57E9"/>
    <w:rsid w:val="007D5FCA"/>
    <w:rsid w:val="007D6D06"/>
    <w:rsid w:val="007E156C"/>
    <w:rsid w:val="007E18C8"/>
    <w:rsid w:val="007E1AF4"/>
    <w:rsid w:val="007E2205"/>
    <w:rsid w:val="007E2B63"/>
    <w:rsid w:val="007E3217"/>
    <w:rsid w:val="007E331D"/>
    <w:rsid w:val="007E423B"/>
    <w:rsid w:val="007E5FF2"/>
    <w:rsid w:val="007E644B"/>
    <w:rsid w:val="007E6E0D"/>
    <w:rsid w:val="007E75D5"/>
    <w:rsid w:val="007E7BD3"/>
    <w:rsid w:val="007F1DC2"/>
    <w:rsid w:val="007F254C"/>
    <w:rsid w:val="007F3983"/>
    <w:rsid w:val="007F4E9F"/>
    <w:rsid w:val="007F51A8"/>
    <w:rsid w:val="007F57FA"/>
    <w:rsid w:val="007F5C1D"/>
    <w:rsid w:val="007F5D34"/>
    <w:rsid w:val="007F67D4"/>
    <w:rsid w:val="007F7AAB"/>
    <w:rsid w:val="007F7FF3"/>
    <w:rsid w:val="00802BB3"/>
    <w:rsid w:val="00803804"/>
    <w:rsid w:val="00803890"/>
    <w:rsid w:val="00804DF9"/>
    <w:rsid w:val="008051B6"/>
    <w:rsid w:val="00805D01"/>
    <w:rsid w:val="00806735"/>
    <w:rsid w:val="00806921"/>
    <w:rsid w:val="00807E9C"/>
    <w:rsid w:val="0081100A"/>
    <w:rsid w:val="00811516"/>
    <w:rsid w:val="008115F9"/>
    <w:rsid w:val="00812107"/>
    <w:rsid w:val="008125DE"/>
    <w:rsid w:val="00812869"/>
    <w:rsid w:val="0081287F"/>
    <w:rsid w:val="008152B8"/>
    <w:rsid w:val="00816A60"/>
    <w:rsid w:val="00823D45"/>
    <w:rsid w:val="008316AE"/>
    <w:rsid w:val="0083299C"/>
    <w:rsid w:val="00832EA4"/>
    <w:rsid w:val="008330DA"/>
    <w:rsid w:val="00833E3D"/>
    <w:rsid w:val="008343A7"/>
    <w:rsid w:val="0083468C"/>
    <w:rsid w:val="00834AFE"/>
    <w:rsid w:val="0083505C"/>
    <w:rsid w:val="00835F75"/>
    <w:rsid w:val="00836758"/>
    <w:rsid w:val="0083741F"/>
    <w:rsid w:val="008410C1"/>
    <w:rsid w:val="008421D9"/>
    <w:rsid w:val="00844CA3"/>
    <w:rsid w:val="00846173"/>
    <w:rsid w:val="008461B4"/>
    <w:rsid w:val="00846FED"/>
    <w:rsid w:val="008478A6"/>
    <w:rsid w:val="00847E16"/>
    <w:rsid w:val="00852B83"/>
    <w:rsid w:val="008551C4"/>
    <w:rsid w:val="0085760B"/>
    <w:rsid w:val="008604CF"/>
    <w:rsid w:val="008609BD"/>
    <w:rsid w:val="00861D35"/>
    <w:rsid w:val="00861D55"/>
    <w:rsid w:val="008653E5"/>
    <w:rsid w:val="008670D4"/>
    <w:rsid w:val="00867A10"/>
    <w:rsid w:val="00867FC2"/>
    <w:rsid w:val="00870D3E"/>
    <w:rsid w:val="00871A22"/>
    <w:rsid w:val="00871A7C"/>
    <w:rsid w:val="00872265"/>
    <w:rsid w:val="008726AF"/>
    <w:rsid w:val="00875125"/>
    <w:rsid w:val="00876BE0"/>
    <w:rsid w:val="008773D8"/>
    <w:rsid w:val="008828FE"/>
    <w:rsid w:val="00884949"/>
    <w:rsid w:val="008859A6"/>
    <w:rsid w:val="00886A3D"/>
    <w:rsid w:val="00886D4E"/>
    <w:rsid w:val="008878A7"/>
    <w:rsid w:val="00887932"/>
    <w:rsid w:val="00891B5F"/>
    <w:rsid w:val="008922E3"/>
    <w:rsid w:val="00892A9C"/>
    <w:rsid w:val="00893408"/>
    <w:rsid w:val="00893632"/>
    <w:rsid w:val="00895B1C"/>
    <w:rsid w:val="008960E9"/>
    <w:rsid w:val="00896119"/>
    <w:rsid w:val="00896CCD"/>
    <w:rsid w:val="00897A11"/>
    <w:rsid w:val="008A1CD9"/>
    <w:rsid w:val="008A20DE"/>
    <w:rsid w:val="008A2510"/>
    <w:rsid w:val="008A3C3E"/>
    <w:rsid w:val="008A65E6"/>
    <w:rsid w:val="008B0F1A"/>
    <w:rsid w:val="008B2591"/>
    <w:rsid w:val="008B3145"/>
    <w:rsid w:val="008B455E"/>
    <w:rsid w:val="008B5A67"/>
    <w:rsid w:val="008B7548"/>
    <w:rsid w:val="008C1CBE"/>
    <w:rsid w:val="008C3915"/>
    <w:rsid w:val="008C46B6"/>
    <w:rsid w:val="008C4A80"/>
    <w:rsid w:val="008C4BEA"/>
    <w:rsid w:val="008C7156"/>
    <w:rsid w:val="008D6253"/>
    <w:rsid w:val="008D64E4"/>
    <w:rsid w:val="008D7D89"/>
    <w:rsid w:val="008E07FA"/>
    <w:rsid w:val="008E14C1"/>
    <w:rsid w:val="008E16DF"/>
    <w:rsid w:val="008E2368"/>
    <w:rsid w:val="008E243E"/>
    <w:rsid w:val="008E4B43"/>
    <w:rsid w:val="008E4E61"/>
    <w:rsid w:val="008E54C8"/>
    <w:rsid w:val="008E7869"/>
    <w:rsid w:val="008F00C2"/>
    <w:rsid w:val="008F062B"/>
    <w:rsid w:val="008F0FA6"/>
    <w:rsid w:val="008F33C6"/>
    <w:rsid w:val="008F5554"/>
    <w:rsid w:val="008F55EA"/>
    <w:rsid w:val="008F591B"/>
    <w:rsid w:val="008F77DF"/>
    <w:rsid w:val="00900D0E"/>
    <w:rsid w:val="00903AA4"/>
    <w:rsid w:val="00905EAA"/>
    <w:rsid w:val="009066D7"/>
    <w:rsid w:val="009068DD"/>
    <w:rsid w:val="00906D2E"/>
    <w:rsid w:val="00910341"/>
    <w:rsid w:val="00912AC2"/>
    <w:rsid w:val="009130AC"/>
    <w:rsid w:val="00913149"/>
    <w:rsid w:val="009135AB"/>
    <w:rsid w:val="00913975"/>
    <w:rsid w:val="00914528"/>
    <w:rsid w:val="00915BD4"/>
    <w:rsid w:val="009165B3"/>
    <w:rsid w:val="009171D7"/>
    <w:rsid w:val="00920B66"/>
    <w:rsid w:val="00923166"/>
    <w:rsid w:val="009243E6"/>
    <w:rsid w:val="00925F91"/>
    <w:rsid w:val="009262EB"/>
    <w:rsid w:val="0092646D"/>
    <w:rsid w:val="00926BD6"/>
    <w:rsid w:val="00926E8E"/>
    <w:rsid w:val="00930648"/>
    <w:rsid w:val="00931EAF"/>
    <w:rsid w:val="009332A7"/>
    <w:rsid w:val="00933B78"/>
    <w:rsid w:val="00934FDE"/>
    <w:rsid w:val="00935449"/>
    <w:rsid w:val="00935CEB"/>
    <w:rsid w:val="009415BA"/>
    <w:rsid w:val="009443BF"/>
    <w:rsid w:val="0094529D"/>
    <w:rsid w:val="00945A1D"/>
    <w:rsid w:val="00951073"/>
    <w:rsid w:val="0095236D"/>
    <w:rsid w:val="009540E2"/>
    <w:rsid w:val="00954952"/>
    <w:rsid w:val="00960A13"/>
    <w:rsid w:val="009625D9"/>
    <w:rsid w:val="00962971"/>
    <w:rsid w:val="00963759"/>
    <w:rsid w:val="009670B9"/>
    <w:rsid w:val="00970337"/>
    <w:rsid w:val="00970FE0"/>
    <w:rsid w:val="009719ED"/>
    <w:rsid w:val="00971F34"/>
    <w:rsid w:val="00972925"/>
    <w:rsid w:val="00974BED"/>
    <w:rsid w:val="00974C37"/>
    <w:rsid w:val="00975409"/>
    <w:rsid w:val="009757A4"/>
    <w:rsid w:val="009758A6"/>
    <w:rsid w:val="009803B5"/>
    <w:rsid w:val="00982FAC"/>
    <w:rsid w:val="009830EF"/>
    <w:rsid w:val="00984894"/>
    <w:rsid w:val="00986CBD"/>
    <w:rsid w:val="00986CC0"/>
    <w:rsid w:val="00987181"/>
    <w:rsid w:val="00990350"/>
    <w:rsid w:val="00991390"/>
    <w:rsid w:val="009934AC"/>
    <w:rsid w:val="00994916"/>
    <w:rsid w:val="00994EF9"/>
    <w:rsid w:val="0099539A"/>
    <w:rsid w:val="00995F19"/>
    <w:rsid w:val="00996D51"/>
    <w:rsid w:val="00996DB7"/>
    <w:rsid w:val="00997397"/>
    <w:rsid w:val="009A0FA7"/>
    <w:rsid w:val="009A1063"/>
    <w:rsid w:val="009A3098"/>
    <w:rsid w:val="009A34D4"/>
    <w:rsid w:val="009A36EB"/>
    <w:rsid w:val="009A55A0"/>
    <w:rsid w:val="009A6289"/>
    <w:rsid w:val="009A6664"/>
    <w:rsid w:val="009A6CD1"/>
    <w:rsid w:val="009A75F5"/>
    <w:rsid w:val="009A7761"/>
    <w:rsid w:val="009B0DC3"/>
    <w:rsid w:val="009B1F86"/>
    <w:rsid w:val="009B2184"/>
    <w:rsid w:val="009B2A33"/>
    <w:rsid w:val="009B3694"/>
    <w:rsid w:val="009B45F4"/>
    <w:rsid w:val="009C03CA"/>
    <w:rsid w:val="009C055B"/>
    <w:rsid w:val="009C0794"/>
    <w:rsid w:val="009C0A34"/>
    <w:rsid w:val="009C0F3D"/>
    <w:rsid w:val="009C1975"/>
    <w:rsid w:val="009C4730"/>
    <w:rsid w:val="009C569B"/>
    <w:rsid w:val="009C695A"/>
    <w:rsid w:val="009D032F"/>
    <w:rsid w:val="009D0A1A"/>
    <w:rsid w:val="009D17F0"/>
    <w:rsid w:val="009D28BE"/>
    <w:rsid w:val="009D3623"/>
    <w:rsid w:val="009D4896"/>
    <w:rsid w:val="009D4F79"/>
    <w:rsid w:val="009D4F7D"/>
    <w:rsid w:val="009D6E3A"/>
    <w:rsid w:val="009E119B"/>
    <w:rsid w:val="009E3D14"/>
    <w:rsid w:val="009E51A7"/>
    <w:rsid w:val="009E5E57"/>
    <w:rsid w:val="009E67D1"/>
    <w:rsid w:val="009E6F55"/>
    <w:rsid w:val="009E7983"/>
    <w:rsid w:val="009F13B5"/>
    <w:rsid w:val="009F1E0E"/>
    <w:rsid w:val="009F2B9E"/>
    <w:rsid w:val="009F4E0F"/>
    <w:rsid w:val="009F4F0B"/>
    <w:rsid w:val="009F745A"/>
    <w:rsid w:val="009F768B"/>
    <w:rsid w:val="00A02D20"/>
    <w:rsid w:val="00A02E30"/>
    <w:rsid w:val="00A060FD"/>
    <w:rsid w:val="00A061A8"/>
    <w:rsid w:val="00A061A9"/>
    <w:rsid w:val="00A06246"/>
    <w:rsid w:val="00A069AC"/>
    <w:rsid w:val="00A072AF"/>
    <w:rsid w:val="00A10097"/>
    <w:rsid w:val="00A11B95"/>
    <w:rsid w:val="00A11F8F"/>
    <w:rsid w:val="00A12343"/>
    <w:rsid w:val="00A1249C"/>
    <w:rsid w:val="00A12E9C"/>
    <w:rsid w:val="00A13A93"/>
    <w:rsid w:val="00A13EAD"/>
    <w:rsid w:val="00A157EA"/>
    <w:rsid w:val="00A162A2"/>
    <w:rsid w:val="00A20160"/>
    <w:rsid w:val="00A225EE"/>
    <w:rsid w:val="00A2464F"/>
    <w:rsid w:val="00A2575B"/>
    <w:rsid w:val="00A261BC"/>
    <w:rsid w:val="00A26437"/>
    <w:rsid w:val="00A26C51"/>
    <w:rsid w:val="00A27A1F"/>
    <w:rsid w:val="00A30F12"/>
    <w:rsid w:val="00A314C2"/>
    <w:rsid w:val="00A318AC"/>
    <w:rsid w:val="00A324DF"/>
    <w:rsid w:val="00A3255C"/>
    <w:rsid w:val="00A328E8"/>
    <w:rsid w:val="00A3377E"/>
    <w:rsid w:val="00A34591"/>
    <w:rsid w:val="00A35211"/>
    <w:rsid w:val="00A35DB9"/>
    <w:rsid w:val="00A3650F"/>
    <w:rsid w:val="00A37B3E"/>
    <w:rsid w:val="00A41D30"/>
    <w:rsid w:val="00A41F72"/>
    <w:rsid w:val="00A42943"/>
    <w:rsid w:val="00A43560"/>
    <w:rsid w:val="00A445A7"/>
    <w:rsid w:val="00A45188"/>
    <w:rsid w:val="00A45DB2"/>
    <w:rsid w:val="00A45EB2"/>
    <w:rsid w:val="00A4757D"/>
    <w:rsid w:val="00A5117D"/>
    <w:rsid w:val="00A52BF9"/>
    <w:rsid w:val="00A53B22"/>
    <w:rsid w:val="00A55660"/>
    <w:rsid w:val="00A56F6A"/>
    <w:rsid w:val="00A61348"/>
    <w:rsid w:val="00A622A8"/>
    <w:rsid w:val="00A63418"/>
    <w:rsid w:val="00A636E8"/>
    <w:rsid w:val="00A64A4D"/>
    <w:rsid w:val="00A64CA9"/>
    <w:rsid w:val="00A66110"/>
    <w:rsid w:val="00A67248"/>
    <w:rsid w:val="00A7045B"/>
    <w:rsid w:val="00A71246"/>
    <w:rsid w:val="00A73863"/>
    <w:rsid w:val="00A73DB6"/>
    <w:rsid w:val="00A74278"/>
    <w:rsid w:val="00A745FC"/>
    <w:rsid w:val="00A81F5C"/>
    <w:rsid w:val="00A82923"/>
    <w:rsid w:val="00A82B4D"/>
    <w:rsid w:val="00A82FCE"/>
    <w:rsid w:val="00A837B2"/>
    <w:rsid w:val="00A847AC"/>
    <w:rsid w:val="00A90217"/>
    <w:rsid w:val="00A91D97"/>
    <w:rsid w:val="00A93BF3"/>
    <w:rsid w:val="00A95DCE"/>
    <w:rsid w:val="00A95E57"/>
    <w:rsid w:val="00A96F79"/>
    <w:rsid w:val="00A97601"/>
    <w:rsid w:val="00A9786C"/>
    <w:rsid w:val="00A97A34"/>
    <w:rsid w:val="00AA088A"/>
    <w:rsid w:val="00AA1709"/>
    <w:rsid w:val="00AA4608"/>
    <w:rsid w:val="00AA5A28"/>
    <w:rsid w:val="00AA6986"/>
    <w:rsid w:val="00AA6B61"/>
    <w:rsid w:val="00AA7777"/>
    <w:rsid w:val="00AA7E3B"/>
    <w:rsid w:val="00AB18E4"/>
    <w:rsid w:val="00AB1921"/>
    <w:rsid w:val="00AB1CA9"/>
    <w:rsid w:val="00AB2EBC"/>
    <w:rsid w:val="00AB3DA0"/>
    <w:rsid w:val="00AB4B2B"/>
    <w:rsid w:val="00AB6500"/>
    <w:rsid w:val="00AB6693"/>
    <w:rsid w:val="00AB6E26"/>
    <w:rsid w:val="00AB7F5F"/>
    <w:rsid w:val="00AC0BCD"/>
    <w:rsid w:val="00AC16FF"/>
    <w:rsid w:val="00AC50F7"/>
    <w:rsid w:val="00AC5B8F"/>
    <w:rsid w:val="00AC63FC"/>
    <w:rsid w:val="00AC64F3"/>
    <w:rsid w:val="00AC67EE"/>
    <w:rsid w:val="00AC6FC4"/>
    <w:rsid w:val="00AC74D0"/>
    <w:rsid w:val="00AD01BA"/>
    <w:rsid w:val="00AD087A"/>
    <w:rsid w:val="00AD0ADF"/>
    <w:rsid w:val="00AD1F4B"/>
    <w:rsid w:val="00AD23E4"/>
    <w:rsid w:val="00AD24BF"/>
    <w:rsid w:val="00AD338E"/>
    <w:rsid w:val="00AD5BA8"/>
    <w:rsid w:val="00AD7A5B"/>
    <w:rsid w:val="00AD7E52"/>
    <w:rsid w:val="00AD7EF9"/>
    <w:rsid w:val="00AE3263"/>
    <w:rsid w:val="00AE43CF"/>
    <w:rsid w:val="00AE4991"/>
    <w:rsid w:val="00AE5EC7"/>
    <w:rsid w:val="00AE6C44"/>
    <w:rsid w:val="00AE7948"/>
    <w:rsid w:val="00AF0D04"/>
    <w:rsid w:val="00AF17F7"/>
    <w:rsid w:val="00AF1A65"/>
    <w:rsid w:val="00AF1D6C"/>
    <w:rsid w:val="00AF3076"/>
    <w:rsid w:val="00AF386A"/>
    <w:rsid w:val="00AF48D2"/>
    <w:rsid w:val="00AF53F0"/>
    <w:rsid w:val="00AF6CAC"/>
    <w:rsid w:val="00AF75B9"/>
    <w:rsid w:val="00B0020A"/>
    <w:rsid w:val="00B00238"/>
    <w:rsid w:val="00B02066"/>
    <w:rsid w:val="00B03CC9"/>
    <w:rsid w:val="00B04B82"/>
    <w:rsid w:val="00B0556B"/>
    <w:rsid w:val="00B06B1D"/>
    <w:rsid w:val="00B0727B"/>
    <w:rsid w:val="00B0760B"/>
    <w:rsid w:val="00B1068E"/>
    <w:rsid w:val="00B109BC"/>
    <w:rsid w:val="00B11A71"/>
    <w:rsid w:val="00B11FB5"/>
    <w:rsid w:val="00B13FCC"/>
    <w:rsid w:val="00B155B2"/>
    <w:rsid w:val="00B1700A"/>
    <w:rsid w:val="00B1774B"/>
    <w:rsid w:val="00B179D8"/>
    <w:rsid w:val="00B17E16"/>
    <w:rsid w:val="00B20DFB"/>
    <w:rsid w:val="00B2186D"/>
    <w:rsid w:val="00B21E9F"/>
    <w:rsid w:val="00B23AC4"/>
    <w:rsid w:val="00B23DB7"/>
    <w:rsid w:val="00B24C86"/>
    <w:rsid w:val="00B26D5B"/>
    <w:rsid w:val="00B27684"/>
    <w:rsid w:val="00B27D5F"/>
    <w:rsid w:val="00B302D9"/>
    <w:rsid w:val="00B30335"/>
    <w:rsid w:val="00B3432B"/>
    <w:rsid w:val="00B34898"/>
    <w:rsid w:val="00B3520D"/>
    <w:rsid w:val="00B37904"/>
    <w:rsid w:val="00B379F1"/>
    <w:rsid w:val="00B409D8"/>
    <w:rsid w:val="00B42BD4"/>
    <w:rsid w:val="00B441BB"/>
    <w:rsid w:val="00B4545F"/>
    <w:rsid w:val="00B46A20"/>
    <w:rsid w:val="00B46D58"/>
    <w:rsid w:val="00B513C3"/>
    <w:rsid w:val="00B5260C"/>
    <w:rsid w:val="00B528FD"/>
    <w:rsid w:val="00B55C3E"/>
    <w:rsid w:val="00B5633C"/>
    <w:rsid w:val="00B579F6"/>
    <w:rsid w:val="00B606D7"/>
    <w:rsid w:val="00B6169D"/>
    <w:rsid w:val="00B61CBC"/>
    <w:rsid w:val="00B62408"/>
    <w:rsid w:val="00B66E75"/>
    <w:rsid w:val="00B704DA"/>
    <w:rsid w:val="00B70CE6"/>
    <w:rsid w:val="00B71013"/>
    <w:rsid w:val="00B722A3"/>
    <w:rsid w:val="00B72528"/>
    <w:rsid w:val="00B75471"/>
    <w:rsid w:val="00B75639"/>
    <w:rsid w:val="00B76573"/>
    <w:rsid w:val="00B76E0B"/>
    <w:rsid w:val="00B808A2"/>
    <w:rsid w:val="00B80F4A"/>
    <w:rsid w:val="00B82581"/>
    <w:rsid w:val="00B830DD"/>
    <w:rsid w:val="00B87ACC"/>
    <w:rsid w:val="00B914ED"/>
    <w:rsid w:val="00B91881"/>
    <w:rsid w:val="00B94549"/>
    <w:rsid w:val="00B95F21"/>
    <w:rsid w:val="00B96270"/>
    <w:rsid w:val="00B96BA3"/>
    <w:rsid w:val="00B97C32"/>
    <w:rsid w:val="00BA0120"/>
    <w:rsid w:val="00BA0556"/>
    <w:rsid w:val="00BA11B6"/>
    <w:rsid w:val="00BA1A33"/>
    <w:rsid w:val="00BA3EA9"/>
    <w:rsid w:val="00BA6419"/>
    <w:rsid w:val="00BA6BDC"/>
    <w:rsid w:val="00BA7344"/>
    <w:rsid w:val="00BB0219"/>
    <w:rsid w:val="00BB02EA"/>
    <w:rsid w:val="00BB156F"/>
    <w:rsid w:val="00BB269B"/>
    <w:rsid w:val="00BB28B3"/>
    <w:rsid w:val="00BB2B9D"/>
    <w:rsid w:val="00BB5039"/>
    <w:rsid w:val="00BB543B"/>
    <w:rsid w:val="00BB6CAF"/>
    <w:rsid w:val="00BC0CEC"/>
    <w:rsid w:val="00BC17F1"/>
    <w:rsid w:val="00BC2055"/>
    <w:rsid w:val="00BC2DCB"/>
    <w:rsid w:val="00BC5396"/>
    <w:rsid w:val="00BC5547"/>
    <w:rsid w:val="00BC79A9"/>
    <w:rsid w:val="00BD1B2E"/>
    <w:rsid w:val="00BD2532"/>
    <w:rsid w:val="00BD542C"/>
    <w:rsid w:val="00BD5F56"/>
    <w:rsid w:val="00BD62DA"/>
    <w:rsid w:val="00BD7AC3"/>
    <w:rsid w:val="00BE0383"/>
    <w:rsid w:val="00BE6933"/>
    <w:rsid w:val="00BF23A6"/>
    <w:rsid w:val="00BF2AAC"/>
    <w:rsid w:val="00BF2B94"/>
    <w:rsid w:val="00BF36E3"/>
    <w:rsid w:val="00BF3A87"/>
    <w:rsid w:val="00BF4E6C"/>
    <w:rsid w:val="00BF556C"/>
    <w:rsid w:val="00BF74B9"/>
    <w:rsid w:val="00BF7D3D"/>
    <w:rsid w:val="00C0045A"/>
    <w:rsid w:val="00C022CC"/>
    <w:rsid w:val="00C025D7"/>
    <w:rsid w:val="00C0393F"/>
    <w:rsid w:val="00C05209"/>
    <w:rsid w:val="00C06F7F"/>
    <w:rsid w:val="00C072B9"/>
    <w:rsid w:val="00C114B3"/>
    <w:rsid w:val="00C11F7C"/>
    <w:rsid w:val="00C1253B"/>
    <w:rsid w:val="00C12684"/>
    <w:rsid w:val="00C12871"/>
    <w:rsid w:val="00C12E2A"/>
    <w:rsid w:val="00C12F23"/>
    <w:rsid w:val="00C13A34"/>
    <w:rsid w:val="00C16363"/>
    <w:rsid w:val="00C17F29"/>
    <w:rsid w:val="00C210D7"/>
    <w:rsid w:val="00C2334B"/>
    <w:rsid w:val="00C23E6B"/>
    <w:rsid w:val="00C255DB"/>
    <w:rsid w:val="00C25874"/>
    <w:rsid w:val="00C25A86"/>
    <w:rsid w:val="00C27AF2"/>
    <w:rsid w:val="00C30CCA"/>
    <w:rsid w:val="00C31AF6"/>
    <w:rsid w:val="00C31F01"/>
    <w:rsid w:val="00C32872"/>
    <w:rsid w:val="00C348A9"/>
    <w:rsid w:val="00C34A78"/>
    <w:rsid w:val="00C352FA"/>
    <w:rsid w:val="00C35571"/>
    <w:rsid w:val="00C359A9"/>
    <w:rsid w:val="00C35E2B"/>
    <w:rsid w:val="00C3617A"/>
    <w:rsid w:val="00C36B7A"/>
    <w:rsid w:val="00C36E54"/>
    <w:rsid w:val="00C42D16"/>
    <w:rsid w:val="00C42E4B"/>
    <w:rsid w:val="00C43EBA"/>
    <w:rsid w:val="00C44044"/>
    <w:rsid w:val="00C440E5"/>
    <w:rsid w:val="00C44B6F"/>
    <w:rsid w:val="00C475EB"/>
    <w:rsid w:val="00C47E56"/>
    <w:rsid w:val="00C51624"/>
    <w:rsid w:val="00C524DC"/>
    <w:rsid w:val="00C52620"/>
    <w:rsid w:val="00C54286"/>
    <w:rsid w:val="00C54D26"/>
    <w:rsid w:val="00C5638E"/>
    <w:rsid w:val="00C5685B"/>
    <w:rsid w:val="00C57917"/>
    <w:rsid w:val="00C57A9A"/>
    <w:rsid w:val="00C6026E"/>
    <w:rsid w:val="00C6039C"/>
    <w:rsid w:val="00C6148F"/>
    <w:rsid w:val="00C62ACD"/>
    <w:rsid w:val="00C64428"/>
    <w:rsid w:val="00C64C03"/>
    <w:rsid w:val="00C652AF"/>
    <w:rsid w:val="00C652C7"/>
    <w:rsid w:val="00C65577"/>
    <w:rsid w:val="00C66CEB"/>
    <w:rsid w:val="00C67908"/>
    <w:rsid w:val="00C70A26"/>
    <w:rsid w:val="00C70B59"/>
    <w:rsid w:val="00C711C8"/>
    <w:rsid w:val="00C71F4F"/>
    <w:rsid w:val="00C72892"/>
    <w:rsid w:val="00C72AFC"/>
    <w:rsid w:val="00C73623"/>
    <w:rsid w:val="00C73F37"/>
    <w:rsid w:val="00C759D3"/>
    <w:rsid w:val="00C761FF"/>
    <w:rsid w:val="00C7669B"/>
    <w:rsid w:val="00C76EB7"/>
    <w:rsid w:val="00C80CB8"/>
    <w:rsid w:val="00C8135E"/>
    <w:rsid w:val="00C821B0"/>
    <w:rsid w:val="00C82F48"/>
    <w:rsid w:val="00C8456F"/>
    <w:rsid w:val="00C847F4"/>
    <w:rsid w:val="00C8521F"/>
    <w:rsid w:val="00C85CA3"/>
    <w:rsid w:val="00C85DD3"/>
    <w:rsid w:val="00C87540"/>
    <w:rsid w:val="00C92492"/>
    <w:rsid w:val="00C9273A"/>
    <w:rsid w:val="00C92D7B"/>
    <w:rsid w:val="00C93734"/>
    <w:rsid w:val="00C93DCC"/>
    <w:rsid w:val="00C96BC9"/>
    <w:rsid w:val="00CA0C5F"/>
    <w:rsid w:val="00CA0DC0"/>
    <w:rsid w:val="00CA4F96"/>
    <w:rsid w:val="00CA53F7"/>
    <w:rsid w:val="00CA6783"/>
    <w:rsid w:val="00CA7252"/>
    <w:rsid w:val="00CA79A3"/>
    <w:rsid w:val="00CB17AB"/>
    <w:rsid w:val="00CB25F4"/>
    <w:rsid w:val="00CB2E2B"/>
    <w:rsid w:val="00CB3664"/>
    <w:rsid w:val="00CB4531"/>
    <w:rsid w:val="00CB5082"/>
    <w:rsid w:val="00CB7D16"/>
    <w:rsid w:val="00CB7D32"/>
    <w:rsid w:val="00CB7FF5"/>
    <w:rsid w:val="00CC0040"/>
    <w:rsid w:val="00CC0528"/>
    <w:rsid w:val="00CC05BA"/>
    <w:rsid w:val="00CC436E"/>
    <w:rsid w:val="00CC5975"/>
    <w:rsid w:val="00CC64E1"/>
    <w:rsid w:val="00CC7709"/>
    <w:rsid w:val="00CC780C"/>
    <w:rsid w:val="00CD1395"/>
    <w:rsid w:val="00CD1608"/>
    <w:rsid w:val="00CD19DE"/>
    <w:rsid w:val="00CD1A17"/>
    <w:rsid w:val="00CD1C96"/>
    <w:rsid w:val="00CD2A4E"/>
    <w:rsid w:val="00CD3229"/>
    <w:rsid w:val="00CD3CAF"/>
    <w:rsid w:val="00CD3CE1"/>
    <w:rsid w:val="00CD45DA"/>
    <w:rsid w:val="00CD6710"/>
    <w:rsid w:val="00CD6C7C"/>
    <w:rsid w:val="00CE1812"/>
    <w:rsid w:val="00CE1D2C"/>
    <w:rsid w:val="00CE2851"/>
    <w:rsid w:val="00CE4B5D"/>
    <w:rsid w:val="00CE4EAD"/>
    <w:rsid w:val="00CE5A0A"/>
    <w:rsid w:val="00CE5E3A"/>
    <w:rsid w:val="00CE6676"/>
    <w:rsid w:val="00CE686A"/>
    <w:rsid w:val="00CE79E8"/>
    <w:rsid w:val="00CE7F26"/>
    <w:rsid w:val="00CF047F"/>
    <w:rsid w:val="00CF0A44"/>
    <w:rsid w:val="00CF1145"/>
    <w:rsid w:val="00CF158A"/>
    <w:rsid w:val="00CF352D"/>
    <w:rsid w:val="00CF3DF9"/>
    <w:rsid w:val="00CF5520"/>
    <w:rsid w:val="00CF6391"/>
    <w:rsid w:val="00CF6737"/>
    <w:rsid w:val="00CF6E21"/>
    <w:rsid w:val="00CF7B7A"/>
    <w:rsid w:val="00D00B04"/>
    <w:rsid w:val="00D019C6"/>
    <w:rsid w:val="00D036E2"/>
    <w:rsid w:val="00D03E24"/>
    <w:rsid w:val="00D053AF"/>
    <w:rsid w:val="00D0638B"/>
    <w:rsid w:val="00D12563"/>
    <w:rsid w:val="00D12812"/>
    <w:rsid w:val="00D147BF"/>
    <w:rsid w:val="00D15891"/>
    <w:rsid w:val="00D1769C"/>
    <w:rsid w:val="00D176B6"/>
    <w:rsid w:val="00D215B3"/>
    <w:rsid w:val="00D22394"/>
    <w:rsid w:val="00D225D8"/>
    <w:rsid w:val="00D22827"/>
    <w:rsid w:val="00D22C51"/>
    <w:rsid w:val="00D242BC"/>
    <w:rsid w:val="00D254C6"/>
    <w:rsid w:val="00D26A9D"/>
    <w:rsid w:val="00D301AB"/>
    <w:rsid w:val="00D30A83"/>
    <w:rsid w:val="00D3159D"/>
    <w:rsid w:val="00D32185"/>
    <w:rsid w:val="00D330BE"/>
    <w:rsid w:val="00D34D0D"/>
    <w:rsid w:val="00D34D15"/>
    <w:rsid w:val="00D34E6E"/>
    <w:rsid w:val="00D4004A"/>
    <w:rsid w:val="00D41AEE"/>
    <w:rsid w:val="00D41E08"/>
    <w:rsid w:val="00D43C10"/>
    <w:rsid w:val="00D45A03"/>
    <w:rsid w:val="00D45A4E"/>
    <w:rsid w:val="00D45D8F"/>
    <w:rsid w:val="00D45E0D"/>
    <w:rsid w:val="00D462C6"/>
    <w:rsid w:val="00D46837"/>
    <w:rsid w:val="00D468D5"/>
    <w:rsid w:val="00D46A78"/>
    <w:rsid w:val="00D52A10"/>
    <w:rsid w:val="00D532C3"/>
    <w:rsid w:val="00D53DAD"/>
    <w:rsid w:val="00D5418C"/>
    <w:rsid w:val="00D5586D"/>
    <w:rsid w:val="00D604A7"/>
    <w:rsid w:val="00D62253"/>
    <w:rsid w:val="00D66ECE"/>
    <w:rsid w:val="00D6715F"/>
    <w:rsid w:val="00D677EA"/>
    <w:rsid w:val="00D70E5D"/>
    <w:rsid w:val="00D7183E"/>
    <w:rsid w:val="00D71C4C"/>
    <w:rsid w:val="00D7253A"/>
    <w:rsid w:val="00D743B4"/>
    <w:rsid w:val="00D76F3A"/>
    <w:rsid w:val="00D7761F"/>
    <w:rsid w:val="00D80062"/>
    <w:rsid w:val="00D80543"/>
    <w:rsid w:val="00D808FB"/>
    <w:rsid w:val="00D80911"/>
    <w:rsid w:val="00D828A7"/>
    <w:rsid w:val="00D832D6"/>
    <w:rsid w:val="00D84060"/>
    <w:rsid w:val="00D85389"/>
    <w:rsid w:val="00D85A25"/>
    <w:rsid w:val="00D85B35"/>
    <w:rsid w:val="00D8666E"/>
    <w:rsid w:val="00D905BA"/>
    <w:rsid w:val="00D9068B"/>
    <w:rsid w:val="00D9072E"/>
    <w:rsid w:val="00D91AFD"/>
    <w:rsid w:val="00D9494B"/>
    <w:rsid w:val="00DA07A2"/>
    <w:rsid w:val="00DA0B85"/>
    <w:rsid w:val="00DA0EB8"/>
    <w:rsid w:val="00DA110E"/>
    <w:rsid w:val="00DA1591"/>
    <w:rsid w:val="00DB161E"/>
    <w:rsid w:val="00DB23F9"/>
    <w:rsid w:val="00DB2794"/>
    <w:rsid w:val="00DB7941"/>
    <w:rsid w:val="00DB7F7D"/>
    <w:rsid w:val="00DC1562"/>
    <w:rsid w:val="00DC1C8A"/>
    <w:rsid w:val="00DC2F67"/>
    <w:rsid w:val="00DC4874"/>
    <w:rsid w:val="00DC577E"/>
    <w:rsid w:val="00DC5818"/>
    <w:rsid w:val="00DC6568"/>
    <w:rsid w:val="00DC6CBB"/>
    <w:rsid w:val="00DC79DD"/>
    <w:rsid w:val="00DD0C01"/>
    <w:rsid w:val="00DD456A"/>
    <w:rsid w:val="00DD4CF1"/>
    <w:rsid w:val="00DD4FF2"/>
    <w:rsid w:val="00DD5997"/>
    <w:rsid w:val="00DD62FA"/>
    <w:rsid w:val="00DD6C87"/>
    <w:rsid w:val="00DE13CB"/>
    <w:rsid w:val="00DE1741"/>
    <w:rsid w:val="00DE260C"/>
    <w:rsid w:val="00DE36ED"/>
    <w:rsid w:val="00DE3CA1"/>
    <w:rsid w:val="00DE7419"/>
    <w:rsid w:val="00DF0A94"/>
    <w:rsid w:val="00DF19D2"/>
    <w:rsid w:val="00DF2C8B"/>
    <w:rsid w:val="00DF56E6"/>
    <w:rsid w:val="00DF6025"/>
    <w:rsid w:val="00DF60E5"/>
    <w:rsid w:val="00DF6AEC"/>
    <w:rsid w:val="00DF765F"/>
    <w:rsid w:val="00E01B81"/>
    <w:rsid w:val="00E02999"/>
    <w:rsid w:val="00E02EA6"/>
    <w:rsid w:val="00E036F1"/>
    <w:rsid w:val="00E044B7"/>
    <w:rsid w:val="00E04B0E"/>
    <w:rsid w:val="00E04D57"/>
    <w:rsid w:val="00E050E1"/>
    <w:rsid w:val="00E05465"/>
    <w:rsid w:val="00E0619C"/>
    <w:rsid w:val="00E118C6"/>
    <w:rsid w:val="00E124FA"/>
    <w:rsid w:val="00E15955"/>
    <w:rsid w:val="00E161F7"/>
    <w:rsid w:val="00E2057E"/>
    <w:rsid w:val="00E206E9"/>
    <w:rsid w:val="00E20729"/>
    <w:rsid w:val="00E20E4B"/>
    <w:rsid w:val="00E216A8"/>
    <w:rsid w:val="00E21B86"/>
    <w:rsid w:val="00E2507E"/>
    <w:rsid w:val="00E25346"/>
    <w:rsid w:val="00E26CEF"/>
    <w:rsid w:val="00E27D23"/>
    <w:rsid w:val="00E305CA"/>
    <w:rsid w:val="00E3164E"/>
    <w:rsid w:val="00E31A1F"/>
    <w:rsid w:val="00E3313B"/>
    <w:rsid w:val="00E334E3"/>
    <w:rsid w:val="00E33C47"/>
    <w:rsid w:val="00E36027"/>
    <w:rsid w:val="00E3623A"/>
    <w:rsid w:val="00E363E0"/>
    <w:rsid w:val="00E3683D"/>
    <w:rsid w:val="00E36C64"/>
    <w:rsid w:val="00E4171D"/>
    <w:rsid w:val="00E4235A"/>
    <w:rsid w:val="00E425BE"/>
    <w:rsid w:val="00E42796"/>
    <w:rsid w:val="00E42C1D"/>
    <w:rsid w:val="00E42F00"/>
    <w:rsid w:val="00E43012"/>
    <w:rsid w:val="00E44D87"/>
    <w:rsid w:val="00E46917"/>
    <w:rsid w:val="00E51531"/>
    <w:rsid w:val="00E51AD1"/>
    <w:rsid w:val="00E51E32"/>
    <w:rsid w:val="00E52EB4"/>
    <w:rsid w:val="00E543BE"/>
    <w:rsid w:val="00E54F29"/>
    <w:rsid w:val="00E563AD"/>
    <w:rsid w:val="00E57A52"/>
    <w:rsid w:val="00E637F0"/>
    <w:rsid w:val="00E63E91"/>
    <w:rsid w:val="00E644B3"/>
    <w:rsid w:val="00E65C33"/>
    <w:rsid w:val="00E6787D"/>
    <w:rsid w:val="00E70BA1"/>
    <w:rsid w:val="00E70E8D"/>
    <w:rsid w:val="00E72497"/>
    <w:rsid w:val="00E7353F"/>
    <w:rsid w:val="00E736F2"/>
    <w:rsid w:val="00E74C21"/>
    <w:rsid w:val="00E75052"/>
    <w:rsid w:val="00E75173"/>
    <w:rsid w:val="00E76097"/>
    <w:rsid w:val="00E76101"/>
    <w:rsid w:val="00E76ECF"/>
    <w:rsid w:val="00E77FEA"/>
    <w:rsid w:val="00E8121C"/>
    <w:rsid w:val="00E82ADC"/>
    <w:rsid w:val="00E832A4"/>
    <w:rsid w:val="00E845DA"/>
    <w:rsid w:val="00E85828"/>
    <w:rsid w:val="00E86B16"/>
    <w:rsid w:val="00E86B47"/>
    <w:rsid w:val="00E92D02"/>
    <w:rsid w:val="00E93113"/>
    <w:rsid w:val="00E9462B"/>
    <w:rsid w:val="00E97C00"/>
    <w:rsid w:val="00EA0DA4"/>
    <w:rsid w:val="00EA150B"/>
    <w:rsid w:val="00EA50AD"/>
    <w:rsid w:val="00EA50E3"/>
    <w:rsid w:val="00EA525B"/>
    <w:rsid w:val="00EA6346"/>
    <w:rsid w:val="00EA6BD9"/>
    <w:rsid w:val="00EA7E76"/>
    <w:rsid w:val="00EB04E0"/>
    <w:rsid w:val="00EB0A8C"/>
    <w:rsid w:val="00EB2816"/>
    <w:rsid w:val="00EB3A6E"/>
    <w:rsid w:val="00EB481A"/>
    <w:rsid w:val="00EB5C28"/>
    <w:rsid w:val="00EB67EB"/>
    <w:rsid w:val="00EB68B1"/>
    <w:rsid w:val="00EB7983"/>
    <w:rsid w:val="00EB7E63"/>
    <w:rsid w:val="00EC02B3"/>
    <w:rsid w:val="00EC0552"/>
    <w:rsid w:val="00EC1D2C"/>
    <w:rsid w:val="00EC3EB6"/>
    <w:rsid w:val="00EC599B"/>
    <w:rsid w:val="00EC66A2"/>
    <w:rsid w:val="00EC6F19"/>
    <w:rsid w:val="00ED0812"/>
    <w:rsid w:val="00ED083C"/>
    <w:rsid w:val="00ED08D1"/>
    <w:rsid w:val="00ED09D6"/>
    <w:rsid w:val="00ED1D07"/>
    <w:rsid w:val="00ED25D4"/>
    <w:rsid w:val="00ED2F57"/>
    <w:rsid w:val="00ED43FC"/>
    <w:rsid w:val="00ED626B"/>
    <w:rsid w:val="00ED7BE8"/>
    <w:rsid w:val="00EE1212"/>
    <w:rsid w:val="00EE24B2"/>
    <w:rsid w:val="00EE2F51"/>
    <w:rsid w:val="00EE2FC8"/>
    <w:rsid w:val="00EE3254"/>
    <w:rsid w:val="00EE3BBB"/>
    <w:rsid w:val="00EE3F0A"/>
    <w:rsid w:val="00EE3F6F"/>
    <w:rsid w:val="00EE4E8D"/>
    <w:rsid w:val="00EE5E50"/>
    <w:rsid w:val="00EE6770"/>
    <w:rsid w:val="00EE7535"/>
    <w:rsid w:val="00EF076C"/>
    <w:rsid w:val="00EF370B"/>
    <w:rsid w:val="00EF3C89"/>
    <w:rsid w:val="00EF3F7B"/>
    <w:rsid w:val="00EF4358"/>
    <w:rsid w:val="00EF4B6B"/>
    <w:rsid w:val="00EF4D50"/>
    <w:rsid w:val="00EF507D"/>
    <w:rsid w:val="00EF55BB"/>
    <w:rsid w:val="00EF5E91"/>
    <w:rsid w:val="00EF63DC"/>
    <w:rsid w:val="00EF67DC"/>
    <w:rsid w:val="00EF6FE2"/>
    <w:rsid w:val="00F00732"/>
    <w:rsid w:val="00F01E70"/>
    <w:rsid w:val="00F02C28"/>
    <w:rsid w:val="00F03BDD"/>
    <w:rsid w:val="00F065B3"/>
    <w:rsid w:val="00F06727"/>
    <w:rsid w:val="00F110AF"/>
    <w:rsid w:val="00F11DA5"/>
    <w:rsid w:val="00F1252C"/>
    <w:rsid w:val="00F1299F"/>
    <w:rsid w:val="00F12BCF"/>
    <w:rsid w:val="00F12D26"/>
    <w:rsid w:val="00F13038"/>
    <w:rsid w:val="00F1410F"/>
    <w:rsid w:val="00F1434C"/>
    <w:rsid w:val="00F15C28"/>
    <w:rsid w:val="00F174DF"/>
    <w:rsid w:val="00F176C6"/>
    <w:rsid w:val="00F17C41"/>
    <w:rsid w:val="00F17E80"/>
    <w:rsid w:val="00F23FE2"/>
    <w:rsid w:val="00F24DF6"/>
    <w:rsid w:val="00F25648"/>
    <w:rsid w:val="00F25B10"/>
    <w:rsid w:val="00F27823"/>
    <w:rsid w:val="00F31090"/>
    <w:rsid w:val="00F31B7E"/>
    <w:rsid w:val="00F31E35"/>
    <w:rsid w:val="00F326CB"/>
    <w:rsid w:val="00F338F5"/>
    <w:rsid w:val="00F35DE5"/>
    <w:rsid w:val="00F402FF"/>
    <w:rsid w:val="00F412D9"/>
    <w:rsid w:val="00F416F5"/>
    <w:rsid w:val="00F43206"/>
    <w:rsid w:val="00F444B9"/>
    <w:rsid w:val="00F4464A"/>
    <w:rsid w:val="00F4615C"/>
    <w:rsid w:val="00F50362"/>
    <w:rsid w:val="00F5103F"/>
    <w:rsid w:val="00F515E6"/>
    <w:rsid w:val="00F51892"/>
    <w:rsid w:val="00F51ADB"/>
    <w:rsid w:val="00F5271B"/>
    <w:rsid w:val="00F52EAD"/>
    <w:rsid w:val="00F56010"/>
    <w:rsid w:val="00F60089"/>
    <w:rsid w:val="00F6013F"/>
    <w:rsid w:val="00F60EC1"/>
    <w:rsid w:val="00F61AB0"/>
    <w:rsid w:val="00F61AF7"/>
    <w:rsid w:val="00F655DE"/>
    <w:rsid w:val="00F664DC"/>
    <w:rsid w:val="00F67C8A"/>
    <w:rsid w:val="00F74A76"/>
    <w:rsid w:val="00F74FD1"/>
    <w:rsid w:val="00F7503B"/>
    <w:rsid w:val="00F752C2"/>
    <w:rsid w:val="00F75450"/>
    <w:rsid w:val="00F75C74"/>
    <w:rsid w:val="00F75EBE"/>
    <w:rsid w:val="00F7621F"/>
    <w:rsid w:val="00F76A11"/>
    <w:rsid w:val="00F80051"/>
    <w:rsid w:val="00F80D79"/>
    <w:rsid w:val="00F8117C"/>
    <w:rsid w:val="00F81DF6"/>
    <w:rsid w:val="00F83ED3"/>
    <w:rsid w:val="00F83FE0"/>
    <w:rsid w:val="00F85823"/>
    <w:rsid w:val="00F87459"/>
    <w:rsid w:val="00F905EB"/>
    <w:rsid w:val="00F91900"/>
    <w:rsid w:val="00F92E4D"/>
    <w:rsid w:val="00F9422D"/>
    <w:rsid w:val="00F94E53"/>
    <w:rsid w:val="00F94E72"/>
    <w:rsid w:val="00F95866"/>
    <w:rsid w:val="00F9593D"/>
    <w:rsid w:val="00F967CA"/>
    <w:rsid w:val="00F977F7"/>
    <w:rsid w:val="00FA0BD6"/>
    <w:rsid w:val="00FA355B"/>
    <w:rsid w:val="00FA3AD7"/>
    <w:rsid w:val="00FA42D2"/>
    <w:rsid w:val="00FA5C43"/>
    <w:rsid w:val="00FA6738"/>
    <w:rsid w:val="00FA7524"/>
    <w:rsid w:val="00FB198E"/>
    <w:rsid w:val="00FB2A60"/>
    <w:rsid w:val="00FB33D4"/>
    <w:rsid w:val="00FB359F"/>
    <w:rsid w:val="00FB378C"/>
    <w:rsid w:val="00FB42D8"/>
    <w:rsid w:val="00FB736E"/>
    <w:rsid w:val="00FB7C1C"/>
    <w:rsid w:val="00FC0AD1"/>
    <w:rsid w:val="00FC314B"/>
    <w:rsid w:val="00FC519C"/>
    <w:rsid w:val="00FC5570"/>
    <w:rsid w:val="00FD022D"/>
    <w:rsid w:val="00FD0FEF"/>
    <w:rsid w:val="00FD1E07"/>
    <w:rsid w:val="00FD28C0"/>
    <w:rsid w:val="00FD3298"/>
    <w:rsid w:val="00FD3468"/>
    <w:rsid w:val="00FD4DE4"/>
    <w:rsid w:val="00FD5EAA"/>
    <w:rsid w:val="00FE0476"/>
    <w:rsid w:val="00FE0A4B"/>
    <w:rsid w:val="00FE0B3A"/>
    <w:rsid w:val="00FE13B7"/>
    <w:rsid w:val="00FE15BD"/>
    <w:rsid w:val="00FE19DE"/>
    <w:rsid w:val="00FE1DEF"/>
    <w:rsid w:val="00FE3C0C"/>
    <w:rsid w:val="00FE3E18"/>
    <w:rsid w:val="00FE3F51"/>
    <w:rsid w:val="00FE40A1"/>
    <w:rsid w:val="00FE519C"/>
    <w:rsid w:val="00FE5D3E"/>
    <w:rsid w:val="00FE5EE3"/>
    <w:rsid w:val="00FE693B"/>
    <w:rsid w:val="00FE77B4"/>
    <w:rsid w:val="00FF0044"/>
    <w:rsid w:val="00FF028D"/>
    <w:rsid w:val="00FF1184"/>
    <w:rsid w:val="00FF189D"/>
    <w:rsid w:val="00FF18F9"/>
    <w:rsid w:val="00FF1A66"/>
    <w:rsid w:val="00FF35C7"/>
    <w:rsid w:val="00FF4FDD"/>
    <w:rsid w:val="00FF7369"/>
    <w:rsid w:val="00FF7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7A8AFA7A-2E5F-47C5-B463-6A93AC990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676"/>
    <w:pPr>
      <w:suppressAutoHyphens/>
      <w:spacing w:after="160" w:line="256" w:lineRule="auto"/>
    </w:pPr>
    <w:rPr>
      <w:rFonts w:ascii="Calibri" w:hAnsi="Calibri"/>
      <w:sz w:val="22"/>
      <w:szCs w:val="22"/>
      <w:lang w:val="ro-RO" w:eastAsia="zh-CN"/>
    </w:rPr>
  </w:style>
  <w:style w:type="paragraph" w:styleId="Heading1">
    <w:name w:val="heading 1"/>
    <w:basedOn w:val="Normal"/>
    <w:next w:val="Normal"/>
    <w:qFormat/>
    <w:pPr>
      <w:keepNext/>
      <w:keepLines/>
      <w:numPr>
        <w:numId w:val="1"/>
      </w:numPr>
      <w:spacing w:before="480" w:after="0"/>
      <w:outlineLvl w:val="0"/>
    </w:pPr>
    <w:rPr>
      <w:rFonts w:ascii="Cambria" w:hAnsi="Cambria"/>
      <w:b/>
      <w:bCs/>
      <w:color w:val="365F91"/>
      <w:sz w:val="28"/>
      <w:szCs w:val="28"/>
    </w:rPr>
  </w:style>
  <w:style w:type="paragraph" w:styleId="Heading2">
    <w:name w:val="heading 2"/>
    <w:basedOn w:val="Normal"/>
    <w:next w:val="Normal"/>
    <w:qFormat/>
    <w:pPr>
      <w:keepNext/>
      <w:keepLines/>
      <w:numPr>
        <w:ilvl w:val="1"/>
        <w:numId w:val="1"/>
      </w:numPr>
      <w:spacing w:before="200" w:after="0"/>
      <w:outlineLvl w:val="1"/>
    </w:pPr>
    <w:rPr>
      <w:rFonts w:ascii="Cambria" w:hAnsi="Cambria"/>
      <w:b/>
      <w:bCs/>
      <w:color w:val="4F81BD"/>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4z0">
    <w:name w:val="WW8Num4z0"/>
    <w:rPr>
      <w:rFonts w:hint="default"/>
    </w:rPr>
  </w:style>
  <w:style w:type="character" w:customStyle="1" w:styleId="WW8Num5z0">
    <w:name w:val="WW8Num5z0"/>
    <w:rPr>
      <w:rFonts w:ascii="Times New Roman" w:eastAsia="Calibri" w:hAnsi="Times New Roman"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hint="default"/>
      <w:sz w:val="28"/>
    </w:rPr>
  </w:style>
  <w:style w:type="character" w:customStyle="1" w:styleId="WW8Num8z0">
    <w:name w:val="WW8Num8z0"/>
    <w:rPr>
      <w:rFonts w:ascii="Symbol" w:hAnsi="Symbol" w:cs="Symbol" w:hint="default"/>
      <w:sz w:val="16"/>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Wingdings" w:hAnsi="Wingdings" w:cs="Wingdings" w:hint="default"/>
    </w:rPr>
  </w:style>
  <w:style w:type="character" w:customStyle="1" w:styleId="WW8Num12z1">
    <w:name w:val="WW8Num12z1"/>
    <w:rPr>
      <w:rFonts w:ascii="Courier New" w:hAnsi="Courier New" w:cs="Courier New" w:hint="default"/>
    </w:rPr>
  </w:style>
  <w:style w:type="character" w:customStyle="1" w:styleId="WW8Num12z3">
    <w:name w:val="WW8Num12z3"/>
    <w:rPr>
      <w:rFonts w:ascii="Symbol" w:hAnsi="Symbol" w:cs="Symbol" w:hint="default"/>
    </w:rPr>
  </w:style>
  <w:style w:type="character" w:customStyle="1" w:styleId="WW8Num13z0">
    <w:name w:val="WW8Num13z0"/>
    <w:rPr>
      <w:rFonts w:ascii="Times New Roman" w:eastAsia="Times New Roman" w:hAnsi="Times New Roman" w:cs="Times New Roman"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Wingdings" w:hAnsi="Wingdings" w:cs="Wingdings" w:hint="default"/>
    </w:rPr>
  </w:style>
  <w:style w:type="character" w:customStyle="1" w:styleId="WW8Num16z1">
    <w:name w:val="WW8Num16z1"/>
    <w:rPr>
      <w:rFonts w:ascii="Courier New" w:hAnsi="Courier New" w:cs="Courier New" w:hint="default"/>
    </w:rPr>
  </w:style>
  <w:style w:type="character" w:customStyle="1" w:styleId="WW8Num16z3">
    <w:name w:val="WW8Num16z3"/>
    <w:rPr>
      <w:rFonts w:ascii="Symbol" w:hAnsi="Symbol" w:cs="Symbol"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Wingdings" w:hAnsi="Wingdings" w:cs="Wingdings" w:hint="default"/>
      <w:sz w:val="28"/>
      <w:szCs w:val="28"/>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Symbol" w:hAnsi="Symbol" w:cs="Symbol" w:hint="default"/>
    </w:rPr>
  </w:style>
  <w:style w:type="character" w:customStyle="1" w:styleId="WW8Num24z0">
    <w:name w:val="WW8Num24z0"/>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24z3">
    <w:name w:val="WW8Num24z3"/>
    <w:rPr>
      <w:rFonts w:ascii="Symbol" w:hAnsi="Symbol" w:cs="Symbol" w:hint="default"/>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Calibri" w:eastAsia="Times New Roman" w:hAnsi="Calibri" w:cs="Calibri"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Wingdings" w:hAnsi="Wingdings" w:cs="Wingdings" w:hint="default"/>
    </w:rPr>
  </w:style>
  <w:style w:type="character" w:customStyle="1" w:styleId="WW8Num27z1">
    <w:name w:val="WW8Num27z1"/>
    <w:rPr>
      <w:rFonts w:ascii="Courier New" w:hAnsi="Courier New" w:cs="Courier New" w:hint="default"/>
    </w:rPr>
  </w:style>
  <w:style w:type="character" w:customStyle="1" w:styleId="WW8Num27z3">
    <w:name w:val="WW8Num27z3"/>
    <w:rPr>
      <w:rFonts w:ascii="Symbol" w:hAnsi="Symbol" w:cs="Symbol" w:hint="default"/>
    </w:rPr>
  </w:style>
  <w:style w:type="character" w:customStyle="1" w:styleId="WW8Num28z0">
    <w:name w:val="WW8Num28z0"/>
    <w:rPr>
      <w:rFonts w:ascii="Times New Roman" w:eastAsia="Times New Roman" w:hAnsi="Times New Roman" w:cs="Times New Roman"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ascii="Wingdings" w:hAnsi="Wingdings" w:cs="Wingdings" w:hint="default"/>
    </w:rPr>
  </w:style>
  <w:style w:type="character" w:customStyle="1" w:styleId="WW8Num29z1">
    <w:name w:val="WW8Num29z1"/>
    <w:rPr>
      <w:rFonts w:ascii="Courier New" w:hAnsi="Courier New" w:cs="Courier New" w:hint="default"/>
    </w:rPr>
  </w:style>
  <w:style w:type="character" w:customStyle="1" w:styleId="WW8Num29z3">
    <w:name w:val="WW8Num29z3"/>
    <w:rPr>
      <w:rFonts w:ascii="Symbol" w:hAnsi="Symbol" w:cs="Symbol" w:hint="default"/>
    </w:rPr>
  </w:style>
  <w:style w:type="character" w:customStyle="1" w:styleId="WW8Num30z0">
    <w:name w:val="WW8Num30z0"/>
    <w:rPr>
      <w:rFonts w:ascii="Wingdings" w:hAnsi="Wingdings" w:cs="Wingdings" w:hint="default"/>
    </w:rPr>
  </w:style>
  <w:style w:type="character" w:customStyle="1" w:styleId="WW8Num30z1">
    <w:name w:val="WW8Num30z1"/>
    <w:rPr>
      <w:rFonts w:ascii="Courier New" w:hAnsi="Courier New" w:cs="Courier New" w:hint="default"/>
    </w:rPr>
  </w:style>
  <w:style w:type="character" w:customStyle="1" w:styleId="WW8Num30z3">
    <w:name w:val="WW8Num30z3"/>
    <w:rPr>
      <w:rFonts w:ascii="Symbol" w:hAnsi="Symbol" w:cs="Symbol" w:hint="default"/>
    </w:rPr>
  </w:style>
  <w:style w:type="character" w:customStyle="1" w:styleId="WW8Num32z0">
    <w:name w:val="WW8Num32z0"/>
    <w:rPr>
      <w:rFonts w:hint="default"/>
    </w:rPr>
  </w:style>
  <w:style w:type="character" w:customStyle="1" w:styleId="WW8Num33z0">
    <w:name w:val="WW8Num33z0"/>
    <w:rPr>
      <w:rFonts w:ascii="Times New Roman" w:eastAsia="Times New Roman" w:hAnsi="Times New Roman"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ascii="Wingdings" w:hAnsi="Wingdings" w:cs="Wingdings" w:hint="default"/>
    </w:rPr>
  </w:style>
  <w:style w:type="character" w:customStyle="1" w:styleId="WW8Num34z1">
    <w:name w:val="WW8Num34z1"/>
    <w:rPr>
      <w:rFonts w:ascii="Courier New" w:hAnsi="Courier New" w:cs="Courier New" w:hint="default"/>
    </w:rPr>
  </w:style>
  <w:style w:type="character" w:customStyle="1" w:styleId="WW8Num34z3">
    <w:name w:val="WW8Num34z3"/>
    <w:rPr>
      <w:rFonts w:ascii="Symbol" w:hAnsi="Symbol" w:cs="Symbol" w:hint="default"/>
    </w:rPr>
  </w:style>
  <w:style w:type="character" w:customStyle="1" w:styleId="WW8Num35z0">
    <w:name w:val="WW8Num35z0"/>
    <w:rPr>
      <w:rFonts w:ascii="Symbol" w:hAnsi="Symbol" w:cs="Symbol" w:hint="default"/>
      <w:b w:val="0"/>
      <w:i w:val="0"/>
      <w:sz w:val="16"/>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cs="Times New Roman"/>
    </w:rPr>
  </w:style>
  <w:style w:type="character" w:customStyle="1" w:styleId="WW8Num36z1">
    <w:name w:val="WW8Num36z1"/>
    <w:rPr>
      <w:rFonts w:cs="Times New Roman" w:hint="default"/>
    </w:rPr>
  </w:style>
  <w:style w:type="character" w:customStyle="1" w:styleId="WW8Num37z0">
    <w:name w:val="WW8Num37z0"/>
    <w:rPr>
      <w:rFonts w:ascii="Wingdings" w:hAnsi="Wingdings" w:cs="Wingdings" w:hint="default"/>
    </w:rPr>
  </w:style>
  <w:style w:type="character" w:customStyle="1" w:styleId="WW8Num37z1">
    <w:name w:val="WW8Num37z1"/>
    <w:rPr>
      <w:rFonts w:ascii="Courier New" w:hAnsi="Courier New" w:cs="Courier New" w:hint="default"/>
    </w:rPr>
  </w:style>
  <w:style w:type="character" w:customStyle="1" w:styleId="WW8Num37z3">
    <w:name w:val="WW8Num37z3"/>
    <w:rPr>
      <w:rFonts w:ascii="Symbol" w:hAnsi="Symbol" w:cs="Symbol" w:hint="default"/>
    </w:rPr>
  </w:style>
  <w:style w:type="character" w:customStyle="1" w:styleId="WW8Num38z0">
    <w:name w:val="WW8Num38z0"/>
    <w:rPr>
      <w:rFonts w:ascii="Wingdings" w:hAnsi="Wingdings" w:cs="Wingdings" w:hint="default"/>
    </w:rPr>
  </w:style>
  <w:style w:type="character" w:customStyle="1" w:styleId="WW8Num38z1">
    <w:name w:val="WW8Num38z1"/>
    <w:rPr>
      <w:rFonts w:ascii="Courier New" w:hAnsi="Courier New" w:cs="Courier New" w:hint="default"/>
    </w:rPr>
  </w:style>
  <w:style w:type="character" w:customStyle="1" w:styleId="WW8Num38z3">
    <w:name w:val="WW8Num38z3"/>
    <w:rPr>
      <w:rFonts w:ascii="Symbol" w:hAnsi="Symbol" w:cs="Symbol" w:hint="default"/>
    </w:rPr>
  </w:style>
  <w:style w:type="character" w:customStyle="1" w:styleId="WW8Num39z0">
    <w:name w:val="WW8Num39z0"/>
    <w:rPr>
      <w:rFonts w:ascii="Wingdings" w:hAnsi="Wingdings" w:cs="Wingdings" w:hint="default"/>
    </w:rPr>
  </w:style>
  <w:style w:type="character" w:customStyle="1" w:styleId="WW8Num40z0">
    <w:name w:val="WW8Num40z0"/>
    <w:rPr>
      <w:rFonts w:ascii="Times New Roman" w:eastAsia="Calibri" w:hAnsi="Times New Roman" w:cs="Times New Roman" w:hint="default"/>
      <w:color w:val="000000"/>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0z3">
    <w:name w:val="WW8Num40z3"/>
    <w:rPr>
      <w:rFonts w:ascii="Symbol" w:hAnsi="Symbol" w:cs="Symbol" w:hint="default"/>
    </w:rPr>
  </w:style>
  <w:style w:type="character" w:customStyle="1" w:styleId="WW8Num41z0">
    <w:name w:val="WW8Num41z0"/>
    <w:rPr>
      <w:rFonts w:ascii="Symbol" w:hAnsi="Symbol" w:cs="Symbol" w:hint="default"/>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1">
    <w:name w:val="Основной шрифт абзаца1"/>
  </w:style>
  <w:style w:type="character" w:customStyle="1" w:styleId="a">
    <w:name w:val="Текст выноски Знак"/>
    <w:rPr>
      <w:rFonts w:ascii="Tahoma" w:eastAsia="Times New Roman" w:hAnsi="Tahoma" w:cs="Tahoma"/>
      <w:sz w:val="16"/>
      <w:szCs w:val="16"/>
    </w:rPr>
  </w:style>
  <w:style w:type="character" w:customStyle="1" w:styleId="FontStyle28">
    <w:name w:val="Font Style28"/>
    <w:rPr>
      <w:rFonts w:ascii="Times New Roman" w:hAnsi="Times New Roman" w:cs="Times New Roman"/>
      <w:b/>
      <w:bCs/>
      <w:sz w:val="20"/>
      <w:szCs w:val="20"/>
    </w:rPr>
  </w:style>
  <w:style w:type="character" w:customStyle="1" w:styleId="apple-converted-space">
    <w:name w:val="apple-converted-space"/>
    <w:basedOn w:val="1"/>
  </w:style>
  <w:style w:type="character" w:styleId="Strong">
    <w:name w:val="Strong"/>
    <w:qFormat/>
    <w:rPr>
      <w:b/>
      <w:bCs/>
    </w:rPr>
  </w:style>
  <w:style w:type="character" w:customStyle="1" w:styleId="10">
    <w:name w:val="Заголовок 1 Знак"/>
    <w:rPr>
      <w:rFonts w:ascii="Cambria" w:eastAsia="Times New Roman" w:hAnsi="Cambria" w:cs="Times New Roman"/>
      <w:b/>
      <w:bCs/>
      <w:color w:val="365F91"/>
      <w:sz w:val="28"/>
      <w:szCs w:val="28"/>
    </w:rPr>
  </w:style>
  <w:style w:type="character" w:styleId="Hyperlink">
    <w:name w:val="Hyperlink"/>
    <w:uiPriority w:val="99"/>
    <w:rPr>
      <w:color w:val="0000FF"/>
      <w:u w:val="single"/>
    </w:rPr>
  </w:style>
  <w:style w:type="character" w:customStyle="1" w:styleId="a0">
    <w:name w:val="Верхний колонтитул Знак"/>
    <w:rPr>
      <w:rFonts w:ascii="Calibri" w:eastAsia="Times New Roman" w:hAnsi="Calibri" w:cs="Times New Roman"/>
    </w:rPr>
  </w:style>
  <w:style w:type="character" w:customStyle="1" w:styleId="a1">
    <w:name w:val="Нижний колонтитул Знак"/>
    <w:rPr>
      <w:rFonts w:ascii="Calibri" w:eastAsia="Times New Roman" w:hAnsi="Calibri" w:cs="Times New Roman"/>
    </w:rPr>
  </w:style>
  <w:style w:type="character" w:customStyle="1" w:styleId="2">
    <w:name w:val="Заголовок 2 Знак"/>
    <w:rPr>
      <w:rFonts w:ascii="Cambria" w:eastAsia="Times New Roman" w:hAnsi="Cambria" w:cs="Times New Roman"/>
      <w:b/>
      <w:bCs/>
      <w:color w:val="4F81BD"/>
      <w:sz w:val="26"/>
      <w:szCs w:val="26"/>
    </w:rPr>
  </w:style>
  <w:style w:type="character" w:customStyle="1" w:styleId="a2">
    <w:name w:val="Заголовок Знак"/>
    <w:rPr>
      <w:rFonts w:ascii="Cambria" w:eastAsia="Times New Roman" w:hAnsi="Cambria" w:cs="Times New Roman"/>
      <w:color w:val="17365D"/>
      <w:spacing w:val="5"/>
      <w:kern w:val="2"/>
      <w:sz w:val="52"/>
      <w:szCs w:val="52"/>
    </w:rPr>
  </w:style>
  <w:style w:type="character" w:styleId="Emphasis">
    <w:name w:val="Emphasis"/>
    <w:qFormat/>
    <w:rPr>
      <w:i/>
      <w:iCs/>
    </w:rPr>
  </w:style>
  <w:style w:type="character" w:customStyle="1" w:styleId="11">
    <w:name w:val="Знак примечания1"/>
    <w:rPr>
      <w:sz w:val="16"/>
      <w:szCs w:val="16"/>
    </w:rPr>
  </w:style>
  <w:style w:type="character" w:customStyle="1" w:styleId="a3">
    <w:name w:val="Текст примечания Знак"/>
    <w:rPr>
      <w:rFonts w:ascii="Calibri" w:eastAsia="Times New Roman" w:hAnsi="Calibri" w:cs="Times New Roman"/>
      <w:sz w:val="20"/>
      <w:szCs w:val="20"/>
    </w:rPr>
  </w:style>
  <w:style w:type="character" w:customStyle="1" w:styleId="a4">
    <w:name w:val="Тема примечания Знак"/>
    <w:rPr>
      <w:rFonts w:ascii="Calibri" w:eastAsia="Times New Roman" w:hAnsi="Calibri" w:cs="Times New Roman"/>
      <w:b/>
      <w:bCs/>
      <w:sz w:val="20"/>
      <w:szCs w:val="20"/>
    </w:rPr>
  </w:style>
  <w:style w:type="character" w:customStyle="1" w:styleId="a5">
    <w:name w:val="Текст сноски Знак"/>
    <w:uiPriority w:val="99"/>
    <w:rPr>
      <w:rFonts w:ascii="Calibri" w:eastAsia="Times New Roman" w:hAnsi="Calibri" w:cs="Times New Roman"/>
      <w:sz w:val="20"/>
      <w:szCs w:val="20"/>
    </w:rPr>
  </w:style>
  <w:style w:type="character" w:customStyle="1" w:styleId="FootnoteCharacters">
    <w:name w:val="Footnote Characters"/>
    <w:rPr>
      <w:vertAlign w:val="superscript"/>
    </w:rPr>
  </w:style>
  <w:style w:type="character" w:customStyle="1" w:styleId="a6">
    <w:name w:val="Основной текст Знак"/>
    <w:rPr>
      <w:rFonts w:ascii="Times New Roman" w:eastAsia="Times New Roman" w:hAnsi="Times New Roman" w:cs="Times New Roman"/>
      <w:sz w:val="24"/>
      <w:lang w:val="en-US"/>
    </w:rPr>
  </w:style>
  <w:style w:type="character" w:customStyle="1" w:styleId="20">
    <w:name w:val="Основной текст 2 Знак"/>
    <w:rPr>
      <w:rFonts w:eastAsia="Times New Roman"/>
      <w:sz w:val="22"/>
      <w:szCs w:val="22"/>
      <w:lang w:val="ro-RO"/>
    </w:rPr>
  </w:style>
  <w:style w:type="character" w:customStyle="1" w:styleId="21">
    <w:name w:val="Основной текст 2 Знак1"/>
    <w:rPr>
      <w:rFonts w:ascii="Times New Roman" w:eastAsia="Times New Roman" w:hAnsi="Times New Roman" w:cs="Times New Roman"/>
      <w:sz w:val="24"/>
      <w:lang w:val="en-US"/>
    </w:rPr>
  </w:style>
  <w:style w:type="character" w:customStyle="1" w:styleId="a7">
    <w:name w:val="Основной текст с отступом Знак"/>
    <w:rPr>
      <w:rFonts w:ascii="Times New Roman" w:eastAsia="Times New Roman" w:hAnsi="Times New Roman" w:cs="Times New Roman"/>
      <w:sz w:val="24"/>
      <w:szCs w:val="24"/>
      <w:lang w:val="ru-RU"/>
    </w:rPr>
  </w:style>
  <w:style w:type="character" w:customStyle="1" w:styleId="a8">
    <w:name w:val="Абзац списка Знак"/>
    <w:rPr>
      <w:rFonts w:eastAsia="Times New Roman"/>
      <w:sz w:val="22"/>
      <w:szCs w:val="22"/>
      <w:lang w:val="ro-RO"/>
    </w:rPr>
  </w:style>
  <w:style w:type="character" w:customStyle="1" w:styleId="IndexLink">
    <w:name w:val="Index Link"/>
  </w:style>
  <w:style w:type="character" w:styleId="LineNumber">
    <w:name w:val="line number"/>
  </w:style>
  <w:style w:type="paragraph" w:customStyle="1" w:styleId="Heading">
    <w:name w:val="Heading"/>
    <w:basedOn w:val="Normal"/>
    <w:next w:val="Normal"/>
    <w:pPr>
      <w:pBdr>
        <w:top w:val="none" w:sz="0" w:space="0" w:color="000000"/>
        <w:left w:val="none" w:sz="0" w:space="0" w:color="000000"/>
        <w:bottom w:val="single" w:sz="8" w:space="4" w:color="4F81BD"/>
        <w:right w:val="none" w:sz="0" w:space="0" w:color="000000"/>
      </w:pBdr>
      <w:spacing w:after="300" w:line="240" w:lineRule="auto"/>
      <w:contextualSpacing/>
    </w:pPr>
    <w:rPr>
      <w:rFonts w:ascii="Cambria" w:hAnsi="Cambria"/>
      <w:color w:val="17365D"/>
      <w:spacing w:val="5"/>
      <w:kern w:val="2"/>
      <w:sz w:val="52"/>
      <w:szCs w:val="52"/>
    </w:rPr>
  </w:style>
  <w:style w:type="paragraph" w:styleId="BodyText">
    <w:name w:val="Body Text"/>
    <w:basedOn w:val="Normal"/>
    <w:pPr>
      <w:spacing w:after="0" w:line="240" w:lineRule="auto"/>
      <w:ind w:right="144"/>
      <w:jc w:val="both"/>
    </w:pPr>
    <w:rPr>
      <w:rFonts w:ascii="Times New Roman" w:hAnsi="Times New Roman"/>
      <w:sz w:val="24"/>
      <w:szCs w:val="20"/>
      <w:lang w:val="en-U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customStyle="1" w:styleId="12">
    <w:name w:val="Абзац списка1"/>
    <w:basedOn w:val="Normal"/>
    <w:pPr>
      <w:ind w:left="720"/>
    </w:pPr>
  </w:style>
  <w:style w:type="paragraph" w:customStyle="1" w:styleId="13">
    <w:name w:val="Текст выноски1"/>
    <w:basedOn w:val="Normal"/>
    <w:pPr>
      <w:spacing w:after="0" w:line="240" w:lineRule="auto"/>
    </w:pPr>
    <w:rPr>
      <w:rFonts w:ascii="Tahoma" w:hAnsi="Tahoma" w:cs="Tahoma"/>
      <w:sz w:val="16"/>
      <w:szCs w:val="16"/>
    </w:rPr>
  </w:style>
  <w:style w:type="paragraph" w:customStyle="1" w:styleId="Style2">
    <w:name w:val="Style2"/>
    <w:basedOn w:val="Normal"/>
    <w:pPr>
      <w:widowControl w:val="0"/>
      <w:autoSpaceDE w:val="0"/>
      <w:spacing w:after="0" w:line="283" w:lineRule="exact"/>
      <w:ind w:firstLine="1042"/>
    </w:pPr>
    <w:rPr>
      <w:rFonts w:ascii="Times New Roman" w:hAnsi="Times New Roman"/>
      <w:sz w:val="24"/>
      <w:szCs w:val="24"/>
    </w:rPr>
  </w:style>
  <w:style w:type="paragraph" w:customStyle="1" w:styleId="14">
    <w:name w:val="Название объекта1"/>
    <w:basedOn w:val="Normal"/>
    <w:next w:val="Normal"/>
    <w:pPr>
      <w:spacing w:before="120" w:after="120" w:line="360" w:lineRule="auto"/>
      <w:ind w:firstLine="709"/>
      <w:jc w:val="both"/>
    </w:pPr>
    <w:rPr>
      <w:rFonts w:ascii="Baltica RR" w:hAnsi="Baltica RR" w:cs="Baltica RR"/>
      <w:b/>
      <w:bCs/>
      <w:sz w:val="20"/>
      <w:szCs w:val="20"/>
      <w:lang w:val="ru-RU"/>
    </w:rPr>
  </w:style>
  <w:style w:type="paragraph" w:customStyle="1" w:styleId="15">
    <w:name w:val="Заголовок оглавления1"/>
    <w:basedOn w:val="Heading1"/>
    <w:next w:val="Normal"/>
    <w:pPr>
      <w:numPr>
        <w:numId w:val="0"/>
      </w:numPr>
      <w:spacing w:line="276" w:lineRule="auto"/>
      <w:outlineLvl w:val="9"/>
    </w:pPr>
    <w:rPr>
      <w:lang w:val="en-US"/>
    </w:rPr>
  </w:style>
  <w:style w:type="paragraph" w:styleId="TOC1">
    <w:name w:val="toc 1"/>
    <w:basedOn w:val="Normal"/>
    <w:next w:val="Normal"/>
    <w:uiPriority w:val="39"/>
    <w:pPr>
      <w:tabs>
        <w:tab w:val="right" w:leader="dot" w:pos="9497"/>
      </w:tabs>
      <w:spacing w:before="240" w:after="120"/>
    </w:pPr>
    <w:rPr>
      <w:rFonts w:cs="Calibri"/>
      <w:b/>
      <w:bCs/>
      <w:sz w:val="24"/>
      <w:szCs w:val="24"/>
    </w:rPr>
  </w:style>
  <w:style w:type="paragraph" w:customStyle="1" w:styleId="HeaderandFooter">
    <w:name w:val="Header and Footer"/>
    <w:basedOn w:val="Normal"/>
    <w:pPr>
      <w:suppressLineNumbers/>
      <w:tabs>
        <w:tab w:val="center" w:pos="4986"/>
        <w:tab w:val="right" w:pos="9972"/>
      </w:tabs>
    </w:p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TOC2">
    <w:name w:val="toc 2"/>
    <w:basedOn w:val="Normal"/>
    <w:next w:val="Normal"/>
    <w:pPr>
      <w:spacing w:before="120" w:after="0"/>
      <w:ind w:left="220"/>
    </w:pPr>
    <w:rPr>
      <w:rFonts w:cs="Calibri"/>
      <w:i/>
      <w:iCs/>
      <w:sz w:val="20"/>
      <w:szCs w:val="20"/>
    </w:rPr>
  </w:style>
  <w:style w:type="paragraph" w:styleId="TOC3">
    <w:name w:val="toc 3"/>
    <w:basedOn w:val="Normal"/>
    <w:next w:val="Normal"/>
    <w:pPr>
      <w:spacing w:after="0"/>
      <w:ind w:left="440"/>
    </w:pPr>
    <w:rPr>
      <w:rFonts w:cs="Calibri"/>
      <w:sz w:val="20"/>
      <w:szCs w:val="20"/>
    </w:rPr>
  </w:style>
  <w:style w:type="paragraph" w:styleId="TOC4">
    <w:name w:val="toc 4"/>
    <w:basedOn w:val="Normal"/>
    <w:next w:val="Normal"/>
    <w:pPr>
      <w:spacing w:after="0"/>
      <w:ind w:left="660"/>
    </w:pPr>
    <w:rPr>
      <w:rFonts w:cs="Calibri"/>
      <w:sz w:val="20"/>
      <w:szCs w:val="20"/>
    </w:rPr>
  </w:style>
  <w:style w:type="paragraph" w:styleId="TOC5">
    <w:name w:val="toc 5"/>
    <w:basedOn w:val="Normal"/>
    <w:next w:val="Normal"/>
    <w:pPr>
      <w:spacing w:after="0"/>
      <w:ind w:left="880"/>
    </w:pPr>
    <w:rPr>
      <w:rFonts w:cs="Calibri"/>
      <w:sz w:val="20"/>
      <w:szCs w:val="20"/>
    </w:rPr>
  </w:style>
  <w:style w:type="paragraph" w:styleId="TOC6">
    <w:name w:val="toc 6"/>
    <w:basedOn w:val="Normal"/>
    <w:next w:val="Normal"/>
    <w:pPr>
      <w:spacing w:after="0"/>
      <w:ind w:left="1100"/>
    </w:pPr>
    <w:rPr>
      <w:rFonts w:cs="Calibri"/>
      <w:sz w:val="20"/>
      <w:szCs w:val="20"/>
    </w:rPr>
  </w:style>
  <w:style w:type="paragraph" w:styleId="TOC7">
    <w:name w:val="toc 7"/>
    <w:basedOn w:val="Normal"/>
    <w:next w:val="Normal"/>
    <w:pPr>
      <w:spacing w:after="0"/>
      <w:ind w:left="1320"/>
    </w:pPr>
    <w:rPr>
      <w:rFonts w:cs="Calibri"/>
      <w:sz w:val="20"/>
      <w:szCs w:val="20"/>
    </w:rPr>
  </w:style>
  <w:style w:type="paragraph" w:styleId="TOC8">
    <w:name w:val="toc 8"/>
    <w:basedOn w:val="Normal"/>
    <w:next w:val="Normal"/>
    <w:pPr>
      <w:spacing w:after="0"/>
      <w:ind w:left="1540"/>
    </w:pPr>
    <w:rPr>
      <w:rFonts w:cs="Calibri"/>
      <w:sz w:val="20"/>
      <w:szCs w:val="20"/>
    </w:rPr>
  </w:style>
  <w:style w:type="paragraph" w:styleId="TOC9">
    <w:name w:val="toc 9"/>
    <w:basedOn w:val="Normal"/>
    <w:next w:val="Normal"/>
    <w:pPr>
      <w:spacing w:after="0"/>
      <w:ind w:left="1760"/>
    </w:pPr>
    <w:rPr>
      <w:rFonts w:cs="Calibri"/>
      <w:sz w:val="20"/>
      <w:szCs w:val="20"/>
    </w:rPr>
  </w:style>
  <w:style w:type="paragraph" w:customStyle="1" w:styleId="16">
    <w:name w:val="Текст примечания1"/>
    <w:basedOn w:val="Normal"/>
    <w:pPr>
      <w:spacing w:line="240" w:lineRule="auto"/>
    </w:pPr>
    <w:rPr>
      <w:sz w:val="20"/>
      <w:szCs w:val="20"/>
    </w:rPr>
  </w:style>
  <w:style w:type="paragraph" w:customStyle="1" w:styleId="17">
    <w:name w:val="Тема примечания1"/>
    <w:basedOn w:val="16"/>
    <w:next w:val="16"/>
    <w:rPr>
      <w:b/>
      <w:bCs/>
    </w:rPr>
  </w:style>
  <w:style w:type="paragraph" w:customStyle="1" w:styleId="18">
    <w:name w:val="Рецензия1"/>
    <w:pPr>
      <w:suppressAutoHyphens/>
    </w:pPr>
    <w:rPr>
      <w:rFonts w:ascii="Calibri" w:hAnsi="Calibri"/>
      <w:sz w:val="22"/>
      <w:szCs w:val="22"/>
      <w:lang w:val="ro-RO" w:eastAsia="zh-CN"/>
    </w:rPr>
  </w:style>
  <w:style w:type="paragraph" w:styleId="FootnoteText">
    <w:name w:val="footnote text"/>
    <w:basedOn w:val="Normal"/>
    <w:uiPriority w:val="99"/>
    <w:pPr>
      <w:spacing w:after="0" w:line="240" w:lineRule="auto"/>
    </w:pPr>
    <w:rPr>
      <w:sz w:val="20"/>
      <w:szCs w:val="20"/>
    </w:rPr>
  </w:style>
  <w:style w:type="paragraph" w:customStyle="1" w:styleId="210">
    <w:name w:val="Основной текст 21"/>
    <w:basedOn w:val="Normal"/>
    <w:pPr>
      <w:spacing w:after="0" w:line="240" w:lineRule="auto"/>
      <w:jc w:val="both"/>
    </w:pPr>
    <w:rPr>
      <w:rFonts w:ascii="Times New Roman" w:hAnsi="Times New Roman"/>
      <w:sz w:val="24"/>
      <w:szCs w:val="20"/>
      <w:lang w:val="en-US"/>
    </w:rPr>
  </w:style>
  <w:style w:type="paragraph" w:styleId="BodyTextIndent">
    <w:name w:val="Body Text Indent"/>
    <w:basedOn w:val="Normal"/>
    <w:pPr>
      <w:spacing w:after="120" w:line="240" w:lineRule="auto"/>
      <w:ind w:left="283"/>
    </w:pPr>
    <w:rPr>
      <w:rFonts w:ascii="Times New Roman" w:hAnsi="Times New Roman"/>
      <w:sz w:val="24"/>
      <w:szCs w:val="24"/>
      <w:lang w:val="ru-RU"/>
    </w:rPr>
  </w:style>
  <w:style w:type="paragraph" w:customStyle="1" w:styleId="19">
    <w:name w:val="Обычный (веб)1"/>
    <w:basedOn w:val="Normal"/>
    <w:pPr>
      <w:spacing w:before="280" w:after="280" w:line="240" w:lineRule="auto"/>
    </w:pPr>
    <w:rPr>
      <w:rFonts w:ascii="Times New Roman" w:hAnsi="Times New Roman"/>
      <w:sz w:val="24"/>
      <w:szCs w:val="24"/>
      <w:lang w:val="en-US"/>
    </w:rPr>
  </w:style>
  <w:style w:type="paragraph" w:customStyle="1" w:styleId="Default">
    <w:name w:val="Default"/>
    <w:pPr>
      <w:suppressAutoHyphens/>
      <w:autoSpaceDE w:val="0"/>
    </w:pPr>
    <w:rPr>
      <w:rFonts w:ascii="Calibri" w:eastAsia="Calibri" w:hAnsi="Calibri" w:cs="Calibri"/>
      <w:color w:val="000000"/>
      <w:sz w:val="24"/>
      <w:szCs w:val="24"/>
      <w:lang w:eastAsia="zh-CN"/>
    </w:rPr>
  </w:style>
  <w:style w:type="paragraph" w:customStyle="1" w:styleId="TableContents">
    <w:name w:val="Table Contents"/>
    <w:basedOn w:val="Normal"/>
    <w:pPr>
      <w:widowControl w:val="0"/>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960A1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60A13"/>
    <w:rPr>
      <w:rFonts w:ascii="Segoe UI" w:hAnsi="Segoe UI" w:cs="Segoe UI"/>
      <w:sz w:val="18"/>
      <w:szCs w:val="18"/>
      <w:lang w:val="ro-RO" w:eastAsia="zh-CN"/>
    </w:rPr>
  </w:style>
  <w:style w:type="character" w:styleId="FootnoteReference">
    <w:name w:val="footnote reference"/>
    <w:uiPriority w:val="99"/>
    <w:semiHidden/>
    <w:unhideWhenUsed/>
    <w:rsid w:val="00654EB9"/>
    <w:rPr>
      <w:vertAlign w:val="superscript"/>
    </w:rPr>
  </w:style>
  <w:style w:type="character" w:styleId="CommentReference">
    <w:name w:val="annotation reference"/>
    <w:uiPriority w:val="99"/>
    <w:semiHidden/>
    <w:unhideWhenUsed/>
    <w:rsid w:val="00502837"/>
    <w:rPr>
      <w:sz w:val="16"/>
      <w:szCs w:val="16"/>
    </w:rPr>
  </w:style>
  <w:style w:type="paragraph" w:styleId="CommentText">
    <w:name w:val="annotation text"/>
    <w:basedOn w:val="Normal"/>
    <w:link w:val="CommentTextChar"/>
    <w:uiPriority w:val="99"/>
    <w:unhideWhenUsed/>
    <w:rsid w:val="00502837"/>
    <w:rPr>
      <w:sz w:val="20"/>
      <w:szCs w:val="20"/>
    </w:rPr>
  </w:style>
  <w:style w:type="character" w:customStyle="1" w:styleId="CommentTextChar">
    <w:name w:val="Comment Text Char"/>
    <w:link w:val="CommentText"/>
    <w:uiPriority w:val="99"/>
    <w:rsid w:val="00502837"/>
    <w:rPr>
      <w:rFonts w:ascii="Calibri" w:hAnsi="Calibri"/>
      <w:lang w:val="ro-RO" w:eastAsia="zh-CN"/>
    </w:rPr>
  </w:style>
  <w:style w:type="paragraph" w:styleId="CommentSubject">
    <w:name w:val="annotation subject"/>
    <w:basedOn w:val="CommentText"/>
    <w:next w:val="CommentText"/>
    <w:link w:val="CommentSubjectChar"/>
    <w:uiPriority w:val="99"/>
    <w:semiHidden/>
    <w:unhideWhenUsed/>
    <w:rsid w:val="00502837"/>
    <w:rPr>
      <w:b/>
      <w:bCs/>
    </w:rPr>
  </w:style>
  <w:style w:type="character" w:customStyle="1" w:styleId="CommentSubjectChar">
    <w:name w:val="Comment Subject Char"/>
    <w:link w:val="CommentSubject"/>
    <w:uiPriority w:val="99"/>
    <w:semiHidden/>
    <w:rsid w:val="00502837"/>
    <w:rPr>
      <w:rFonts w:ascii="Calibri" w:hAnsi="Calibri"/>
      <w:b/>
      <w:bCs/>
      <w:lang w:val="ro-RO" w:eastAsia="zh-CN"/>
    </w:rPr>
  </w:style>
  <w:style w:type="paragraph" w:styleId="Revision">
    <w:name w:val="Revision"/>
    <w:hidden/>
    <w:uiPriority w:val="99"/>
    <w:semiHidden/>
    <w:rsid w:val="00847E16"/>
    <w:rPr>
      <w:rFonts w:ascii="Calibri" w:hAnsi="Calibri"/>
      <w:sz w:val="22"/>
      <w:szCs w:val="22"/>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131534">
      <w:bodyDiv w:val="1"/>
      <w:marLeft w:val="0"/>
      <w:marRight w:val="0"/>
      <w:marTop w:val="0"/>
      <w:marBottom w:val="0"/>
      <w:divBdr>
        <w:top w:val="none" w:sz="0" w:space="0" w:color="auto"/>
        <w:left w:val="none" w:sz="0" w:space="0" w:color="auto"/>
        <w:bottom w:val="none" w:sz="0" w:space="0" w:color="auto"/>
        <w:right w:val="none" w:sz="0" w:space="0" w:color="auto"/>
      </w:divBdr>
      <w:divsChild>
        <w:div w:id="743722590">
          <w:marLeft w:val="0"/>
          <w:marRight w:val="0"/>
          <w:marTop w:val="0"/>
          <w:marBottom w:val="0"/>
          <w:divBdr>
            <w:top w:val="none" w:sz="0" w:space="0" w:color="auto"/>
            <w:left w:val="none" w:sz="0" w:space="0" w:color="auto"/>
            <w:bottom w:val="none" w:sz="0" w:space="0" w:color="auto"/>
            <w:right w:val="none" w:sz="0" w:space="0" w:color="auto"/>
          </w:divBdr>
        </w:div>
      </w:divsChild>
    </w:div>
    <w:div w:id="444080007">
      <w:bodyDiv w:val="1"/>
      <w:marLeft w:val="0"/>
      <w:marRight w:val="0"/>
      <w:marTop w:val="0"/>
      <w:marBottom w:val="0"/>
      <w:divBdr>
        <w:top w:val="none" w:sz="0" w:space="0" w:color="auto"/>
        <w:left w:val="none" w:sz="0" w:space="0" w:color="auto"/>
        <w:bottom w:val="none" w:sz="0" w:space="0" w:color="auto"/>
        <w:right w:val="none" w:sz="0" w:space="0" w:color="auto"/>
      </w:divBdr>
    </w:div>
    <w:div w:id="496768063">
      <w:bodyDiv w:val="1"/>
      <w:marLeft w:val="0"/>
      <w:marRight w:val="0"/>
      <w:marTop w:val="0"/>
      <w:marBottom w:val="0"/>
      <w:divBdr>
        <w:top w:val="none" w:sz="0" w:space="0" w:color="auto"/>
        <w:left w:val="none" w:sz="0" w:space="0" w:color="auto"/>
        <w:bottom w:val="none" w:sz="0" w:space="0" w:color="auto"/>
        <w:right w:val="none" w:sz="0" w:space="0" w:color="auto"/>
      </w:divBdr>
    </w:div>
    <w:div w:id="722094604">
      <w:bodyDiv w:val="1"/>
      <w:marLeft w:val="0"/>
      <w:marRight w:val="0"/>
      <w:marTop w:val="0"/>
      <w:marBottom w:val="0"/>
      <w:divBdr>
        <w:top w:val="none" w:sz="0" w:space="0" w:color="auto"/>
        <w:left w:val="none" w:sz="0" w:space="0" w:color="auto"/>
        <w:bottom w:val="none" w:sz="0" w:space="0" w:color="auto"/>
        <w:right w:val="none" w:sz="0" w:space="0" w:color="auto"/>
      </w:divBdr>
    </w:div>
    <w:div w:id="1719552172">
      <w:bodyDiv w:val="1"/>
      <w:marLeft w:val="0"/>
      <w:marRight w:val="0"/>
      <w:marTop w:val="0"/>
      <w:marBottom w:val="0"/>
      <w:divBdr>
        <w:top w:val="none" w:sz="0" w:space="0" w:color="auto"/>
        <w:left w:val="none" w:sz="0" w:space="0" w:color="auto"/>
        <w:bottom w:val="none" w:sz="0" w:space="0" w:color="auto"/>
        <w:right w:val="none" w:sz="0" w:space="0" w:color="auto"/>
      </w:divBdr>
    </w:div>
    <w:div w:id="193508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1.jpeg"/><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2351380067498945"/>
          <c:y val="0.14100922486269352"/>
          <c:w val="0.52750025566377623"/>
          <c:h val="0.7414664416947887"/>
        </c:manualLayout>
      </c:layout>
      <c:barChart>
        <c:barDir val="bar"/>
        <c:grouping val="clustered"/>
        <c:varyColors val="0"/>
        <c:ser>
          <c:idx val="1"/>
          <c:order val="0"/>
          <c:tx>
            <c:strRef>
              <c:f>'[Grafice semianual 2025 (2).xlsx]BPN'!$H$2</c:f>
              <c:strCache>
                <c:ptCount val="1"/>
                <c:pt idx="0">
                  <c:v>Semestrul I 2025</c:v>
                </c:pt>
              </c:strCache>
            </c:strRef>
          </c:tx>
          <c:spPr>
            <a:solidFill>
              <a:schemeClr val="accent5">
                <a:lumMod val="60000"/>
                <a:lumOff val="40000"/>
              </a:schemeClr>
            </a:solidFill>
          </c:spPr>
          <c:invertIfNegative val="0"/>
          <c:dLbls>
            <c:numFmt formatCode="#,##0.0" sourceLinked="0"/>
            <c:spPr>
              <a:noFill/>
              <a:ln>
                <a:noFill/>
              </a:ln>
              <a:effectLst/>
            </c:spPr>
            <c:txPr>
              <a:bodyPr/>
              <a:lstStyle/>
              <a:p>
                <a:pPr>
                  <a:defRPr b="1">
                    <a:solidFill>
                      <a:srgbClr val="FF0000"/>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'[Grafice semianual 2025 (2).xlsx]BPN'!$B$3:$B$6</c:f>
              <c:strCache>
                <c:ptCount val="4"/>
                <c:pt idx="0">
                  <c:v>Impozite si taxe </c:v>
                </c:pt>
                <c:pt idx="1">
                  <c:v>Contribuții și prime de asigurări obligatorii</c:v>
                </c:pt>
                <c:pt idx="2">
                  <c:v>Alte venituri</c:v>
                </c:pt>
                <c:pt idx="3">
                  <c:v>Granturi </c:v>
                </c:pt>
              </c:strCache>
            </c:strRef>
          </c:cat>
          <c:val>
            <c:numRef>
              <c:f>'[Grafice semianual 2025 (2).xlsx]BPN'!$H$3:$H$6</c:f>
              <c:numCache>
                <c:formatCode>#\ ##0.0</c:formatCode>
                <c:ptCount val="4"/>
                <c:pt idx="0">
                  <c:v>35766.800000000003</c:v>
                </c:pt>
                <c:pt idx="1">
                  <c:v>18460.8</c:v>
                </c:pt>
                <c:pt idx="2">
                  <c:v>3472.1</c:v>
                </c:pt>
                <c:pt idx="3">
                  <c:v>2831.8</c:v>
                </c:pt>
              </c:numCache>
            </c:numRef>
          </c:val>
          <c:extLst>
            <c:ext xmlns:c16="http://schemas.microsoft.com/office/drawing/2014/chart" uri="{C3380CC4-5D6E-409C-BE32-E72D297353CC}">
              <c16:uniqueId val="{00000000-B3ED-434A-9A29-BCCD5E36CC07}"/>
            </c:ext>
          </c:extLst>
        </c:ser>
        <c:ser>
          <c:idx val="0"/>
          <c:order val="1"/>
          <c:tx>
            <c:strRef>
              <c:f>'[Grafice semianual 2025 (2).xlsx]BPN'!$G$2</c:f>
              <c:strCache>
                <c:ptCount val="1"/>
                <c:pt idx="0">
                  <c:v>Semestrul I 2024</c:v>
                </c:pt>
              </c:strCache>
            </c:strRef>
          </c:tx>
          <c:spPr>
            <a:blipFill>
              <a:blip xmlns:r="http://schemas.openxmlformats.org/officeDocument/2006/relationships" r:embed="rId2"/>
              <a:tile tx="0" ty="0" sx="100000" sy="100000" flip="none" algn="tl"/>
            </a:blipFill>
          </c:spPr>
          <c:invertIfNegative val="0"/>
          <c:dLbls>
            <c:dLbl>
              <c:idx val="0"/>
              <c:layout>
                <c:manualLayout>
                  <c:x val="-1.4170526576289898E-16"/>
                  <c:y val="2.692088332973390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3ED-434A-9A29-BCCD5E36CC07}"/>
                </c:ext>
              </c:extLst>
            </c:dLbl>
            <c:numFmt formatCode="#,##0.0" sourceLinked="0"/>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'[Grafice semianual 2025 (2).xlsx]BPN'!$B$3:$B$6</c:f>
              <c:strCache>
                <c:ptCount val="4"/>
                <c:pt idx="0">
                  <c:v>Impozite si taxe </c:v>
                </c:pt>
                <c:pt idx="1">
                  <c:v>Contribuții și prime de asigurări obligatorii</c:v>
                </c:pt>
                <c:pt idx="2">
                  <c:v>Alte venituri</c:v>
                </c:pt>
                <c:pt idx="3">
                  <c:v>Granturi </c:v>
                </c:pt>
              </c:strCache>
            </c:strRef>
          </c:cat>
          <c:val>
            <c:numRef>
              <c:f>'[Grafice semianual 2025 (2).xlsx]BPN'!$G$3:$G$6</c:f>
              <c:numCache>
                <c:formatCode>#\ ##0.0</c:formatCode>
                <c:ptCount val="4"/>
                <c:pt idx="0">
                  <c:v>32562.1</c:v>
                </c:pt>
                <c:pt idx="1">
                  <c:v>16273.7</c:v>
                </c:pt>
                <c:pt idx="2">
                  <c:v>2769.5</c:v>
                </c:pt>
                <c:pt idx="3">
                  <c:v>573.6</c:v>
                </c:pt>
              </c:numCache>
            </c:numRef>
          </c:val>
          <c:extLst>
            <c:ext xmlns:c16="http://schemas.microsoft.com/office/drawing/2014/chart" uri="{C3380CC4-5D6E-409C-BE32-E72D297353CC}">
              <c16:uniqueId val="{00000002-B3ED-434A-9A29-BCCD5E36CC07}"/>
            </c:ext>
          </c:extLst>
        </c:ser>
        <c:dLbls>
          <c:showLegendKey val="0"/>
          <c:showVal val="0"/>
          <c:showCatName val="0"/>
          <c:showSerName val="0"/>
          <c:showPercent val="0"/>
          <c:showBubbleSize val="0"/>
        </c:dLbls>
        <c:gapWidth val="149"/>
        <c:axId val="76338688"/>
        <c:axId val="76340224"/>
      </c:barChart>
      <c:catAx>
        <c:axId val="76338688"/>
        <c:scaling>
          <c:orientation val="maxMin"/>
        </c:scaling>
        <c:delete val="0"/>
        <c:axPos val="l"/>
        <c:numFmt formatCode="General" sourceLinked="0"/>
        <c:majorTickMark val="none"/>
        <c:minorTickMark val="none"/>
        <c:tickLblPos val="nextTo"/>
        <c:spPr>
          <a:ln w="3175">
            <a:solidFill>
              <a:schemeClr val="tx1"/>
            </a:solidFill>
          </a:ln>
        </c:spPr>
        <c:txPr>
          <a:bodyPr/>
          <a:lstStyle/>
          <a:p>
            <a:pPr>
              <a:defRPr b="1"/>
            </a:pPr>
            <a:endParaRPr lang="en-US"/>
          </a:p>
        </c:txPr>
        <c:crossAx val="76340224"/>
        <c:crosses val="autoZero"/>
        <c:auto val="0"/>
        <c:lblAlgn val="ctr"/>
        <c:lblOffset val="50"/>
        <c:tickLblSkip val="1"/>
        <c:noMultiLvlLbl val="0"/>
      </c:catAx>
      <c:valAx>
        <c:axId val="76340224"/>
        <c:scaling>
          <c:orientation val="minMax"/>
          <c:max val="40000"/>
          <c:min val="0"/>
        </c:scaling>
        <c:delete val="0"/>
        <c:axPos val="t"/>
        <c:title>
          <c:tx>
            <c:rich>
              <a:bodyPr/>
              <a:lstStyle/>
              <a:p>
                <a:pPr>
                  <a:defRPr/>
                </a:pPr>
                <a:r>
                  <a:rPr lang="en-US"/>
                  <a:t>mil.lei</a:t>
                </a:r>
              </a:p>
            </c:rich>
          </c:tx>
          <c:layout>
            <c:manualLayout>
              <c:xMode val="edge"/>
              <c:yMode val="edge"/>
              <c:x val="0.9230071241094866"/>
              <c:y val="0"/>
            </c:manualLayout>
          </c:layout>
          <c:overlay val="0"/>
        </c:title>
        <c:numFmt formatCode="General" sourceLinked="0"/>
        <c:majorTickMark val="none"/>
        <c:minorTickMark val="none"/>
        <c:tickLblPos val="high"/>
        <c:spPr>
          <a:ln w="3175" cap="sq" cmpd="sng">
            <a:solidFill>
              <a:schemeClr val="tx1"/>
            </a:solidFill>
            <a:prstDash val="dashDot"/>
            <a:miter lim="800000"/>
          </a:ln>
        </c:spPr>
        <c:crossAx val="76338688"/>
        <c:crossesAt val="1"/>
        <c:crossBetween val="between"/>
        <c:majorUnit val="5000"/>
      </c:valAx>
    </c:plotArea>
    <c:legend>
      <c:legendPos val="r"/>
      <c:layout>
        <c:manualLayout>
          <c:xMode val="edge"/>
          <c:yMode val="edge"/>
          <c:x val="0.72822034319564677"/>
          <c:y val="0.61046352696478978"/>
          <c:w val="0.20109495710720948"/>
          <c:h val="0.17734016738473729"/>
        </c:manualLayout>
      </c:layout>
      <c:overlay val="1"/>
      <c:spPr>
        <a:noFill/>
        <a:ln>
          <a:solidFill>
            <a:srgbClr val="A5A5A5">
              <a:lumMod val="75000"/>
            </a:srgbClr>
          </a:solidFill>
        </a:ln>
      </c:spPr>
      <c:txPr>
        <a:bodyPr/>
        <a:lstStyle/>
        <a:p>
          <a:pPr>
            <a:defRPr b="1"/>
          </a:pPr>
          <a:endParaRPr lang="en-US"/>
        </a:p>
      </c:txPr>
    </c:legend>
    <c:plotVisOnly val="1"/>
    <c:dispBlanksAs val="gap"/>
    <c:showDLblsOverMax val="0"/>
  </c:chart>
  <c:spPr>
    <a:ln cmpd="thickThin">
      <a:noFill/>
    </a:ln>
  </c:spPr>
  <c:txPr>
    <a:bodyPr/>
    <a:lstStyle/>
    <a:p>
      <a:pPr>
        <a:defRPr sz="1100" baseline="0">
          <a:solidFill>
            <a:schemeClr val="tx1">
              <a:lumMod val="95000"/>
              <a:lumOff val="5000"/>
            </a:schemeClr>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12960856417998"/>
          <c:y val="4.0555524084669274E-2"/>
          <c:w val="0.88234772113339832"/>
          <c:h val="0.55611987420030573"/>
        </c:manualLayout>
      </c:layout>
      <c:lineChart>
        <c:grouping val="standard"/>
        <c:varyColors val="0"/>
        <c:ser>
          <c:idx val="0"/>
          <c:order val="0"/>
          <c:tx>
            <c:strRef>
              <c:f>DSE!$C$10</c:f>
              <c:strCache>
                <c:ptCount val="1"/>
                <c:pt idx="0">
                  <c:v>Datoria de stat/PIB</c:v>
                </c:pt>
              </c:strCache>
            </c:strRef>
          </c:tx>
          <c:dLbls>
            <c:dLbl>
              <c:idx val="0"/>
              <c:layout>
                <c:manualLayout>
                  <c:x val="-4.2401349015430558E-2"/>
                  <c:y val="-3.71702637889688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5D7-4A19-867F-0AC8060EBB63}"/>
                </c:ext>
              </c:extLst>
            </c:dLbl>
            <c:dLbl>
              <c:idx val="1"/>
              <c:layout>
                <c:manualLayout>
                  <c:x val="-4.0722087668284793E-2"/>
                  <c:y val="-5.6354916067146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5D7-4A19-867F-0AC8060EBB63}"/>
                </c:ext>
              </c:extLst>
            </c:dLbl>
            <c:dLbl>
              <c:idx val="2"/>
              <c:layout>
                <c:manualLayout>
                  <c:x val="-3.9042826321139028E-2"/>
                  <c:y val="-5.63549160671463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5D7-4A19-867F-0AC8060EBB63}"/>
                </c:ext>
              </c:extLst>
            </c:dLbl>
            <c:spPr>
              <a:noFill/>
              <a:ln w="25362">
                <a:noFill/>
              </a:ln>
            </c:spPr>
            <c:txPr>
              <a:bodyPr/>
              <a:lstStyle/>
              <a:p>
                <a:pPr>
                  <a:defRPr b="1"/>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DSE!$D$5:$F$5</c:f>
              <c:strCache>
                <c:ptCount val="3"/>
                <c:pt idx="0">
                  <c:v>30 iunie 2024</c:v>
                </c:pt>
                <c:pt idx="1">
                  <c:v>31 dec. 2024</c:v>
                </c:pt>
                <c:pt idx="2">
                  <c:v>30 iunie 2025</c:v>
                </c:pt>
              </c:strCache>
            </c:strRef>
          </c:cat>
          <c:val>
            <c:numRef>
              <c:f>DSE!$D$10:$F$10</c:f>
              <c:numCache>
                <c:formatCode>0.0%</c:formatCode>
                <c:ptCount val="3"/>
                <c:pt idx="0">
                  <c:v>0.3305585133322298</c:v>
                </c:pt>
                <c:pt idx="1">
                  <c:v>0.37488475573091157</c:v>
                </c:pt>
                <c:pt idx="2">
                  <c:v>0.36223269723725432</c:v>
                </c:pt>
              </c:numCache>
            </c:numRef>
          </c:val>
          <c:smooth val="0"/>
          <c:extLst>
            <c:ext xmlns:c16="http://schemas.microsoft.com/office/drawing/2014/chart" uri="{C3380CC4-5D6E-409C-BE32-E72D297353CC}">
              <c16:uniqueId val="{00000003-65D7-4A19-867F-0AC8060EBB63}"/>
            </c:ext>
          </c:extLst>
        </c:ser>
        <c:ser>
          <c:idx val="1"/>
          <c:order val="1"/>
          <c:tx>
            <c:strRef>
              <c:f>DSE!$C$7</c:f>
              <c:strCache>
                <c:ptCount val="1"/>
                <c:pt idx="0">
                  <c:v>Datoria de stat externă/PIB</c:v>
                </c:pt>
              </c:strCache>
            </c:strRef>
          </c:tx>
          <c:dLbls>
            <c:numFmt formatCode="0.0%" sourceLinked="0"/>
            <c:spPr>
              <a:noFill/>
              <a:ln w="25362">
                <a:noFill/>
              </a:ln>
            </c:spPr>
            <c:txPr>
              <a:bodyPr/>
              <a:lstStyle/>
              <a:p>
                <a:pPr>
                  <a:defRPr b="1"/>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DSE!$D$5:$F$5</c:f>
              <c:strCache>
                <c:ptCount val="3"/>
                <c:pt idx="0">
                  <c:v>30 iunie 2024</c:v>
                </c:pt>
                <c:pt idx="1">
                  <c:v>31 dec. 2024</c:v>
                </c:pt>
                <c:pt idx="2">
                  <c:v>30 iunie 2025</c:v>
                </c:pt>
              </c:strCache>
            </c:strRef>
          </c:cat>
          <c:val>
            <c:numRef>
              <c:f>DSE!$D$12:$F$12</c:f>
              <c:numCache>
                <c:formatCode>0.0%</c:formatCode>
                <c:ptCount val="3"/>
                <c:pt idx="0">
                  <c:v>0.19600000000000001</c:v>
                </c:pt>
                <c:pt idx="1">
                  <c:v>0.23912533528082991</c:v>
                </c:pt>
                <c:pt idx="2">
                  <c:v>0.22415693534605524</c:v>
                </c:pt>
              </c:numCache>
            </c:numRef>
          </c:val>
          <c:smooth val="0"/>
          <c:extLst>
            <c:ext xmlns:c16="http://schemas.microsoft.com/office/drawing/2014/chart" uri="{C3380CC4-5D6E-409C-BE32-E72D297353CC}">
              <c16:uniqueId val="{00000004-65D7-4A19-867F-0AC8060EBB63}"/>
            </c:ext>
          </c:extLst>
        </c:ser>
        <c:ser>
          <c:idx val="2"/>
          <c:order val="2"/>
          <c:tx>
            <c:strRef>
              <c:f>DSE!$C$6</c:f>
              <c:strCache>
                <c:ptCount val="1"/>
                <c:pt idx="0">
                  <c:v>Datoria de stat internă/PIB</c:v>
                </c:pt>
              </c:strCache>
            </c:strRef>
          </c:tx>
          <c:dLbls>
            <c:dLbl>
              <c:idx val="0"/>
              <c:layout>
                <c:manualLayout>
                  <c:x val="-4.7439133056867852E-2"/>
                  <c:y val="-4.19664268585131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5D7-4A19-867F-0AC8060EBB63}"/>
                </c:ext>
              </c:extLst>
            </c:dLbl>
            <c:spPr>
              <a:noFill/>
              <a:ln w="25362">
                <a:noFill/>
              </a:ln>
            </c:spPr>
            <c:txPr>
              <a:bodyPr/>
              <a:lstStyle/>
              <a:p>
                <a:pPr>
                  <a:defRPr b="1"/>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DSE!$D$5:$F$5</c:f>
              <c:strCache>
                <c:ptCount val="3"/>
                <c:pt idx="0">
                  <c:v>30 iunie 2024</c:v>
                </c:pt>
                <c:pt idx="1">
                  <c:v>31 dec. 2024</c:v>
                </c:pt>
                <c:pt idx="2">
                  <c:v>30 iunie 2025</c:v>
                </c:pt>
              </c:strCache>
            </c:strRef>
          </c:cat>
          <c:val>
            <c:numRef>
              <c:f>DSE!$D$11:$F$11</c:f>
              <c:numCache>
                <c:formatCode>0.0%</c:formatCode>
                <c:ptCount val="3"/>
                <c:pt idx="0">
                  <c:v>0.13530181262985738</c:v>
                </c:pt>
                <c:pt idx="1">
                  <c:v>0.13575942045008163</c:v>
                </c:pt>
                <c:pt idx="2">
                  <c:v>0.13807576189119911</c:v>
                </c:pt>
              </c:numCache>
            </c:numRef>
          </c:val>
          <c:smooth val="0"/>
          <c:extLst>
            <c:ext xmlns:c16="http://schemas.microsoft.com/office/drawing/2014/chart" uri="{C3380CC4-5D6E-409C-BE32-E72D297353CC}">
              <c16:uniqueId val="{00000006-65D7-4A19-867F-0AC8060EBB63}"/>
            </c:ext>
          </c:extLst>
        </c:ser>
        <c:dLbls>
          <c:showLegendKey val="0"/>
          <c:showVal val="0"/>
          <c:showCatName val="0"/>
          <c:showSerName val="0"/>
          <c:showPercent val="0"/>
          <c:showBubbleSize val="0"/>
        </c:dLbls>
        <c:marker val="1"/>
        <c:smooth val="0"/>
        <c:axId val="1046568623"/>
        <c:axId val="1"/>
      </c:lineChart>
      <c:catAx>
        <c:axId val="1046568623"/>
        <c:scaling>
          <c:orientation val="minMax"/>
        </c:scaling>
        <c:delete val="0"/>
        <c:axPos val="b"/>
        <c:numFmt formatCode="General" sourceLinked="1"/>
        <c:majorTickMark val="out"/>
        <c:minorTickMark val="none"/>
        <c:tickLblPos val="nextTo"/>
        <c:txPr>
          <a:bodyPr/>
          <a:lstStyle/>
          <a:p>
            <a:pPr>
              <a:defRPr b="1"/>
            </a:pPr>
            <a:endParaRPr lang="en-US"/>
          </a:p>
        </c:txPr>
        <c:crossAx val="1"/>
        <c:crosses val="autoZero"/>
        <c:auto val="1"/>
        <c:lblAlgn val="ctr"/>
        <c:lblOffset val="100"/>
        <c:noMultiLvlLbl val="0"/>
      </c:catAx>
      <c:valAx>
        <c:axId val="1"/>
        <c:scaling>
          <c:orientation val="minMax"/>
          <c:max val="0.5"/>
        </c:scaling>
        <c:delete val="0"/>
        <c:axPos val="l"/>
        <c:majorGridlines/>
        <c:numFmt formatCode="0%" sourceLinked="0"/>
        <c:majorTickMark val="out"/>
        <c:minorTickMark val="none"/>
        <c:tickLblPos val="nextTo"/>
        <c:crossAx val="1046568623"/>
        <c:crosses val="autoZero"/>
        <c:crossBetween val="between"/>
        <c:majorUnit val="0.1"/>
        <c:minorUnit val="1.0000000000000005E-2"/>
      </c:valAx>
    </c:plotArea>
    <c:legend>
      <c:legendPos val="r"/>
      <c:layout>
        <c:manualLayout>
          <c:xMode val="edge"/>
          <c:yMode val="edge"/>
          <c:wMode val="edge"/>
          <c:hMode val="edge"/>
          <c:x val="5.626031273778075E-3"/>
          <c:y val="0.74982788209166162"/>
          <c:w val="0.97284174168782644"/>
          <c:h val="0.93061730264486164"/>
        </c:manualLayout>
      </c:layout>
      <c:overlay val="0"/>
      <c:spPr>
        <a:ln>
          <a:solidFill>
            <a:schemeClr val="accent1"/>
          </a:solidFill>
        </a:ln>
      </c:spPr>
      <c:txPr>
        <a:bodyPr/>
        <a:lstStyle/>
        <a:p>
          <a:pPr>
            <a:defRPr b="1"/>
          </a:pPr>
          <a:endParaRPr lang="en-US"/>
        </a:p>
      </c:txPr>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5B3D6-D2E2-4830-B57C-E722CED7B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9287</Words>
  <Characters>52942</Characters>
  <Application>Microsoft Office Word</Application>
  <DocSecurity>0</DocSecurity>
  <Lines>441</Lines>
  <Paragraphs>124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62105</CharactersWithSpaces>
  <SharedDoc>false</SharedDoc>
  <HLinks>
    <vt:vector size="36" baseType="variant">
      <vt:variant>
        <vt:i4>1376307</vt:i4>
      </vt:variant>
      <vt:variant>
        <vt:i4>32</vt:i4>
      </vt:variant>
      <vt:variant>
        <vt:i4>0</vt:i4>
      </vt:variant>
      <vt:variant>
        <vt:i4>5</vt:i4>
      </vt:variant>
      <vt:variant>
        <vt:lpwstr/>
      </vt:variant>
      <vt:variant>
        <vt:lpwstr>_Toc175311675</vt:lpwstr>
      </vt:variant>
      <vt:variant>
        <vt:i4>1376307</vt:i4>
      </vt:variant>
      <vt:variant>
        <vt:i4>26</vt:i4>
      </vt:variant>
      <vt:variant>
        <vt:i4>0</vt:i4>
      </vt:variant>
      <vt:variant>
        <vt:i4>5</vt:i4>
      </vt:variant>
      <vt:variant>
        <vt:lpwstr/>
      </vt:variant>
      <vt:variant>
        <vt:lpwstr>_Toc175311674</vt:lpwstr>
      </vt:variant>
      <vt:variant>
        <vt:i4>1376307</vt:i4>
      </vt:variant>
      <vt:variant>
        <vt:i4>20</vt:i4>
      </vt:variant>
      <vt:variant>
        <vt:i4>0</vt:i4>
      </vt:variant>
      <vt:variant>
        <vt:i4>5</vt:i4>
      </vt:variant>
      <vt:variant>
        <vt:lpwstr/>
      </vt:variant>
      <vt:variant>
        <vt:lpwstr>_Toc175311670</vt:lpwstr>
      </vt:variant>
      <vt:variant>
        <vt:i4>1310771</vt:i4>
      </vt:variant>
      <vt:variant>
        <vt:i4>14</vt:i4>
      </vt:variant>
      <vt:variant>
        <vt:i4>0</vt:i4>
      </vt:variant>
      <vt:variant>
        <vt:i4>5</vt:i4>
      </vt:variant>
      <vt:variant>
        <vt:lpwstr/>
      </vt:variant>
      <vt:variant>
        <vt:lpwstr>_Toc175311669</vt:lpwstr>
      </vt:variant>
      <vt:variant>
        <vt:i4>1310771</vt:i4>
      </vt:variant>
      <vt:variant>
        <vt:i4>8</vt:i4>
      </vt:variant>
      <vt:variant>
        <vt:i4>0</vt:i4>
      </vt:variant>
      <vt:variant>
        <vt:i4>5</vt:i4>
      </vt:variant>
      <vt:variant>
        <vt:lpwstr/>
      </vt:variant>
      <vt:variant>
        <vt:lpwstr>_Toc175311668</vt:lpwstr>
      </vt:variant>
      <vt:variant>
        <vt:i4>1310771</vt:i4>
      </vt:variant>
      <vt:variant>
        <vt:i4>2</vt:i4>
      </vt:variant>
      <vt:variant>
        <vt:i4>0</vt:i4>
      </vt:variant>
      <vt:variant>
        <vt:i4>5</vt:i4>
      </vt:variant>
      <vt:variant>
        <vt:lpwstr/>
      </vt:variant>
      <vt:variant>
        <vt:lpwstr>_Toc175311667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Sclearuc</dc:creator>
  <cp:keywords/>
  <dc:description/>
  <cp:lastModifiedBy>Svetlana Marusic</cp:lastModifiedBy>
  <cp:revision>2</cp:revision>
  <cp:lastPrinted>2025-09-11T12:48:00Z</cp:lastPrinted>
  <dcterms:created xsi:type="dcterms:W3CDTF">2025-09-15T11:51:00Z</dcterms:created>
  <dcterms:modified xsi:type="dcterms:W3CDTF">2025-09-15T11:51:00Z</dcterms:modified>
</cp:coreProperties>
</file>