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3060" w14:textId="77777777" w:rsidR="00730FEE" w:rsidRPr="0000785B" w:rsidRDefault="00730FEE" w:rsidP="00E25218">
      <w:pPr>
        <w:rPr>
          <w:sz w:val="28"/>
          <w:szCs w:val="28"/>
          <w:u w:val="single"/>
          <w:lang w:val="ro-MD"/>
        </w:rPr>
      </w:pPr>
    </w:p>
    <w:p w14:paraId="60676274" w14:textId="4B5E7F96" w:rsidR="00D56FCE" w:rsidRDefault="00D56FCE" w:rsidP="00E25218">
      <w:pPr>
        <w:ind w:firstLine="0"/>
        <w:jc w:val="center"/>
        <w:rPr>
          <w:b/>
          <w:sz w:val="24"/>
          <w:szCs w:val="24"/>
          <w:lang w:val="ro-MD" w:eastAsia="ru-RU"/>
        </w:rPr>
      </w:pPr>
      <w:bookmarkStart w:id="0" w:name="_Hlk204262169"/>
      <w:r w:rsidRPr="00D56FCE">
        <w:rPr>
          <w:b/>
          <w:sz w:val="24"/>
          <w:szCs w:val="24"/>
          <w:lang w:val="ro-MD" w:eastAsia="ru-RU"/>
        </w:rPr>
        <w:t>cu privire la aprobarea limitelor de capacitate, a cotelor maxime și a categoriilor de capacitate în domeniul energiei electrice din surse regenerabile valabile până la data de 31</w:t>
      </w:r>
      <w:r w:rsidR="00821B2F">
        <w:rPr>
          <w:b/>
          <w:sz w:val="24"/>
          <w:szCs w:val="24"/>
          <w:lang w:val="ro-MD" w:eastAsia="ru-RU"/>
        </w:rPr>
        <w:t xml:space="preserve"> decembrie </w:t>
      </w:r>
      <w:r w:rsidRPr="00D56FCE">
        <w:rPr>
          <w:b/>
          <w:sz w:val="24"/>
          <w:szCs w:val="24"/>
          <w:lang w:val="ro-MD" w:eastAsia="ru-RU"/>
        </w:rPr>
        <w:t>2030</w:t>
      </w:r>
    </w:p>
    <w:bookmarkEnd w:id="0"/>
    <w:p w14:paraId="7D46FA4B" w14:textId="38B3AFAD" w:rsidR="00730FEE" w:rsidRPr="0000785B" w:rsidRDefault="00730FEE" w:rsidP="00E25218">
      <w:pPr>
        <w:ind w:firstLine="0"/>
        <w:jc w:val="center"/>
        <w:rPr>
          <w:rFonts w:asciiTheme="majorBidi" w:hAnsiTheme="majorBidi" w:cstheme="majorBidi"/>
          <w:b/>
          <w:bCs/>
          <w:sz w:val="28"/>
          <w:szCs w:val="28"/>
          <w:lang w:val="ro-MD" w:eastAsia="ro-RO"/>
        </w:rPr>
      </w:pPr>
      <w:r w:rsidRPr="0000785B">
        <w:rPr>
          <w:b/>
          <w:sz w:val="28"/>
          <w:szCs w:val="28"/>
          <w:lang w:val="ro-MD"/>
        </w:rPr>
        <w:t>------------------------------------------------------------</w:t>
      </w:r>
    </w:p>
    <w:p w14:paraId="56D32EAD" w14:textId="7E9373CE" w:rsidR="00730FEE" w:rsidRPr="00352EA5" w:rsidRDefault="0000785B" w:rsidP="00E25218">
      <w:pPr>
        <w:rPr>
          <w:sz w:val="24"/>
          <w:szCs w:val="24"/>
          <w:lang w:val="ro-MD"/>
        </w:rPr>
      </w:pPr>
      <w:bookmarkStart w:id="1" w:name="_Hlk151986230"/>
      <w:r w:rsidRPr="0000785B">
        <w:rPr>
          <w:bCs/>
          <w:sz w:val="24"/>
          <w:szCs w:val="24"/>
          <w:lang w:val="ro-MD" w:eastAsia="ru-RU"/>
        </w:rPr>
        <w:t>În temeiul art. 10</w:t>
      </w:r>
      <w:r w:rsidR="00272116">
        <w:rPr>
          <w:bCs/>
          <w:sz w:val="24"/>
          <w:szCs w:val="24"/>
          <w:lang w:val="ro-MD" w:eastAsia="ru-RU"/>
        </w:rPr>
        <w:t xml:space="preserve"> </w:t>
      </w:r>
      <w:r w:rsidR="00272116" w:rsidRPr="00272116">
        <w:rPr>
          <w:bCs/>
          <w:sz w:val="24"/>
          <w:szCs w:val="24"/>
          <w:lang w:eastAsia="ru-RU"/>
        </w:rPr>
        <w:t>alin.</w:t>
      </w:r>
      <w:r w:rsidR="00C218E7">
        <w:rPr>
          <w:bCs/>
          <w:sz w:val="24"/>
          <w:szCs w:val="24"/>
          <w:lang w:eastAsia="ru-RU"/>
        </w:rPr>
        <w:t xml:space="preserve"> </w:t>
      </w:r>
      <w:r w:rsidR="00272116" w:rsidRPr="00272116">
        <w:rPr>
          <w:bCs/>
          <w:sz w:val="24"/>
          <w:szCs w:val="24"/>
          <w:lang w:eastAsia="ru-RU"/>
        </w:rPr>
        <w:t>(1)</w:t>
      </w:r>
      <w:r w:rsidRPr="0000785B">
        <w:rPr>
          <w:bCs/>
          <w:sz w:val="24"/>
          <w:szCs w:val="24"/>
          <w:lang w:val="ro-MD" w:eastAsia="ru-RU"/>
        </w:rPr>
        <w:t xml:space="preserve"> lit</w:t>
      </w:r>
      <w:r w:rsidR="00272116">
        <w:rPr>
          <w:bCs/>
          <w:sz w:val="24"/>
          <w:szCs w:val="24"/>
          <w:lang w:val="ro-MD" w:eastAsia="ru-RU"/>
        </w:rPr>
        <w:t>.</w:t>
      </w:r>
      <w:r w:rsidRPr="0000785B">
        <w:rPr>
          <w:bCs/>
          <w:sz w:val="24"/>
          <w:szCs w:val="24"/>
          <w:lang w:val="ro-MD" w:eastAsia="ru-RU"/>
        </w:rPr>
        <w:t xml:space="preserve"> e), e</w:t>
      </w:r>
      <w:r w:rsidRPr="0000785B">
        <w:rPr>
          <w:bCs/>
          <w:sz w:val="24"/>
          <w:szCs w:val="24"/>
          <w:vertAlign w:val="superscript"/>
          <w:lang w:val="ro-MD" w:eastAsia="ru-RU"/>
        </w:rPr>
        <w:t>1</w:t>
      </w:r>
      <w:r w:rsidRPr="0000785B">
        <w:rPr>
          <w:bCs/>
          <w:sz w:val="24"/>
          <w:szCs w:val="24"/>
          <w:lang w:val="ro-MD" w:eastAsia="ru-RU"/>
        </w:rPr>
        <w:t>) și i) din Legea nr. 10/2016 privind promovarea utilizării energiei din surse regenerabile (Monitorul Oficial al Republicii Moldova, 2016, nr. 69-77, art. 117), cu modificările ulterioare</w:t>
      </w:r>
      <w:bookmarkEnd w:id="1"/>
      <w:r w:rsidR="0085164A">
        <w:rPr>
          <w:bCs/>
          <w:sz w:val="24"/>
          <w:szCs w:val="24"/>
          <w:lang w:val="ro-MD" w:eastAsia="ru-RU"/>
        </w:rPr>
        <w:t xml:space="preserve"> </w:t>
      </w:r>
      <w:r w:rsidR="00730FEE" w:rsidRPr="00352EA5">
        <w:rPr>
          <w:sz w:val="24"/>
          <w:szCs w:val="24"/>
          <w:lang w:val="ro-MD"/>
        </w:rPr>
        <w:t>Guvernul HOTĂRĂȘTE:</w:t>
      </w:r>
      <w:r w:rsidRPr="00352EA5">
        <w:rPr>
          <w:sz w:val="24"/>
          <w:szCs w:val="24"/>
          <w:lang w:val="ro-MD"/>
        </w:rPr>
        <w:t xml:space="preserve"> </w:t>
      </w:r>
    </w:p>
    <w:p w14:paraId="142A8EEA" w14:textId="77777777" w:rsidR="00352EA5" w:rsidRPr="00352EA5" w:rsidRDefault="00352EA5" w:rsidP="00E25218">
      <w:pPr>
        <w:rPr>
          <w:sz w:val="24"/>
          <w:szCs w:val="24"/>
          <w:lang w:val="ro-MD"/>
        </w:rPr>
      </w:pPr>
    </w:p>
    <w:p w14:paraId="3F3948E1" w14:textId="6B559692" w:rsidR="00371E32" w:rsidRPr="00371E32" w:rsidRDefault="00371E32" w:rsidP="00274244">
      <w:pPr>
        <w:pStyle w:val="ListParagraph"/>
        <w:numPr>
          <w:ilvl w:val="0"/>
          <w:numId w:val="46"/>
        </w:numPr>
        <w:shd w:val="clear" w:color="auto" w:fill="FFFFFF"/>
        <w:jc w:val="both"/>
        <w:rPr>
          <w:sz w:val="24"/>
          <w:szCs w:val="24"/>
          <w:lang w:val="ro-RO" w:eastAsia="ro-RO"/>
        </w:rPr>
      </w:pPr>
      <w:r w:rsidRPr="00371E32">
        <w:rPr>
          <w:sz w:val="24"/>
          <w:szCs w:val="24"/>
          <w:lang w:val="ro-RO" w:eastAsia="ro-RO"/>
        </w:rPr>
        <w:t xml:space="preserve">Se aprobă, limitele de capacitate, cotele maxime și categoriile de capacitate în domeniul energiei electrice din surse regenerabile valabile până la data de 31 decembrie </w:t>
      </w:r>
      <w:r w:rsidR="00AC2573" w:rsidRPr="00371E32">
        <w:rPr>
          <w:sz w:val="24"/>
          <w:szCs w:val="24"/>
          <w:lang w:val="ro-RO" w:eastAsia="ro-RO"/>
        </w:rPr>
        <w:t>20</w:t>
      </w:r>
      <w:r w:rsidR="00AC2573">
        <w:rPr>
          <w:sz w:val="24"/>
          <w:szCs w:val="24"/>
          <w:lang w:val="ro-RO" w:eastAsia="ro-RO"/>
        </w:rPr>
        <w:t>30</w:t>
      </w:r>
      <w:r w:rsidRPr="00371E32">
        <w:rPr>
          <w:sz w:val="24"/>
          <w:szCs w:val="24"/>
          <w:lang w:val="ro-RO" w:eastAsia="ro-RO"/>
        </w:rPr>
        <w:t>, în vederea aplicării schemelor de sprijin prevăzute la art.</w:t>
      </w:r>
      <w:r w:rsidR="007C4FCC">
        <w:rPr>
          <w:sz w:val="24"/>
          <w:szCs w:val="24"/>
          <w:lang w:val="ro-RO" w:eastAsia="ro-RO"/>
        </w:rPr>
        <w:t xml:space="preserve"> </w:t>
      </w:r>
      <w:r w:rsidRPr="00371E32">
        <w:rPr>
          <w:sz w:val="24"/>
          <w:szCs w:val="24"/>
          <w:lang w:val="ro-RO" w:eastAsia="ro-RO"/>
        </w:rPr>
        <w:t>34 din Legea nr.10/2016 privind promovarea utilizării energiei din surse regenerabile</w:t>
      </w:r>
      <w:r w:rsidR="00912D44">
        <w:rPr>
          <w:sz w:val="24"/>
          <w:szCs w:val="24"/>
          <w:lang w:val="ro-RO" w:eastAsia="ro-RO"/>
        </w:rPr>
        <w:t xml:space="preserve"> (</w:t>
      </w:r>
      <w:r w:rsidR="00912D44" w:rsidRPr="00912D44">
        <w:rPr>
          <w:i/>
          <w:iCs/>
          <w:sz w:val="24"/>
          <w:szCs w:val="24"/>
          <w:lang w:val="ro-RO" w:eastAsia="ro-RO"/>
        </w:rPr>
        <w:t>în continuare Legea nr. 10/2016</w:t>
      </w:r>
      <w:r w:rsidR="00912D44">
        <w:rPr>
          <w:sz w:val="24"/>
          <w:szCs w:val="24"/>
          <w:lang w:val="ro-RO" w:eastAsia="ro-RO"/>
        </w:rPr>
        <w:t>)</w:t>
      </w:r>
      <w:r w:rsidR="00DC7469">
        <w:rPr>
          <w:sz w:val="24"/>
          <w:szCs w:val="24"/>
          <w:lang w:val="ro-RO" w:eastAsia="ro-RO"/>
        </w:rPr>
        <w:t xml:space="preserve"> </w:t>
      </w:r>
      <w:r w:rsidR="00DC7469" w:rsidRPr="00371E32">
        <w:rPr>
          <w:sz w:val="24"/>
          <w:szCs w:val="24"/>
          <w:lang w:val="ro-RO" w:eastAsia="ro-RO"/>
        </w:rPr>
        <w:t>conform anexei nr. 1</w:t>
      </w:r>
      <w:r w:rsidRPr="00371E32">
        <w:rPr>
          <w:sz w:val="24"/>
          <w:szCs w:val="24"/>
          <w:lang w:val="ro-RO" w:eastAsia="ro-RO"/>
        </w:rPr>
        <w:t>.</w:t>
      </w:r>
    </w:p>
    <w:p w14:paraId="6F11D531" w14:textId="03EC8B11" w:rsidR="00371E32" w:rsidRPr="00371E32" w:rsidRDefault="00371E32" w:rsidP="00274244">
      <w:pPr>
        <w:pStyle w:val="ListParagraph"/>
        <w:numPr>
          <w:ilvl w:val="0"/>
          <w:numId w:val="46"/>
        </w:numPr>
        <w:shd w:val="clear" w:color="auto" w:fill="FFFFFF"/>
        <w:jc w:val="both"/>
        <w:rPr>
          <w:sz w:val="24"/>
          <w:szCs w:val="24"/>
          <w:lang w:val="ro-RO" w:eastAsia="ro-RO"/>
        </w:rPr>
      </w:pPr>
      <w:r w:rsidRPr="00371E32">
        <w:rPr>
          <w:sz w:val="24"/>
          <w:szCs w:val="24"/>
          <w:lang w:val="ro-RO" w:eastAsia="ro-RO"/>
        </w:rPr>
        <w:t>Se aprobă plafoanele de capacitate individuală ce urmează a fi oferite pentru implementarea mecanismului de facturare netă până la data de 31 decembrie 20</w:t>
      </w:r>
      <w:r w:rsidR="00140669">
        <w:rPr>
          <w:sz w:val="24"/>
          <w:szCs w:val="24"/>
          <w:lang w:val="ro-RO" w:eastAsia="ro-RO"/>
        </w:rPr>
        <w:t>30</w:t>
      </w:r>
      <w:r w:rsidRPr="00371E32">
        <w:rPr>
          <w:sz w:val="24"/>
          <w:szCs w:val="24"/>
          <w:lang w:val="ro-RO" w:eastAsia="ro-RO"/>
        </w:rPr>
        <w:t>, conform anexei nr. 2.</w:t>
      </w:r>
    </w:p>
    <w:p w14:paraId="56A5CC34" w14:textId="312A1CD9" w:rsidR="00371E32" w:rsidRPr="00371E32" w:rsidRDefault="00371E32" w:rsidP="00CF4182">
      <w:pPr>
        <w:pStyle w:val="ListParagraph"/>
        <w:numPr>
          <w:ilvl w:val="0"/>
          <w:numId w:val="46"/>
        </w:numPr>
        <w:shd w:val="clear" w:color="auto" w:fill="FFFFFF"/>
        <w:jc w:val="both"/>
        <w:rPr>
          <w:sz w:val="24"/>
          <w:szCs w:val="24"/>
          <w:lang w:val="ro-RO" w:eastAsia="ro-RO"/>
        </w:rPr>
      </w:pPr>
      <w:r w:rsidRPr="00371E32">
        <w:rPr>
          <w:sz w:val="24"/>
          <w:szCs w:val="24"/>
          <w:lang w:val="ro-RO" w:eastAsia="ro-RO"/>
        </w:rPr>
        <w:t> În scopul implementării mecanismului de facturare netă:</w:t>
      </w:r>
    </w:p>
    <w:p w14:paraId="3197C779" w14:textId="0856CB23" w:rsidR="00371E32" w:rsidRPr="00371E32" w:rsidRDefault="00371E32" w:rsidP="00371E32">
      <w:pPr>
        <w:ind w:left="450" w:firstLine="0"/>
        <w:rPr>
          <w:sz w:val="24"/>
          <w:szCs w:val="24"/>
          <w:lang w:val="ro-RO" w:eastAsia="ro-RO"/>
        </w:rPr>
      </w:pPr>
      <w:r w:rsidRPr="00371E32">
        <w:rPr>
          <w:sz w:val="24"/>
          <w:szCs w:val="24"/>
          <w:lang w:val="ro-RO" w:eastAsia="ro-RO"/>
        </w:rPr>
        <w:t xml:space="preserve">1) </w:t>
      </w:r>
      <w:r w:rsidR="00AD3CFE">
        <w:rPr>
          <w:sz w:val="24"/>
          <w:szCs w:val="24"/>
          <w:lang w:val="ro-RO" w:eastAsia="ro-RO"/>
        </w:rPr>
        <w:t>O</w:t>
      </w:r>
      <w:r w:rsidRPr="00371E32">
        <w:rPr>
          <w:sz w:val="24"/>
          <w:szCs w:val="24"/>
          <w:lang w:val="ro-RO" w:eastAsia="ro-RO"/>
        </w:rPr>
        <w:t>perator</w:t>
      </w:r>
      <w:r w:rsidR="00CF4182">
        <w:rPr>
          <w:sz w:val="24"/>
          <w:szCs w:val="24"/>
          <w:lang w:val="ro-RO" w:eastAsia="ro-RO"/>
        </w:rPr>
        <w:t>ii</w:t>
      </w:r>
      <w:r w:rsidRPr="00371E32">
        <w:rPr>
          <w:sz w:val="24"/>
          <w:szCs w:val="24"/>
          <w:lang w:val="ro-RO" w:eastAsia="ro-RO"/>
        </w:rPr>
        <w:t xml:space="preserve"> sistemelor de distribuție a energiei electrice </w:t>
      </w:r>
      <w:r w:rsidR="00CF4182">
        <w:rPr>
          <w:sz w:val="24"/>
          <w:szCs w:val="24"/>
          <w:lang w:val="ro-RO" w:eastAsia="ro-RO"/>
        </w:rPr>
        <w:t xml:space="preserve">asigură </w:t>
      </w:r>
      <w:r w:rsidRPr="00371E32">
        <w:rPr>
          <w:sz w:val="24"/>
          <w:szCs w:val="24"/>
          <w:lang w:val="ro-RO" w:eastAsia="ro-RO"/>
        </w:rPr>
        <w:t>public</w:t>
      </w:r>
      <w:r w:rsidR="00CF4182">
        <w:rPr>
          <w:sz w:val="24"/>
          <w:szCs w:val="24"/>
          <w:lang w:val="ro-RO" w:eastAsia="ro-RO"/>
        </w:rPr>
        <w:t>area</w:t>
      </w:r>
      <w:r w:rsidRPr="00371E32">
        <w:rPr>
          <w:sz w:val="24"/>
          <w:szCs w:val="24"/>
          <w:lang w:val="ro-RO" w:eastAsia="ro-RO"/>
        </w:rPr>
        <w:t xml:space="preserve"> pe site-ul</w:t>
      </w:r>
      <w:r w:rsidR="00CF4182">
        <w:rPr>
          <w:sz w:val="24"/>
          <w:szCs w:val="24"/>
          <w:lang w:val="ro-RO" w:eastAsia="ro-RO"/>
        </w:rPr>
        <w:t xml:space="preserve"> lor</w:t>
      </w:r>
      <w:r w:rsidRPr="00371E32">
        <w:rPr>
          <w:sz w:val="24"/>
          <w:szCs w:val="24"/>
          <w:lang w:val="ro-RO" w:eastAsia="ro-RO"/>
        </w:rPr>
        <w:t xml:space="preserve"> web oficial,</w:t>
      </w:r>
      <w:r w:rsidR="00AD3CFE">
        <w:rPr>
          <w:sz w:val="24"/>
          <w:szCs w:val="24"/>
          <w:lang w:val="ro-RO" w:eastAsia="ro-RO"/>
        </w:rPr>
        <w:t xml:space="preserve"> l</w:t>
      </w:r>
      <w:r w:rsidRPr="00371E32">
        <w:rPr>
          <w:sz w:val="24"/>
          <w:szCs w:val="24"/>
          <w:lang w:val="ro-RO" w:eastAsia="ro-RO"/>
        </w:rPr>
        <w:t>a începutul fiecărui an calendaristic, valoarea consumului mediu anual pentru 1 kW de putere contractată a consumatorilor finali, determinată separat pentru fiecare categorie de consumatori</w:t>
      </w:r>
      <w:r w:rsidR="00DB3F18">
        <w:rPr>
          <w:sz w:val="24"/>
          <w:szCs w:val="24"/>
          <w:lang w:val="ro-RO" w:eastAsia="ro-RO"/>
        </w:rPr>
        <w:t xml:space="preserve"> finali</w:t>
      </w:r>
      <w:r w:rsidRPr="00371E32">
        <w:rPr>
          <w:sz w:val="24"/>
          <w:szCs w:val="24"/>
          <w:lang w:val="ro-RO" w:eastAsia="ro-RO"/>
        </w:rPr>
        <w:t>, actualizată conform valorilor înregistrate în anul calendaristic anterior;</w:t>
      </w:r>
    </w:p>
    <w:p w14:paraId="26CC4BF8" w14:textId="04BBA355" w:rsidR="00371E32" w:rsidRPr="00371E32" w:rsidRDefault="00371E32" w:rsidP="00371E32">
      <w:pPr>
        <w:ind w:left="450" w:firstLine="0"/>
        <w:rPr>
          <w:sz w:val="24"/>
          <w:szCs w:val="24"/>
          <w:lang w:val="ro-RO" w:eastAsia="ro-RO"/>
        </w:rPr>
      </w:pPr>
      <w:r w:rsidRPr="00371E32">
        <w:rPr>
          <w:sz w:val="24"/>
          <w:szCs w:val="24"/>
          <w:lang w:val="ro-RO" w:eastAsia="ro-RO"/>
        </w:rPr>
        <w:t xml:space="preserve">2) </w:t>
      </w:r>
      <w:r w:rsidR="00AD3CFE">
        <w:rPr>
          <w:sz w:val="24"/>
          <w:szCs w:val="24"/>
          <w:lang w:val="ro-RO" w:eastAsia="ro-RO"/>
        </w:rPr>
        <w:t>o</w:t>
      </w:r>
      <w:r w:rsidRPr="00371E32">
        <w:rPr>
          <w:sz w:val="24"/>
          <w:szCs w:val="24"/>
          <w:lang w:val="ro-RO" w:eastAsia="ro-RO"/>
        </w:rPr>
        <w:t xml:space="preserve">peratorii sistemelor de distribuție a energiei electrice prezintă, lunar, instituției publice care asigură suportul în implementarea politicii statului în domeniul eficienței energetice și </w:t>
      </w:r>
      <w:r w:rsidR="00461032">
        <w:rPr>
          <w:sz w:val="24"/>
          <w:szCs w:val="24"/>
          <w:lang w:val="ro-RO" w:eastAsia="ro-RO"/>
        </w:rPr>
        <w:t>al</w:t>
      </w:r>
      <w:r w:rsidRPr="00371E32">
        <w:rPr>
          <w:sz w:val="24"/>
          <w:szCs w:val="24"/>
          <w:lang w:val="ro-RO" w:eastAsia="ro-RO"/>
        </w:rPr>
        <w:t xml:space="preserve"> promov</w:t>
      </w:r>
      <w:r w:rsidR="00461032">
        <w:rPr>
          <w:sz w:val="24"/>
          <w:szCs w:val="24"/>
          <w:lang w:val="ro-RO" w:eastAsia="ro-RO"/>
        </w:rPr>
        <w:t>ării</w:t>
      </w:r>
      <w:r w:rsidRPr="00371E32">
        <w:rPr>
          <w:sz w:val="24"/>
          <w:szCs w:val="24"/>
          <w:lang w:val="ro-RO" w:eastAsia="ro-RO"/>
        </w:rPr>
        <w:t xml:space="preserve"> utilizării energiei din surse regenerabile informațiile privind avizele noi eliberate pentru proiecte ce presupun aplicarea mecanismului de facturare netă, detaliate pe categorii de consumatori finali;</w:t>
      </w:r>
    </w:p>
    <w:p w14:paraId="10538930" w14:textId="63F8C601" w:rsidR="00371E32" w:rsidRPr="00371E32" w:rsidRDefault="00371E32" w:rsidP="00371E32">
      <w:pPr>
        <w:ind w:left="450" w:firstLine="0"/>
        <w:rPr>
          <w:sz w:val="24"/>
          <w:szCs w:val="24"/>
          <w:lang w:val="ro-RO" w:eastAsia="ro-RO"/>
        </w:rPr>
      </w:pPr>
      <w:r w:rsidRPr="00371E32">
        <w:rPr>
          <w:sz w:val="24"/>
          <w:szCs w:val="24"/>
          <w:lang w:val="ro-RO" w:eastAsia="ro-RO"/>
        </w:rPr>
        <w:t>3</w:t>
      </w:r>
      <w:r w:rsidRPr="0094279D">
        <w:rPr>
          <w:sz w:val="24"/>
          <w:szCs w:val="24"/>
          <w:lang w:val="ro-RO" w:eastAsia="ro-RO"/>
        </w:rPr>
        <w:t xml:space="preserve">) furnizorii de energie electrică </w:t>
      </w:r>
      <w:r w:rsidR="00821B2F" w:rsidRPr="0094279D">
        <w:rPr>
          <w:sz w:val="24"/>
          <w:szCs w:val="24"/>
          <w:lang w:val="ro-RO" w:eastAsia="ro-RO"/>
        </w:rPr>
        <w:t>și operatorii sistemelor de distribuție</w:t>
      </w:r>
      <w:r w:rsidR="00DB3F18">
        <w:rPr>
          <w:sz w:val="24"/>
          <w:szCs w:val="24"/>
          <w:lang w:val="ro-RO" w:eastAsia="ro-RO"/>
        </w:rPr>
        <w:t xml:space="preserve"> a energiei electrice</w:t>
      </w:r>
      <w:r w:rsidR="00821B2F" w:rsidRPr="0094279D">
        <w:rPr>
          <w:sz w:val="24"/>
          <w:szCs w:val="24"/>
          <w:lang w:val="ro-RO" w:eastAsia="ro-RO"/>
        </w:rPr>
        <w:t xml:space="preserve"> </w:t>
      </w:r>
      <w:r w:rsidRPr="0094279D">
        <w:rPr>
          <w:sz w:val="24"/>
          <w:szCs w:val="24"/>
          <w:lang w:val="ro-RO" w:eastAsia="ro-RO"/>
        </w:rPr>
        <w:t>prezintă, lunar, instituției publice care asigură suportul în implementarea politicii statului în domeniul eficienței energetice și în promovarea utilizării energiei din surse regenerabile informațiile, detaliate pe categorii de consumatori finali de energie electrică, privind numărul consumatorilor finali de energie electrică cu care au fost semnate contracte privind aplicarea mecanismului de facturare netă, tipul acestora</w:t>
      </w:r>
      <w:r w:rsidR="00821B2F" w:rsidRPr="0094279D">
        <w:rPr>
          <w:sz w:val="24"/>
          <w:szCs w:val="24"/>
          <w:lang w:val="ro-RO" w:eastAsia="ro-RO"/>
        </w:rPr>
        <w:t>,</w:t>
      </w:r>
      <w:r w:rsidRPr="0094279D">
        <w:rPr>
          <w:sz w:val="24"/>
          <w:szCs w:val="24"/>
          <w:lang w:val="ro-RO" w:eastAsia="ro-RO"/>
        </w:rPr>
        <w:t xml:space="preserve"> puterile contractate</w:t>
      </w:r>
      <w:r w:rsidR="00821B2F" w:rsidRPr="0094279D">
        <w:rPr>
          <w:sz w:val="24"/>
          <w:szCs w:val="24"/>
          <w:lang w:val="ro-RO" w:eastAsia="ro-RO"/>
        </w:rPr>
        <w:t>,</w:t>
      </w:r>
      <w:r w:rsidR="00821B2F" w:rsidRPr="0094279D">
        <w:rPr>
          <w:rFonts w:ascii="Segoe UI" w:hAnsi="Segoe UI" w:cs="Segoe UI"/>
          <w:sz w:val="18"/>
          <w:szCs w:val="18"/>
        </w:rPr>
        <w:t xml:space="preserve"> </w:t>
      </w:r>
      <w:r w:rsidR="00821B2F" w:rsidRPr="0094279D">
        <w:rPr>
          <w:sz w:val="24"/>
          <w:szCs w:val="24"/>
          <w:lang w:val="ro-RO" w:eastAsia="ro-RO"/>
        </w:rPr>
        <w:t xml:space="preserve">inclusiv puterea centralei </w:t>
      </w:r>
      <w:r w:rsidR="00DB3F18">
        <w:rPr>
          <w:sz w:val="24"/>
          <w:szCs w:val="24"/>
          <w:lang w:val="ro-RO" w:eastAsia="ro-RO"/>
        </w:rPr>
        <w:t xml:space="preserve">electrice </w:t>
      </w:r>
      <w:r w:rsidR="00821B2F" w:rsidRPr="0094279D">
        <w:rPr>
          <w:sz w:val="24"/>
          <w:szCs w:val="24"/>
          <w:lang w:val="ro-RO" w:eastAsia="ro-RO"/>
        </w:rPr>
        <w:t>racordat</w:t>
      </w:r>
      <w:r w:rsidR="0078715D" w:rsidRPr="0094279D">
        <w:rPr>
          <w:sz w:val="24"/>
          <w:szCs w:val="24"/>
          <w:lang w:val="ro-RO" w:eastAsia="ro-RO"/>
        </w:rPr>
        <w:t>e</w:t>
      </w:r>
      <w:r w:rsidR="00DB3F18">
        <w:rPr>
          <w:sz w:val="24"/>
          <w:szCs w:val="24"/>
          <w:lang w:val="ro-RO" w:eastAsia="ro-RO"/>
        </w:rPr>
        <w:t xml:space="preserve"> la rețeaua electrică de distribuție</w:t>
      </w:r>
      <w:r w:rsidRPr="0094279D">
        <w:rPr>
          <w:sz w:val="24"/>
          <w:szCs w:val="24"/>
          <w:lang w:val="ro-RO" w:eastAsia="ro-RO"/>
        </w:rPr>
        <w:t>;</w:t>
      </w:r>
    </w:p>
    <w:p w14:paraId="3D1BB504" w14:textId="458FE671" w:rsidR="00371E32" w:rsidRPr="00371E32" w:rsidRDefault="00371E32" w:rsidP="00371E32">
      <w:pPr>
        <w:ind w:left="450" w:firstLine="0"/>
        <w:rPr>
          <w:sz w:val="24"/>
          <w:szCs w:val="24"/>
          <w:lang w:val="ro-RO" w:eastAsia="ro-RO"/>
        </w:rPr>
      </w:pPr>
      <w:r w:rsidRPr="00371E32">
        <w:rPr>
          <w:sz w:val="24"/>
          <w:szCs w:val="24"/>
          <w:lang w:val="ro-RO" w:eastAsia="ro-RO"/>
        </w:rPr>
        <w:t xml:space="preserve">4) în cazul prosumatorilor de energie electrică din surse regenerabile care depășesc plafoanele de capacitate individuale, furnizorii de energie electrică vor remunera prosumatorii de energie electrică respectivi doar pentru cantitatea de energie electrică generată în limitele plafonului de capacitate individuală, determinată proporțional cotei </w:t>
      </w:r>
      <w:r w:rsidRPr="00371E32">
        <w:rPr>
          <w:sz w:val="24"/>
          <w:szCs w:val="24"/>
          <w:lang w:val="ro-RO" w:eastAsia="ro-RO"/>
        </w:rPr>
        <w:lastRenderedPageBreak/>
        <w:t xml:space="preserve">plafonului de capacitate individuală din puterea instalată totală a </w:t>
      </w:r>
      <w:r w:rsidR="00DB3F18">
        <w:rPr>
          <w:sz w:val="24"/>
          <w:szCs w:val="24"/>
          <w:lang w:val="ro-RO" w:eastAsia="ro-RO"/>
        </w:rPr>
        <w:t>centralei electrice care produce energie electrică</w:t>
      </w:r>
      <w:r w:rsidRPr="00371E32">
        <w:rPr>
          <w:sz w:val="24"/>
          <w:szCs w:val="24"/>
          <w:lang w:val="ro-RO" w:eastAsia="ro-RO"/>
        </w:rPr>
        <w:t xml:space="preserve"> din surse regenerabile;</w:t>
      </w:r>
    </w:p>
    <w:p w14:paraId="7A70AC74" w14:textId="205FBBA8" w:rsidR="00371E32" w:rsidRPr="00140669" w:rsidRDefault="00371E32" w:rsidP="00140669">
      <w:pPr>
        <w:ind w:left="450" w:firstLine="0"/>
        <w:rPr>
          <w:sz w:val="24"/>
          <w:szCs w:val="24"/>
          <w:lang w:val="ro-RO" w:eastAsia="ro-RO"/>
        </w:rPr>
      </w:pPr>
      <w:r w:rsidRPr="00371E32">
        <w:rPr>
          <w:sz w:val="24"/>
          <w:szCs w:val="24"/>
          <w:lang w:val="ro-RO" w:eastAsia="ro-RO"/>
        </w:rPr>
        <w:t xml:space="preserve">5) instituția publică care asigură suportul în implementarea politicii statului în domeniul eficienței energetice și </w:t>
      </w:r>
      <w:r w:rsidR="00461032">
        <w:rPr>
          <w:sz w:val="24"/>
          <w:szCs w:val="24"/>
          <w:lang w:val="ro-RO" w:eastAsia="ro-RO"/>
        </w:rPr>
        <w:t>al</w:t>
      </w:r>
      <w:r w:rsidR="00461032" w:rsidRPr="00371E32">
        <w:rPr>
          <w:sz w:val="24"/>
          <w:szCs w:val="24"/>
          <w:lang w:val="ro-RO" w:eastAsia="ro-RO"/>
        </w:rPr>
        <w:t xml:space="preserve"> </w:t>
      </w:r>
      <w:r w:rsidRPr="00371E32">
        <w:rPr>
          <w:sz w:val="24"/>
          <w:szCs w:val="24"/>
          <w:lang w:val="ro-RO" w:eastAsia="ro-RO"/>
        </w:rPr>
        <w:t>promov</w:t>
      </w:r>
      <w:r w:rsidR="00461032">
        <w:rPr>
          <w:sz w:val="24"/>
          <w:szCs w:val="24"/>
          <w:lang w:val="ro-RO" w:eastAsia="ro-RO"/>
        </w:rPr>
        <w:t>ării</w:t>
      </w:r>
      <w:r w:rsidRPr="00371E32">
        <w:rPr>
          <w:sz w:val="24"/>
          <w:szCs w:val="24"/>
          <w:lang w:val="ro-RO" w:eastAsia="ro-RO"/>
        </w:rPr>
        <w:t xml:space="preserve"> utilizării energiei din surse regenerabile publică, lunar,</w:t>
      </w:r>
      <w:r w:rsidR="00DB3F18">
        <w:rPr>
          <w:sz w:val="24"/>
          <w:szCs w:val="24"/>
          <w:lang w:val="ro-RO" w:eastAsia="ro-RO"/>
        </w:rPr>
        <w:t xml:space="preserve"> pe site-ul web oficial</w:t>
      </w:r>
      <w:r w:rsidRPr="00371E32">
        <w:rPr>
          <w:sz w:val="24"/>
          <w:szCs w:val="24"/>
          <w:lang w:val="ro-RO" w:eastAsia="ro-RO"/>
        </w:rPr>
        <w:t xml:space="preserve"> informațiile</w:t>
      </w:r>
      <w:r w:rsidR="00DB3F18">
        <w:rPr>
          <w:sz w:val="24"/>
          <w:szCs w:val="24"/>
          <w:lang w:val="ro-RO" w:eastAsia="ro-RO"/>
        </w:rPr>
        <w:t xml:space="preserve"> privind</w:t>
      </w:r>
      <w:r w:rsidRPr="00371E32">
        <w:rPr>
          <w:sz w:val="24"/>
          <w:szCs w:val="24"/>
          <w:lang w:val="ro-RO" w:eastAsia="ro-RO"/>
        </w:rPr>
        <w:t xml:space="preserve"> implementarea mecanismului de facturare netă, precum și identifică și promovează soluțiile posibile pentru creșterea capacităților de noi proiecte de energie electrică din surse regenerabile;</w:t>
      </w:r>
    </w:p>
    <w:p w14:paraId="1C0EB422" w14:textId="19C74147" w:rsidR="00371E32" w:rsidRDefault="00371E32" w:rsidP="00371E32">
      <w:pPr>
        <w:pStyle w:val="ListParagraph"/>
        <w:numPr>
          <w:ilvl w:val="0"/>
          <w:numId w:val="46"/>
        </w:numPr>
        <w:shd w:val="clear" w:color="auto" w:fill="FFFFFF"/>
        <w:jc w:val="both"/>
        <w:rPr>
          <w:color w:val="333333"/>
          <w:sz w:val="24"/>
          <w:szCs w:val="24"/>
          <w:lang w:val="ro-RO" w:eastAsia="en-GB"/>
        </w:rPr>
      </w:pPr>
      <w:r w:rsidRPr="00371E32">
        <w:rPr>
          <w:color w:val="333333"/>
          <w:sz w:val="24"/>
          <w:szCs w:val="24"/>
          <w:lang w:val="ro-RO" w:eastAsia="en-GB"/>
        </w:rPr>
        <w:t>Consumatorii casnici cu multiple locuri de consum, care dețin o centrală electrică situată în afara locului/locurilor de consum și respectă prevederile art. 39</w:t>
      </w:r>
      <w:r w:rsidRPr="00F938B4">
        <w:rPr>
          <w:color w:val="333333"/>
          <w:sz w:val="24"/>
          <w:szCs w:val="24"/>
          <w:vertAlign w:val="superscript"/>
          <w:lang w:val="ro-RO" w:eastAsia="en-GB"/>
        </w:rPr>
        <w:t>1</w:t>
      </w:r>
      <w:r w:rsidRPr="00371E32">
        <w:rPr>
          <w:color w:val="333333"/>
          <w:sz w:val="24"/>
          <w:szCs w:val="24"/>
          <w:lang w:val="ro-RO" w:eastAsia="en-GB"/>
        </w:rPr>
        <w:t xml:space="preserve"> alin. (5) și ale art. 39</w:t>
      </w:r>
      <w:r w:rsidRPr="00F938B4">
        <w:rPr>
          <w:color w:val="333333"/>
          <w:sz w:val="24"/>
          <w:szCs w:val="24"/>
          <w:vertAlign w:val="superscript"/>
          <w:lang w:val="ro-RO" w:eastAsia="en-GB"/>
        </w:rPr>
        <w:t>2</w:t>
      </w:r>
      <w:r w:rsidRPr="00371E32">
        <w:rPr>
          <w:color w:val="333333"/>
          <w:sz w:val="24"/>
          <w:szCs w:val="24"/>
          <w:lang w:val="ro-RO" w:eastAsia="en-GB"/>
        </w:rPr>
        <w:t xml:space="preserve"> din Legea nr. 10/2016 privind promovarea utilizării energiei din surse regenerabile, pot semna contracte de facturare netă cu furnizorul de energie electrică la valoarea plafonului de capacitate individuală stabilită în anexa nr. 2</w:t>
      </w:r>
      <w:r w:rsidR="00F938B4">
        <w:rPr>
          <w:color w:val="333333"/>
          <w:sz w:val="24"/>
          <w:szCs w:val="24"/>
          <w:lang w:val="ro-RO" w:eastAsia="en-GB"/>
        </w:rPr>
        <w:t xml:space="preserve">, </w:t>
      </w:r>
      <w:r w:rsidRPr="00371E32">
        <w:rPr>
          <w:color w:val="333333"/>
          <w:sz w:val="24"/>
          <w:szCs w:val="24"/>
          <w:lang w:val="ro-RO" w:eastAsia="en-GB"/>
        </w:rPr>
        <w:t>sau în conformitate cu plafonul de capacitate individuală determinat conform formulei privind consumul maxim anual din ultimii 3 ani la locurile de consum raportat la coeficientul ce exprimă energia electrică generată pe parcursul unui an calendaristic de o centrală electrică pentru producerea de energie electrică din surse regenerabile de energie cu puterea instalată de 1 kW, dar nu mai mult de 200 kW</w:t>
      </w:r>
      <w:r w:rsidR="00B82343">
        <w:rPr>
          <w:color w:val="333333"/>
          <w:sz w:val="24"/>
          <w:szCs w:val="24"/>
          <w:lang w:val="ro-RO" w:eastAsia="en-GB"/>
        </w:rPr>
        <w:t>.</w:t>
      </w:r>
    </w:p>
    <w:p w14:paraId="20A98D19" w14:textId="6CF458FA" w:rsidR="00371E32" w:rsidRDefault="00371E32" w:rsidP="00371E32">
      <w:pPr>
        <w:pStyle w:val="ListParagraph"/>
        <w:numPr>
          <w:ilvl w:val="0"/>
          <w:numId w:val="46"/>
        </w:numPr>
        <w:shd w:val="clear" w:color="auto" w:fill="FFFFFF"/>
        <w:jc w:val="both"/>
        <w:rPr>
          <w:color w:val="333333"/>
          <w:sz w:val="24"/>
          <w:szCs w:val="24"/>
          <w:lang w:val="ro-RO" w:eastAsia="en-GB"/>
        </w:rPr>
      </w:pPr>
      <w:r w:rsidRPr="00371E32">
        <w:rPr>
          <w:color w:val="333333"/>
          <w:sz w:val="24"/>
          <w:szCs w:val="24"/>
          <w:lang w:val="ro-RO" w:eastAsia="en-GB"/>
        </w:rPr>
        <w:t>Pentru consumatorii noncasnici cu multiple locuri de consum, care dețin o centrală electrică situată în afara locului/locurilor de consum și respectă prevederile art. 39</w:t>
      </w:r>
      <w:r w:rsidRPr="00371E32">
        <w:rPr>
          <w:color w:val="333333"/>
          <w:sz w:val="24"/>
          <w:szCs w:val="24"/>
          <w:vertAlign w:val="superscript"/>
          <w:lang w:val="ro-RO" w:eastAsia="en-GB"/>
        </w:rPr>
        <w:t>1</w:t>
      </w:r>
      <w:r w:rsidRPr="00371E32">
        <w:rPr>
          <w:color w:val="333333"/>
          <w:sz w:val="24"/>
          <w:szCs w:val="24"/>
          <w:lang w:val="ro-RO" w:eastAsia="en-GB"/>
        </w:rPr>
        <w:t xml:space="preserve"> alin. (5) și ale art. 39</w:t>
      </w:r>
      <w:r w:rsidRPr="0036704B">
        <w:rPr>
          <w:color w:val="333333"/>
          <w:sz w:val="24"/>
          <w:szCs w:val="24"/>
          <w:vertAlign w:val="superscript"/>
          <w:lang w:val="ro-RO" w:eastAsia="en-GB"/>
        </w:rPr>
        <w:t>2</w:t>
      </w:r>
      <w:r w:rsidRPr="00371E32">
        <w:rPr>
          <w:color w:val="333333"/>
          <w:sz w:val="24"/>
          <w:szCs w:val="24"/>
          <w:lang w:val="ro-RO" w:eastAsia="en-GB"/>
        </w:rPr>
        <w:t xml:space="preserve"> din Legea nr. 10/2016, plafonul de capacitate individual se va calcula ca suma plafoanelor de capacitate individuală, stabilite pentru fiecare loc de consum în conformitate cu anexa nr. 2, cu condiția ca capacitate</w:t>
      </w:r>
      <w:r w:rsidR="00EE3012">
        <w:rPr>
          <w:color w:val="333333"/>
          <w:sz w:val="24"/>
          <w:szCs w:val="24"/>
          <w:lang w:val="ro-RO" w:eastAsia="en-GB"/>
        </w:rPr>
        <w:t>a</w:t>
      </w:r>
      <w:r w:rsidRPr="00371E32">
        <w:rPr>
          <w:color w:val="333333"/>
          <w:sz w:val="24"/>
          <w:szCs w:val="24"/>
          <w:lang w:val="ro-RO" w:eastAsia="en-GB"/>
        </w:rPr>
        <w:t xml:space="preserve"> sumară să nu depășească 200 kW.</w:t>
      </w:r>
    </w:p>
    <w:p w14:paraId="6FE803B9" w14:textId="0D7E82B7" w:rsidR="00DC7469" w:rsidRDefault="00DC7469" w:rsidP="00371E32">
      <w:pPr>
        <w:pStyle w:val="ListParagraph"/>
        <w:numPr>
          <w:ilvl w:val="0"/>
          <w:numId w:val="46"/>
        </w:numPr>
        <w:shd w:val="clear" w:color="auto" w:fill="FFFFFF"/>
        <w:jc w:val="both"/>
        <w:rPr>
          <w:color w:val="333333"/>
          <w:sz w:val="24"/>
          <w:szCs w:val="24"/>
          <w:lang w:val="ro-RO" w:eastAsia="en-GB"/>
        </w:rPr>
      </w:pPr>
      <w:r>
        <w:rPr>
          <w:color w:val="333333"/>
          <w:sz w:val="24"/>
          <w:szCs w:val="24"/>
          <w:lang w:val="ro-RO" w:eastAsia="en-GB"/>
        </w:rPr>
        <w:t>Prezenta Hotărâre intră în vigoare la data publicării în Monitorul Oficial al Republicii Moldova.</w:t>
      </w:r>
    </w:p>
    <w:p w14:paraId="6A1C0C02" w14:textId="47845325" w:rsidR="003747C5" w:rsidRPr="0094279D" w:rsidRDefault="00DC7469" w:rsidP="003747C5">
      <w:pPr>
        <w:pStyle w:val="ListParagraph"/>
        <w:numPr>
          <w:ilvl w:val="0"/>
          <w:numId w:val="46"/>
        </w:numPr>
        <w:shd w:val="clear" w:color="auto" w:fill="FFFFFF"/>
        <w:jc w:val="both"/>
        <w:rPr>
          <w:sz w:val="24"/>
          <w:szCs w:val="24"/>
          <w:lang w:val="ro-RO" w:eastAsia="ro-RO"/>
        </w:rPr>
      </w:pPr>
      <w:r>
        <w:rPr>
          <w:sz w:val="24"/>
          <w:szCs w:val="24"/>
          <w:lang w:val="ro-RO" w:eastAsia="ro-RO"/>
        </w:rPr>
        <w:t>La data intrării în vigoare a prezentei Hotărâri, s</w:t>
      </w:r>
      <w:r w:rsidR="003747C5" w:rsidRPr="0094279D">
        <w:rPr>
          <w:sz w:val="24"/>
          <w:szCs w:val="24"/>
          <w:lang w:val="ro-RO" w:eastAsia="ro-RO"/>
        </w:rPr>
        <w:t>e abrogă Hotărârea Guvernului nr. 401/2021 cu privire la aprobarea limitelor de capacitate, a cotelor maxime și a categoriilor de capacitate în domeniul energiei electrice din surse regenerabile valabile până la data de 31 decembrie 2025 (Monitorul Oficial al Republicii Moldova, 2021, nr. 302-306 art.684).</w:t>
      </w:r>
    </w:p>
    <w:p w14:paraId="34BAF098" w14:textId="03C110AE" w:rsidR="00371E32" w:rsidRDefault="00434420" w:rsidP="00371E32">
      <w:pPr>
        <w:pStyle w:val="ListParagraph"/>
        <w:numPr>
          <w:ilvl w:val="0"/>
          <w:numId w:val="46"/>
        </w:numPr>
        <w:shd w:val="clear" w:color="auto" w:fill="FFFFFF"/>
        <w:jc w:val="both"/>
        <w:rPr>
          <w:color w:val="333333"/>
          <w:sz w:val="24"/>
          <w:szCs w:val="24"/>
          <w:lang w:val="ro-RO" w:eastAsia="en-GB"/>
        </w:rPr>
      </w:pPr>
      <w:r w:rsidRPr="00434420">
        <w:rPr>
          <w:color w:val="333333"/>
          <w:sz w:val="24"/>
          <w:szCs w:val="24"/>
          <w:lang w:val="ro-RO" w:eastAsia="en-GB"/>
        </w:rPr>
        <w:t>Controlul asupra executării prezentei hotărâri se pune în sarcina Ministerului Energiei.</w:t>
      </w:r>
    </w:p>
    <w:p w14:paraId="01226C9D" w14:textId="5DBADA5B" w:rsidR="00371E32" w:rsidRPr="006A49EB" w:rsidRDefault="00371E32" w:rsidP="0094279D">
      <w:pPr>
        <w:pStyle w:val="ListParagraph"/>
        <w:shd w:val="clear" w:color="auto" w:fill="FFFFFF"/>
        <w:ind w:left="160" w:firstLine="0"/>
        <w:jc w:val="right"/>
        <w:rPr>
          <w:color w:val="333333"/>
          <w:sz w:val="24"/>
          <w:szCs w:val="24"/>
          <w:lang w:val="ro-RO" w:eastAsia="en-GB"/>
        </w:rPr>
      </w:pPr>
    </w:p>
    <w:p w14:paraId="1360CBE1" w14:textId="77777777" w:rsidR="00371E32" w:rsidRPr="00371E32" w:rsidRDefault="00371E32" w:rsidP="002F71D8">
      <w:pPr>
        <w:shd w:val="clear" w:color="auto" w:fill="FFFFFF"/>
        <w:ind w:firstLine="0"/>
        <w:rPr>
          <w:color w:val="333333"/>
          <w:sz w:val="24"/>
          <w:szCs w:val="24"/>
          <w:lang w:val="ro-RO" w:eastAsia="en-GB"/>
        </w:rPr>
      </w:pPr>
    </w:p>
    <w:p w14:paraId="4D30EFC0" w14:textId="77777777" w:rsidR="00434420" w:rsidRPr="00352EA5" w:rsidRDefault="00434420" w:rsidP="00434420">
      <w:pPr>
        <w:ind w:left="450" w:firstLine="0"/>
        <w:jc w:val="right"/>
        <w:rPr>
          <w:sz w:val="24"/>
          <w:szCs w:val="24"/>
          <w:lang w:val="ro-RO" w:eastAsia="ro-RO"/>
        </w:rPr>
      </w:pPr>
    </w:p>
    <w:p w14:paraId="26C38857" w14:textId="77777777" w:rsidR="00434420" w:rsidRPr="0000785B" w:rsidRDefault="00434420" w:rsidP="00434420">
      <w:pPr>
        <w:rPr>
          <w:rFonts w:asciiTheme="majorBidi" w:hAnsiTheme="majorBidi" w:cstheme="majorBidi"/>
          <w:sz w:val="28"/>
          <w:szCs w:val="28"/>
          <w:lang w:val="ro-MD" w:eastAsia="ro-RO"/>
        </w:rPr>
      </w:pPr>
      <w:r w:rsidRPr="0000785B">
        <w:rPr>
          <w:rFonts w:asciiTheme="majorBidi" w:hAnsiTheme="majorBidi" w:cstheme="majorBidi"/>
          <w:b/>
          <w:sz w:val="28"/>
          <w:szCs w:val="28"/>
          <w:lang w:val="ro-MD" w:eastAsia="ro-RO"/>
        </w:rPr>
        <w:t>Prim-ministru</w:t>
      </w:r>
      <w:r w:rsidRPr="0000785B">
        <w:rPr>
          <w:rFonts w:asciiTheme="majorBidi" w:hAnsiTheme="majorBidi" w:cstheme="majorBidi"/>
          <w:b/>
          <w:sz w:val="28"/>
          <w:szCs w:val="28"/>
          <w:lang w:val="ro-MD" w:eastAsia="ro-RO"/>
        </w:rPr>
        <w:tab/>
      </w:r>
      <w:r w:rsidRPr="0000785B">
        <w:rPr>
          <w:rFonts w:asciiTheme="majorBidi" w:hAnsiTheme="majorBidi" w:cstheme="majorBidi"/>
          <w:b/>
          <w:sz w:val="28"/>
          <w:szCs w:val="28"/>
          <w:lang w:val="ro-MD" w:eastAsia="ro-RO"/>
        </w:rPr>
        <w:tab/>
      </w:r>
      <w:r w:rsidRPr="0000785B">
        <w:rPr>
          <w:rFonts w:asciiTheme="majorBidi" w:hAnsiTheme="majorBidi" w:cstheme="majorBidi"/>
          <w:b/>
          <w:sz w:val="28"/>
          <w:szCs w:val="28"/>
          <w:lang w:val="ro-MD" w:eastAsia="ro-RO"/>
        </w:rPr>
        <w:tab/>
      </w:r>
      <w:r w:rsidRPr="0000785B">
        <w:rPr>
          <w:rFonts w:asciiTheme="majorBidi" w:hAnsiTheme="majorBidi" w:cstheme="majorBidi"/>
          <w:b/>
          <w:sz w:val="28"/>
          <w:szCs w:val="28"/>
          <w:lang w:val="ro-MD" w:eastAsia="ro-RO"/>
        </w:rPr>
        <w:tab/>
      </w:r>
      <w:r w:rsidRPr="0000785B">
        <w:rPr>
          <w:rFonts w:asciiTheme="majorBidi" w:hAnsiTheme="majorBidi" w:cstheme="majorBidi"/>
          <w:b/>
          <w:sz w:val="28"/>
          <w:szCs w:val="28"/>
          <w:lang w:val="ro-MD" w:eastAsia="ro-RO"/>
        </w:rPr>
        <w:tab/>
        <w:t>DORIN RECEAN</w:t>
      </w:r>
    </w:p>
    <w:p w14:paraId="36523844" w14:textId="77777777" w:rsidR="00434420" w:rsidRPr="00352EA5" w:rsidRDefault="00434420" w:rsidP="00434420">
      <w:pPr>
        <w:tabs>
          <w:tab w:val="left" w:pos="5954"/>
        </w:tabs>
        <w:rPr>
          <w:rFonts w:asciiTheme="majorBidi" w:hAnsiTheme="majorBidi" w:cstheme="majorBidi"/>
          <w:sz w:val="16"/>
          <w:szCs w:val="28"/>
          <w:lang w:val="ro-MD" w:eastAsia="ro-RO"/>
        </w:rPr>
      </w:pPr>
    </w:p>
    <w:p w14:paraId="0B454732" w14:textId="77777777" w:rsidR="00434420" w:rsidRDefault="00434420" w:rsidP="00434420">
      <w:pPr>
        <w:tabs>
          <w:tab w:val="left" w:pos="5954"/>
        </w:tabs>
        <w:rPr>
          <w:rFonts w:asciiTheme="majorBidi" w:hAnsiTheme="majorBidi" w:cstheme="majorBidi"/>
          <w:sz w:val="28"/>
          <w:szCs w:val="28"/>
          <w:lang w:val="ro-MD" w:eastAsia="ro-RO"/>
        </w:rPr>
      </w:pPr>
    </w:p>
    <w:p w14:paraId="7BC90F5E" w14:textId="77777777" w:rsidR="00434420" w:rsidRPr="0000785B" w:rsidRDefault="00434420" w:rsidP="00434420">
      <w:pPr>
        <w:tabs>
          <w:tab w:val="left" w:pos="5954"/>
        </w:tabs>
        <w:rPr>
          <w:rFonts w:asciiTheme="majorBidi" w:hAnsiTheme="majorBidi" w:cstheme="majorBidi"/>
          <w:sz w:val="28"/>
          <w:szCs w:val="28"/>
          <w:lang w:val="ro-MD" w:eastAsia="ro-RO"/>
        </w:rPr>
      </w:pPr>
      <w:r w:rsidRPr="0000785B">
        <w:rPr>
          <w:rFonts w:asciiTheme="majorBidi" w:hAnsiTheme="majorBidi" w:cstheme="majorBidi"/>
          <w:sz w:val="28"/>
          <w:szCs w:val="28"/>
          <w:lang w:val="ro-MD" w:eastAsia="ro-RO"/>
        </w:rPr>
        <w:t>Contrasemnează:</w:t>
      </w:r>
    </w:p>
    <w:p w14:paraId="6B5F90EB" w14:textId="77777777" w:rsidR="00434420" w:rsidRPr="00352EA5" w:rsidRDefault="00434420" w:rsidP="00434420">
      <w:pPr>
        <w:rPr>
          <w:rFonts w:asciiTheme="majorBidi" w:hAnsiTheme="majorBidi" w:cstheme="majorBidi"/>
          <w:szCs w:val="28"/>
          <w:lang w:val="ro-MD" w:eastAsia="ru-RU"/>
        </w:rPr>
      </w:pPr>
    </w:p>
    <w:p w14:paraId="4C47664E" w14:textId="77777777" w:rsidR="00434420" w:rsidRDefault="00434420" w:rsidP="00434420">
      <w:pPr>
        <w:rPr>
          <w:rFonts w:asciiTheme="majorBidi" w:hAnsiTheme="majorBidi" w:cstheme="majorBidi"/>
          <w:sz w:val="28"/>
          <w:szCs w:val="28"/>
          <w:lang w:val="ro-MD" w:eastAsia="ru-RU"/>
        </w:rPr>
      </w:pPr>
    </w:p>
    <w:p w14:paraId="367CEB14" w14:textId="3295AB2F" w:rsidR="00434420" w:rsidRDefault="00434420" w:rsidP="00434420">
      <w:pPr>
        <w:rPr>
          <w:rFonts w:asciiTheme="majorBidi" w:hAnsiTheme="majorBidi" w:cstheme="majorBidi"/>
          <w:sz w:val="28"/>
          <w:szCs w:val="28"/>
          <w:lang w:val="ro-MD" w:eastAsia="ru-RU"/>
        </w:rPr>
      </w:pPr>
      <w:r w:rsidRPr="0000785B">
        <w:rPr>
          <w:rFonts w:asciiTheme="majorBidi" w:hAnsiTheme="majorBidi" w:cstheme="majorBidi"/>
          <w:sz w:val="28"/>
          <w:szCs w:val="28"/>
          <w:lang w:val="ro-MD" w:eastAsia="ru-RU"/>
        </w:rPr>
        <w:t>Ministrul energiei</w:t>
      </w:r>
      <w:r w:rsidRPr="0000785B">
        <w:rPr>
          <w:rFonts w:asciiTheme="majorBidi" w:hAnsiTheme="majorBidi" w:cstheme="majorBidi"/>
          <w:sz w:val="28"/>
          <w:szCs w:val="28"/>
          <w:lang w:val="ro-MD" w:eastAsia="ru-RU"/>
        </w:rPr>
        <w:tab/>
      </w:r>
      <w:r w:rsidRPr="0000785B">
        <w:rPr>
          <w:rFonts w:asciiTheme="majorBidi" w:hAnsiTheme="majorBidi" w:cstheme="majorBidi"/>
          <w:sz w:val="28"/>
          <w:szCs w:val="28"/>
          <w:lang w:val="ro-MD" w:eastAsia="ru-RU"/>
        </w:rPr>
        <w:tab/>
      </w:r>
      <w:r w:rsidRPr="0000785B">
        <w:rPr>
          <w:rFonts w:asciiTheme="majorBidi" w:hAnsiTheme="majorBidi" w:cstheme="majorBidi"/>
          <w:sz w:val="28"/>
          <w:szCs w:val="28"/>
          <w:lang w:val="ro-MD" w:eastAsia="ru-RU"/>
        </w:rPr>
        <w:tab/>
      </w:r>
      <w:r w:rsidRPr="0000785B">
        <w:rPr>
          <w:rFonts w:asciiTheme="majorBidi" w:hAnsiTheme="majorBidi" w:cstheme="majorBidi"/>
          <w:sz w:val="28"/>
          <w:szCs w:val="28"/>
          <w:lang w:val="ro-MD" w:eastAsia="ru-RU"/>
        </w:rPr>
        <w:tab/>
      </w:r>
      <w:r w:rsidRPr="0000785B">
        <w:rPr>
          <w:rFonts w:asciiTheme="majorBidi" w:hAnsiTheme="majorBidi" w:cstheme="majorBidi"/>
          <w:sz w:val="28"/>
          <w:szCs w:val="28"/>
          <w:lang w:val="ro-MD" w:eastAsia="ru-RU"/>
        </w:rPr>
        <w:tab/>
      </w:r>
      <w:r>
        <w:rPr>
          <w:rFonts w:asciiTheme="majorBidi" w:hAnsiTheme="majorBidi" w:cstheme="majorBidi"/>
          <w:sz w:val="28"/>
          <w:szCs w:val="28"/>
          <w:lang w:val="ro-MD" w:eastAsia="ru-RU"/>
        </w:rPr>
        <w:t>Dorin Junghietu</w:t>
      </w:r>
    </w:p>
    <w:p w14:paraId="4F097FE9" w14:textId="77777777" w:rsidR="00434420" w:rsidRDefault="00434420" w:rsidP="00434420">
      <w:pPr>
        <w:ind w:firstLine="0"/>
        <w:rPr>
          <w:rFonts w:asciiTheme="majorBidi" w:hAnsiTheme="majorBidi" w:cstheme="majorBidi"/>
          <w:sz w:val="28"/>
          <w:szCs w:val="28"/>
          <w:lang w:val="ro-MD" w:eastAsia="ru-RU"/>
        </w:rPr>
      </w:pPr>
    </w:p>
    <w:p w14:paraId="29F106B7" w14:textId="77777777" w:rsidR="00912D44" w:rsidRDefault="00912D44" w:rsidP="002F71D8">
      <w:pPr>
        <w:ind w:firstLine="0"/>
        <w:rPr>
          <w:rFonts w:asciiTheme="majorBidi" w:hAnsiTheme="majorBidi" w:cstheme="majorBidi"/>
          <w:sz w:val="28"/>
          <w:szCs w:val="28"/>
          <w:lang w:val="ro-MD" w:eastAsia="ru-RU"/>
        </w:rPr>
      </w:pPr>
    </w:p>
    <w:p w14:paraId="36125D5F" w14:textId="77777777" w:rsidR="00DC7469" w:rsidRDefault="00DC7469" w:rsidP="002F71D8">
      <w:pPr>
        <w:ind w:firstLine="0"/>
        <w:rPr>
          <w:rFonts w:asciiTheme="majorBidi" w:hAnsiTheme="majorBidi" w:cstheme="majorBidi"/>
          <w:sz w:val="28"/>
          <w:szCs w:val="28"/>
          <w:lang w:val="ro-MD" w:eastAsia="ru-RU"/>
        </w:rPr>
      </w:pPr>
    </w:p>
    <w:p w14:paraId="5FB96C52" w14:textId="77777777" w:rsidR="00DC7469" w:rsidRDefault="00DC7469" w:rsidP="002F71D8">
      <w:pPr>
        <w:ind w:firstLine="0"/>
        <w:rPr>
          <w:rFonts w:asciiTheme="majorBidi" w:hAnsiTheme="majorBidi" w:cstheme="majorBidi"/>
          <w:sz w:val="28"/>
          <w:szCs w:val="28"/>
          <w:lang w:val="ro-MD" w:eastAsia="ru-RU"/>
        </w:rPr>
      </w:pPr>
    </w:p>
    <w:p w14:paraId="54650023" w14:textId="77777777" w:rsidR="00DC7469" w:rsidRDefault="00DC7469" w:rsidP="002F71D8">
      <w:pPr>
        <w:ind w:firstLine="0"/>
        <w:rPr>
          <w:rFonts w:asciiTheme="majorBidi" w:hAnsiTheme="majorBidi" w:cstheme="majorBidi"/>
          <w:sz w:val="28"/>
          <w:szCs w:val="28"/>
          <w:lang w:val="ro-MD" w:eastAsia="ru-RU"/>
        </w:rPr>
      </w:pPr>
    </w:p>
    <w:p w14:paraId="744154E0" w14:textId="77777777" w:rsidR="00DC7469" w:rsidRDefault="00DC7469" w:rsidP="002F71D8">
      <w:pPr>
        <w:ind w:firstLine="0"/>
        <w:rPr>
          <w:rFonts w:asciiTheme="majorBidi" w:hAnsiTheme="majorBidi" w:cstheme="majorBidi"/>
          <w:sz w:val="28"/>
          <w:szCs w:val="28"/>
          <w:lang w:val="ro-MD" w:eastAsia="ru-RU"/>
        </w:rPr>
      </w:pPr>
    </w:p>
    <w:p w14:paraId="12DCE0C6" w14:textId="77777777" w:rsidR="00DC7469" w:rsidRDefault="00DC7469" w:rsidP="002F71D8">
      <w:pPr>
        <w:ind w:firstLine="0"/>
        <w:rPr>
          <w:rFonts w:asciiTheme="majorBidi" w:hAnsiTheme="majorBidi" w:cstheme="majorBidi"/>
          <w:sz w:val="28"/>
          <w:szCs w:val="28"/>
          <w:lang w:val="ro-MD" w:eastAsia="ru-RU"/>
        </w:rPr>
      </w:pPr>
    </w:p>
    <w:p w14:paraId="469D10FA" w14:textId="77777777" w:rsidR="00DC7469" w:rsidRDefault="00DC7469" w:rsidP="002F71D8">
      <w:pPr>
        <w:ind w:firstLine="0"/>
        <w:rPr>
          <w:rFonts w:asciiTheme="majorBidi" w:hAnsiTheme="majorBidi" w:cstheme="majorBidi"/>
          <w:sz w:val="28"/>
          <w:szCs w:val="28"/>
          <w:lang w:val="ro-MD" w:eastAsia="ru-RU"/>
        </w:rPr>
      </w:pPr>
    </w:p>
    <w:p w14:paraId="496EF093" w14:textId="77777777" w:rsidR="00DC7469" w:rsidRDefault="00DC7469" w:rsidP="002F71D8">
      <w:pPr>
        <w:ind w:firstLine="0"/>
        <w:rPr>
          <w:rFonts w:asciiTheme="majorBidi" w:hAnsiTheme="majorBidi" w:cstheme="majorBidi"/>
          <w:sz w:val="28"/>
          <w:szCs w:val="28"/>
          <w:lang w:val="ro-MD" w:eastAsia="ru-RU"/>
        </w:rPr>
      </w:pPr>
    </w:p>
    <w:p w14:paraId="469A04DB" w14:textId="77777777" w:rsidR="00DC7469" w:rsidRDefault="00DC7469" w:rsidP="002F71D8">
      <w:pPr>
        <w:ind w:firstLine="0"/>
        <w:rPr>
          <w:rFonts w:asciiTheme="majorBidi" w:hAnsiTheme="majorBidi" w:cstheme="majorBidi"/>
          <w:sz w:val="28"/>
          <w:szCs w:val="28"/>
          <w:lang w:val="ro-MD" w:eastAsia="ru-RU"/>
        </w:rPr>
      </w:pPr>
    </w:p>
    <w:p w14:paraId="0D921D21" w14:textId="77777777" w:rsidR="00DC7469" w:rsidRDefault="00DC7469" w:rsidP="002F71D8">
      <w:pPr>
        <w:jc w:val="right"/>
        <w:rPr>
          <w:szCs w:val="24"/>
          <w:lang w:val="ro-RO" w:eastAsia="ro-RO"/>
        </w:rPr>
      </w:pPr>
    </w:p>
    <w:p w14:paraId="6CBEF29F" w14:textId="6D2DB553" w:rsidR="002F71D8" w:rsidRPr="00352EA5" w:rsidRDefault="002F71D8" w:rsidP="002F71D8">
      <w:pPr>
        <w:jc w:val="right"/>
        <w:rPr>
          <w:szCs w:val="24"/>
          <w:lang w:val="ro-RO" w:eastAsia="ro-RO"/>
        </w:rPr>
      </w:pPr>
      <w:r w:rsidRPr="00352EA5">
        <w:rPr>
          <w:szCs w:val="24"/>
          <w:lang w:val="ro-RO" w:eastAsia="ro-RO"/>
        </w:rPr>
        <w:lastRenderedPageBreak/>
        <w:t>„Anexa nr</w:t>
      </w:r>
      <w:r w:rsidR="006205B8" w:rsidRPr="00352EA5">
        <w:rPr>
          <w:szCs w:val="24"/>
          <w:lang w:val="ro-RO" w:eastAsia="ro-RO"/>
        </w:rPr>
        <w:t>.</w:t>
      </w:r>
      <w:r w:rsidR="006205B8">
        <w:rPr>
          <w:szCs w:val="24"/>
          <w:lang w:val="ro-RO" w:eastAsia="ro-RO"/>
        </w:rPr>
        <w:t>1</w:t>
      </w:r>
    </w:p>
    <w:p w14:paraId="746EAFCD" w14:textId="4C3A41F9" w:rsidR="002F71D8" w:rsidRPr="00352EA5" w:rsidRDefault="002F71D8" w:rsidP="002F71D8">
      <w:pPr>
        <w:jc w:val="right"/>
        <w:rPr>
          <w:szCs w:val="24"/>
          <w:lang w:val="ro-RO" w:eastAsia="ro-RO"/>
        </w:rPr>
      </w:pPr>
      <w:r w:rsidRPr="00352EA5">
        <w:rPr>
          <w:szCs w:val="24"/>
          <w:lang w:val="ro-RO" w:eastAsia="ro-RO"/>
        </w:rPr>
        <w:t>la Hotărârea Guvernului</w:t>
      </w:r>
      <w:r>
        <w:rPr>
          <w:szCs w:val="24"/>
          <w:lang w:val="ro-RO" w:eastAsia="ro-RO"/>
        </w:rPr>
        <w:t xml:space="preserve"> </w:t>
      </w:r>
      <w:r w:rsidR="00DC7469">
        <w:rPr>
          <w:szCs w:val="24"/>
          <w:lang w:val="ro-RO" w:eastAsia="ro-RO"/>
        </w:rPr>
        <w:t xml:space="preserve">nr. </w:t>
      </w:r>
      <w:r>
        <w:rPr>
          <w:szCs w:val="24"/>
          <w:lang w:val="ro-RO" w:eastAsia="ro-RO"/>
        </w:rPr>
        <w:t>XX din ZZ.LL.AAAA</w:t>
      </w:r>
      <w:r w:rsidRPr="00352EA5">
        <w:rPr>
          <w:szCs w:val="24"/>
          <w:lang w:val="ro-RO" w:eastAsia="ro-RO"/>
        </w:rPr>
        <w:t xml:space="preserve"> ”</w:t>
      </w:r>
    </w:p>
    <w:p w14:paraId="3C98B0FE" w14:textId="77777777" w:rsidR="002F71D8" w:rsidRDefault="002F71D8" w:rsidP="002F71D8">
      <w:pPr>
        <w:ind w:firstLine="0"/>
        <w:rPr>
          <w:rFonts w:asciiTheme="majorBidi" w:hAnsiTheme="majorBidi" w:cstheme="majorBidi"/>
          <w:sz w:val="28"/>
          <w:szCs w:val="28"/>
          <w:lang w:val="ro-MD" w:eastAsia="ru-RU"/>
        </w:rPr>
      </w:pPr>
    </w:p>
    <w:p w14:paraId="18103E21" w14:textId="77777777" w:rsidR="002F71D8" w:rsidRPr="002F71D8" w:rsidRDefault="002F71D8" w:rsidP="002F71D8">
      <w:pPr>
        <w:ind w:firstLine="0"/>
        <w:jc w:val="center"/>
        <w:rPr>
          <w:rFonts w:asciiTheme="majorBidi" w:hAnsiTheme="majorBidi" w:cstheme="majorBidi"/>
          <w:sz w:val="24"/>
          <w:szCs w:val="24"/>
          <w:lang w:val="ro-RO" w:eastAsia="ru-RU"/>
        </w:rPr>
      </w:pPr>
      <w:r w:rsidRPr="002F71D8">
        <w:rPr>
          <w:rFonts w:asciiTheme="majorBidi" w:hAnsiTheme="majorBidi" w:cstheme="majorBidi"/>
          <w:b/>
          <w:bCs/>
          <w:sz w:val="24"/>
          <w:szCs w:val="24"/>
          <w:lang w:val="ro-RO" w:eastAsia="ru-RU"/>
        </w:rPr>
        <w:t>Limitele de capacitate, cotele maxime și categoriile</w:t>
      </w:r>
      <w:r w:rsidRPr="002F71D8">
        <w:rPr>
          <w:rFonts w:asciiTheme="majorBidi" w:hAnsiTheme="majorBidi" w:cstheme="majorBidi"/>
          <w:sz w:val="24"/>
          <w:szCs w:val="24"/>
          <w:lang w:val="ro-RO" w:eastAsia="ru-RU"/>
        </w:rPr>
        <w:t> </w:t>
      </w:r>
      <w:r w:rsidRPr="002F71D8">
        <w:rPr>
          <w:rFonts w:asciiTheme="majorBidi" w:hAnsiTheme="majorBidi" w:cstheme="majorBidi"/>
          <w:b/>
          <w:bCs/>
          <w:sz w:val="24"/>
          <w:szCs w:val="24"/>
          <w:lang w:val="ro-RO" w:eastAsia="ru-RU"/>
        </w:rPr>
        <w:t>de capacitate</w:t>
      </w:r>
    </w:p>
    <w:p w14:paraId="422C325C" w14:textId="77777777" w:rsidR="002F71D8" w:rsidRPr="002F71D8" w:rsidRDefault="002F71D8" w:rsidP="002F71D8">
      <w:pPr>
        <w:ind w:firstLine="0"/>
        <w:jc w:val="center"/>
        <w:rPr>
          <w:rFonts w:asciiTheme="majorBidi" w:hAnsiTheme="majorBidi" w:cstheme="majorBidi"/>
          <w:sz w:val="24"/>
          <w:szCs w:val="24"/>
          <w:lang w:val="ro-RO" w:eastAsia="ru-RU"/>
        </w:rPr>
      </w:pPr>
      <w:r w:rsidRPr="002F71D8">
        <w:rPr>
          <w:rFonts w:asciiTheme="majorBidi" w:hAnsiTheme="majorBidi" w:cstheme="majorBidi"/>
          <w:b/>
          <w:bCs/>
          <w:sz w:val="24"/>
          <w:szCs w:val="24"/>
          <w:lang w:val="ro-RO" w:eastAsia="ru-RU"/>
        </w:rPr>
        <w:t>în domeniul energiei electrice din surse</w:t>
      </w:r>
      <w:r w:rsidRPr="002F71D8">
        <w:rPr>
          <w:rFonts w:asciiTheme="majorBidi" w:hAnsiTheme="majorBidi" w:cstheme="majorBidi"/>
          <w:sz w:val="24"/>
          <w:szCs w:val="24"/>
          <w:lang w:val="ro-RO" w:eastAsia="ru-RU"/>
        </w:rPr>
        <w:t> </w:t>
      </w:r>
      <w:r w:rsidRPr="002F71D8">
        <w:rPr>
          <w:rFonts w:asciiTheme="majorBidi" w:hAnsiTheme="majorBidi" w:cstheme="majorBidi"/>
          <w:b/>
          <w:bCs/>
          <w:sz w:val="24"/>
          <w:szCs w:val="24"/>
          <w:lang w:val="ro-RO" w:eastAsia="ru-RU"/>
        </w:rPr>
        <w:t>regenerabile valabile</w:t>
      </w:r>
    </w:p>
    <w:p w14:paraId="3494BA01" w14:textId="745462EA" w:rsidR="002F71D8" w:rsidRPr="002F71D8" w:rsidRDefault="002F71D8" w:rsidP="002F71D8">
      <w:pPr>
        <w:ind w:firstLine="0"/>
        <w:jc w:val="center"/>
        <w:rPr>
          <w:rFonts w:asciiTheme="majorBidi" w:hAnsiTheme="majorBidi" w:cstheme="majorBidi"/>
          <w:sz w:val="24"/>
          <w:szCs w:val="24"/>
          <w:lang w:val="ro-RO" w:eastAsia="ru-RU"/>
        </w:rPr>
      </w:pPr>
      <w:r w:rsidRPr="002F71D8">
        <w:rPr>
          <w:rFonts w:asciiTheme="majorBidi" w:hAnsiTheme="majorBidi" w:cstheme="majorBidi"/>
          <w:b/>
          <w:bCs/>
          <w:sz w:val="24"/>
          <w:szCs w:val="24"/>
          <w:lang w:val="ro-RO" w:eastAsia="ru-RU"/>
        </w:rPr>
        <w:t>până la data de 31 decembrie 20</w:t>
      </w:r>
      <w:r w:rsidRPr="00692524">
        <w:rPr>
          <w:rFonts w:asciiTheme="majorBidi" w:hAnsiTheme="majorBidi" w:cstheme="majorBidi"/>
          <w:b/>
          <w:bCs/>
          <w:sz w:val="24"/>
          <w:szCs w:val="24"/>
          <w:lang w:val="ro-RO" w:eastAsia="ru-RU"/>
        </w:rPr>
        <w:t>30</w:t>
      </w:r>
    </w:p>
    <w:p w14:paraId="59271622" w14:textId="77777777" w:rsidR="002F71D8" w:rsidRDefault="002F71D8" w:rsidP="002F71D8">
      <w:pPr>
        <w:ind w:firstLine="0"/>
        <w:rPr>
          <w:rFonts w:asciiTheme="majorBidi" w:hAnsiTheme="majorBidi" w:cstheme="majorBidi"/>
          <w:sz w:val="28"/>
          <w:szCs w:val="28"/>
          <w:lang w:val="ro-MD" w:eastAsia="ru-RU"/>
        </w:rPr>
      </w:pPr>
    </w:p>
    <w:tbl>
      <w:tblPr>
        <w:tblW w:w="4463" w:type="pct"/>
        <w:jc w:val="center"/>
        <w:tblCellMar>
          <w:left w:w="0" w:type="dxa"/>
          <w:right w:w="0" w:type="dxa"/>
        </w:tblCellMar>
        <w:tblLook w:val="04A0" w:firstRow="1" w:lastRow="0" w:firstColumn="1" w:lastColumn="0" w:noHBand="0" w:noVBand="1"/>
      </w:tblPr>
      <w:tblGrid>
        <w:gridCol w:w="516"/>
        <w:gridCol w:w="1585"/>
        <w:gridCol w:w="1227"/>
        <w:gridCol w:w="19"/>
        <w:gridCol w:w="1797"/>
        <w:gridCol w:w="827"/>
        <w:gridCol w:w="2160"/>
      </w:tblGrid>
      <w:tr w:rsidR="00446FD8" w:rsidRPr="002F71D8" w14:paraId="6445847D" w14:textId="77777777" w:rsidTr="00867F07">
        <w:trPr>
          <w:trHeight w:val="15"/>
          <w:jc w:val="center"/>
        </w:trPr>
        <w:tc>
          <w:tcPr>
            <w:tcW w:w="4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C30B" w14:textId="77777777" w:rsidR="00446FD8" w:rsidRPr="002F71D8" w:rsidRDefault="00446FD8" w:rsidP="002F71D8">
            <w:pPr>
              <w:ind w:firstLine="0"/>
              <w:jc w:val="center"/>
              <w:rPr>
                <w:color w:val="333333"/>
                <w:lang w:val="ro-RO"/>
              </w:rPr>
            </w:pPr>
            <w:r w:rsidRPr="002F71D8">
              <w:rPr>
                <w:b/>
                <w:bCs/>
                <w:color w:val="333333"/>
                <w:lang w:val="ro-RO"/>
              </w:rPr>
              <w:t>Nr.</w:t>
            </w:r>
          </w:p>
          <w:p w14:paraId="68363C02" w14:textId="77777777" w:rsidR="00446FD8" w:rsidRPr="002F71D8" w:rsidRDefault="00446FD8" w:rsidP="002F71D8">
            <w:pPr>
              <w:ind w:firstLine="0"/>
              <w:jc w:val="center"/>
              <w:rPr>
                <w:color w:val="333333"/>
                <w:lang w:val="ro-RO"/>
              </w:rPr>
            </w:pPr>
            <w:r w:rsidRPr="002F71D8">
              <w:rPr>
                <w:b/>
                <w:bCs/>
                <w:color w:val="333333"/>
                <w:lang w:val="ro-RO"/>
              </w:rPr>
              <w:t>crt.</w:t>
            </w:r>
          </w:p>
        </w:tc>
        <w:tc>
          <w:tcPr>
            <w:tcW w:w="15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A90FB7" w14:textId="77777777" w:rsidR="00446FD8" w:rsidRPr="002F71D8" w:rsidRDefault="00446FD8" w:rsidP="002F71D8">
            <w:pPr>
              <w:ind w:firstLine="0"/>
              <w:jc w:val="center"/>
              <w:rPr>
                <w:color w:val="333333"/>
                <w:lang w:val="ro-RO"/>
              </w:rPr>
            </w:pPr>
            <w:r w:rsidRPr="002F71D8">
              <w:rPr>
                <w:b/>
                <w:bCs/>
                <w:color w:val="333333"/>
                <w:lang w:val="ro-RO"/>
              </w:rPr>
              <w:t>Tehnologia de producere</w:t>
            </w:r>
          </w:p>
          <w:p w14:paraId="07CCA40B" w14:textId="77777777" w:rsidR="00446FD8" w:rsidRPr="002F71D8" w:rsidRDefault="00446FD8" w:rsidP="002F71D8">
            <w:pPr>
              <w:ind w:firstLine="0"/>
              <w:jc w:val="center"/>
              <w:rPr>
                <w:color w:val="333333"/>
                <w:lang w:val="ro-RO"/>
              </w:rPr>
            </w:pPr>
            <w:r w:rsidRPr="002F71D8">
              <w:rPr>
                <w:b/>
                <w:bCs/>
                <w:color w:val="333333"/>
                <w:lang w:val="ro-RO"/>
              </w:rPr>
              <w:t>a energiei electrice</w:t>
            </w:r>
          </w:p>
        </w:tc>
        <w:tc>
          <w:tcPr>
            <w:tcW w:w="392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41F4F" w14:textId="334DB6E5" w:rsidR="00446FD8" w:rsidRPr="002F71D8" w:rsidRDefault="00446FD8" w:rsidP="002F71D8">
            <w:pPr>
              <w:ind w:firstLine="0"/>
              <w:jc w:val="center"/>
              <w:rPr>
                <w:color w:val="333333"/>
                <w:lang w:val="ro-RO"/>
              </w:rPr>
            </w:pPr>
            <w:r w:rsidRPr="002F71D8">
              <w:rPr>
                <w:b/>
                <w:bCs/>
                <w:color w:val="333333"/>
                <w:lang w:val="ro-RO"/>
              </w:rPr>
              <w:t xml:space="preserve">Cotele maxime de capacitate pentru tipurile de </w:t>
            </w:r>
            <w:r w:rsidR="00257761">
              <w:rPr>
                <w:b/>
                <w:bCs/>
                <w:color w:val="333333"/>
                <w:lang w:val="ro-RO"/>
              </w:rPr>
              <w:t>centrale electrice</w:t>
            </w:r>
            <w:r w:rsidRPr="002F71D8">
              <w:rPr>
                <w:b/>
                <w:bCs/>
                <w:color w:val="333333"/>
                <w:lang w:val="ro-RO"/>
              </w:rPr>
              <w:t xml:space="preserve"> considerate, MW</w:t>
            </w:r>
          </w:p>
        </w:tc>
        <w:tc>
          <w:tcPr>
            <w:tcW w:w="21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1F09D" w14:textId="77777777" w:rsidR="00446FD8" w:rsidRPr="002F71D8" w:rsidRDefault="00446FD8" w:rsidP="002F71D8">
            <w:pPr>
              <w:ind w:firstLine="0"/>
              <w:jc w:val="center"/>
              <w:rPr>
                <w:color w:val="333333"/>
                <w:lang w:val="ro-RO"/>
              </w:rPr>
            </w:pPr>
            <w:r w:rsidRPr="002F71D8">
              <w:rPr>
                <w:b/>
                <w:bCs/>
                <w:color w:val="333333"/>
                <w:lang w:val="ro-RO"/>
              </w:rPr>
              <w:t>Limita de capacitate</w:t>
            </w:r>
            <w:r w:rsidRPr="002F71D8">
              <w:rPr>
                <w:color w:val="333333"/>
                <w:lang w:val="ro-RO"/>
              </w:rPr>
              <w:t>,</w:t>
            </w:r>
          </w:p>
          <w:p w14:paraId="05D8ABDA" w14:textId="641B37E1" w:rsidR="00446FD8" w:rsidRPr="002F71D8" w:rsidRDefault="00446FD8" w:rsidP="002F71D8">
            <w:pPr>
              <w:ind w:firstLine="0"/>
              <w:jc w:val="center"/>
              <w:rPr>
                <w:color w:val="333333"/>
                <w:lang w:val="ro-RO"/>
              </w:rPr>
            </w:pPr>
            <w:r w:rsidRPr="002F71D8">
              <w:rPr>
                <w:b/>
                <w:bCs/>
                <w:color w:val="333333"/>
                <w:lang w:val="ro-RO"/>
              </w:rPr>
              <w:t>MW</w:t>
            </w:r>
          </w:p>
        </w:tc>
      </w:tr>
      <w:tr w:rsidR="00446FD8" w:rsidRPr="002F71D8" w14:paraId="7B6F954F" w14:textId="77777777" w:rsidTr="00867F07">
        <w:trPr>
          <w:trHeight w:val="15"/>
          <w:jc w:val="center"/>
        </w:trPr>
        <w:tc>
          <w:tcPr>
            <w:tcW w:w="416" w:type="dxa"/>
            <w:vMerge/>
            <w:tcBorders>
              <w:top w:val="single" w:sz="8" w:space="0" w:color="auto"/>
              <w:left w:val="single" w:sz="8" w:space="0" w:color="auto"/>
              <w:bottom w:val="single" w:sz="8" w:space="0" w:color="auto"/>
              <w:right w:val="single" w:sz="8" w:space="0" w:color="auto"/>
            </w:tcBorders>
            <w:vAlign w:val="center"/>
            <w:hideMark/>
          </w:tcPr>
          <w:p w14:paraId="59F89563" w14:textId="77777777" w:rsidR="00446FD8" w:rsidRPr="002F71D8" w:rsidRDefault="00446FD8" w:rsidP="002F71D8">
            <w:pPr>
              <w:ind w:firstLine="0"/>
              <w:jc w:val="center"/>
              <w:rPr>
                <w:color w:val="333333"/>
                <w:lang w:val="ro-RO"/>
              </w:rPr>
            </w:pPr>
          </w:p>
        </w:tc>
        <w:tc>
          <w:tcPr>
            <w:tcW w:w="1592" w:type="dxa"/>
            <w:vMerge/>
            <w:tcBorders>
              <w:top w:val="single" w:sz="8" w:space="0" w:color="auto"/>
              <w:left w:val="nil"/>
              <w:bottom w:val="single" w:sz="8" w:space="0" w:color="auto"/>
              <w:right w:val="single" w:sz="8" w:space="0" w:color="auto"/>
            </w:tcBorders>
            <w:vAlign w:val="center"/>
            <w:hideMark/>
          </w:tcPr>
          <w:p w14:paraId="3087D8F9" w14:textId="77777777" w:rsidR="00446FD8" w:rsidRPr="002F71D8" w:rsidRDefault="00446FD8" w:rsidP="002F71D8">
            <w:pPr>
              <w:ind w:firstLine="0"/>
              <w:jc w:val="center"/>
              <w:rPr>
                <w:color w:val="333333"/>
                <w:lang w:val="ro-RO"/>
              </w:rPr>
            </w:pPr>
          </w:p>
        </w:tc>
        <w:tc>
          <w:tcPr>
            <w:tcW w:w="12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4CAAB2" w14:textId="77777777" w:rsidR="00446FD8" w:rsidRPr="002F71D8" w:rsidRDefault="00446FD8" w:rsidP="002F71D8">
            <w:pPr>
              <w:ind w:firstLine="0"/>
              <w:jc w:val="center"/>
              <w:rPr>
                <w:color w:val="333333"/>
                <w:lang w:val="ro-RO"/>
              </w:rPr>
            </w:pPr>
            <w:r w:rsidRPr="002F71D8">
              <w:rPr>
                <w:b/>
                <w:bCs/>
                <w:color w:val="333333"/>
                <w:lang w:val="ro-RO"/>
              </w:rPr>
              <w:t>TOTAL</w:t>
            </w:r>
          </w:p>
          <w:p w14:paraId="0D3D65BB" w14:textId="77777777" w:rsidR="00446FD8" w:rsidRPr="002F71D8" w:rsidRDefault="00446FD8" w:rsidP="002F71D8">
            <w:pPr>
              <w:ind w:firstLine="0"/>
              <w:jc w:val="center"/>
              <w:rPr>
                <w:color w:val="333333"/>
                <w:lang w:val="ro-RO"/>
              </w:rPr>
            </w:pPr>
            <w:r w:rsidRPr="002F71D8">
              <w:rPr>
                <w:b/>
                <w:bCs/>
                <w:color w:val="333333"/>
                <w:lang w:val="ro-RO"/>
              </w:rPr>
              <w:t>MW</w:t>
            </w:r>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14:paraId="07745C2D" w14:textId="77777777" w:rsidR="00446FD8" w:rsidRPr="002F71D8" w:rsidRDefault="00446FD8" w:rsidP="002F71D8">
            <w:pPr>
              <w:ind w:firstLine="0"/>
              <w:jc w:val="center"/>
              <w:rPr>
                <w:color w:val="333333"/>
                <w:lang w:val="ro-RO"/>
              </w:rPr>
            </w:pPr>
            <w:r w:rsidRPr="002F71D8">
              <w:rPr>
                <w:b/>
                <w:bCs/>
                <w:color w:val="333333"/>
                <w:lang w:val="ro-RO"/>
              </w:rPr>
              <w:t>surse la tarif fix</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1600E864" w14:textId="77777777" w:rsidR="00446FD8" w:rsidRPr="002F71D8" w:rsidRDefault="00446FD8" w:rsidP="002F71D8">
            <w:pPr>
              <w:ind w:firstLine="0"/>
              <w:jc w:val="center"/>
              <w:rPr>
                <w:color w:val="333333"/>
                <w:lang w:val="ro-RO"/>
              </w:rPr>
            </w:pPr>
            <w:r w:rsidRPr="002F71D8">
              <w:rPr>
                <w:b/>
                <w:bCs/>
                <w:color w:val="333333"/>
                <w:lang w:val="ro-RO"/>
              </w:rPr>
              <w:t>surse la</w:t>
            </w:r>
          </w:p>
          <w:p w14:paraId="3BE00717" w14:textId="77777777" w:rsidR="00446FD8" w:rsidRPr="002F71D8" w:rsidRDefault="00446FD8" w:rsidP="002F71D8">
            <w:pPr>
              <w:ind w:firstLine="0"/>
              <w:jc w:val="center"/>
              <w:rPr>
                <w:color w:val="333333"/>
                <w:lang w:val="ro-RO"/>
              </w:rPr>
            </w:pPr>
            <w:r w:rsidRPr="002F71D8">
              <w:rPr>
                <w:b/>
                <w:bCs/>
                <w:color w:val="333333"/>
                <w:lang w:val="ro-RO"/>
              </w:rPr>
              <w:t>preț fix</w:t>
            </w:r>
          </w:p>
        </w:tc>
        <w:tc>
          <w:tcPr>
            <w:tcW w:w="2196" w:type="dxa"/>
            <w:vMerge/>
            <w:tcBorders>
              <w:top w:val="single" w:sz="8" w:space="0" w:color="auto"/>
              <w:left w:val="nil"/>
              <w:bottom w:val="single" w:sz="8" w:space="0" w:color="auto"/>
              <w:right w:val="single" w:sz="8" w:space="0" w:color="auto"/>
            </w:tcBorders>
            <w:vAlign w:val="center"/>
            <w:hideMark/>
          </w:tcPr>
          <w:p w14:paraId="1C7CD121" w14:textId="77777777" w:rsidR="00446FD8" w:rsidRPr="002F71D8" w:rsidRDefault="00446FD8" w:rsidP="002F71D8">
            <w:pPr>
              <w:ind w:firstLine="0"/>
              <w:jc w:val="left"/>
              <w:rPr>
                <w:color w:val="333333"/>
                <w:lang w:val="ro-RO"/>
              </w:rPr>
            </w:pPr>
          </w:p>
        </w:tc>
      </w:tr>
      <w:tr w:rsidR="002F71D8" w:rsidRPr="002F71D8" w14:paraId="17CD1F28" w14:textId="77777777" w:rsidTr="00446FD8">
        <w:trPr>
          <w:trHeight w:val="15"/>
          <w:jc w:val="center"/>
        </w:trPr>
        <w:tc>
          <w:tcPr>
            <w:tcW w:w="813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FEBFE" w14:textId="77777777" w:rsidR="002F71D8" w:rsidRPr="002F71D8" w:rsidRDefault="002F71D8" w:rsidP="002F71D8">
            <w:pPr>
              <w:ind w:firstLine="0"/>
              <w:jc w:val="center"/>
              <w:rPr>
                <w:color w:val="333333"/>
                <w:lang w:val="ro-RO"/>
              </w:rPr>
            </w:pPr>
            <w:r w:rsidRPr="002F71D8">
              <w:rPr>
                <w:b/>
                <w:bCs/>
                <w:color w:val="333333"/>
                <w:lang w:val="ro-RO"/>
              </w:rPr>
              <w:t>Categoria I.</w:t>
            </w:r>
            <w:r w:rsidRPr="002F71D8">
              <w:rPr>
                <w:color w:val="333333"/>
                <w:lang w:val="ro-RO"/>
              </w:rPr>
              <w:t> </w:t>
            </w:r>
            <w:r w:rsidRPr="002F71D8">
              <w:rPr>
                <w:b/>
                <w:bCs/>
                <w:color w:val="333333"/>
                <w:lang w:val="ro-RO"/>
              </w:rPr>
              <w:t>Surse intermitente</w:t>
            </w:r>
          </w:p>
        </w:tc>
      </w:tr>
      <w:tr w:rsidR="00446FD8" w:rsidRPr="002F71D8" w14:paraId="7B2697FA"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0F7A2" w14:textId="77777777" w:rsidR="00446FD8" w:rsidRPr="002F71D8" w:rsidRDefault="00446FD8" w:rsidP="002F71D8">
            <w:pPr>
              <w:ind w:firstLine="0"/>
              <w:jc w:val="left"/>
              <w:rPr>
                <w:color w:val="333333"/>
                <w:lang w:val="ro-RO"/>
              </w:rPr>
            </w:pPr>
            <w:r w:rsidRPr="002F71D8">
              <w:rPr>
                <w:color w:val="333333"/>
                <w:lang w:val="ro-RO"/>
              </w:rPr>
              <w:t>1.</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19B857EB" w14:textId="728CCBA4" w:rsidR="00446FD8" w:rsidRPr="002F71D8" w:rsidRDefault="00257761" w:rsidP="00AC2573">
            <w:pPr>
              <w:ind w:firstLine="0"/>
              <w:rPr>
                <w:color w:val="333333"/>
                <w:lang w:val="ro-RO"/>
              </w:rPr>
            </w:pPr>
            <w:r>
              <w:rPr>
                <w:color w:val="333333"/>
                <w:lang w:val="ro-RO"/>
              </w:rPr>
              <w:t>Centrale electrice</w:t>
            </w:r>
            <w:r w:rsidR="00446FD8" w:rsidRPr="002F71D8">
              <w:rPr>
                <w:color w:val="333333"/>
                <w:lang w:val="ro-RO"/>
              </w:rPr>
              <w:t xml:space="preserve"> eoliene</w:t>
            </w:r>
          </w:p>
        </w:tc>
        <w:tc>
          <w:tcPr>
            <w:tcW w:w="12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4A35D" w14:textId="07007E5F" w:rsidR="00446FD8" w:rsidRPr="002F71D8" w:rsidRDefault="00446FD8" w:rsidP="002F71D8">
            <w:pPr>
              <w:ind w:firstLine="0"/>
              <w:jc w:val="left"/>
              <w:rPr>
                <w:color w:val="333333"/>
                <w:lang w:val="ro-RO"/>
              </w:rPr>
            </w:pPr>
            <w:r w:rsidRPr="002F71D8">
              <w:rPr>
                <w:color w:val="333333"/>
                <w:lang w:val="ro-RO"/>
              </w:rPr>
              <w:t>1</w:t>
            </w:r>
            <w:r>
              <w:rPr>
                <w:color w:val="333333"/>
                <w:lang w:val="ro-RO"/>
              </w:rPr>
              <w:t>7</w:t>
            </w:r>
            <w:r w:rsidR="00613B11">
              <w:rPr>
                <w:color w:val="333333"/>
                <w:lang w:val="ro-RO"/>
              </w:rPr>
              <w:t>0</w:t>
            </w:r>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14:paraId="061C15C2" w14:textId="328C6B0A" w:rsidR="00446FD8" w:rsidRPr="002F71D8" w:rsidRDefault="00446FD8" w:rsidP="002F71D8">
            <w:pPr>
              <w:ind w:firstLine="0"/>
              <w:jc w:val="left"/>
              <w:rPr>
                <w:color w:val="333333"/>
                <w:lang w:val="ro-RO"/>
              </w:rPr>
            </w:pPr>
            <w:r>
              <w:rPr>
                <w:color w:val="333333"/>
                <w:lang w:val="ro-RO"/>
              </w:rPr>
              <w:t>-</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7E7B6753" w14:textId="095A8AFA" w:rsidR="00446FD8" w:rsidRPr="002F71D8" w:rsidRDefault="00446FD8" w:rsidP="002F71D8">
            <w:pPr>
              <w:ind w:firstLine="0"/>
              <w:jc w:val="left"/>
              <w:rPr>
                <w:color w:val="333333"/>
                <w:lang w:val="ro-RO"/>
              </w:rPr>
            </w:pPr>
            <w:r w:rsidRPr="002F71D8">
              <w:rPr>
                <w:color w:val="333333"/>
                <w:lang w:val="ro-RO"/>
              </w:rPr>
              <w:t>1</w:t>
            </w:r>
            <w:r>
              <w:rPr>
                <w:color w:val="333333"/>
                <w:lang w:val="ro-RO"/>
              </w:rPr>
              <w:t>7</w:t>
            </w:r>
            <w:r w:rsidR="00613B11">
              <w:rPr>
                <w:color w:val="333333"/>
                <w:lang w:val="ro-RO"/>
              </w:rPr>
              <w:t>0</w:t>
            </w:r>
            <w:r w:rsidR="00F31531">
              <w:rPr>
                <w:color w:val="333333"/>
                <w:lang w:val="ro-RO"/>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5F37CFAA" w14:textId="5FE8F5F7" w:rsidR="00446FD8" w:rsidRPr="002F71D8" w:rsidRDefault="00E51BCD" w:rsidP="002F71D8">
            <w:pPr>
              <w:ind w:firstLine="0"/>
              <w:jc w:val="left"/>
              <w:rPr>
                <w:color w:val="333333"/>
                <w:lang w:val="ro-RO"/>
              </w:rPr>
            </w:pPr>
            <w:r>
              <w:rPr>
                <w:color w:val="333333"/>
                <w:lang w:val="ro-RO"/>
              </w:rPr>
              <w:t>4 MW</w:t>
            </w:r>
          </w:p>
        </w:tc>
      </w:tr>
      <w:tr w:rsidR="00446FD8" w:rsidRPr="002F71D8" w14:paraId="48F41376" w14:textId="77777777" w:rsidTr="00867F07">
        <w:trPr>
          <w:trHeight w:val="15"/>
          <w:jc w:val="center"/>
        </w:trPr>
        <w:tc>
          <w:tcPr>
            <w:tcW w:w="2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366A5" w14:textId="77777777" w:rsidR="00446FD8" w:rsidRPr="002F71D8" w:rsidRDefault="00446FD8" w:rsidP="00AC2573">
            <w:pPr>
              <w:ind w:firstLine="0"/>
              <w:jc w:val="left"/>
              <w:rPr>
                <w:color w:val="333333"/>
                <w:lang w:val="ro-RO"/>
              </w:rPr>
            </w:pPr>
            <w:r w:rsidRPr="002F71D8">
              <w:rPr>
                <w:b/>
                <w:bCs/>
                <w:color w:val="333333"/>
                <w:lang w:val="ro-RO"/>
              </w:rPr>
              <w:t>SUBTOTAL</w:t>
            </w:r>
          </w:p>
        </w:tc>
        <w:tc>
          <w:tcPr>
            <w:tcW w:w="12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12CE3F" w14:textId="030F1331" w:rsidR="00446FD8" w:rsidRPr="002F71D8" w:rsidRDefault="00446FD8" w:rsidP="00AC2573">
            <w:pPr>
              <w:ind w:firstLine="0"/>
              <w:jc w:val="left"/>
              <w:rPr>
                <w:color w:val="333333"/>
                <w:lang w:val="ro-RO"/>
              </w:rPr>
            </w:pPr>
            <w:r>
              <w:rPr>
                <w:color w:val="333333"/>
                <w:lang w:val="ro-RO"/>
              </w:rPr>
              <w:t>17</w:t>
            </w:r>
            <w:r w:rsidR="00613B11">
              <w:rPr>
                <w:color w:val="333333"/>
                <w:lang w:val="ro-RO"/>
              </w:rPr>
              <w:t>0</w:t>
            </w:r>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14:paraId="037EEE74" w14:textId="22A9725C" w:rsidR="00446FD8" w:rsidRPr="002F71D8" w:rsidRDefault="00446FD8" w:rsidP="00AC2573">
            <w:pPr>
              <w:ind w:firstLine="0"/>
              <w:jc w:val="left"/>
              <w:rPr>
                <w:color w:val="333333"/>
                <w:lang w:val="ro-RO"/>
              </w:rPr>
            </w:pPr>
            <w:r>
              <w:rPr>
                <w:color w:val="333333"/>
                <w:lang w:val="ro-RO"/>
              </w:rPr>
              <w:t>-</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378E8806" w14:textId="1F8DE317" w:rsidR="00446FD8" w:rsidRPr="002F71D8" w:rsidRDefault="00446FD8" w:rsidP="00AC2573">
            <w:pPr>
              <w:ind w:firstLine="0"/>
              <w:jc w:val="left"/>
              <w:rPr>
                <w:color w:val="333333"/>
                <w:lang w:val="ro-RO"/>
              </w:rPr>
            </w:pPr>
            <w:r>
              <w:rPr>
                <w:color w:val="333333"/>
                <w:lang w:val="ro-RO"/>
              </w:rPr>
              <w:t>17</w:t>
            </w:r>
            <w:r w:rsidR="00613B11">
              <w:rPr>
                <w:color w:val="333333"/>
                <w:lang w:val="ro-RO"/>
              </w:rPr>
              <w:t>0</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72051B45" w14:textId="77777777" w:rsidR="00446FD8" w:rsidRPr="002F71D8" w:rsidRDefault="00446FD8" w:rsidP="00AC2573">
            <w:pPr>
              <w:ind w:firstLine="0"/>
              <w:jc w:val="left"/>
              <w:rPr>
                <w:color w:val="333333"/>
                <w:lang w:val="ro-RO"/>
              </w:rPr>
            </w:pPr>
            <w:r w:rsidRPr="002F71D8">
              <w:rPr>
                <w:color w:val="333333"/>
                <w:lang w:val="ro-RO"/>
              </w:rPr>
              <w:t>–</w:t>
            </w:r>
          </w:p>
        </w:tc>
      </w:tr>
      <w:tr w:rsidR="00AC2573" w:rsidRPr="002F71D8" w14:paraId="2538B77F" w14:textId="77777777" w:rsidTr="00446FD8">
        <w:trPr>
          <w:trHeight w:val="15"/>
          <w:jc w:val="center"/>
        </w:trPr>
        <w:tc>
          <w:tcPr>
            <w:tcW w:w="813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B7733" w14:textId="77777777" w:rsidR="00AC2573" w:rsidRPr="002F71D8" w:rsidRDefault="00AC2573" w:rsidP="00AC2573">
            <w:pPr>
              <w:ind w:firstLine="0"/>
              <w:jc w:val="center"/>
              <w:rPr>
                <w:color w:val="333333"/>
                <w:lang w:val="ro-RO"/>
              </w:rPr>
            </w:pPr>
            <w:r w:rsidRPr="002F71D8">
              <w:rPr>
                <w:b/>
                <w:bCs/>
                <w:color w:val="333333"/>
                <w:lang w:val="ro-RO"/>
              </w:rPr>
              <w:t>Categoria II.</w:t>
            </w:r>
            <w:r w:rsidRPr="002F71D8">
              <w:rPr>
                <w:color w:val="333333"/>
                <w:lang w:val="ro-RO"/>
              </w:rPr>
              <w:t> </w:t>
            </w:r>
            <w:r w:rsidRPr="002F71D8">
              <w:rPr>
                <w:b/>
                <w:bCs/>
                <w:color w:val="333333"/>
                <w:lang w:val="ro-RO"/>
              </w:rPr>
              <w:t>Surse nonintermitente</w:t>
            </w:r>
          </w:p>
        </w:tc>
      </w:tr>
      <w:tr w:rsidR="00446FD8" w:rsidRPr="002F71D8" w14:paraId="73F3AFB0"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4400F" w14:textId="77777777" w:rsidR="00446FD8" w:rsidRPr="002F71D8" w:rsidRDefault="00446FD8" w:rsidP="00AC2573">
            <w:pPr>
              <w:ind w:firstLine="0"/>
              <w:jc w:val="left"/>
              <w:rPr>
                <w:color w:val="333333"/>
                <w:lang w:val="ro-RO"/>
              </w:rPr>
            </w:pPr>
            <w:r w:rsidRPr="002F71D8">
              <w:rPr>
                <w:color w:val="333333"/>
                <w:lang w:val="ro-RO"/>
              </w:rPr>
              <w:t>3.</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4E7A2669" w14:textId="2E0D0709" w:rsidR="00446FD8" w:rsidRPr="002F71D8" w:rsidRDefault="00C401B5" w:rsidP="00AC2573">
            <w:pPr>
              <w:ind w:firstLine="0"/>
              <w:jc w:val="left"/>
              <w:rPr>
                <w:color w:val="333333"/>
                <w:lang w:val="ro-RO"/>
              </w:rPr>
            </w:pPr>
            <w:r>
              <w:rPr>
                <w:color w:val="333333"/>
                <w:lang w:val="ro-RO"/>
              </w:rPr>
              <w:t>Centrale electrice</w:t>
            </w:r>
            <w:r w:rsidR="00446FD8" w:rsidRPr="002F71D8">
              <w:rPr>
                <w:color w:val="333333"/>
                <w:lang w:val="ro-RO"/>
              </w:rPr>
              <w:t xml:space="preserve"> de cogenerare pe bază de biogaz, total:</w:t>
            </w:r>
          </w:p>
          <w:p w14:paraId="3F20755E" w14:textId="77777777" w:rsidR="00446FD8" w:rsidRPr="002F71D8" w:rsidRDefault="00446FD8" w:rsidP="00AC2573">
            <w:pPr>
              <w:ind w:firstLine="0"/>
              <w:jc w:val="left"/>
              <w:rPr>
                <w:color w:val="333333"/>
                <w:lang w:val="ro-RO"/>
              </w:rPr>
            </w:pPr>
            <w:r w:rsidRPr="002F71D8">
              <w:rPr>
                <w:i/>
                <w:iCs/>
                <w:color w:val="333333"/>
                <w:lang w:val="ro-RO"/>
              </w:rPr>
              <w:t>din care:</w:t>
            </w:r>
            <w:r w:rsidRPr="002F71D8">
              <w:rPr>
                <w:color w:val="333333"/>
                <w:lang w:val="ro-RO"/>
              </w:rPr>
              <w:t>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44E8105E" w14:textId="6C8F2D35" w:rsidR="00446FD8" w:rsidRPr="002F71D8" w:rsidRDefault="00C401B5" w:rsidP="00AC2573">
            <w:pPr>
              <w:ind w:firstLine="0"/>
              <w:jc w:val="left"/>
              <w:rPr>
                <w:color w:val="333333"/>
                <w:lang w:val="ro-RO"/>
              </w:rPr>
            </w:pPr>
            <w:r>
              <w:rPr>
                <w:color w:val="333333"/>
                <w:lang w:val="ro-RO"/>
              </w:rPr>
              <w:t>40</w:t>
            </w: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C8BE91" w14:textId="457335EF" w:rsidR="00446FD8" w:rsidRPr="002F71D8" w:rsidRDefault="00446FD8" w:rsidP="00AC2573">
            <w:pPr>
              <w:ind w:firstLine="0"/>
              <w:jc w:val="left"/>
              <w:rPr>
                <w:color w:val="333333"/>
                <w:lang w:val="ro-RO"/>
              </w:rPr>
            </w:pP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5143810A" w14:textId="77777777" w:rsidR="00446FD8" w:rsidRPr="002F71D8" w:rsidRDefault="00446FD8" w:rsidP="00AC2573">
            <w:pPr>
              <w:ind w:firstLine="0"/>
              <w:jc w:val="left"/>
              <w:rPr>
                <w:color w:val="333333"/>
                <w:lang w:val="ro-RO"/>
              </w:rPr>
            </w:pPr>
            <w:r w:rsidRPr="002F71D8">
              <w:rPr>
                <w:color w:val="333333"/>
                <w:lang w:val="ro-RO"/>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25BA3799"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6736C109"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7DB3C" w14:textId="77777777" w:rsidR="00446FD8" w:rsidRPr="002F71D8" w:rsidRDefault="00446FD8" w:rsidP="00AC2573">
            <w:pPr>
              <w:ind w:firstLine="0"/>
              <w:jc w:val="left"/>
              <w:rPr>
                <w:color w:val="333333"/>
                <w:lang w:val="ro-RO"/>
              </w:rPr>
            </w:pPr>
            <w:r w:rsidRPr="002F71D8">
              <w:rPr>
                <w:color w:val="333333"/>
                <w:lang w:val="ro-RO"/>
              </w:rPr>
              <w:t>3.1.</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50928701" w14:textId="77777777" w:rsidR="00446FD8" w:rsidRPr="002F71D8" w:rsidRDefault="00446FD8" w:rsidP="00AC2573">
            <w:pPr>
              <w:ind w:firstLine="0"/>
              <w:jc w:val="left"/>
              <w:rPr>
                <w:color w:val="333333"/>
                <w:lang w:val="ro-RO"/>
              </w:rPr>
            </w:pPr>
            <w:r w:rsidRPr="002F71D8">
              <w:rPr>
                <w:color w:val="333333"/>
                <w:lang w:val="ro-RO"/>
              </w:rPr>
              <w:t>unități în cogenerare pe bază de biogaz (produs prin valorificarea potențialului energetic al dejecțiilor animaliere, deșeurilor zootehnice, deșeurilor agricole, culturilor agricole, plantelor energetice, deșeurilor industriei alimentare, inclusiv a amestecului dintre acestea)</w:t>
            </w:r>
          </w:p>
        </w:tc>
        <w:tc>
          <w:tcPr>
            <w:tcW w:w="123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7FD2AA0" w14:textId="77777777" w:rsidR="00446FD8" w:rsidRPr="002F71D8" w:rsidRDefault="00446FD8" w:rsidP="00AC2573">
            <w:pPr>
              <w:ind w:firstLine="0"/>
              <w:jc w:val="left"/>
              <w:rPr>
                <w:color w:val="333333"/>
                <w:lang w:val="ro-RO"/>
              </w:rPr>
            </w:pP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58EC62" w14:textId="680703C6" w:rsidR="00446FD8" w:rsidRPr="002F71D8" w:rsidRDefault="00613B11" w:rsidP="00AC2573">
            <w:pPr>
              <w:ind w:firstLine="0"/>
              <w:jc w:val="left"/>
              <w:rPr>
                <w:color w:val="333333"/>
                <w:lang w:val="ro-RO"/>
              </w:rPr>
            </w:pPr>
            <w:r>
              <w:rPr>
                <w:color w:val="333333"/>
                <w:lang w:val="ro-RO"/>
              </w:rPr>
              <w:t>10</w:t>
            </w:r>
          </w:p>
        </w:tc>
        <w:tc>
          <w:tcPr>
            <w:tcW w:w="83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C711E2D" w14:textId="77777777" w:rsidR="00446FD8" w:rsidRPr="002F71D8" w:rsidRDefault="00446FD8" w:rsidP="00AC2573">
            <w:pPr>
              <w:ind w:firstLine="0"/>
              <w:jc w:val="left"/>
              <w:rPr>
                <w:color w:val="333333"/>
                <w:lang w:val="ro-RO"/>
              </w:rPr>
            </w:pPr>
            <w:r w:rsidRPr="002F71D8">
              <w:rPr>
                <w:color w:val="333333"/>
                <w:lang w:val="ro-RO"/>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4A9F957D"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51BD856E"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8744D" w14:textId="77777777" w:rsidR="00446FD8" w:rsidRPr="002F71D8" w:rsidRDefault="00446FD8" w:rsidP="00AC2573">
            <w:pPr>
              <w:ind w:firstLine="0"/>
              <w:jc w:val="left"/>
              <w:rPr>
                <w:color w:val="333333"/>
                <w:lang w:val="ro-RO"/>
              </w:rPr>
            </w:pPr>
            <w:r w:rsidRPr="002F71D8">
              <w:rPr>
                <w:color w:val="333333"/>
                <w:lang w:val="ro-RO"/>
              </w:rPr>
              <w:t>3.2.</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05B27562" w14:textId="77777777" w:rsidR="00446FD8" w:rsidRPr="002F71D8" w:rsidRDefault="00446FD8" w:rsidP="00AC2573">
            <w:pPr>
              <w:ind w:firstLine="0"/>
              <w:jc w:val="left"/>
              <w:rPr>
                <w:color w:val="333333"/>
                <w:lang w:val="ro-RO"/>
              </w:rPr>
            </w:pPr>
            <w:r w:rsidRPr="002F71D8">
              <w:rPr>
                <w:color w:val="333333"/>
                <w:lang w:val="ro-RO"/>
              </w:rPr>
              <w:t>unități în cogenerare pe bază de biogaz produs prin valorificarea deșeurilor municipale solide</w:t>
            </w:r>
          </w:p>
        </w:tc>
        <w:tc>
          <w:tcPr>
            <w:tcW w:w="1238" w:type="dxa"/>
            <w:vMerge/>
            <w:tcBorders>
              <w:top w:val="nil"/>
              <w:left w:val="nil"/>
              <w:bottom w:val="single" w:sz="8" w:space="0" w:color="auto"/>
              <w:right w:val="single" w:sz="8" w:space="0" w:color="auto"/>
            </w:tcBorders>
            <w:vAlign w:val="center"/>
            <w:hideMark/>
          </w:tcPr>
          <w:p w14:paraId="09CBFE16" w14:textId="77777777" w:rsidR="00446FD8" w:rsidRPr="002F71D8" w:rsidRDefault="00446FD8" w:rsidP="00AC2573">
            <w:pPr>
              <w:ind w:firstLine="0"/>
              <w:jc w:val="left"/>
              <w:rPr>
                <w:color w:val="333333"/>
                <w:lang w:val="ro-RO"/>
              </w:rPr>
            </w:pP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DF50C8" w14:textId="33927EC9" w:rsidR="00446FD8" w:rsidRPr="00F960A2" w:rsidRDefault="00446FD8" w:rsidP="00AC2573">
            <w:pPr>
              <w:ind w:firstLine="0"/>
              <w:jc w:val="left"/>
              <w:rPr>
                <w:color w:val="333333"/>
              </w:rPr>
            </w:pPr>
            <w:r w:rsidRPr="002F71D8">
              <w:rPr>
                <w:color w:val="333333"/>
                <w:lang w:val="ro-RO"/>
              </w:rPr>
              <w:t>2</w:t>
            </w:r>
            <w:r w:rsidR="00F83DAE">
              <w:rPr>
                <w:color w:val="333333"/>
                <w:lang w:val="ro-RO"/>
              </w:rPr>
              <w:t>0</w:t>
            </w:r>
          </w:p>
        </w:tc>
        <w:tc>
          <w:tcPr>
            <w:tcW w:w="833" w:type="dxa"/>
            <w:vMerge/>
            <w:tcBorders>
              <w:top w:val="nil"/>
              <w:left w:val="nil"/>
              <w:bottom w:val="single" w:sz="8" w:space="0" w:color="auto"/>
              <w:right w:val="single" w:sz="8" w:space="0" w:color="auto"/>
            </w:tcBorders>
            <w:vAlign w:val="center"/>
            <w:hideMark/>
          </w:tcPr>
          <w:p w14:paraId="1F2AEABD" w14:textId="77777777" w:rsidR="00446FD8" w:rsidRPr="002F71D8" w:rsidRDefault="00446FD8" w:rsidP="00AC2573">
            <w:pPr>
              <w:ind w:firstLine="0"/>
              <w:jc w:val="left"/>
              <w:rPr>
                <w:color w:val="333333"/>
                <w:lang w:val="ro-RO"/>
              </w:rPr>
            </w:pP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4C7C25A8"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2B594EE4"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4C046" w14:textId="77777777" w:rsidR="00446FD8" w:rsidRPr="002F71D8" w:rsidRDefault="00446FD8" w:rsidP="00AC2573">
            <w:pPr>
              <w:ind w:firstLine="0"/>
              <w:jc w:val="left"/>
              <w:rPr>
                <w:color w:val="333333"/>
                <w:lang w:val="ro-RO"/>
              </w:rPr>
            </w:pPr>
            <w:r w:rsidRPr="002F71D8">
              <w:rPr>
                <w:color w:val="333333"/>
                <w:lang w:val="ro-RO"/>
              </w:rPr>
              <w:t>3.3.</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27412C2D" w14:textId="77777777" w:rsidR="00446FD8" w:rsidRPr="002F71D8" w:rsidRDefault="00446FD8" w:rsidP="00AC2573">
            <w:pPr>
              <w:ind w:firstLine="0"/>
              <w:jc w:val="left"/>
              <w:rPr>
                <w:color w:val="333333"/>
                <w:lang w:val="ro-RO"/>
              </w:rPr>
            </w:pPr>
            <w:r w:rsidRPr="002F71D8">
              <w:rPr>
                <w:color w:val="333333"/>
                <w:lang w:val="ro-RO"/>
              </w:rPr>
              <w:t xml:space="preserve">unități în cogenerare pe bază de biogaz </w:t>
            </w:r>
            <w:r w:rsidRPr="002F71D8">
              <w:rPr>
                <w:color w:val="333333"/>
                <w:lang w:val="ro-RO"/>
              </w:rPr>
              <w:lastRenderedPageBreak/>
              <w:t>produs prin valorificarea deșeurilor municipale lichide/apelor reziduale</w:t>
            </w:r>
          </w:p>
        </w:tc>
        <w:tc>
          <w:tcPr>
            <w:tcW w:w="1238" w:type="dxa"/>
            <w:vMerge/>
            <w:tcBorders>
              <w:top w:val="nil"/>
              <w:left w:val="nil"/>
              <w:bottom w:val="single" w:sz="8" w:space="0" w:color="auto"/>
              <w:right w:val="single" w:sz="8" w:space="0" w:color="auto"/>
            </w:tcBorders>
            <w:vAlign w:val="center"/>
            <w:hideMark/>
          </w:tcPr>
          <w:p w14:paraId="1A5BEA4A" w14:textId="77777777" w:rsidR="00446FD8" w:rsidRPr="002F71D8" w:rsidRDefault="00446FD8" w:rsidP="00AC2573">
            <w:pPr>
              <w:ind w:firstLine="0"/>
              <w:jc w:val="left"/>
              <w:rPr>
                <w:color w:val="333333"/>
                <w:lang w:val="ro-RO"/>
              </w:rPr>
            </w:pP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37D44D" w14:textId="77777777" w:rsidR="00446FD8" w:rsidRPr="002F71D8" w:rsidRDefault="00446FD8" w:rsidP="00AC2573">
            <w:pPr>
              <w:ind w:firstLine="0"/>
              <w:jc w:val="left"/>
              <w:rPr>
                <w:color w:val="333333"/>
                <w:lang w:val="ro-RO"/>
              </w:rPr>
            </w:pPr>
            <w:r w:rsidRPr="002F71D8">
              <w:rPr>
                <w:color w:val="333333"/>
                <w:lang w:val="ro-RO"/>
              </w:rPr>
              <w:t>10</w:t>
            </w:r>
          </w:p>
        </w:tc>
        <w:tc>
          <w:tcPr>
            <w:tcW w:w="833" w:type="dxa"/>
            <w:vMerge/>
            <w:tcBorders>
              <w:top w:val="nil"/>
              <w:left w:val="nil"/>
              <w:bottom w:val="single" w:sz="8" w:space="0" w:color="auto"/>
              <w:right w:val="single" w:sz="8" w:space="0" w:color="auto"/>
            </w:tcBorders>
            <w:vAlign w:val="center"/>
            <w:hideMark/>
          </w:tcPr>
          <w:p w14:paraId="1FD86963" w14:textId="77777777" w:rsidR="00446FD8" w:rsidRPr="002F71D8" w:rsidRDefault="00446FD8" w:rsidP="00AC2573">
            <w:pPr>
              <w:ind w:firstLine="0"/>
              <w:jc w:val="left"/>
              <w:rPr>
                <w:color w:val="333333"/>
                <w:lang w:val="ro-RO"/>
              </w:rPr>
            </w:pP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4C4FC585"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704031FE" w14:textId="77777777" w:rsidTr="00867F07">
        <w:trPr>
          <w:trHeight w:val="15"/>
          <w:jc w:val="center"/>
        </w:trPr>
        <w:tc>
          <w:tcPr>
            <w:tcW w:w="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D69AB" w14:textId="77777777" w:rsidR="00446FD8" w:rsidRPr="002F71D8" w:rsidRDefault="00446FD8" w:rsidP="00AC2573">
            <w:pPr>
              <w:ind w:firstLine="0"/>
              <w:jc w:val="left"/>
              <w:rPr>
                <w:color w:val="333333"/>
                <w:lang w:val="ro-RO"/>
              </w:rPr>
            </w:pPr>
            <w:r w:rsidRPr="002F71D8">
              <w:rPr>
                <w:color w:val="333333"/>
                <w:lang w:val="ro-RO"/>
              </w:rPr>
              <w:t>5.</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14:paraId="6B24DF30" w14:textId="3D877C9E" w:rsidR="00446FD8" w:rsidRPr="002F71D8" w:rsidRDefault="00DC15E6" w:rsidP="00AC2573">
            <w:pPr>
              <w:ind w:firstLine="0"/>
              <w:jc w:val="left"/>
              <w:rPr>
                <w:color w:val="333333"/>
                <w:lang w:val="ro-RO"/>
              </w:rPr>
            </w:pPr>
            <w:r>
              <w:rPr>
                <w:color w:val="333333"/>
                <w:lang w:val="ro-RO"/>
              </w:rPr>
              <w:t>Centrale electrice de</w:t>
            </w:r>
            <w:r w:rsidR="00446FD8" w:rsidRPr="002F71D8">
              <w:rPr>
                <w:color w:val="333333"/>
                <w:lang w:val="ro-RO"/>
              </w:rPr>
              <w:t xml:space="preserve"> cogenerare utilizând arderea directă</w:t>
            </w:r>
            <w:r>
              <w:rPr>
                <w:color w:val="333333"/>
                <w:lang w:val="ro-RO"/>
              </w:rPr>
              <w:t xml:space="preserve"> </w:t>
            </w:r>
            <w:r w:rsidR="00446FD8" w:rsidRPr="002F71D8">
              <w:rPr>
                <w:color w:val="333333"/>
                <w:lang w:val="ro-RO"/>
              </w:rPr>
              <w:t>(pe biocombustibil solid, deșeuri agricole, inclusiv culturi/plante energetice, deșeuri menajere solide, cu excepția produselor din silvicultură)</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295D3481" w14:textId="263BAA4F" w:rsidR="00446FD8" w:rsidRPr="002F71D8" w:rsidRDefault="00613B11" w:rsidP="00AC2573">
            <w:pPr>
              <w:ind w:firstLine="0"/>
              <w:jc w:val="left"/>
              <w:rPr>
                <w:color w:val="333333"/>
                <w:lang w:val="ro-RO"/>
              </w:rPr>
            </w:pPr>
            <w:r>
              <w:rPr>
                <w:color w:val="333333"/>
                <w:lang w:val="ro-RO"/>
              </w:rPr>
              <w:t>55</w:t>
            </w: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B3F926" w14:textId="26B6AECD" w:rsidR="00446FD8" w:rsidRPr="002F71D8" w:rsidRDefault="00613B11" w:rsidP="00AC2573">
            <w:pPr>
              <w:ind w:firstLine="0"/>
              <w:jc w:val="left"/>
              <w:rPr>
                <w:color w:val="333333"/>
                <w:lang w:val="ro-RO"/>
              </w:rPr>
            </w:pPr>
            <w:r>
              <w:rPr>
                <w:color w:val="333333"/>
                <w:lang w:val="ro-RO"/>
              </w:rPr>
              <w:t>55</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4E6A2CAA" w14:textId="77777777" w:rsidR="00446FD8" w:rsidRPr="002F71D8" w:rsidRDefault="00446FD8" w:rsidP="00AC2573">
            <w:pPr>
              <w:ind w:firstLine="0"/>
              <w:jc w:val="left"/>
              <w:rPr>
                <w:color w:val="333333"/>
                <w:lang w:val="ro-RO"/>
              </w:rPr>
            </w:pPr>
            <w:r w:rsidRPr="002F71D8">
              <w:rPr>
                <w:color w:val="333333"/>
                <w:lang w:val="ro-RO"/>
              </w:rPr>
              <w:t>–</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5A404FBF"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5B0716D5" w14:textId="77777777" w:rsidTr="00867F07">
        <w:trPr>
          <w:trHeight w:val="15"/>
          <w:jc w:val="center"/>
        </w:trPr>
        <w:tc>
          <w:tcPr>
            <w:tcW w:w="200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626F46B" w14:textId="77777777" w:rsidR="00446FD8" w:rsidRPr="002F71D8" w:rsidRDefault="00446FD8" w:rsidP="00AC2573">
            <w:pPr>
              <w:ind w:firstLine="0"/>
              <w:jc w:val="left"/>
              <w:rPr>
                <w:color w:val="333333"/>
                <w:lang w:val="ro-RO"/>
              </w:rPr>
            </w:pPr>
            <w:r w:rsidRPr="002F71D8">
              <w:rPr>
                <w:b/>
                <w:bCs/>
                <w:color w:val="333333"/>
                <w:lang w:val="ro-RO"/>
              </w:rPr>
              <w:t>SUBTOTAL</w:t>
            </w:r>
          </w:p>
        </w:tc>
        <w:tc>
          <w:tcPr>
            <w:tcW w:w="1238" w:type="dxa"/>
            <w:tcBorders>
              <w:top w:val="nil"/>
              <w:left w:val="nil"/>
              <w:bottom w:val="single" w:sz="4" w:space="0" w:color="auto"/>
              <w:right w:val="single" w:sz="8" w:space="0" w:color="auto"/>
            </w:tcBorders>
            <w:tcMar>
              <w:top w:w="0" w:type="dxa"/>
              <w:left w:w="108" w:type="dxa"/>
              <w:bottom w:w="0" w:type="dxa"/>
              <w:right w:w="108" w:type="dxa"/>
            </w:tcMar>
            <w:hideMark/>
          </w:tcPr>
          <w:p w14:paraId="6EBB3F01" w14:textId="40D270E3" w:rsidR="00446FD8" w:rsidRPr="002F71D8" w:rsidRDefault="00C401B5" w:rsidP="00AC2573">
            <w:pPr>
              <w:ind w:firstLine="0"/>
              <w:jc w:val="left"/>
              <w:rPr>
                <w:color w:val="333333"/>
                <w:lang w:val="ro-RO"/>
              </w:rPr>
            </w:pPr>
            <w:r>
              <w:rPr>
                <w:color w:val="333333"/>
                <w:lang w:val="ro-RO"/>
              </w:rPr>
              <w:t>9</w:t>
            </w:r>
            <w:r w:rsidR="00FA5AAF">
              <w:rPr>
                <w:color w:val="333333"/>
                <w:lang w:val="ro-RO"/>
              </w:rPr>
              <w:t>5</w:t>
            </w:r>
          </w:p>
        </w:tc>
        <w:tc>
          <w:tcPr>
            <w:tcW w:w="1856"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06D072C" w14:textId="22030DBB" w:rsidR="00446FD8" w:rsidRPr="002F71D8" w:rsidRDefault="00FA5AAF" w:rsidP="00AC2573">
            <w:pPr>
              <w:ind w:firstLine="0"/>
              <w:jc w:val="left"/>
              <w:rPr>
                <w:color w:val="333333"/>
                <w:lang w:val="ro-RO"/>
              </w:rPr>
            </w:pPr>
            <w:r>
              <w:rPr>
                <w:color w:val="333333"/>
                <w:lang w:val="ro-RO"/>
              </w:rPr>
              <w:t>95</w:t>
            </w:r>
          </w:p>
        </w:tc>
        <w:tc>
          <w:tcPr>
            <w:tcW w:w="833" w:type="dxa"/>
            <w:tcBorders>
              <w:top w:val="nil"/>
              <w:left w:val="nil"/>
              <w:bottom w:val="single" w:sz="4" w:space="0" w:color="auto"/>
              <w:right w:val="single" w:sz="8" w:space="0" w:color="auto"/>
            </w:tcBorders>
            <w:tcMar>
              <w:top w:w="0" w:type="dxa"/>
              <w:left w:w="108" w:type="dxa"/>
              <w:bottom w:w="0" w:type="dxa"/>
              <w:right w:w="108" w:type="dxa"/>
            </w:tcMar>
            <w:hideMark/>
          </w:tcPr>
          <w:p w14:paraId="11B8D590" w14:textId="77777777" w:rsidR="00446FD8" w:rsidRPr="002F71D8" w:rsidRDefault="00446FD8" w:rsidP="00AC2573">
            <w:pPr>
              <w:ind w:firstLine="0"/>
              <w:jc w:val="left"/>
              <w:rPr>
                <w:color w:val="333333"/>
                <w:lang w:val="ro-RO"/>
              </w:rPr>
            </w:pPr>
            <w:r w:rsidRPr="002F71D8">
              <w:rPr>
                <w:color w:val="333333"/>
                <w:lang w:val="ro-RO"/>
              </w:rPr>
              <w:t>–</w:t>
            </w:r>
          </w:p>
        </w:tc>
        <w:tc>
          <w:tcPr>
            <w:tcW w:w="2196" w:type="dxa"/>
            <w:tcBorders>
              <w:top w:val="nil"/>
              <w:left w:val="nil"/>
              <w:bottom w:val="single" w:sz="4" w:space="0" w:color="auto"/>
              <w:right w:val="single" w:sz="8" w:space="0" w:color="auto"/>
            </w:tcBorders>
            <w:tcMar>
              <w:top w:w="0" w:type="dxa"/>
              <w:left w:w="108" w:type="dxa"/>
              <w:bottom w:w="0" w:type="dxa"/>
              <w:right w:w="108" w:type="dxa"/>
            </w:tcMar>
            <w:hideMark/>
          </w:tcPr>
          <w:p w14:paraId="7AE5C016" w14:textId="77777777" w:rsidR="00446FD8" w:rsidRPr="002F71D8" w:rsidRDefault="00446FD8" w:rsidP="00AC2573">
            <w:pPr>
              <w:ind w:firstLine="0"/>
              <w:jc w:val="left"/>
              <w:rPr>
                <w:color w:val="333333"/>
                <w:lang w:val="ro-RO"/>
              </w:rPr>
            </w:pPr>
            <w:r w:rsidRPr="002F71D8">
              <w:rPr>
                <w:color w:val="333333"/>
                <w:lang w:val="ro-RO"/>
              </w:rPr>
              <w:t>–</w:t>
            </w:r>
          </w:p>
        </w:tc>
      </w:tr>
      <w:tr w:rsidR="00446FD8" w:rsidRPr="002F71D8" w14:paraId="370E46BE" w14:textId="77777777" w:rsidTr="00867F07">
        <w:trPr>
          <w:trHeight w:val="15"/>
          <w:jc w:val="center"/>
        </w:trPr>
        <w:tc>
          <w:tcPr>
            <w:tcW w:w="2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3D98C" w14:textId="77777777" w:rsidR="00446FD8" w:rsidRPr="002F71D8" w:rsidRDefault="00446FD8" w:rsidP="00AC2573">
            <w:pPr>
              <w:ind w:firstLine="0"/>
              <w:jc w:val="left"/>
              <w:rPr>
                <w:color w:val="333333"/>
                <w:lang w:val="ro-RO"/>
              </w:rPr>
            </w:pPr>
            <w:r w:rsidRPr="002F71D8">
              <w:rPr>
                <w:b/>
                <w:bCs/>
                <w:color w:val="333333"/>
                <w:lang w:val="ro-RO"/>
              </w:rPr>
              <w:t>TOTAL</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46A86F43" w14:textId="428FB16A" w:rsidR="00446FD8" w:rsidRPr="002F71D8" w:rsidRDefault="00446FD8" w:rsidP="00AC2573">
            <w:pPr>
              <w:ind w:firstLine="0"/>
              <w:jc w:val="left"/>
              <w:rPr>
                <w:b/>
                <w:bCs/>
                <w:color w:val="333333"/>
                <w:lang w:val="ro-RO"/>
              </w:rPr>
            </w:pPr>
            <w:r>
              <w:rPr>
                <w:b/>
                <w:bCs/>
                <w:color w:val="333333"/>
                <w:lang w:val="ro-RO"/>
              </w:rPr>
              <w:t>2</w:t>
            </w:r>
            <w:r w:rsidR="00C401B5">
              <w:rPr>
                <w:b/>
                <w:bCs/>
                <w:color w:val="333333"/>
                <w:lang w:val="ro-RO"/>
              </w:rPr>
              <w:t>6</w:t>
            </w:r>
            <w:r w:rsidR="00FA5AAF">
              <w:rPr>
                <w:b/>
                <w:bCs/>
                <w:color w:val="333333"/>
                <w:lang w:val="ro-RO"/>
              </w:rPr>
              <w:t>5</w:t>
            </w:r>
          </w:p>
        </w:tc>
        <w:tc>
          <w:tcPr>
            <w:tcW w:w="18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C1281E" w14:textId="09339259" w:rsidR="00446FD8" w:rsidRPr="002F71D8" w:rsidRDefault="00FA5AAF" w:rsidP="00AC2573">
            <w:pPr>
              <w:ind w:firstLine="0"/>
              <w:jc w:val="left"/>
              <w:rPr>
                <w:b/>
                <w:bCs/>
                <w:color w:val="333333"/>
                <w:lang w:val="ro-RO"/>
              </w:rPr>
            </w:pPr>
            <w:r>
              <w:rPr>
                <w:b/>
                <w:bCs/>
                <w:color w:val="333333"/>
                <w:lang w:val="ro-RO"/>
              </w:rPr>
              <w:t>95</w:t>
            </w:r>
          </w:p>
        </w:tc>
        <w:tc>
          <w:tcPr>
            <w:tcW w:w="833" w:type="dxa"/>
            <w:tcBorders>
              <w:top w:val="nil"/>
              <w:left w:val="nil"/>
              <w:bottom w:val="single" w:sz="8" w:space="0" w:color="auto"/>
              <w:right w:val="single" w:sz="8" w:space="0" w:color="auto"/>
            </w:tcBorders>
            <w:tcMar>
              <w:top w:w="0" w:type="dxa"/>
              <w:left w:w="108" w:type="dxa"/>
              <w:bottom w:w="0" w:type="dxa"/>
              <w:right w:w="108" w:type="dxa"/>
            </w:tcMar>
            <w:hideMark/>
          </w:tcPr>
          <w:p w14:paraId="7B2CEB60" w14:textId="0A50289C" w:rsidR="00446FD8" w:rsidRPr="002F71D8" w:rsidRDefault="00446FD8" w:rsidP="00AC2573">
            <w:pPr>
              <w:ind w:firstLine="0"/>
              <w:jc w:val="left"/>
              <w:rPr>
                <w:b/>
                <w:bCs/>
                <w:color w:val="333333"/>
                <w:lang w:val="ro-RO"/>
              </w:rPr>
            </w:pPr>
            <w:r w:rsidRPr="00692524">
              <w:rPr>
                <w:b/>
                <w:bCs/>
                <w:color w:val="333333"/>
                <w:lang w:val="ro-RO"/>
              </w:rPr>
              <w:t>1</w:t>
            </w:r>
            <w:r w:rsidR="00FA5AAF">
              <w:rPr>
                <w:b/>
                <w:bCs/>
                <w:color w:val="333333"/>
                <w:lang w:val="ro-RO"/>
              </w:rPr>
              <w:t>70</w:t>
            </w:r>
          </w:p>
        </w:tc>
        <w:tc>
          <w:tcPr>
            <w:tcW w:w="2196" w:type="dxa"/>
            <w:tcBorders>
              <w:top w:val="nil"/>
              <w:left w:val="nil"/>
              <w:bottom w:val="single" w:sz="8" w:space="0" w:color="auto"/>
              <w:right w:val="single" w:sz="8" w:space="0" w:color="auto"/>
            </w:tcBorders>
            <w:tcMar>
              <w:top w:w="0" w:type="dxa"/>
              <w:left w:w="108" w:type="dxa"/>
              <w:bottom w:w="0" w:type="dxa"/>
              <w:right w:w="108" w:type="dxa"/>
            </w:tcMar>
            <w:hideMark/>
          </w:tcPr>
          <w:p w14:paraId="054EB1F9" w14:textId="11E378F0" w:rsidR="00446FD8" w:rsidRPr="002F71D8" w:rsidRDefault="00446FD8" w:rsidP="00AC2573">
            <w:pPr>
              <w:ind w:firstLine="0"/>
              <w:jc w:val="left"/>
              <w:rPr>
                <w:color w:val="333333"/>
                <w:lang w:val="ro-RO"/>
              </w:rPr>
            </w:pPr>
          </w:p>
        </w:tc>
      </w:tr>
    </w:tbl>
    <w:p w14:paraId="24656D90" w14:textId="77777777" w:rsidR="008560D0" w:rsidRPr="00D35555" w:rsidRDefault="008560D0" w:rsidP="00B4752A">
      <w:pPr>
        <w:rPr>
          <w:color w:val="333333"/>
          <w:lang w:val="ro-RO"/>
        </w:rPr>
      </w:pPr>
      <w:r w:rsidRPr="00D35555">
        <w:rPr>
          <w:b/>
          <w:bCs/>
          <w:color w:val="333333"/>
          <w:lang w:val="ro-RO"/>
        </w:rPr>
        <w:t>Note:</w:t>
      </w:r>
    </w:p>
    <w:p w14:paraId="6228F40B" w14:textId="4032987A" w:rsidR="008560D0" w:rsidRPr="00D35555" w:rsidRDefault="008560D0" w:rsidP="008560D0">
      <w:pPr>
        <w:rPr>
          <w:color w:val="333333"/>
          <w:lang w:val="ro-RO"/>
        </w:rPr>
      </w:pPr>
      <w:r w:rsidRPr="00D35555">
        <w:rPr>
          <w:b/>
          <w:bCs/>
          <w:color w:val="333333"/>
          <w:lang w:val="ro-RO"/>
        </w:rPr>
        <w:t>* </w:t>
      </w:r>
      <w:r w:rsidR="00F31531">
        <w:rPr>
          <w:i/>
          <w:iCs/>
          <w:color w:val="333333"/>
          <w:lang w:val="ro-RO"/>
        </w:rPr>
        <w:t xml:space="preserve"> </w:t>
      </w:r>
      <w:r w:rsidR="004F3EF6" w:rsidRPr="00867F07">
        <w:rPr>
          <w:color w:val="333333"/>
          <w:lang w:val="ro-RO"/>
        </w:rPr>
        <w:t xml:space="preserve">cu obligația instalării  </w:t>
      </w:r>
      <w:r w:rsidR="00981608" w:rsidRPr="00867F07">
        <w:rPr>
          <w:color w:val="333333"/>
          <w:lang w:val="ro-RO"/>
        </w:rPr>
        <w:t>bateri</w:t>
      </w:r>
      <w:r w:rsidR="00B401DD">
        <w:rPr>
          <w:color w:val="333333"/>
          <w:lang w:val="ro-RO"/>
        </w:rPr>
        <w:t>ilor</w:t>
      </w:r>
      <w:r w:rsidR="00981608" w:rsidRPr="00867F07">
        <w:rPr>
          <w:color w:val="333333"/>
          <w:lang w:val="ro-RO"/>
        </w:rPr>
        <w:t xml:space="preserve"> de stocare a energiei electrice</w:t>
      </w:r>
      <w:r w:rsidR="004F3EF6" w:rsidRPr="00867F07">
        <w:rPr>
          <w:color w:val="333333"/>
          <w:lang w:val="ro-RO"/>
        </w:rPr>
        <w:t xml:space="preserve"> de minim 0.25MWh/MW </w:t>
      </w:r>
      <w:r w:rsidR="009B184D" w:rsidRPr="00867F07">
        <w:rPr>
          <w:color w:val="333333"/>
          <w:lang w:val="ro-RO"/>
        </w:rPr>
        <w:t xml:space="preserve">din </w:t>
      </w:r>
      <w:r w:rsidR="00981608" w:rsidRPr="00867F07">
        <w:rPr>
          <w:color w:val="333333"/>
          <w:lang w:val="ro-RO"/>
        </w:rPr>
        <w:t>capacitate</w:t>
      </w:r>
      <w:r w:rsidR="00162199" w:rsidRPr="00867F07">
        <w:rPr>
          <w:color w:val="333333"/>
          <w:lang w:val="ro-RO"/>
        </w:rPr>
        <w:t xml:space="preserve">a instalată </w:t>
      </w:r>
      <w:r w:rsidR="009B184D" w:rsidRPr="00867F07">
        <w:rPr>
          <w:color w:val="333333"/>
          <w:lang w:val="ro-RO"/>
        </w:rPr>
        <w:t xml:space="preserve">a </w:t>
      </w:r>
      <w:r w:rsidR="00162199" w:rsidRPr="00867F07">
        <w:rPr>
          <w:color w:val="333333"/>
          <w:lang w:val="ro-RO"/>
        </w:rPr>
        <w:t>centrale</w:t>
      </w:r>
      <w:r w:rsidR="009B184D" w:rsidRPr="00867F07">
        <w:rPr>
          <w:color w:val="333333"/>
          <w:lang w:val="ro-RO"/>
        </w:rPr>
        <w:t>i</w:t>
      </w:r>
      <w:r w:rsidR="00162199" w:rsidRPr="00867F07">
        <w:rPr>
          <w:color w:val="333333"/>
          <w:lang w:val="ro-RO"/>
        </w:rPr>
        <w:t xml:space="preserve"> eoliene</w:t>
      </w:r>
      <w:r w:rsidR="004F3EF6" w:rsidRPr="00867F07">
        <w:rPr>
          <w:color w:val="333333"/>
          <w:lang w:val="ro-RO"/>
        </w:rPr>
        <w:t>.</w:t>
      </w:r>
    </w:p>
    <w:p w14:paraId="582735D1" w14:textId="17505FB3" w:rsidR="008560D0" w:rsidRPr="00D35555" w:rsidRDefault="008560D0" w:rsidP="008560D0">
      <w:pPr>
        <w:rPr>
          <w:sz w:val="24"/>
          <w:szCs w:val="24"/>
          <w:lang w:val="ro-RO"/>
        </w:rPr>
      </w:pPr>
      <w:r w:rsidRPr="00D35555">
        <w:rPr>
          <w:b/>
          <w:bCs/>
          <w:color w:val="333333"/>
          <w:lang w:val="ro-RO"/>
        </w:rPr>
        <w:t>** </w:t>
      </w:r>
      <w:r w:rsidRPr="00D35555">
        <w:rPr>
          <w:i/>
          <w:iCs/>
          <w:color w:val="333333"/>
          <w:lang w:val="ro-RO"/>
        </w:rPr>
        <w:t>biocombustibil solid</w:t>
      </w:r>
      <w:r w:rsidRPr="00D35555">
        <w:rPr>
          <w:color w:val="333333"/>
          <w:lang w:val="ro-RO"/>
        </w:rPr>
        <w:t xml:space="preserve"> – noțiune definită în conformitate cu prevederile Hotărârii Guvernului nr. </w:t>
      </w:r>
      <w:r w:rsidR="00517FB8">
        <w:rPr>
          <w:color w:val="333333"/>
          <w:lang w:val="ro-RO"/>
        </w:rPr>
        <w:t>778/2024</w:t>
      </w:r>
      <w:r w:rsidR="00CD16AF">
        <w:rPr>
          <w:color w:val="333333"/>
          <w:lang w:val="ro-RO"/>
        </w:rPr>
        <w:t xml:space="preserve"> </w:t>
      </w:r>
      <w:r w:rsidRPr="00D35555">
        <w:rPr>
          <w:color w:val="333333"/>
          <w:lang w:val="ro-RO"/>
        </w:rPr>
        <w:t>pentru aprobarea Regulamentului cu privire la biocombustibilul solid.</w:t>
      </w:r>
    </w:p>
    <w:p w14:paraId="066E2F3A" w14:textId="77777777" w:rsidR="00B6066E" w:rsidRDefault="00B6066E" w:rsidP="00352EA5">
      <w:pPr>
        <w:jc w:val="right"/>
        <w:rPr>
          <w:szCs w:val="24"/>
          <w:lang w:val="ro-RO" w:eastAsia="ro-RO"/>
        </w:rPr>
      </w:pPr>
    </w:p>
    <w:p w14:paraId="17CC46D1" w14:textId="77777777" w:rsidR="00B6066E" w:rsidRDefault="00B6066E" w:rsidP="00352EA5">
      <w:pPr>
        <w:jc w:val="right"/>
        <w:rPr>
          <w:szCs w:val="24"/>
          <w:lang w:val="ro-RO" w:eastAsia="ro-RO"/>
        </w:rPr>
      </w:pPr>
    </w:p>
    <w:p w14:paraId="25388DA9" w14:textId="77777777" w:rsidR="00DC7469" w:rsidRDefault="00DC7469" w:rsidP="00352EA5">
      <w:pPr>
        <w:jc w:val="right"/>
        <w:rPr>
          <w:szCs w:val="24"/>
          <w:lang w:val="ro-RO" w:eastAsia="ro-RO"/>
        </w:rPr>
      </w:pPr>
    </w:p>
    <w:p w14:paraId="4BCF03C0" w14:textId="77777777" w:rsidR="00DC7469" w:rsidRDefault="00DC7469" w:rsidP="00352EA5">
      <w:pPr>
        <w:jc w:val="right"/>
        <w:rPr>
          <w:szCs w:val="24"/>
          <w:lang w:val="ro-RO" w:eastAsia="ro-RO"/>
        </w:rPr>
      </w:pPr>
    </w:p>
    <w:p w14:paraId="3D605EC1" w14:textId="77777777" w:rsidR="00DC7469" w:rsidRDefault="00DC7469" w:rsidP="00352EA5">
      <w:pPr>
        <w:jc w:val="right"/>
        <w:rPr>
          <w:szCs w:val="24"/>
          <w:lang w:val="ro-RO" w:eastAsia="ro-RO"/>
        </w:rPr>
      </w:pPr>
    </w:p>
    <w:p w14:paraId="31FD1433" w14:textId="4C168A81" w:rsidR="00352EA5" w:rsidRPr="00352EA5" w:rsidRDefault="00352EA5" w:rsidP="00352EA5">
      <w:pPr>
        <w:jc w:val="right"/>
        <w:rPr>
          <w:szCs w:val="24"/>
          <w:lang w:val="ro-RO" w:eastAsia="ro-RO"/>
        </w:rPr>
      </w:pPr>
      <w:r w:rsidRPr="00352EA5">
        <w:rPr>
          <w:szCs w:val="24"/>
          <w:lang w:val="ro-RO" w:eastAsia="ro-RO"/>
        </w:rPr>
        <w:t xml:space="preserve">„Anexa nr. 2 </w:t>
      </w:r>
    </w:p>
    <w:p w14:paraId="313EE582" w14:textId="5ECAC3D8" w:rsidR="00352EA5" w:rsidRDefault="00352EA5" w:rsidP="00352EA5">
      <w:pPr>
        <w:jc w:val="right"/>
        <w:rPr>
          <w:szCs w:val="24"/>
          <w:lang w:val="ro-RO" w:eastAsia="ro-RO"/>
        </w:rPr>
      </w:pPr>
      <w:r w:rsidRPr="00352EA5">
        <w:rPr>
          <w:szCs w:val="24"/>
          <w:lang w:val="ro-RO" w:eastAsia="ro-RO"/>
        </w:rPr>
        <w:t>la Hotărârea Guvernului</w:t>
      </w:r>
      <w:r w:rsidR="002F71D8">
        <w:rPr>
          <w:szCs w:val="24"/>
          <w:lang w:val="ro-RO" w:eastAsia="ro-RO"/>
        </w:rPr>
        <w:t xml:space="preserve"> </w:t>
      </w:r>
      <w:r w:rsidR="00DC7469">
        <w:rPr>
          <w:szCs w:val="24"/>
          <w:lang w:val="ro-RO" w:eastAsia="ro-RO"/>
        </w:rPr>
        <w:t>nr.</w:t>
      </w:r>
      <w:r w:rsidR="002F71D8">
        <w:rPr>
          <w:szCs w:val="24"/>
          <w:lang w:val="ro-RO" w:eastAsia="ro-RO"/>
        </w:rPr>
        <w:t xml:space="preserve"> din ZZ.LL.AAAA</w:t>
      </w:r>
      <w:r w:rsidRPr="00352EA5">
        <w:rPr>
          <w:szCs w:val="24"/>
          <w:lang w:val="ro-RO" w:eastAsia="ro-RO"/>
        </w:rPr>
        <w:t xml:space="preserve"> ”</w:t>
      </w:r>
    </w:p>
    <w:p w14:paraId="5F81E8DE" w14:textId="77777777" w:rsidR="00140669" w:rsidRPr="00352EA5" w:rsidRDefault="00140669" w:rsidP="00352EA5">
      <w:pPr>
        <w:jc w:val="right"/>
        <w:rPr>
          <w:szCs w:val="24"/>
          <w:lang w:val="ro-RO" w:eastAsia="ro-RO"/>
        </w:rPr>
      </w:pPr>
    </w:p>
    <w:p w14:paraId="25C1B6F3" w14:textId="51A5FF45" w:rsidR="002F71D8" w:rsidRPr="002F71D8" w:rsidRDefault="002F71D8" w:rsidP="002F71D8">
      <w:pPr>
        <w:jc w:val="center"/>
        <w:rPr>
          <w:b/>
          <w:bCs/>
          <w:sz w:val="24"/>
          <w:szCs w:val="24"/>
          <w:lang w:val="ro-RO" w:eastAsia="ro-RO"/>
        </w:rPr>
      </w:pPr>
      <w:r>
        <w:rPr>
          <w:b/>
          <w:bCs/>
          <w:sz w:val="24"/>
          <w:szCs w:val="24"/>
          <w:lang w:val="ro-RO" w:eastAsia="ro-RO"/>
        </w:rPr>
        <w:t>P</w:t>
      </w:r>
      <w:r w:rsidRPr="002F71D8">
        <w:rPr>
          <w:b/>
          <w:bCs/>
          <w:sz w:val="24"/>
          <w:szCs w:val="24"/>
          <w:lang w:val="ro-RO" w:eastAsia="ro-RO"/>
        </w:rPr>
        <w:t>lafoanele de capacitate individuală ce</w:t>
      </w:r>
    </w:p>
    <w:p w14:paraId="1394578E" w14:textId="701055D0" w:rsidR="002F71D8" w:rsidRPr="002F71D8" w:rsidRDefault="002F71D8" w:rsidP="002F71D8">
      <w:pPr>
        <w:jc w:val="center"/>
        <w:rPr>
          <w:b/>
          <w:bCs/>
          <w:sz w:val="24"/>
          <w:szCs w:val="24"/>
          <w:lang w:val="ro-RO" w:eastAsia="ro-RO"/>
        </w:rPr>
      </w:pPr>
      <w:r w:rsidRPr="002F71D8">
        <w:rPr>
          <w:b/>
          <w:bCs/>
          <w:sz w:val="24"/>
          <w:szCs w:val="24"/>
          <w:lang w:val="ro-RO" w:eastAsia="ro-RO"/>
        </w:rPr>
        <w:t xml:space="preserve">urmează a fi </w:t>
      </w:r>
      <w:r w:rsidR="00B401DD">
        <w:rPr>
          <w:b/>
          <w:bCs/>
          <w:sz w:val="24"/>
          <w:szCs w:val="24"/>
          <w:lang w:val="ro-RO" w:eastAsia="ro-RO"/>
        </w:rPr>
        <w:t xml:space="preserve">aplicate </w:t>
      </w:r>
      <w:r w:rsidRPr="002F71D8">
        <w:rPr>
          <w:b/>
          <w:bCs/>
          <w:sz w:val="24"/>
          <w:szCs w:val="24"/>
          <w:lang w:val="ro-RO" w:eastAsia="ro-RO"/>
        </w:rPr>
        <w:t xml:space="preserve"> pentru implementarea mecanismului</w:t>
      </w:r>
    </w:p>
    <w:p w14:paraId="35C83865" w14:textId="2938E34C" w:rsidR="00352EA5" w:rsidRPr="00352EA5" w:rsidRDefault="002F71D8" w:rsidP="002F71D8">
      <w:pPr>
        <w:jc w:val="center"/>
        <w:rPr>
          <w:b/>
          <w:bCs/>
          <w:sz w:val="24"/>
          <w:szCs w:val="24"/>
          <w:lang w:val="ro-RO" w:eastAsia="ro-RO"/>
        </w:rPr>
      </w:pPr>
      <w:r w:rsidRPr="002F71D8">
        <w:rPr>
          <w:b/>
          <w:bCs/>
          <w:sz w:val="24"/>
          <w:szCs w:val="24"/>
          <w:lang w:val="ro-RO" w:eastAsia="ro-RO"/>
        </w:rPr>
        <w:t xml:space="preserve">de facturare netă până la data de 31 decembrie </w:t>
      </w:r>
      <w:r w:rsidR="00AC2573" w:rsidRPr="002F71D8">
        <w:rPr>
          <w:b/>
          <w:bCs/>
          <w:sz w:val="24"/>
          <w:szCs w:val="24"/>
          <w:lang w:val="ro-RO" w:eastAsia="ro-RO"/>
        </w:rPr>
        <w:t>20</w:t>
      </w:r>
      <w:r w:rsidR="00AC2573">
        <w:rPr>
          <w:b/>
          <w:bCs/>
          <w:sz w:val="24"/>
          <w:szCs w:val="24"/>
          <w:lang w:val="ro-RO" w:eastAsia="ro-RO"/>
        </w:rPr>
        <w:t>30</w:t>
      </w:r>
    </w:p>
    <w:p w14:paraId="135CB88F" w14:textId="77777777" w:rsidR="009C717D" w:rsidRPr="0000785B" w:rsidRDefault="009C717D" w:rsidP="009C717D">
      <w:pPr>
        <w:ind w:firstLine="0"/>
        <w:rPr>
          <w:rFonts w:asciiTheme="majorBidi" w:hAnsiTheme="majorBidi" w:cstheme="majorBidi"/>
          <w:sz w:val="28"/>
          <w:szCs w:val="28"/>
          <w:lang w:val="ro-MD" w:eastAsia="ru-RU"/>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4856"/>
        <w:gridCol w:w="5039"/>
      </w:tblGrid>
      <w:tr w:rsidR="002F71D8" w:rsidRPr="00140669" w14:paraId="172DDCB4" w14:textId="77777777" w:rsidTr="00DA56E1">
        <w:trPr>
          <w:trHeight w:val="20"/>
          <w:jc w:val="center"/>
        </w:trPr>
        <w:tc>
          <w:tcPr>
            <w:tcW w:w="2454" w:type="pct"/>
            <w:hideMark/>
          </w:tcPr>
          <w:p w14:paraId="1D2CAFEC" w14:textId="77777777" w:rsidR="002F71D8" w:rsidRPr="00140669" w:rsidRDefault="002F71D8" w:rsidP="00DA56E1">
            <w:pPr>
              <w:rPr>
                <w:b/>
                <w:bCs/>
                <w:lang w:val="ro-RO" w:eastAsia="ro-RO"/>
              </w:rPr>
            </w:pPr>
            <w:r w:rsidRPr="00140669">
              <w:rPr>
                <w:b/>
                <w:bCs/>
                <w:lang w:val="ro-RO" w:eastAsia="ro-RO"/>
              </w:rPr>
              <w:t>Categoria de consumatori</w:t>
            </w:r>
          </w:p>
        </w:tc>
        <w:tc>
          <w:tcPr>
            <w:tcW w:w="2546" w:type="pct"/>
            <w:hideMark/>
          </w:tcPr>
          <w:p w14:paraId="5665B717" w14:textId="77777777" w:rsidR="002F71D8" w:rsidRPr="00140669" w:rsidRDefault="002F71D8" w:rsidP="00DA56E1">
            <w:pPr>
              <w:jc w:val="center"/>
              <w:rPr>
                <w:b/>
                <w:bCs/>
                <w:lang w:val="ro-RO" w:eastAsia="ro-RO"/>
              </w:rPr>
            </w:pPr>
            <w:r w:rsidRPr="00140669">
              <w:rPr>
                <w:b/>
                <w:bCs/>
                <w:lang w:val="ro-RO" w:eastAsia="ro-RO"/>
              </w:rPr>
              <w:t>Plafoanele de capacitate individuale</w:t>
            </w:r>
            <w:r w:rsidRPr="00140669">
              <w:rPr>
                <w:lang w:val="ro-RO" w:eastAsia="ro-RO"/>
              </w:rPr>
              <w:t>,</w:t>
            </w:r>
            <w:r w:rsidRPr="00140669">
              <w:rPr>
                <w:b/>
                <w:bCs/>
                <w:lang w:val="ro-RO" w:eastAsia="ro-RO"/>
              </w:rPr>
              <w:t xml:space="preserve"> kW</w:t>
            </w:r>
          </w:p>
        </w:tc>
      </w:tr>
      <w:tr w:rsidR="002F71D8" w:rsidRPr="00140669" w14:paraId="4C59655A" w14:textId="77777777" w:rsidTr="00DA56E1">
        <w:trPr>
          <w:trHeight w:val="20"/>
          <w:jc w:val="center"/>
        </w:trPr>
        <w:tc>
          <w:tcPr>
            <w:tcW w:w="2454" w:type="pct"/>
            <w:hideMark/>
          </w:tcPr>
          <w:p w14:paraId="557895B8" w14:textId="77497CB1" w:rsidR="002F71D8" w:rsidRPr="00140669" w:rsidRDefault="002F71D8" w:rsidP="00DA56E1">
            <w:pPr>
              <w:rPr>
                <w:lang w:val="ro-RO" w:eastAsia="ro-RO"/>
              </w:rPr>
            </w:pPr>
            <w:r w:rsidRPr="00140669">
              <w:rPr>
                <w:lang w:val="ro-RO" w:eastAsia="ro-RO"/>
              </w:rPr>
              <w:t xml:space="preserve">Pentru </w:t>
            </w:r>
            <w:r w:rsidR="00C401B5">
              <w:rPr>
                <w:lang w:val="ro-RO" w:eastAsia="ro-RO"/>
              </w:rPr>
              <w:t>centrale electrice fotovoltaice</w:t>
            </w:r>
            <w:r w:rsidRPr="00140669">
              <w:rPr>
                <w:lang w:val="ro-RO" w:eastAsia="ro-RO"/>
              </w:rPr>
              <w:t xml:space="preserve">, </w:t>
            </w:r>
            <w:r w:rsidR="00C401B5">
              <w:rPr>
                <w:lang w:val="ro-RO" w:eastAsia="ro-RO"/>
              </w:rPr>
              <w:t>centrale electrice</w:t>
            </w:r>
            <w:r w:rsidRPr="00140669">
              <w:rPr>
                <w:lang w:val="ro-RO" w:eastAsia="ro-RO"/>
              </w:rPr>
              <w:t xml:space="preserve"> eoliene și pentru </w:t>
            </w:r>
            <w:r w:rsidR="00C401B5">
              <w:rPr>
                <w:lang w:val="ro-RO" w:eastAsia="ro-RO"/>
              </w:rPr>
              <w:t>centralele electrice pe</w:t>
            </w:r>
            <w:r w:rsidRPr="00140669">
              <w:rPr>
                <w:lang w:val="ro-RO" w:eastAsia="ro-RO"/>
              </w:rPr>
              <w:t xml:space="preserve"> biogaz montate de către consumatorii casnici</w:t>
            </w:r>
            <w:r w:rsidR="00AA3E44">
              <w:rPr>
                <w:lang w:val="ro-RO" w:eastAsia="ro-RO"/>
              </w:rPr>
              <w:t>:</w:t>
            </w:r>
          </w:p>
        </w:tc>
        <w:tc>
          <w:tcPr>
            <w:tcW w:w="2546" w:type="pct"/>
            <w:vAlign w:val="center"/>
            <w:hideMark/>
          </w:tcPr>
          <w:p w14:paraId="0E1493C1" w14:textId="77777777" w:rsidR="002F71D8" w:rsidRPr="00140669" w:rsidRDefault="002F71D8" w:rsidP="00DA56E1">
            <w:pPr>
              <w:rPr>
                <w:lang w:val="ro-RO" w:eastAsia="ro-RO"/>
              </w:rPr>
            </w:pPr>
            <w:r w:rsidRPr="00140669">
              <w:rPr>
                <w:lang w:val="ro-RO" w:eastAsia="ro-RO"/>
              </w:rPr>
              <w:t>Consumatorii casnici pot alege între:</w:t>
            </w:r>
          </w:p>
          <w:p w14:paraId="467519C5" w14:textId="77777777" w:rsidR="002F71D8" w:rsidRPr="00140669" w:rsidRDefault="002F71D8" w:rsidP="00DA56E1">
            <w:pPr>
              <w:rPr>
                <w:lang w:val="ro-RO" w:eastAsia="ro-RO"/>
              </w:rPr>
            </w:pPr>
          </w:p>
          <w:p w14:paraId="156A7F6C" w14:textId="6CB21803" w:rsidR="002F71D8" w:rsidRPr="00140669" w:rsidRDefault="002F71D8" w:rsidP="00140669">
            <w:pPr>
              <w:pStyle w:val="ListParagraph"/>
              <w:numPr>
                <w:ilvl w:val="0"/>
                <w:numId w:val="47"/>
              </w:numPr>
              <w:rPr>
                <w:lang w:val="ro-RO" w:eastAsia="ro-RO"/>
              </w:rPr>
            </w:pPr>
            <w:r w:rsidRPr="00140669">
              <w:rPr>
                <w:lang w:val="ro-RO" w:eastAsia="ro-RO"/>
              </w:rPr>
              <w:t xml:space="preserve">un plafon de capacitate individuală care este mai mic sau egal cu 10 kW; sau </w:t>
            </w:r>
          </w:p>
          <w:p w14:paraId="31A71872" w14:textId="77777777" w:rsidR="002F71D8" w:rsidRPr="00140669" w:rsidRDefault="002F71D8" w:rsidP="00DA56E1">
            <w:pPr>
              <w:rPr>
                <w:lang w:val="ro-RO" w:eastAsia="ro-RO"/>
              </w:rPr>
            </w:pPr>
          </w:p>
          <w:p w14:paraId="72618874" w14:textId="42A247FE" w:rsidR="002F71D8" w:rsidRPr="00140669" w:rsidRDefault="002F71D8" w:rsidP="00140669">
            <w:pPr>
              <w:pStyle w:val="ListParagraph"/>
              <w:numPr>
                <w:ilvl w:val="0"/>
                <w:numId w:val="47"/>
              </w:numPr>
              <w:rPr>
                <w:lang w:val="ro-RO" w:eastAsia="ro-RO"/>
              </w:rPr>
            </w:pPr>
            <w:r w:rsidRPr="00140669">
              <w:rPr>
                <w:lang w:val="ro-RO" w:eastAsia="ro-RO"/>
              </w:rPr>
              <w:t>un plafon de capacitate individuală determinat conform formulei:</w:t>
            </w:r>
          </w:p>
          <w:p w14:paraId="22BCCF71" w14:textId="77777777" w:rsidR="002F71D8" w:rsidRPr="00140669" w:rsidRDefault="002F71D8" w:rsidP="00DA56E1">
            <w:pPr>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140669">
              <w:rPr>
                <w:lang w:val="ro-RO" w:eastAsia="ro-RO"/>
              </w:rPr>
              <w:t>,</w:t>
            </w:r>
          </w:p>
          <w:p w14:paraId="406EDAEC" w14:textId="77777777" w:rsidR="002F71D8" w:rsidRPr="00140669" w:rsidRDefault="002F71D8" w:rsidP="00DA56E1">
            <w:pPr>
              <w:rPr>
                <w:lang w:val="ro-RO" w:eastAsia="ro-RO"/>
              </w:rPr>
            </w:pPr>
            <w:r w:rsidRPr="00140669">
              <w:rPr>
                <w:lang w:val="ro-RO" w:eastAsia="ro-RO"/>
              </w:rPr>
              <w:t>unde:</w:t>
            </w:r>
          </w:p>
          <w:p w14:paraId="77D16466" w14:textId="77777777" w:rsidR="002F71D8" w:rsidRPr="00140669" w:rsidRDefault="002F71D8" w:rsidP="00DA56E1">
            <w:pPr>
              <w:rPr>
                <w:lang w:val="ro-RO" w:eastAsia="ro-RO"/>
              </w:rPr>
            </w:pPr>
            <m:oMath>
              <m:r>
                <w:rPr>
                  <w:rFonts w:ascii="Cambria Math" w:hAnsi="Cambria Math"/>
                  <w:lang w:val="ro-RO" w:eastAsia="ro-RO"/>
                </w:rPr>
                <m:t>PC</m:t>
              </m:r>
            </m:oMath>
            <w:r w:rsidRPr="00140669">
              <w:rPr>
                <w:lang w:val="ro-RO" w:eastAsia="ro-RO"/>
              </w:rPr>
              <w:t xml:space="preserve"> – plafonul de capacitate individuală calculat pentru consumatorul casnic respectiv;</w:t>
            </w:r>
          </w:p>
          <w:p w14:paraId="3705A700" w14:textId="42D20E98" w:rsidR="002F71D8" w:rsidRPr="00140669" w:rsidRDefault="00000000" w:rsidP="00DA56E1">
            <w:pPr>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2F71D8" w:rsidRPr="00140669">
              <w:rPr>
                <w:lang w:val="ro-RO" w:eastAsia="ro-RO"/>
              </w:rPr>
              <w:t xml:space="preserve"> – valoarea maximă a consumului anual din ultimii 3 ani calendaristici a consumatorului </w:t>
            </w:r>
            <w:r w:rsidR="00A2188F">
              <w:rPr>
                <w:lang w:val="ro-RO" w:eastAsia="ro-RO"/>
              </w:rPr>
              <w:t>casnic</w:t>
            </w:r>
            <w:r w:rsidR="00AB59EC">
              <w:rPr>
                <w:lang w:val="ro-RO" w:eastAsia="ro-RO"/>
              </w:rPr>
              <w:t xml:space="preserve"> </w:t>
            </w:r>
            <w:r w:rsidR="002F71D8" w:rsidRPr="00140669">
              <w:rPr>
                <w:lang w:val="ro-RO" w:eastAsia="ro-RO"/>
              </w:rPr>
              <w:t>de energie electrică;</w:t>
            </w:r>
          </w:p>
          <w:p w14:paraId="6EE46DE9" w14:textId="11A18797" w:rsidR="002F71D8" w:rsidRPr="00140669" w:rsidRDefault="00000000" w:rsidP="00DA56E1">
            <w:pPr>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2F71D8" w:rsidRPr="00140669">
              <w:rPr>
                <w:lang w:val="ro-RO" w:eastAsia="ro-RO"/>
              </w:rPr>
              <w:t xml:space="preserve"> – coeficientul ce exprimă energia electrică generată pe parcursul unui an calendaristic de o centrală </w:t>
            </w:r>
            <w:r w:rsidR="002F71D8" w:rsidRPr="00140669">
              <w:rPr>
                <w:lang w:val="ro-RO" w:eastAsia="ro-RO"/>
              </w:rPr>
              <w:lastRenderedPageBreak/>
              <w:t>electrică pentru producerea energiei electrice din surse regenerabile de energie cu puterea instalată de 1</w:t>
            </w:r>
            <w:r w:rsidR="002F71D8" w:rsidRPr="00140669">
              <w:rPr>
                <w:lang w:val="ro-RO"/>
              </w:rPr>
              <w:t> </w:t>
            </w:r>
            <w:r w:rsidR="002F71D8" w:rsidRPr="00140669">
              <w:rPr>
                <w:lang w:val="ro-RO" w:eastAsia="ro-RO"/>
              </w:rPr>
              <w:t xml:space="preserve">kW, care pentru: o </w:t>
            </w:r>
            <w:r w:rsidR="00AB59EC">
              <w:rPr>
                <w:lang w:val="ro-RO" w:eastAsia="ro-RO"/>
              </w:rPr>
              <w:t>centrală electrică fotovoltaică</w:t>
            </w:r>
            <w:r w:rsidR="002F71D8" w:rsidRPr="00140669">
              <w:rPr>
                <w:lang w:val="ro-RO" w:eastAsia="ro-RO"/>
              </w:rPr>
              <w:t xml:space="preserve"> este egală cu </w:t>
            </w:r>
            <w:r w:rsidR="002F71D8" w:rsidRPr="00140669">
              <w:rPr>
                <w:lang w:val="ro-RO"/>
              </w:rPr>
              <w:t xml:space="preserve">1200 kWh/kW, pentru o </w:t>
            </w:r>
            <w:r w:rsidR="00AB59EC">
              <w:rPr>
                <w:lang w:val="ro-RO"/>
              </w:rPr>
              <w:t>centrală electrică</w:t>
            </w:r>
            <w:r w:rsidR="002F71D8" w:rsidRPr="00140669">
              <w:rPr>
                <w:lang w:val="ro-RO"/>
              </w:rPr>
              <w:t xml:space="preserve"> eoliană este egală cu 1600 kWh/kW, iar pentru o </w:t>
            </w:r>
            <w:r w:rsidR="00AB59EC">
              <w:rPr>
                <w:lang w:val="ro-RO"/>
              </w:rPr>
              <w:t>centrală electrică pe</w:t>
            </w:r>
            <w:r w:rsidR="002F71D8" w:rsidRPr="00140669">
              <w:rPr>
                <w:lang w:val="ro-RO"/>
              </w:rPr>
              <w:t xml:space="preserve"> biogaz este egală cu 6100 kWh/kW</w:t>
            </w:r>
          </w:p>
        </w:tc>
      </w:tr>
      <w:tr w:rsidR="002F71D8" w:rsidRPr="00140669" w14:paraId="0BA3660E" w14:textId="77777777" w:rsidTr="00DA56E1">
        <w:trPr>
          <w:trHeight w:val="20"/>
          <w:jc w:val="center"/>
        </w:trPr>
        <w:tc>
          <w:tcPr>
            <w:tcW w:w="2454" w:type="pct"/>
            <w:vAlign w:val="center"/>
          </w:tcPr>
          <w:p w14:paraId="1C920224" w14:textId="54479C7E" w:rsidR="002F71D8" w:rsidRPr="00140669" w:rsidRDefault="002F71D8" w:rsidP="00402DB5">
            <w:pPr>
              <w:rPr>
                <w:lang w:val="ro-RO" w:eastAsia="ro-RO"/>
              </w:rPr>
            </w:pPr>
            <w:r w:rsidRPr="00140669">
              <w:rPr>
                <w:lang w:val="ro-RO" w:eastAsia="ro-RO"/>
              </w:rPr>
              <w:lastRenderedPageBreak/>
              <w:t xml:space="preserve">Pentru </w:t>
            </w:r>
            <w:r w:rsidR="00AB59EC">
              <w:rPr>
                <w:lang w:val="ro-RO" w:eastAsia="ro-RO"/>
              </w:rPr>
              <w:t>centralele electrice fotovoltaice</w:t>
            </w:r>
            <w:r w:rsidRPr="00140669">
              <w:rPr>
                <w:lang w:val="ro-RO" w:eastAsia="ro-RO"/>
              </w:rPr>
              <w:t xml:space="preserve">, pentru </w:t>
            </w:r>
            <w:r w:rsidR="00AB59EC">
              <w:rPr>
                <w:lang w:val="ro-RO" w:eastAsia="ro-RO"/>
              </w:rPr>
              <w:t>centralele electrice</w:t>
            </w:r>
            <w:r w:rsidRPr="00140669">
              <w:rPr>
                <w:lang w:val="ro-RO" w:eastAsia="ro-RO"/>
              </w:rPr>
              <w:t xml:space="preserve"> eoliene și pentru </w:t>
            </w:r>
            <w:r w:rsidR="00AB59EC">
              <w:rPr>
                <w:lang w:val="ro-RO" w:eastAsia="ro-RO"/>
              </w:rPr>
              <w:t>centralele electrice pe</w:t>
            </w:r>
            <w:r w:rsidRPr="00140669">
              <w:rPr>
                <w:lang w:val="ro-RO" w:eastAsia="ro-RO"/>
              </w:rPr>
              <w:t xml:space="preserve"> biogaz montate de către</w:t>
            </w:r>
            <w:r w:rsidR="00402DB5">
              <w:rPr>
                <w:lang w:val="ro-RO" w:eastAsia="ro-RO"/>
              </w:rPr>
              <w:t xml:space="preserve"> consumatorii noncasnici</w:t>
            </w:r>
            <w:r w:rsidR="00AA3E44">
              <w:rPr>
                <w:lang w:val="ro-RO" w:eastAsia="ro-RO"/>
              </w:rPr>
              <w:t>:</w:t>
            </w:r>
          </w:p>
        </w:tc>
        <w:tc>
          <w:tcPr>
            <w:tcW w:w="2546" w:type="pct"/>
            <w:vAlign w:val="center"/>
          </w:tcPr>
          <w:p w14:paraId="2868EDC1" w14:textId="77777777" w:rsidR="002F71D8" w:rsidRPr="00140669" w:rsidRDefault="002F71D8" w:rsidP="00DA56E1">
            <w:pPr>
              <w:rPr>
                <w:lang w:val="ro-RO" w:eastAsia="ro-RO"/>
              </w:rPr>
            </w:pPr>
            <w:r w:rsidRPr="00140669">
              <w:rPr>
                <w:lang w:val="ro-RO" w:eastAsia="ro-RO"/>
              </w:rPr>
              <w:t>Se determină individual pentru fiecare consumator final de energie electrică, conform formulei:</w:t>
            </w:r>
          </w:p>
          <w:p w14:paraId="5C75D450" w14:textId="77777777" w:rsidR="002F71D8" w:rsidRPr="00140669" w:rsidRDefault="002F71D8" w:rsidP="00DA56E1">
            <w:pPr>
              <w:rPr>
                <w:lang w:val="ro-RO" w:eastAsia="ro-RO"/>
              </w:rPr>
            </w:pPr>
          </w:p>
          <w:p w14:paraId="2F5EDAAE" w14:textId="77777777" w:rsidR="002F71D8" w:rsidRPr="00140669" w:rsidRDefault="002F71D8" w:rsidP="00DA56E1">
            <w:pPr>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140669">
              <w:rPr>
                <w:lang w:val="ro-RO" w:eastAsia="ro-RO"/>
              </w:rPr>
              <w:t xml:space="preserve"> ,</w:t>
            </w:r>
          </w:p>
          <w:p w14:paraId="64F801FA" w14:textId="77777777" w:rsidR="002F71D8" w:rsidRPr="00140669" w:rsidRDefault="002F71D8" w:rsidP="00DA56E1">
            <w:pPr>
              <w:rPr>
                <w:lang w:val="ro-RO" w:eastAsia="ro-RO"/>
              </w:rPr>
            </w:pPr>
          </w:p>
          <w:p w14:paraId="1970B993" w14:textId="77777777" w:rsidR="002F71D8" w:rsidRPr="00140669" w:rsidRDefault="002F71D8" w:rsidP="00DA56E1">
            <w:pPr>
              <w:rPr>
                <w:lang w:val="ro-RO" w:eastAsia="ro-RO"/>
              </w:rPr>
            </w:pPr>
            <w:r w:rsidRPr="00140669">
              <w:rPr>
                <w:lang w:val="ro-RO" w:eastAsia="ro-RO"/>
              </w:rPr>
              <w:t>unde:</w:t>
            </w:r>
          </w:p>
          <w:p w14:paraId="148C0982" w14:textId="77777777" w:rsidR="002F71D8" w:rsidRPr="00140669" w:rsidRDefault="002F71D8" w:rsidP="00DA56E1">
            <w:pPr>
              <w:rPr>
                <w:lang w:val="ro-RO" w:eastAsia="ro-RO"/>
              </w:rPr>
            </w:pPr>
            <m:oMath>
              <m:r>
                <w:rPr>
                  <w:rFonts w:ascii="Cambria Math" w:hAnsi="Cambria Math"/>
                  <w:lang w:val="ro-RO" w:eastAsia="ro-RO"/>
                </w:rPr>
                <m:t>PC</m:t>
              </m:r>
            </m:oMath>
            <w:r w:rsidRPr="00140669">
              <w:rPr>
                <w:lang w:val="ro-RO" w:eastAsia="ro-RO"/>
              </w:rPr>
              <w:t xml:space="preserve"> – plafonul de capacitate individuală calculat pentru consumatorul noncasnic respectiv;</w:t>
            </w:r>
          </w:p>
          <w:p w14:paraId="5B55702E" w14:textId="77777777" w:rsidR="002F71D8" w:rsidRPr="00140669" w:rsidRDefault="00000000" w:rsidP="00DA56E1">
            <w:pPr>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2F71D8" w:rsidRPr="00140669">
              <w:rPr>
                <w:lang w:val="ro-RO" w:eastAsia="ro-RO"/>
              </w:rPr>
              <w:t xml:space="preserve"> – cea mai mare valoare dintre:</w:t>
            </w:r>
          </w:p>
          <w:p w14:paraId="77BD7823" w14:textId="77777777" w:rsidR="002F71D8" w:rsidRPr="00140669" w:rsidRDefault="002F71D8" w:rsidP="00DA56E1">
            <w:pPr>
              <w:rPr>
                <w:lang w:val="ro-RO" w:eastAsia="ro-RO"/>
              </w:rPr>
            </w:pPr>
            <w:r w:rsidRPr="00140669">
              <w:rPr>
                <w:lang w:val="ro-RO" w:eastAsia="ro-RO"/>
              </w:rPr>
              <w:t xml:space="preserve">– valoarea maximă a consumului anual din ultimii 3 ani calendaristici a consumatorului noncasnic de energie electrică; și </w:t>
            </w:r>
          </w:p>
          <w:p w14:paraId="3AB6D857" w14:textId="77777777" w:rsidR="002F71D8" w:rsidRPr="00140669" w:rsidRDefault="002F71D8" w:rsidP="00DA56E1">
            <w:pPr>
              <w:rPr>
                <w:lang w:val="ro-RO" w:eastAsia="ro-RO"/>
              </w:rPr>
            </w:pPr>
            <w:r w:rsidRPr="00140669">
              <w:rPr>
                <w:lang w:val="ro-RO" w:eastAsia="ro-RO"/>
              </w:rPr>
              <w:t xml:space="preserve">– produsul dintre puterea contractată a locului de consum și consumul mediu anual pentru </w:t>
            </w:r>
            <w:r w:rsidRPr="00140669">
              <w:rPr>
                <w:lang w:val="ro-RO"/>
              </w:rPr>
              <w:t>1 kW</w:t>
            </w:r>
            <w:r w:rsidRPr="00140669">
              <w:rPr>
                <w:lang w:val="ro-RO" w:eastAsia="ro-RO"/>
              </w:rPr>
              <w:t xml:space="preserve"> al consumatorilor din categoria din care face parte consumatorul noncasnic de energie electrică pentru care se calculează plafonul de capacitate individuală, determinat pentru zona de activitate a operatorului sistemului de distribuție la care este/urmează a fi racordată centrala electrică a consumatorului noncasnic respectiv;</w:t>
            </w:r>
          </w:p>
          <w:p w14:paraId="139664BD" w14:textId="492FE24C" w:rsidR="002F71D8" w:rsidRPr="00140669" w:rsidRDefault="00000000" w:rsidP="00DA56E1">
            <w:pPr>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2F71D8" w:rsidRPr="00140669">
              <w:rPr>
                <w:lang w:val="ro-RO" w:eastAsia="ro-RO"/>
              </w:rPr>
              <w:t xml:space="preserve"> – </w:t>
            </w:r>
            <w:r w:rsidR="002B2285" w:rsidRPr="00140669">
              <w:rPr>
                <w:lang w:val="ro-RO" w:eastAsia="ro-RO"/>
              </w:rPr>
              <w:t>coeficientul ce exprimă energia electrică generată pe parcursul unui an calendaristic de o centrală electrică pentru producerea energiei electrice din surse regenerabile de energie cu puterea instalată de 1</w:t>
            </w:r>
            <w:r w:rsidR="002B2285" w:rsidRPr="00140669">
              <w:rPr>
                <w:lang w:val="ro-RO"/>
              </w:rPr>
              <w:t> </w:t>
            </w:r>
            <w:r w:rsidR="002B2285" w:rsidRPr="00140669">
              <w:rPr>
                <w:lang w:val="ro-RO" w:eastAsia="ro-RO"/>
              </w:rPr>
              <w:t xml:space="preserve">kW, care pentru: o </w:t>
            </w:r>
            <w:r w:rsidR="002B2285">
              <w:rPr>
                <w:lang w:val="ro-RO" w:eastAsia="ro-RO"/>
              </w:rPr>
              <w:t>centrală electrică fotovoltaică</w:t>
            </w:r>
            <w:r w:rsidR="002B2285" w:rsidRPr="00140669">
              <w:rPr>
                <w:lang w:val="ro-RO" w:eastAsia="ro-RO"/>
              </w:rPr>
              <w:t xml:space="preserve"> este egală cu </w:t>
            </w:r>
            <w:r w:rsidR="002B2285" w:rsidRPr="00140669">
              <w:rPr>
                <w:lang w:val="ro-RO"/>
              </w:rPr>
              <w:t xml:space="preserve">1200 kWh/kW, pentru o </w:t>
            </w:r>
            <w:r w:rsidR="002B2285">
              <w:rPr>
                <w:lang w:val="ro-RO"/>
              </w:rPr>
              <w:t>centrală electrică</w:t>
            </w:r>
            <w:r w:rsidR="002B2285" w:rsidRPr="00140669">
              <w:rPr>
                <w:lang w:val="ro-RO"/>
              </w:rPr>
              <w:t xml:space="preserve"> eoliană este egală cu 1600 kWh/kW, iar pentru o </w:t>
            </w:r>
            <w:r w:rsidR="002B2285">
              <w:rPr>
                <w:lang w:val="ro-RO"/>
              </w:rPr>
              <w:t>centrală electrică pe</w:t>
            </w:r>
            <w:r w:rsidR="002B2285" w:rsidRPr="00140669">
              <w:rPr>
                <w:lang w:val="ro-RO"/>
              </w:rPr>
              <w:t xml:space="preserve"> biogaz este egală cu 6100 kWh/kW</w:t>
            </w:r>
          </w:p>
        </w:tc>
      </w:tr>
    </w:tbl>
    <w:p w14:paraId="67210F4D" w14:textId="77777777" w:rsidR="009C717D" w:rsidRPr="002F71D8" w:rsidRDefault="009C717D" w:rsidP="009C717D">
      <w:pPr>
        <w:tabs>
          <w:tab w:val="left" w:pos="6386"/>
        </w:tabs>
        <w:rPr>
          <w:rFonts w:asciiTheme="majorBidi" w:hAnsiTheme="majorBidi" w:cstheme="majorBidi"/>
          <w:sz w:val="28"/>
          <w:szCs w:val="28"/>
          <w:lang w:eastAsia="ru-RU"/>
        </w:rPr>
      </w:pPr>
    </w:p>
    <w:p w14:paraId="7A54F681" w14:textId="77777777" w:rsidR="009C717D" w:rsidRPr="0000785B" w:rsidRDefault="009C717D" w:rsidP="009C717D">
      <w:pPr>
        <w:tabs>
          <w:tab w:val="left" w:pos="6386"/>
        </w:tabs>
        <w:rPr>
          <w:rFonts w:asciiTheme="majorBidi" w:hAnsiTheme="majorBidi" w:cstheme="majorBidi"/>
          <w:sz w:val="28"/>
          <w:szCs w:val="28"/>
          <w:lang w:val="ro-MD" w:eastAsia="ru-RU"/>
        </w:rPr>
      </w:pPr>
    </w:p>
    <w:sectPr w:rsidR="009C717D" w:rsidRPr="0000785B" w:rsidSect="00FF6374">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2EC8" w14:textId="77777777" w:rsidR="00DC40AD" w:rsidRDefault="00DC40AD" w:rsidP="00026B87">
      <w:r>
        <w:separator/>
      </w:r>
    </w:p>
  </w:endnote>
  <w:endnote w:type="continuationSeparator" w:id="0">
    <w:p w14:paraId="49EB5CC4" w14:textId="77777777" w:rsidR="00DC40AD" w:rsidRDefault="00DC40A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1BF8D177" w:rsidR="000D7A09" w:rsidRPr="00C74719" w:rsidRDefault="000D7A09" w:rsidP="00C74719">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D8E7" w14:textId="77777777" w:rsidR="00DC40AD" w:rsidRDefault="00DC40AD" w:rsidP="00026B87">
      <w:r>
        <w:separator/>
      </w:r>
    </w:p>
  </w:footnote>
  <w:footnote w:type="continuationSeparator" w:id="0">
    <w:p w14:paraId="7765B863" w14:textId="77777777" w:rsidR="00DC40AD" w:rsidRDefault="00DC40AD"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67017A5B" w:rsidR="000D7A09" w:rsidRDefault="000D7A09">
    <w:pPr>
      <w:pStyle w:val="Header"/>
      <w:jc w:val="center"/>
    </w:pPr>
    <w:r>
      <w:fldChar w:fldCharType="begin"/>
    </w:r>
    <w:r>
      <w:instrText>PAGE   \* MERGEFORMAT</w:instrText>
    </w:r>
    <w:r>
      <w:fldChar w:fldCharType="separate"/>
    </w:r>
    <w:r w:rsidR="00185296" w:rsidRPr="00185296">
      <w:rPr>
        <w:noProof/>
        <w:lang w:val="ro-RO"/>
      </w:rPr>
      <w:t>2</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EFCE510"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D56FCE">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30D4B"/>
    <w:multiLevelType w:val="hybridMultilevel"/>
    <w:tmpl w:val="F3B06D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7483F"/>
    <w:multiLevelType w:val="hybridMultilevel"/>
    <w:tmpl w:val="B5CAA5DA"/>
    <w:lvl w:ilvl="0" w:tplc="40849564">
      <w:start w:val="2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796506"/>
    <w:multiLevelType w:val="hybridMultilevel"/>
    <w:tmpl w:val="CB12080A"/>
    <w:lvl w:ilvl="0" w:tplc="B8564E08">
      <w:start w:val="1"/>
      <w:numFmt w:val="decimal"/>
      <w:lvlText w:val="%1)"/>
      <w:lvlJc w:val="left"/>
      <w:pPr>
        <w:ind w:left="1240" w:hanging="360"/>
      </w:pPr>
      <w:rPr>
        <w:rFonts w:ascii="Times New Roman" w:eastAsia="Times New Roman" w:hAnsi="Times New Roman" w:cs="Times New Roman" w:hint="default"/>
        <w:w w:val="99"/>
        <w:sz w:val="24"/>
        <w:szCs w:val="24"/>
        <w:lang w:val="ro-RO" w:eastAsia="en-US" w:bidi="ar-SA"/>
      </w:rPr>
    </w:lvl>
    <w:lvl w:ilvl="1" w:tplc="DCD21F64">
      <w:numFmt w:val="bullet"/>
      <w:lvlText w:val="•"/>
      <w:lvlJc w:val="left"/>
      <w:pPr>
        <w:ind w:left="2158" w:hanging="360"/>
      </w:pPr>
      <w:rPr>
        <w:rFonts w:hint="default"/>
        <w:lang w:val="ro-RO" w:eastAsia="en-US" w:bidi="ar-SA"/>
      </w:rPr>
    </w:lvl>
    <w:lvl w:ilvl="2" w:tplc="B6767A54">
      <w:numFmt w:val="bullet"/>
      <w:lvlText w:val="•"/>
      <w:lvlJc w:val="left"/>
      <w:pPr>
        <w:ind w:left="3076" w:hanging="360"/>
      </w:pPr>
      <w:rPr>
        <w:rFonts w:hint="default"/>
        <w:lang w:val="ro-RO" w:eastAsia="en-US" w:bidi="ar-SA"/>
      </w:rPr>
    </w:lvl>
    <w:lvl w:ilvl="3" w:tplc="6AC6B224">
      <w:numFmt w:val="bullet"/>
      <w:lvlText w:val="•"/>
      <w:lvlJc w:val="left"/>
      <w:pPr>
        <w:ind w:left="3994" w:hanging="360"/>
      </w:pPr>
      <w:rPr>
        <w:rFonts w:hint="default"/>
        <w:lang w:val="ro-RO" w:eastAsia="en-US" w:bidi="ar-SA"/>
      </w:rPr>
    </w:lvl>
    <w:lvl w:ilvl="4" w:tplc="86A4D8A6">
      <w:numFmt w:val="bullet"/>
      <w:lvlText w:val="•"/>
      <w:lvlJc w:val="left"/>
      <w:pPr>
        <w:ind w:left="4912" w:hanging="360"/>
      </w:pPr>
      <w:rPr>
        <w:rFonts w:hint="default"/>
        <w:lang w:val="ro-RO" w:eastAsia="en-US" w:bidi="ar-SA"/>
      </w:rPr>
    </w:lvl>
    <w:lvl w:ilvl="5" w:tplc="E03CE7C2">
      <w:numFmt w:val="bullet"/>
      <w:lvlText w:val="•"/>
      <w:lvlJc w:val="left"/>
      <w:pPr>
        <w:ind w:left="5830" w:hanging="360"/>
      </w:pPr>
      <w:rPr>
        <w:rFonts w:hint="default"/>
        <w:lang w:val="ro-RO" w:eastAsia="en-US" w:bidi="ar-SA"/>
      </w:rPr>
    </w:lvl>
    <w:lvl w:ilvl="6" w:tplc="8BEE9C4E">
      <w:numFmt w:val="bullet"/>
      <w:lvlText w:val="•"/>
      <w:lvlJc w:val="left"/>
      <w:pPr>
        <w:ind w:left="6748" w:hanging="360"/>
      </w:pPr>
      <w:rPr>
        <w:rFonts w:hint="default"/>
        <w:lang w:val="ro-RO" w:eastAsia="en-US" w:bidi="ar-SA"/>
      </w:rPr>
    </w:lvl>
    <w:lvl w:ilvl="7" w:tplc="02E0A586">
      <w:numFmt w:val="bullet"/>
      <w:lvlText w:val="•"/>
      <w:lvlJc w:val="left"/>
      <w:pPr>
        <w:ind w:left="7666" w:hanging="360"/>
      </w:pPr>
      <w:rPr>
        <w:rFonts w:hint="default"/>
        <w:lang w:val="ro-RO" w:eastAsia="en-US" w:bidi="ar-SA"/>
      </w:rPr>
    </w:lvl>
    <w:lvl w:ilvl="8" w:tplc="810064AC">
      <w:numFmt w:val="bullet"/>
      <w:lvlText w:val="•"/>
      <w:lvlJc w:val="left"/>
      <w:pPr>
        <w:ind w:left="8584" w:hanging="360"/>
      </w:pPr>
      <w:rPr>
        <w:rFonts w:hint="default"/>
        <w:lang w:val="ro-RO" w:eastAsia="en-US" w:bidi="ar-SA"/>
      </w:rPr>
    </w:lvl>
  </w:abstractNum>
  <w:abstractNum w:abstractNumId="11"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B2564F"/>
    <w:multiLevelType w:val="hybridMultilevel"/>
    <w:tmpl w:val="59A0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75E36"/>
    <w:multiLevelType w:val="hybridMultilevel"/>
    <w:tmpl w:val="31A25B30"/>
    <w:lvl w:ilvl="0" w:tplc="BDE2109C">
      <w:start w:val="1"/>
      <w:numFmt w:val="decimal"/>
      <w:lvlText w:val="%1)"/>
      <w:lvlJc w:val="left"/>
      <w:pPr>
        <w:ind w:left="880" w:hanging="360"/>
      </w:pPr>
      <w:rPr>
        <w:rFonts w:ascii="Times New Roman" w:eastAsia="Times New Roman" w:hAnsi="Times New Roman" w:cs="Times New Roman" w:hint="default"/>
        <w:w w:val="99"/>
        <w:sz w:val="24"/>
        <w:szCs w:val="24"/>
        <w:lang w:val="ro-RO" w:eastAsia="en-US" w:bidi="ar-SA"/>
      </w:rPr>
    </w:lvl>
    <w:lvl w:ilvl="1" w:tplc="9C446402">
      <w:start w:val="1"/>
      <w:numFmt w:val="lowerRoman"/>
      <w:lvlText w:val="%2)"/>
      <w:lvlJc w:val="left"/>
      <w:pPr>
        <w:ind w:left="880" w:hanging="252"/>
      </w:pPr>
      <w:rPr>
        <w:rFonts w:ascii="Times New Roman" w:eastAsia="Times New Roman" w:hAnsi="Times New Roman" w:cs="Times New Roman" w:hint="default"/>
        <w:w w:val="100"/>
        <w:sz w:val="24"/>
        <w:szCs w:val="24"/>
        <w:lang w:val="ro-RO" w:eastAsia="en-US" w:bidi="ar-SA"/>
      </w:rPr>
    </w:lvl>
    <w:lvl w:ilvl="2" w:tplc="F538ECAA">
      <w:numFmt w:val="bullet"/>
      <w:lvlText w:val="•"/>
      <w:lvlJc w:val="left"/>
      <w:pPr>
        <w:ind w:left="2788" w:hanging="252"/>
      </w:pPr>
      <w:rPr>
        <w:rFonts w:hint="default"/>
        <w:lang w:val="ro-RO" w:eastAsia="en-US" w:bidi="ar-SA"/>
      </w:rPr>
    </w:lvl>
    <w:lvl w:ilvl="3" w:tplc="FEAE149E">
      <w:numFmt w:val="bullet"/>
      <w:lvlText w:val="•"/>
      <w:lvlJc w:val="left"/>
      <w:pPr>
        <w:ind w:left="3742" w:hanging="252"/>
      </w:pPr>
      <w:rPr>
        <w:rFonts w:hint="default"/>
        <w:lang w:val="ro-RO" w:eastAsia="en-US" w:bidi="ar-SA"/>
      </w:rPr>
    </w:lvl>
    <w:lvl w:ilvl="4" w:tplc="7304D092">
      <w:numFmt w:val="bullet"/>
      <w:lvlText w:val="•"/>
      <w:lvlJc w:val="left"/>
      <w:pPr>
        <w:ind w:left="4696" w:hanging="252"/>
      </w:pPr>
      <w:rPr>
        <w:rFonts w:hint="default"/>
        <w:lang w:val="ro-RO" w:eastAsia="en-US" w:bidi="ar-SA"/>
      </w:rPr>
    </w:lvl>
    <w:lvl w:ilvl="5" w:tplc="E758C826">
      <w:numFmt w:val="bullet"/>
      <w:lvlText w:val="•"/>
      <w:lvlJc w:val="left"/>
      <w:pPr>
        <w:ind w:left="5650" w:hanging="252"/>
      </w:pPr>
      <w:rPr>
        <w:rFonts w:hint="default"/>
        <w:lang w:val="ro-RO" w:eastAsia="en-US" w:bidi="ar-SA"/>
      </w:rPr>
    </w:lvl>
    <w:lvl w:ilvl="6" w:tplc="FF7CFC9E">
      <w:numFmt w:val="bullet"/>
      <w:lvlText w:val="•"/>
      <w:lvlJc w:val="left"/>
      <w:pPr>
        <w:ind w:left="6604" w:hanging="252"/>
      </w:pPr>
      <w:rPr>
        <w:rFonts w:hint="default"/>
        <w:lang w:val="ro-RO" w:eastAsia="en-US" w:bidi="ar-SA"/>
      </w:rPr>
    </w:lvl>
    <w:lvl w:ilvl="7" w:tplc="CED684E2">
      <w:numFmt w:val="bullet"/>
      <w:lvlText w:val="•"/>
      <w:lvlJc w:val="left"/>
      <w:pPr>
        <w:ind w:left="7558" w:hanging="252"/>
      </w:pPr>
      <w:rPr>
        <w:rFonts w:hint="default"/>
        <w:lang w:val="ro-RO" w:eastAsia="en-US" w:bidi="ar-SA"/>
      </w:rPr>
    </w:lvl>
    <w:lvl w:ilvl="8" w:tplc="52F2A626">
      <w:numFmt w:val="bullet"/>
      <w:lvlText w:val="•"/>
      <w:lvlJc w:val="left"/>
      <w:pPr>
        <w:ind w:left="8512" w:hanging="252"/>
      </w:pPr>
      <w:rPr>
        <w:rFonts w:hint="default"/>
        <w:lang w:val="ro-RO" w:eastAsia="en-US" w:bidi="ar-SA"/>
      </w:rPr>
    </w:lvl>
  </w:abstractNum>
  <w:abstractNum w:abstractNumId="22"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95C79"/>
    <w:multiLevelType w:val="hybridMultilevel"/>
    <w:tmpl w:val="FB4AFFAC"/>
    <w:lvl w:ilvl="0" w:tplc="83140786">
      <w:start w:val="3"/>
      <w:numFmt w:val="decimal"/>
      <w:lvlText w:val="%1)"/>
      <w:lvlJc w:val="left"/>
      <w:pPr>
        <w:ind w:left="928" w:hanging="360"/>
      </w:pPr>
      <w:rPr>
        <w:rFonts w:ascii="Times New Roman" w:eastAsia="Times New Roman" w:hAnsi="Times New Roman" w:cs="Times New Roman" w:hint="default"/>
        <w:w w:val="99"/>
        <w:sz w:val="24"/>
        <w:szCs w:val="24"/>
        <w:lang w:val="ro-RO" w:eastAsia="en-US" w:bidi="ar-SA"/>
      </w:rPr>
    </w:lvl>
    <w:lvl w:ilvl="1" w:tplc="FC70F4C8">
      <w:numFmt w:val="bullet"/>
      <w:lvlText w:val="•"/>
      <w:lvlJc w:val="left"/>
      <w:pPr>
        <w:ind w:left="1882" w:hanging="360"/>
      </w:pPr>
      <w:rPr>
        <w:rFonts w:hint="default"/>
        <w:lang w:val="ro-RO" w:eastAsia="en-US" w:bidi="ar-SA"/>
      </w:rPr>
    </w:lvl>
    <w:lvl w:ilvl="2" w:tplc="1FC0860A">
      <w:numFmt w:val="bullet"/>
      <w:lvlText w:val="•"/>
      <w:lvlJc w:val="left"/>
      <w:pPr>
        <w:ind w:left="2836" w:hanging="360"/>
      </w:pPr>
      <w:rPr>
        <w:rFonts w:hint="default"/>
        <w:lang w:val="ro-RO" w:eastAsia="en-US" w:bidi="ar-SA"/>
      </w:rPr>
    </w:lvl>
    <w:lvl w:ilvl="3" w:tplc="A33EFDCE">
      <w:numFmt w:val="bullet"/>
      <w:lvlText w:val="•"/>
      <w:lvlJc w:val="left"/>
      <w:pPr>
        <w:ind w:left="3790" w:hanging="360"/>
      </w:pPr>
      <w:rPr>
        <w:rFonts w:hint="default"/>
        <w:lang w:val="ro-RO" w:eastAsia="en-US" w:bidi="ar-SA"/>
      </w:rPr>
    </w:lvl>
    <w:lvl w:ilvl="4" w:tplc="4DF65518">
      <w:numFmt w:val="bullet"/>
      <w:lvlText w:val="•"/>
      <w:lvlJc w:val="left"/>
      <w:pPr>
        <w:ind w:left="4744" w:hanging="360"/>
      </w:pPr>
      <w:rPr>
        <w:rFonts w:hint="default"/>
        <w:lang w:val="ro-RO" w:eastAsia="en-US" w:bidi="ar-SA"/>
      </w:rPr>
    </w:lvl>
    <w:lvl w:ilvl="5" w:tplc="FB4E8D48">
      <w:numFmt w:val="bullet"/>
      <w:lvlText w:val="•"/>
      <w:lvlJc w:val="left"/>
      <w:pPr>
        <w:ind w:left="5698" w:hanging="360"/>
      </w:pPr>
      <w:rPr>
        <w:rFonts w:hint="default"/>
        <w:lang w:val="ro-RO" w:eastAsia="en-US" w:bidi="ar-SA"/>
      </w:rPr>
    </w:lvl>
    <w:lvl w:ilvl="6" w:tplc="AA6A517A">
      <w:numFmt w:val="bullet"/>
      <w:lvlText w:val="•"/>
      <w:lvlJc w:val="left"/>
      <w:pPr>
        <w:ind w:left="6652" w:hanging="360"/>
      </w:pPr>
      <w:rPr>
        <w:rFonts w:hint="default"/>
        <w:lang w:val="ro-RO" w:eastAsia="en-US" w:bidi="ar-SA"/>
      </w:rPr>
    </w:lvl>
    <w:lvl w:ilvl="7" w:tplc="0804D08C">
      <w:numFmt w:val="bullet"/>
      <w:lvlText w:val="•"/>
      <w:lvlJc w:val="left"/>
      <w:pPr>
        <w:ind w:left="7606" w:hanging="360"/>
      </w:pPr>
      <w:rPr>
        <w:rFonts w:hint="default"/>
        <w:lang w:val="ro-RO" w:eastAsia="en-US" w:bidi="ar-SA"/>
      </w:rPr>
    </w:lvl>
    <w:lvl w:ilvl="8" w:tplc="2CF403E8">
      <w:numFmt w:val="bullet"/>
      <w:lvlText w:val="•"/>
      <w:lvlJc w:val="left"/>
      <w:pPr>
        <w:ind w:left="8560" w:hanging="360"/>
      </w:pPr>
      <w:rPr>
        <w:rFonts w:hint="default"/>
        <w:lang w:val="ro-RO" w:eastAsia="en-US" w:bidi="ar-SA"/>
      </w:rPr>
    </w:lvl>
  </w:abstractNum>
  <w:abstractNum w:abstractNumId="26" w15:restartNumberingAfterBreak="0">
    <w:nsid w:val="54C84E85"/>
    <w:multiLevelType w:val="hybridMultilevel"/>
    <w:tmpl w:val="6088E0F2"/>
    <w:lvl w:ilvl="0" w:tplc="CE0AF1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E461F1"/>
    <w:multiLevelType w:val="hybridMultilevel"/>
    <w:tmpl w:val="4CD60B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E8110D"/>
    <w:multiLevelType w:val="hybridMultilevel"/>
    <w:tmpl w:val="BCA000E4"/>
    <w:lvl w:ilvl="0" w:tplc="1B968878">
      <w:start w:val="1"/>
      <w:numFmt w:val="decimal"/>
      <w:lvlText w:val="%1."/>
      <w:lvlJc w:val="left"/>
      <w:pPr>
        <w:ind w:left="160" w:hanging="360"/>
        <w:jc w:val="right"/>
      </w:pPr>
      <w:rPr>
        <w:rFonts w:ascii="Times New Roman" w:eastAsia="Times New Roman" w:hAnsi="Times New Roman" w:cs="Times New Roman" w:hint="default"/>
        <w:w w:val="100"/>
        <w:sz w:val="24"/>
        <w:szCs w:val="24"/>
        <w:lang w:val="ro-RO" w:eastAsia="en-US" w:bidi="ar-SA"/>
      </w:rPr>
    </w:lvl>
    <w:lvl w:ilvl="1" w:tplc="0409000F">
      <w:start w:val="1"/>
      <w:numFmt w:val="decimal"/>
      <w:lvlText w:val="%2."/>
      <w:lvlJc w:val="left"/>
      <w:pPr>
        <w:ind w:left="880" w:hanging="360"/>
      </w:pPr>
    </w:lvl>
    <w:lvl w:ilvl="2" w:tplc="8CBC7786">
      <w:numFmt w:val="bullet"/>
      <w:lvlText w:val="•"/>
      <w:lvlJc w:val="left"/>
      <w:pPr>
        <w:ind w:left="1940" w:hanging="360"/>
      </w:pPr>
      <w:rPr>
        <w:rFonts w:hint="default"/>
        <w:lang w:val="ro-RO" w:eastAsia="en-US" w:bidi="ar-SA"/>
      </w:rPr>
    </w:lvl>
    <w:lvl w:ilvl="3" w:tplc="BE7AC65E">
      <w:numFmt w:val="bullet"/>
      <w:lvlText w:val="•"/>
      <w:lvlJc w:val="left"/>
      <w:pPr>
        <w:ind w:left="3000" w:hanging="360"/>
      </w:pPr>
      <w:rPr>
        <w:rFonts w:hint="default"/>
        <w:lang w:val="ro-RO" w:eastAsia="en-US" w:bidi="ar-SA"/>
      </w:rPr>
    </w:lvl>
    <w:lvl w:ilvl="4" w:tplc="96CA5210">
      <w:numFmt w:val="bullet"/>
      <w:lvlText w:val="•"/>
      <w:lvlJc w:val="left"/>
      <w:pPr>
        <w:ind w:left="4060" w:hanging="360"/>
      </w:pPr>
      <w:rPr>
        <w:rFonts w:hint="default"/>
        <w:lang w:val="ro-RO" w:eastAsia="en-US" w:bidi="ar-SA"/>
      </w:rPr>
    </w:lvl>
    <w:lvl w:ilvl="5" w:tplc="92762A7C">
      <w:numFmt w:val="bullet"/>
      <w:lvlText w:val="•"/>
      <w:lvlJc w:val="left"/>
      <w:pPr>
        <w:ind w:left="5120" w:hanging="360"/>
      </w:pPr>
      <w:rPr>
        <w:rFonts w:hint="default"/>
        <w:lang w:val="ro-RO" w:eastAsia="en-US" w:bidi="ar-SA"/>
      </w:rPr>
    </w:lvl>
    <w:lvl w:ilvl="6" w:tplc="4880D148">
      <w:numFmt w:val="bullet"/>
      <w:lvlText w:val="•"/>
      <w:lvlJc w:val="left"/>
      <w:pPr>
        <w:ind w:left="6180" w:hanging="360"/>
      </w:pPr>
      <w:rPr>
        <w:rFonts w:hint="default"/>
        <w:lang w:val="ro-RO" w:eastAsia="en-US" w:bidi="ar-SA"/>
      </w:rPr>
    </w:lvl>
    <w:lvl w:ilvl="7" w:tplc="64A8ECFC">
      <w:numFmt w:val="bullet"/>
      <w:lvlText w:val="•"/>
      <w:lvlJc w:val="left"/>
      <w:pPr>
        <w:ind w:left="7240" w:hanging="360"/>
      </w:pPr>
      <w:rPr>
        <w:rFonts w:hint="default"/>
        <w:lang w:val="ro-RO" w:eastAsia="en-US" w:bidi="ar-SA"/>
      </w:rPr>
    </w:lvl>
    <w:lvl w:ilvl="8" w:tplc="33767EE8">
      <w:numFmt w:val="bullet"/>
      <w:lvlText w:val="•"/>
      <w:lvlJc w:val="left"/>
      <w:pPr>
        <w:ind w:left="8300" w:hanging="360"/>
      </w:pPr>
      <w:rPr>
        <w:rFonts w:hint="default"/>
        <w:lang w:val="ro-RO" w:eastAsia="en-US" w:bidi="ar-SA"/>
      </w:rPr>
    </w:lvl>
  </w:abstractNum>
  <w:abstractNum w:abstractNumId="43"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1960">
    <w:abstractNumId w:val="11"/>
  </w:num>
  <w:num w:numId="2" w16cid:durableId="1756633113">
    <w:abstractNumId w:val="39"/>
  </w:num>
  <w:num w:numId="3" w16cid:durableId="1075320569">
    <w:abstractNumId w:val="3"/>
  </w:num>
  <w:num w:numId="4" w16cid:durableId="411898587">
    <w:abstractNumId w:val="28"/>
  </w:num>
  <w:num w:numId="5" w16cid:durableId="632055403">
    <w:abstractNumId w:val="22"/>
  </w:num>
  <w:num w:numId="6" w16cid:durableId="1600484250">
    <w:abstractNumId w:val="31"/>
  </w:num>
  <w:num w:numId="7" w16cid:durableId="1864056266">
    <w:abstractNumId w:val="8"/>
  </w:num>
  <w:num w:numId="8" w16cid:durableId="1336149910">
    <w:abstractNumId w:val="23"/>
  </w:num>
  <w:num w:numId="9" w16cid:durableId="796148609">
    <w:abstractNumId w:val="40"/>
  </w:num>
  <w:num w:numId="10" w16cid:durableId="1893956929">
    <w:abstractNumId w:val="43"/>
  </w:num>
  <w:num w:numId="11" w16cid:durableId="182985101">
    <w:abstractNumId w:val="19"/>
  </w:num>
  <w:num w:numId="12" w16cid:durableId="1550535252">
    <w:abstractNumId w:val="35"/>
  </w:num>
  <w:num w:numId="13" w16cid:durableId="1362587848">
    <w:abstractNumId w:val="7"/>
  </w:num>
  <w:num w:numId="14" w16cid:durableId="100614451">
    <w:abstractNumId w:val="6"/>
  </w:num>
  <w:num w:numId="15" w16cid:durableId="1614819302">
    <w:abstractNumId w:val="12"/>
  </w:num>
  <w:num w:numId="16" w16cid:durableId="894006389">
    <w:abstractNumId w:val="34"/>
  </w:num>
  <w:num w:numId="17" w16cid:durableId="853763424">
    <w:abstractNumId w:val="32"/>
  </w:num>
  <w:num w:numId="18" w16cid:durableId="245309405">
    <w:abstractNumId w:val="4"/>
  </w:num>
  <w:num w:numId="19" w16cid:durableId="91245138">
    <w:abstractNumId w:val="13"/>
  </w:num>
  <w:num w:numId="20" w16cid:durableId="130952373">
    <w:abstractNumId w:val="16"/>
  </w:num>
  <w:num w:numId="21" w16cid:durableId="1917592599">
    <w:abstractNumId w:val="37"/>
  </w:num>
  <w:num w:numId="22" w16cid:durableId="962150169">
    <w:abstractNumId w:val="30"/>
  </w:num>
  <w:num w:numId="23" w16cid:durableId="2071415692">
    <w:abstractNumId w:val="44"/>
  </w:num>
  <w:num w:numId="24" w16cid:durableId="1692610875">
    <w:abstractNumId w:val="20"/>
  </w:num>
  <w:num w:numId="25" w16cid:durableId="1465198104">
    <w:abstractNumId w:val="38"/>
  </w:num>
  <w:num w:numId="26" w16cid:durableId="548225610">
    <w:abstractNumId w:val="24"/>
  </w:num>
  <w:num w:numId="27" w16cid:durableId="1856651168">
    <w:abstractNumId w:val="27"/>
  </w:num>
  <w:num w:numId="28" w16cid:durableId="1018235874">
    <w:abstractNumId w:val="17"/>
    <w:lvlOverride w:ilvl="0">
      <w:startOverride w:val="1"/>
    </w:lvlOverride>
    <w:lvlOverride w:ilvl="1"/>
    <w:lvlOverride w:ilvl="2"/>
    <w:lvlOverride w:ilvl="3"/>
    <w:lvlOverride w:ilvl="4"/>
    <w:lvlOverride w:ilvl="5"/>
    <w:lvlOverride w:ilvl="6"/>
    <w:lvlOverride w:ilvl="7"/>
    <w:lvlOverride w:ilvl="8"/>
  </w:num>
  <w:num w:numId="29" w16cid:durableId="194082790">
    <w:abstractNumId w:val="0"/>
  </w:num>
  <w:num w:numId="30" w16cid:durableId="815879959">
    <w:abstractNumId w:val="1"/>
  </w:num>
  <w:num w:numId="31" w16cid:durableId="287472624">
    <w:abstractNumId w:val="36"/>
  </w:num>
  <w:num w:numId="32" w16cid:durableId="188840939">
    <w:abstractNumId w:val="17"/>
  </w:num>
  <w:num w:numId="33" w16cid:durableId="1056129607">
    <w:abstractNumId w:val="45"/>
  </w:num>
  <w:num w:numId="34" w16cid:durableId="234753292">
    <w:abstractNumId w:val="41"/>
  </w:num>
  <w:num w:numId="35" w16cid:durableId="1646281536">
    <w:abstractNumId w:val="14"/>
  </w:num>
  <w:num w:numId="36" w16cid:durableId="2088336925">
    <w:abstractNumId w:val="15"/>
  </w:num>
  <w:num w:numId="37" w16cid:durableId="1842970374">
    <w:abstractNumId w:val="29"/>
  </w:num>
  <w:num w:numId="38" w16cid:durableId="1881475071">
    <w:abstractNumId w:val="9"/>
  </w:num>
  <w:num w:numId="39" w16cid:durableId="525944994">
    <w:abstractNumId w:val="18"/>
  </w:num>
  <w:num w:numId="40" w16cid:durableId="405802089">
    <w:abstractNumId w:val="26"/>
  </w:num>
  <w:num w:numId="41" w16cid:durableId="991062457">
    <w:abstractNumId w:val="33"/>
  </w:num>
  <w:num w:numId="42" w16cid:durableId="454638639">
    <w:abstractNumId w:val="2"/>
  </w:num>
  <w:num w:numId="43" w16cid:durableId="1198202703">
    <w:abstractNumId w:val="25"/>
  </w:num>
  <w:num w:numId="44" w16cid:durableId="2141877471">
    <w:abstractNumId w:val="10"/>
  </w:num>
  <w:num w:numId="45" w16cid:durableId="1320115296">
    <w:abstractNumId w:val="21"/>
  </w:num>
  <w:num w:numId="46" w16cid:durableId="1757020421">
    <w:abstractNumId w:val="42"/>
  </w:num>
  <w:num w:numId="47" w16cid:durableId="299635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785B"/>
    <w:rsid w:val="00026B87"/>
    <w:rsid w:val="00073F9C"/>
    <w:rsid w:val="00075CE0"/>
    <w:rsid w:val="00077246"/>
    <w:rsid w:val="00077B6F"/>
    <w:rsid w:val="0008431B"/>
    <w:rsid w:val="00085DA8"/>
    <w:rsid w:val="000914AA"/>
    <w:rsid w:val="00092339"/>
    <w:rsid w:val="0009503C"/>
    <w:rsid w:val="000A27AA"/>
    <w:rsid w:val="000B66A7"/>
    <w:rsid w:val="000C3000"/>
    <w:rsid w:val="000D3405"/>
    <w:rsid w:val="000D7A09"/>
    <w:rsid w:val="000F0FD7"/>
    <w:rsid w:val="001100A2"/>
    <w:rsid w:val="00111319"/>
    <w:rsid w:val="00122828"/>
    <w:rsid w:val="001333F1"/>
    <w:rsid w:val="00140669"/>
    <w:rsid w:val="0014378C"/>
    <w:rsid w:val="00144067"/>
    <w:rsid w:val="001469DB"/>
    <w:rsid w:val="001574DD"/>
    <w:rsid w:val="001614F3"/>
    <w:rsid w:val="00162199"/>
    <w:rsid w:val="00167AD2"/>
    <w:rsid w:val="00185296"/>
    <w:rsid w:val="00191F49"/>
    <w:rsid w:val="0019670E"/>
    <w:rsid w:val="001B2461"/>
    <w:rsid w:val="001B5608"/>
    <w:rsid w:val="001D364E"/>
    <w:rsid w:val="001E6EB8"/>
    <w:rsid w:val="001F0484"/>
    <w:rsid w:val="001F6EE9"/>
    <w:rsid w:val="00222B19"/>
    <w:rsid w:val="00226C63"/>
    <w:rsid w:val="00240BB5"/>
    <w:rsid w:val="00243B9C"/>
    <w:rsid w:val="002443A4"/>
    <w:rsid w:val="00251AE0"/>
    <w:rsid w:val="0025392F"/>
    <w:rsid w:val="00256F32"/>
    <w:rsid w:val="00257761"/>
    <w:rsid w:val="0027043C"/>
    <w:rsid w:val="00272116"/>
    <w:rsid w:val="002722E0"/>
    <w:rsid w:val="00272587"/>
    <w:rsid w:val="00274244"/>
    <w:rsid w:val="0028113E"/>
    <w:rsid w:val="00283736"/>
    <w:rsid w:val="00291F4B"/>
    <w:rsid w:val="0029400E"/>
    <w:rsid w:val="002B1111"/>
    <w:rsid w:val="002B2285"/>
    <w:rsid w:val="002B785A"/>
    <w:rsid w:val="002F71D8"/>
    <w:rsid w:val="0030271B"/>
    <w:rsid w:val="003060A2"/>
    <w:rsid w:val="00326937"/>
    <w:rsid w:val="003321A4"/>
    <w:rsid w:val="00336084"/>
    <w:rsid w:val="0034194B"/>
    <w:rsid w:val="0034666E"/>
    <w:rsid w:val="00352EA5"/>
    <w:rsid w:val="003543E9"/>
    <w:rsid w:val="003556DA"/>
    <w:rsid w:val="0036563E"/>
    <w:rsid w:val="0036704B"/>
    <w:rsid w:val="00371E32"/>
    <w:rsid w:val="003724B5"/>
    <w:rsid w:val="003747C5"/>
    <w:rsid w:val="003852B4"/>
    <w:rsid w:val="003969E2"/>
    <w:rsid w:val="003A139B"/>
    <w:rsid w:val="003A4AE6"/>
    <w:rsid w:val="003B04ED"/>
    <w:rsid w:val="003B596B"/>
    <w:rsid w:val="003C365E"/>
    <w:rsid w:val="003D64D5"/>
    <w:rsid w:val="003D6BC3"/>
    <w:rsid w:val="003D6D05"/>
    <w:rsid w:val="00402DB5"/>
    <w:rsid w:val="00411851"/>
    <w:rsid w:val="00412C7C"/>
    <w:rsid w:val="0041387A"/>
    <w:rsid w:val="0042011A"/>
    <w:rsid w:val="00421BB8"/>
    <w:rsid w:val="00427274"/>
    <w:rsid w:val="00434420"/>
    <w:rsid w:val="00440C5A"/>
    <w:rsid w:val="00443FC0"/>
    <w:rsid w:val="0044592D"/>
    <w:rsid w:val="00446FD8"/>
    <w:rsid w:val="00454CEE"/>
    <w:rsid w:val="00461032"/>
    <w:rsid w:val="004654AB"/>
    <w:rsid w:val="00480487"/>
    <w:rsid w:val="00480561"/>
    <w:rsid w:val="00482BA3"/>
    <w:rsid w:val="00483CBF"/>
    <w:rsid w:val="004A228A"/>
    <w:rsid w:val="004A4B59"/>
    <w:rsid w:val="004B00D8"/>
    <w:rsid w:val="004C3BDE"/>
    <w:rsid w:val="004E1000"/>
    <w:rsid w:val="004F3EF6"/>
    <w:rsid w:val="004F6E8E"/>
    <w:rsid w:val="00500597"/>
    <w:rsid w:val="00501DBE"/>
    <w:rsid w:val="0050680A"/>
    <w:rsid w:val="005071C5"/>
    <w:rsid w:val="00512A5C"/>
    <w:rsid w:val="00517FB8"/>
    <w:rsid w:val="0052257C"/>
    <w:rsid w:val="005262C2"/>
    <w:rsid w:val="00530592"/>
    <w:rsid w:val="00542F92"/>
    <w:rsid w:val="00552F3C"/>
    <w:rsid w:val="005541A1"/>
    <w:rsid w:val="00557D83"/>
    <w:rsid w:val="005802DD"/>
    <w:rsid w:val="005850E0"/>
    <w:rsid w:val="00586D2A"/>
    <w:rsid w:val="00597607"/>
    <w:rsid w:val="005A6384"/>
    <w:rsid w:val="005E1FF5"/>
    <w:rsid w:val="005F1999"/>
    <w:rsid w:val="005F2B04"/>
    <w:rsid w:val="00601679"/>
    <w:rsid w:val="00602E93"/>
    <w:rsid w:val="00613B11"/>
    <w:rsid w:val="006205B8"/>
    <w:rsid w:val="0063090F"/>
    <w:rsid w:val="00633B53"/>
    <w:rsid w:val="00633BD9"/>
    <w:rsid w:val="0065364E"/>
    <w:rsid w:val="00660886"/>
    <w:rsid w:val="006626CE"/>
    <w:rsid w:val="0067374F"/>
    <w:rsid w:val="0067378B"/>
    <w:rsid w:val="0067431A"/>
    <w:rsid w:val="00683C40"/>
    <w:rsid w:val="0069241C"/>
    <w:rsid w:val="00692524"/>
    <w:rsid w:val="00695959"/>
    <w:rsid w:val="0069673D"/>
    <w:rsid w:val="006A4390"/>
    <w:rsid w:val="006A49EB"/>
    <w:rsid w:val="006B17C6"/>
    <w:rsid w:val="006B3426"/>
    <w:rsid w:val="006E3ECB"/>
    <w:rsid w:val="006E74D0"/>
    <w:rsid w:val="0071683E"/>
    <w:rsid w:val="00723D26"/>
    <w:rsid w:val="007276F9"/>
    <w:rsid w:val="007305B8"/>
    <w:rsid w:val="00730FEE"/>
    <w:rsid w:val="0073380E"/>
    <w:rsid w:val="00737FC1"/>
    <w:rsid w:val="007430C8"/>
    <w:rsid w:val="00746067"/>
    <w:rsid w:val="0074640D"/>
    <w:rsid w:val="00752E46"/>
    <w:rsid w:val="007551A5"/>
    <w:rsid w:val="00782601"/>
    <w:rsid w:val="0078715D"/>
    <w:rsid w:val="007926E4"/>
    <w:rsid w:val="007A2971"/>
    <w:rsid w:val="007A37D5"/>
    <w:rsid w:val="007A4567"/>
    <w:rsid w:val="007B217F"/>
    <w:rsid w:val="007C4FCC"/>
    <w:rsid w:val="007E0B5B"/>
    <w:rsid w:val="007E7849"/>
    <w:rsid w:val="008130AD"/>
    <w:rsid w:val="00814406"/>
    <w:rsid w:val="00821B2F"/>
    <w:rsid w:val="00832599"/>
    <w:rsid w:val="00836DAD"/>
    <w:rsid w:val="0084667B"/>
    <w:rsid w:val="0085164A"/>
    <w:rsid w:val="008560D0"/>
    <w:rsid w:val="00862AB4"/>
    <w:rsid w:val="00863845"/>
    <w:rsid w:val="00867F07"/>
    <w:rsid w:val="0087581E"/>
    <w:rsid w:val="00875A86"/>
    <w:rsid w:val="00882196"/>
    <w:rsid w:val="00886466"/>
    <w:rsid w:val="00893B25"/>
    <w:rsid w:val="008B533A"/>
    <w:rsid w:val="008C14FC"/>
    <w:rsid w:val="008C1EB3"/>
    <w:rsid w:val="008C53C4"/>
    <w:rsid w:val="008C5F65"/>
    <w:rsid w:val="008F2638"/>
    <w:rsid w:val="00912D44"/>
    <w:rsid w:val="009159B9"/>
    <w:rsid w:val="009168BD"/>
    <w:rsid w:val="009374A9"/>
    <w:rsid w:val="00941781"/>
    <w:rsid w:val="009423B6"/>
    <w:rsid w:val="0094279D"/>
    <w:rsid w:val="00950183"/>
    <w:rsid w:val="00950951"/>
    <w:rsid w:val="00950CEF"/>
    <w:rsid w:val="0095316D"/>
    <w:rsid w:val="0095408E"/>
    <w:rsid w:val="00965406"/>
    <w:rsid w:val="00967B94"/>
    <w:rsid w:val="009804DB"/>
    <w:rsid w:val="00981608"/>
    <w:rsid w:val="009969B6"/>
    <w:rsid w:val="009A3326"/>
    <w:rsid w:val="009B184D"/>
    <w:rsid w:val="009B4C08"/>
    <w:rsid w:val="009B4E5C"/>
    <w:rsid w:val="009B65C6"/>
    <w:rsid w:val="009B68F8"/>
    <w:rsid w:val="009C4A00"/>
    <w:rsid w:val="009C6462"/>
    <w:rsid w:val="009C717D"/>
    <w:rsid w:val="009D1C68"/>
    <w:rsid w:val="009D5B26"/>
    <w:rsid w:val="009D5DA4"/>
    <w:rsid w:val="009E0AE6"/>
    <w:rsid w:val="009E16C9"/>
    <w:rsid w:val="009E20E6"/>
    <w:rsid w:val="009F6D72"/>
    <w:rsid w:val="00A0308D"/>
    <w:rsid w:val="00A04015"/>
    <w:rsid w:val="00A04621"/>
    <w:rsid w:val="00A1010C"/>
    <w:rsid w:val="00A20072"/>
    <w:rsid w:val="00A2188F"/>
    <w:rsid w:val="00A23620"/>
    <w:rsid w:val="00A32BFE"/>
    <w:rsid w:val="00A35DD9"/>
    <w:rsid w:val="00A555A2"/>
    <w:rsid w:val="00A56041"/>
    <w:rsid w:val="00A62FF3"/>
    <w:rsid w:val="00A645F2"/>
    <w:rsid w:val="00A87A92"/>
    <w:rsid w:val="00A938D0"/>
    <w:rsid w:val="00A94FEB"/>
    <w:rsid w:val="00A977C3"/>
    <w:rsid w:val="00AA173D"/>
    <w:rsid w:val="00AA3E44"/>
    <w:rsid w:val="00AA587F"/>
    <w:rsid w:val="00AA6666"/>
    <w:rsid w:val="00AB11D2"/>
    <w:rsid w:val="00AB59EC"/>
    <w:rsid w:val="00AB67F5"/>
    <w:rsid w:val="00AC2573"/>
    <w:rsid w:val="00AD3CFE"/>
    <w:rsid w:val="00AE7568"/>
    <w:rsid w:val="00AF0010"/>
    <w:rsid w:val="00B05A8B"/>
    <w:rsid w:val="00B149BD"/>
    <w:rsid w:val="00B158DC"/>
    <w:rsid w:val="00B16328"/>
    <w:rsid w:val="00B401DD"/>
    <w:rsid w:val="00B4167B"/>
    <w:rsid w:val="00B4370D"/>
    <w:rsid w:val="00B4752A"/>
    <w:rsid w:val="00B51090"/>
    <w:rsid w:val="00B6066E"/>
    <w:rsid w:val="00B71142"/>
    <w:rsid w:val="00B82343"/>
    <w:rsid w:val="00B84BA9"/>
    <w:rsid w:val="00B84F25"/>
    <w:rsid w:val="00B95FE6"/>
    <w:rsid w:val="00BA34BA"/>
    <w:rsid w:val="00BC2365"/>
    <w:rsid w:val="00BD1D8A"/>
    <w:rsid w:val="00BF2373"/>
    <w:rsid w:val="00BF32A6"/>
    <w:rsid w:val="00BF4FED"/>
    <w:rsid w:val="00C014CD"/>
    <w:rsid w:val="00C02DFA"/>
    <w:rsid w:val="00C03113"/>
    <w:rsid w:val="00C218E7"/>
    <w:rsid w:val="00C2477D"/>
    <w:rsid w:val="00C35492"/>
    <w:rsid w:val="00C401B5"/>
    <w:rsid w:val="00C72A20"/>
    <w:rsid w:val="00C74719"/>
    <w:rsid w:val="00C74905"/>
    <w:rsid w:val="00C97309"/>
    <w:rsid w:val="00CA0EC8"/>
    <w:rsid w:val="00CB05D3"/>
    <w:rsid w:val="00CB0FCF"/>
    <w:rsid w:val="00CC27AA"/>
    <w:rsid w:val="00CC7AFF"/>
    <w:rsid w:val="00CD16AF"/>
    <w:rsid w:val="00CE0DA1"/>
    <w:rsid w:val="00CE23FE"/>
    <w:rsid w:val="00CE2780"/>
    <w:rsid w:val="00CF2559"/>
    <w:rsid w:val="00CF4182"/>
    <w:rsid w:val="00D1121D"/>
    <w:rsid w:val="00D30198"/>
    <w:rsid w:val="00D33940"/>
    <w:rsid w:val="00D41305"/>
    <w:rsid w:val="00D56FCE"/>
    <w:rsid w:val="00D60C6C"/>
    <w:rsid w:val="00D64123"/>
    <w:rsid w:val="00D642D3"/>
    <w:rsid w:val="00D8311D"/>
    <w:rsid w:val="00D8472D"/>
    <w:rsid w:val="00D86B79"/>
    <w:rsid w:val="00D91434"/>
    <w:rsid w:val="00D9299C"/>
    <w:rsid w:val="00DB1216"/>
    <w:rsid w:val="00DB3F18"/>
    <w:rsid w:val="00DB7468"/>
    <w:rsid w:val="00DC15E6"/>
    <w:rsid w:val="00DC40AD"/>
    <w:rsid w:val="00DC4C6E"/>
    <w:rsid w:val="00DC7469"/>
    <w:rsid w:val="00DE7CDF"/>
    <w:rsid w:val="00DF0E57"/>
    <w:rsid w:val="00DF181A"/>
    <w:rsid w:val="00DF50ED"/>
    <w:rsid w:val="00DF7E3E"/>
    <w:rsid w:val="00E04C14"/>
    <w:rsid w:val="00E064BC"/>
    <w:rsid w:val="00E06904"/>
    <w:rsid w:val="00E11CE2"/>
    <w:rsid w:val="00E16C3F"/>
    <w:rsid w:val="00E216C5"/>
    <w:rsid w:val="00E25218"/>
    <w:rsid w:val="00E479B0"/>
    <w:rsid w:val="00E51BCD"/>
    <w:rsid w:val="00E52F97"/>
    <w:rsid w:val="00E64EE2"/>
    <w:rsid w:val="00E71009"/>
    <w:rsid w:val="00E82D01"/>
    <w:rsid w:val="00E95501"/>
    <w:rsid w:val="00EA1DFC"/>
    <w:rsid w:val="00EA3268"/>
    <w:rsid w:val="00EA7735"/>
    <w:rsid w:val="00EB053B"/>
    <w:rsid w:val="00EB50D7"/>
    <w:rsid w:val="00EB7F6B"/>
    <w:rsid w:val="00EC03BF"/>
    <w:rsid w:val="00EC27B2"/>
    <w:rsid w:val="00EC41E8"/>
    <w:rsid w:val="00ED2FE3"/>
    <w:rsid w:val="00ED6233"/>
    <w:rsid w:val="00EE3012"/>
    <w:rsid w:val="00EE3FA5"/>
    <w:rsid w:val="00EF5CF5"/>
    <w:rsid w:val="00F019B4"/>
    <w:rsid w:val="00F13577"/>
    <w:rsid w:val="00F31531"/>
    <w:rsid w:val="00F339C9"/>
    <w:rsid w:val="00F4110C"/>
    <w:rsid w:val="00F44B61"/>
    <w:rsid w:val="00F54E73"/>
    <w:rsid w:val="00F552B7"/>
    <w:rsid w:val="00F67B04"/>
    <w:rsid w:val="00F76152"/>
    <w:rsid w:val="00F817FC"/>
    <w:rsid w:val="00F83DAE"/>
    <w:rsid w:val="00F864E2"/>
    <w:rsid w:val="00F87821"/>
    <w:rsid w:val="00F921FB"/>
    <w:rsid w:val="00F938B4"/>
    <w:rsid w:val="00F960A2"/>
    <w:rsid w:val="00FA194B"/>
    <w:rsid w:val="00FA5AAF"/>
    <w:rsid w:val="00FA7984"/>
    <w:rsid w:val="00FB176A"/>
    <w:rsid w:val="00FC2D2D"/>
    <w:rsid w:val="00FC4320"/>
    <w:rsid w:val="00FD2A3E"/>
    <w:rsid w:val="00FD50C6"/>
    <w:rsid w:val="00FF637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Revision">
    <w:name w:val="Revision"/>
    <w:hidden/>
    <w:uiPriority w:val="99"/>
    <w:semiHidden/>
    <w:rsid w:val="003969E2"/>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3582">
      <w:bodyDiv w:val="1"/>
      <w:marLeft w:val="0"/>
      <w:marRight w:val="0"/>
      <w:marTop w:val="0"/>
      <w:marBottom w:val="0"/>
      <w:divBdr>
        <w:top w:val="none" w:sz="0" w:space="0" w:color="auto"/>
        <w:left w:val="none" w:sz="0" w:space="0" w:color="auto"/>
        <w:bottom w:val="none" w:sz="0" w:space="0" w:color="auto"/>
        <w:right w:val="none" w:sz="0" w:space="0" w:color="auto"/>
      </w:divBdr>
    </w:div>
    <w:div w:id="215168477">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30632699">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3432421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96BC-6F1F-4F18-BA08-455370A2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8426</Characters>
  <Application>Microsoft Office Word</Application>
  <DocSecurity>0</DocSecurity>
  <Lines>70</Lines>
  <Paragraphs>19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surse de energie regenerabilă și mobilitate verde</cp:lastModifiedBy>
  <cp:revision>2</cp:revision>
  <cp:lastPrinted>2023-12-19T13:07:00Z</cp:lastPrinted>
  <dcterms:created xsi:type="dcterms:W3CDTF">2025-08-12T05:46:00Z</dcterms:created>
  <dcterms:modified xsi:type="dcterms:W3CDTF">2025-08-12T05:46:00Z</dcterms:modified>
</cp:coreProperties>
</file>