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88" w:rsidRPr="00BD5B3A" w:rsidRDefault="00ED7A88" w:rsidP="00ED7A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tabs>
          <w:tab w:val="left" w:pos="884"/>
          <w:tab w:val="left" w:pos="1196"/>
        </w:tabs>
        <w:ind w:firstLine="0"/>
        <w:jc w:val="center"/>
        <w:rPr>
          <w:color w:val="000000" w:themeColor="text1"/>
          <w:sz w:val="24"/>
          <w:szCs w:val="24"/>
          <w:lang w:val="ro-MD"/>
        </w:rPr>
      </w:pPr>
      <w:r w:rsidRPr="00BD5B3A">
        <w:rPr>
          <w:b/>
          <w:color w:val="000000" w:themeColor="text1"/>
          <w:sz w:val="24"/>
          <w:szCs w:val="24"/>
          <w:lang w:val="ro-MD"/>
        </w:rPr>
        <w:t>NOTA DE FUNDAMENTARE</w:t>
      </w:r>
    </w:p>
    <w:p w:rsidR="00ED7A88" w:rsidRPr="00BD5B3A" w:rsidRDefault="00ED7A88" w:rsidP="00ED7A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tabs>
          <w:tab w:val="left" w:pos="884"/>
          <w:tab w:val="left" w:pos="1196"/>
        </w:tabs>
        <w:ind w:left="284" w:right="566" w:firstLine="0"/>
        <w:jc w:val="center"/>
        <w:rPr>
          <w:color w:val="000000" w:themeColor="text1"/>
          <w:sz w:val="24"/>
          <w:szCs w:val="24"/>
          <w:lang w:val="ro-MD"/>
        </w:rPr>
      </w:pPr>
      <w:r w:rsidRPr="00BD5B3A">
        <w:rPr>
          <w:b/>
          <w:color w:val="000000" w:themeColor="text1"/>
          <w:sz w:val="24"/>
          <w:szCs w:val="24"/>
          <w:lang w:val="ro-MD"/>
        </w:rPr>
        <w:t>la proiectul de Ordin cu privire la aprobarea Instrucțiunii privind procedura de înființare, strămutare și desființare a monumentelor de for public</w:t>
      </w:r>
    </w:p>
    <w:tbl>
      <w:tblPr>
        <w:tblStyle w:val="a7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ED7A88" w:rsidRPr="00BD5B3A" w:rsidTr="003613AF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1. Denumirea sau numele autorului și, după caz, a/al participanților la elaborarea proiectului actului normativ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color w:val="000000" w:themeColor="text1"/>
                <w:sz w:val="24"/>
                <w:szCs w:val="24"/>
                <w:lang w:val="ro-MD"/>
              </w:rPr>
              <w:t>Proiectul de Ordin cu privire la aprobarea Instrucțiunii privind procedura de înființare, strămutare și desființare a monumentelor de for public a fost elaborat de Ministerul Culturii.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 xml:space="preserve">2. Condițiile ce au impus elaborarea proiectului </w:t>
            </w:r>
            <w:r w:rsidRPr="00BD5B3A">
              <w:rPr>
                <w:b/>
                <w:bCs/>
                <w:caps/>
                <w:color w:val="000000" w:themeColor="text1"/>
                <w:sz w:val="24"/>
                <w:szCs w:val="24"/>
                <w:lang w:val="ro-MD"/>
              </w:rPr>
              <w:t>a</w:t>
            </w:r>
            <w:r w:rsidRPr="00BD5B3A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ctului normativ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b/>
                <w:i/>
                <w:color w:val="000000" w:themeColor="text1"/>
                <w:sz w:val="24"/>
                <w:szCs w:val="24"/>
                <w:lang w:val="ro-MD"/>
              </w:rPr>
              <w:t>2.1.</w:t>
            </w:r>
            <w:r w:rsidRPr="00BD5B3A">
              <w:rPr>
                <w:i/>
                <w:color w:val="000000" w:themeColor="text1"/>
                <w:sz w:val="24"/>
                <w:szCs w:val="24"/>
                <w:lang w:val="ro-MD"/>
              </w:rPr>
              <w:t xml:space="preserve"> Temeiul legal sau, după caz, sursa proiectului actului normativ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color w:val="000000" w:themeColor="text1"/>
                <w:sz w:val="24"/>
                <w:szCs w:val="24"/>
                <w:lang w:val="ro-MD"/>
              </w:rPr>
              <w:t xml:space="preserve">Proiectul de Ordin cu privire la aprobarea Instrucțiunii privind procedura de înființare, strămutare și desființare a monumentelor de for public este elaborat în temeiul </w:t>
            </w:r>
            <w:r w:rsidRPr="00BD5B3A">
              <w:rPr>
                <w:color w:val="000000" w:themeColor="text1"/>
                <w:sz w:val="24"/>
                <w:szCs w:val="24"/>
                <w:lang w:val="ro-MD" w:eastAsia="ru-RU"/>
              </w:rPr>
              <w:t>art. 7, alin. (2</w:t>
            </w:r>
            <w:r w:rsidRPr="00BD5B3A">
              <w:rPr>
                <w:color w:val="000000" w:themeColor="text1"/>
                <w:sz w:val="24"/>
                <w:szCs w:val="24"/>
                <w:vertAlign w:val="superscript"/>
                <w:lang w:val="ro-MD" w:eastAsia="ru-RU"/>
              </w:rPr>
              <w:t>1</w:t>
            </w:r>
            <w:r w:rsidRPr="00BD5B3A">
              <w:rPr>
                <w:color w:val="000000" w:themeColor="text1"/>
                <w:sz w:val="24"/>
                <w:szCs w:val="24"/>
                <w:lang w:val="ro-MD" w:eastAsia="ru-RU"/>
              </w:rPr>
              <w:t>), din Legea monumentelor de for public</w:t>
            </w:r>
            <w:r w:rsidRPr="00BD5B3A">
              <w:rPr>
                <w:i/>
                <w:color w:val="000000" w:themeColor="text1"/>
                <w:sz w:val="24"/>
                <w:szCs w:val="24"/>
                <w:lang w:val="ro-MD" w:eastAsia="ru-RU"/>
              </w:rPr>
              <w:t xml:space="preserve"> </w:t>
            </w:r>
            <w:r w:rsidRPr="00BD5B3A">
              <w:rPr>
                <w:color w:val="000000" w:themeColor="text1"/>
                <w:sz w:val="24"/>
                <w:szCs w:val="24"/>
                <w:lang w:val="ro-MD" w:eastAsia="ru-RU"/>
              </w:rPr>
              <w:t>nr. 192/2011 (Monitorul Oficial al Republicii Moldova, 2011, nr. 197-202, art. 569)</w:t>
            </w:r>
            <w:r w:rsidRPr="00BD5B3A">
              <w:rPr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b/>
                <w:i/>
                <w:color w:val="000000" w:themeColor="text1"/>
                <w:sz w:val="24"/>
                <w:szCs w:val="24"/>
                <w:lang w:val="ro-MD"/>
              </w:rPr>
              <w:t>2.2.</w:t>
            </w:r>
            <w:r w:rsidRPr="00BD5B3A">
              <w:rPr>
                <w:i/>
                <w:color w:val="000000" w:themeColor="text1"/>
                <w:sz w:val="24"/>
                <w:szCs w:val="24"/>
                <w:lang w:val="ro-MD"/>
              </w:rPr>
              <w:t xml:space="preserve"> Descrierea situației actuale și a problemelor care impun intervenția, inclusiv a cadrului normativ aplicabil și a deficiențelor/lacunelor normative.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tabs>
                <w:tab w:val="left" w:pos="1134"/>
              </w:tabs>
              <w:spacing w:line="259" w:lineRule="auto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color w:val="000000" w:themeColor="text1"/>
                <w:sz w:val="24"/>
                <w:szCs w:val="24"/>
                <w:lang w:val="ro-MD"/>
              </w:rPr>
              <w:t>Potrivit art. 7 alin. (2</w:t>
            </w:r>
            <w:r w:rsidRPr="00BD5B3A">
              <w:rPr>
                <w:color w:val="000000" w:themeColor="text1"/>
                <w:sz w:val="24"/>
                <w:szCs w:val="24"/>
                <w:vertAlign w:val="superscript"/>
                <w:lang w:val="ro-MD"/>
              </w:rPr>
              <w:t>1</w:t>
            </w:r>
            <w:r w:rsidRPr="00BD5B3A">
              <w:rPr>
                <w:color w:val="000000" w:themeColor="text1"/>
                <w:sz w:val="24"/>
                <w:szCs w:val="24"/>
                <w:lang w:val="ro-MD"/>
              </w:rPr>
              <w:t xml:space="preserve">) din </w:t>
            </w:r>
            <w:r w:rsidRPr="00BD5B3A">
              <w:rPr>
                <w:color w:val="000000" w:themeColor="text1"/>
                <w:sz w:val="24"/>
                <w:szCs w:val="24"/>
                <w:lang w:val="ro-MD" w:eastAsia="ru-RU"/>
              </w:rPr>
              <w:t>Legea monumentelor de for public</w:t>
            </w:r>
            <w:r w:rsidRPr="00BD5B3A">
              <w:rPr>
                <w:i/>
                <w:color w:val="000000" w:themeColor="text1"/>
                <w:sz w:val="24"/>
                <w:szCs w:val="24"/>
                <w:lang w:val="ro-MD" w:eastAsia="ru-RU"/>
              </w:rPr>
              <w:t xml:space="preserve"> </w:t>
            </w:r>
            <w:r w:rsidRPr="00BD5B3A">
              <w:rPr>
                <w:color w:val="000000" w:themeColor="text1"/>
                <w:sz w:val="24"/>
                <w:szCs w:val="24"/>
                <w:lang w:val="ro-MD" w:eastAsia="ru-RU"/>
              </w:rPr>
              <w:t>nr. 192/2011</w:t>
            </w:r>
            <w:r w:rsidRPr="00BD5B3A">
              <w:rPr>
                <w:color w:val="000000" w:themeColor="text1"/>
                <w:sz w:val="24"/>
                <w:szCs w:val="24"/>
                <w:lang w:val="ro-MD"/>
              </w:rPr>
              <w:t xml:space="preserve"> „</w:t>
            </w:r>
            <w:r w:rsidRPr="00BD5B3A">
              <w:rPr>
                <w:i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Procedura de înființare, strămutare și desființare a monumentelor de for public se aprobă prin ordinul ministrului culturii</w:t>
            </w:r>
            <w:r w:rsidRPr="00BD5B3A">
              <w:rPr>
                <w:color w:val="000000" w:themeColor="text1"/>
                <w:sz w:val="24"/>
                <w:szCs w:val="24"/>
                <w:lang w:val="ro-MD"/>
              </w:rPr>
              <w:t>”.</w:t>
            </w:r>
          </w:p>
          <w:p w:rsidR="00ED7A88" w:rsidRPr="00BD5B3A" w:rsidRDefault="00ED7A88" w:rsidP="003613AF">
            <w:pPr>
              <w:tabs>
                <w:tab w:val="left" w:pos="1134"/>
              </w:tabs>
              <w:spacing w:line="259" w:lineRule="auto"/>
              <w:ind w:right="175" w:firstLine="589"/>
              <w:rPr>
                <w:color w:val="000000" w:themeColor="text1"/>
                <w:sz w:val="24"/>
                <w:szCs w:val="24"/>
                <w:lang w:val="ro-MD" w:eastAsia="ru-RU"/>
              </w:rPr>
            </w:pPr>
            <w:r w:rsidRPr="00BD5B3A">
              <w:rPr>
                <w:color w:val="000000" w:themeColor="text1"/>
                <w:sz w:val="24"/>
                <w:szCs w:val="24"/>
                <w:lang w:val="ro-MD"/>
              </w:rPr>
              <w:t>Ministerul Culturii a elaborat proiectul de Ordin cu privire la aprobarea Instrucțiunii privind procedura de înființare, strămutare și desființare a monumentelor de for public</w:t>
            </w: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care descrie </w:t>
            </w:r>
            <w:r w:rsidRPr="00BD5B3A">
              <w:rPr>
                <w:color w:val="000000" w:themeColor="text1"/>
                <w:sz w:val="24"/>
                <w:szCs w:val="24"/>
                <w:lang w:val="ro-MD"/>
              </w:rPr>
              <w:t>procedura de înființare, strămutare și desfiiințare a monumentelor de for public. De asemenea Instrucțiunea prevede subiecții cu drept de inițiere a procedurii de înființare, strămutare sau desființare a monumentelor de for public precum și condițiile și actele necesare pentru emiterea Ordinului ministrului culturii cu privire la înființarea, strămutarea și desființarea monumentelor de for public</w:t>
            </w:r>
            <w:r w:rsidRPr="00BD5B3A">
              <w:rPr>
                <w:color w:val="000000" w:themeColor="text1"/>
                <w:sz w:val="24"/>
                <w:szCs w:val="24"/>
                <w:lang w:val="ro-MD" w:eastAsia="ru-RU"/>
              </w:rPr>
              <w:t>.</w:t>
            </w:r>
          </w:p>
          <w:p w:rsidR="00ED7A88" w:rsidRPr="00BD5B3A" w:rsidRDefault="00ED7A88" w:rsidP="003613AF">
            <w:pPr>
              <w:tabs>
                <w:tab w:val="left" w:pos="1134"/>
              </w:tabs>
              <w:spacing w:line="259" w:lineRule="auto"/>
              <w:ind w:right="175" w:firstLine="589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D5B3A">
              <w:rPr>
                <w:color w:val="000000" w:themeColor="text1"/>
                <w:sz w:val="24"/>
                <w:szCs w:val="24"/>
                <w:lang w:val="ro-MD" w:eastAsia="ru-RU"/>
              </w:rPr>
              <w:t>După emiterea Ordinului de înființare sau strămutare a monumentului de for public, Beneficiarul, are dreptul să inițieze procedura de edificare/ strămutare a monumentului de for public în corespundere cu</w:t>
            </w:r>
            <w:r w:rsidRPr="00BD5B3A">
              <w:rPr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ED7A88" w:rsidRPr="00BD5B3A" w:rsidRDefault="00ED7A88" w:rsidP="003613AF">
            <w:pPr>
              <w:tabs>
                <w:tab w:val="left" w:pos="1134"/>
              </w:tabs>
              <w:spacing w:line="259" w:lineRule="auto"/>
              <w:ind w:right="175" w:firstLine="589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5B3A">
              <w:rPr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proiectul monumentului de for public</w:t>
            </w: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ED7A88" w:rsidRPr="00BD5B3A" w:rsidRDefault="00ED7A88" w:rsidP="003613AF">
            <w:pPr>
              <w:tabs>
                <w:tab w:val="left" w:pos="1134"/>
              </w:tabs>
              <w:spacing w:line="259" w:lineRule="auto"/>
              <w:ind w:right="175" w:firstLine="589"/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2. proiectul amenajării terenului aferent şi </w:t>
            </w:r>
          </w:p>
          <w:p w:rsidR="00ED7A88" w:rsidRPr="00BD5B3A" w:rsidRDefault="00ED7A88" w:rsidP="003613AF">
            <w:pPr>
              <w:tabs>
                <w:tab w:val="left" w:pos="1134"/>
              </w:tabs>
              <w:spacing w:line="259" w:lineRule="auto"/>
              <w:ind w:right="175" w:firstLine="589"/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3. proiectul zonei de protecţie a monumentului de for public.</w:t>
            </w:r>
          </w:p>
          <w:p w:rsidR="00ED7A88" w:rsidRPr="00BD5B3A" w:rsidRDefault="00ED7A88" w:rsidP="003613AF">
            <w:pPr>
              <w:tabs>
                <w:tab w:val="left" w:pos="1134"/>
              </w:tabs>
              <w:spacing w:line="259" w:lineRule="auto"/>
              <w:ind w:right="175" w:firstLine="589"/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Toate trei categorii de proiecte se avizează de Ministerul Culturii, în modul stabilit de legislaţia privind edificarea monumentelor de for public și privind autorizarea executării lucrărilor de construcţie.</w:t>
            </w:r>
          </w:p>
          <w:p w:rsidR="00ED7A88" w:rsidRPr="00BD5B3A" w:rsidRDefault="00ED7A88" w:rsidP="003613AF">
            <w:pPr>
              <w:tabs>
                <w:tab w:val="left" w:pos="1134"/>
              </w:tabs>
              <w:spacing w:line="259" w:lineRule="auto"/>
              <w:ind w:right="175" w:firstLine="589"/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Procedura de organizare și desfășurare a concursului, condițiile de participare și de prezentare a proiectelor de concurs, precum și procedura de desemnare a proiectului câștigător ester prevăzută în Regulamentul-cadru privind organizarea concursului de selectare a autorului monumentului de for public sau al operei comemorative de război, aprobat prin Hotărârea Guvernului nr.751/2020.</w:t>
            </w:r>
          </w:p>
          <w:p w:rsidR="00ED7A88" w:rsidRPr="00BD5B3A" w:rsidRDefault="00ED7A88" w:rsidP="003613AF">
            <w:pPr>
              <w:tabs>
                <w:tab w:val="left" w:pos="1134"/>
              </w:tabs>
              <w:spacing w:line="259" w:lineRule="auto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color w:val="000000" w:themeColor="text1"/>
                <w:sz w:val="24"/>
                <w:szCs w:val="24"/>
                <w:lang w:val="ro-MD"/>
              </w:rPr>
              <w:t>Totodată, procedura și etapele de edificare a monumentelor de for public precum și de executare a lucrărilor de strămutare și de desființare a monumentelor de for public sunt prevăzute în Regulamentul de organizare și funcționare a Consiliului Național al Monumentelor de For Public, aprobat prin Hotărârea Guvernului nr.851/2012.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3. Obiectivele urmărite și soluțiile propuse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i/>
                <w:color w:val="000000" w:themeColor="text1"/>
                <w:sz w:val="24"/>
                <w:szCs w:val="24"/>
                <w:lang w:val="ro-MD"/>
              </w:rPr>
              <w:t>3.1. Principalele prevederi ale proiectului și evidențierea elementelor noi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/>
              <w:ind w:right="175" w:firstLine="567"/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r w:rsidRPr="00BD5B3A">
              <w:rPr>
                <w:color w:val="000000" w:themeColor="text1"/>
                <w:sz w:val="24"/>
                <w:szCs w:val="24"/>
                <w:lang w:val="ro-MD"/>
              </w:rPr>
              <w:t>Proiectul de Ordin cu privire la aprobarea Instrucțiunii privind procedura de înființare, strămutare și desființare a monumentelor de for public</w:t>
            </w: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conține 4 puncte. </w:t>
            </w: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lastRenderedPageBreak/>
              <w:t xml:space="preserve">Totodată, nemijlocit </w:t>
            </w:r>
            <w:r w:rsidRPr="00BD5B3A">
              <w:rPr>
                <w:color w:val="000000" w:themeColor="text1"/>
                <w:sz w:val="24"/>
                <w:szCs w:val="24"/>
                <w:lang w:val="ro-MD"/>
              </w:rPr>
              <w:t>Instrucțiunii privind procedura de înființare, strămutare și desființare a monumentelor de for public</w:t>
            </w:r>
            <w:r w:rsidR="00E110C3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conține 43</w:t>
            </w:r>
            <w:bookmarkStart w:id="0" w:name="_GoBack"/>
            <w:bookmarkEnd w:id="0"/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puncte și 2 Anexe.</w:t>
            </w:r>
          </w:p>
          <w:p w:rsidR="00ED7A88" w:rsidRPr="00BD5B3A" w:rsidRDefault="00ED7A88" w:rsidP="003613AF">
            <w:pPr>
              <w:shd w:val="clear" w:color="auto" w:fill="FFFFFF"/>
              <w:ind w:right="175" w:firstLine="567"/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Proiectu de Instrucțiune este structurat în 5 capitole, dup cum urmează:</w:t>
            </w:r>
          </w:p>
          <w:p w:rsidR="00ED7A88" w:rsidRPr="00BD5B3A" w:rsidRDefault="00ED7A88" w:rsidP="003613AF">
            <w:pPr>
              <w:shd w:val="clear" w:color="auto" w:fill="FFFFFF"/>
              <w:ind w:right="175" w:firstLine="567"/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r w:rsidRPr="00BD5B3A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Capitolul I</w:t>
            </w: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– </w:t>
            </w:r>
            <w:r w:rsidRPr="00BD5B3A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Dispoziții generale</w:t>
            </w: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, conține reglementări referitoare la obiectul de reglementare a Instrucțiunii și subiecții îndreptățiți să inițieze procedura de înființare/ strămutare sau desființare a monumentelor de for public.</w:t>
            </w:r>
          </w:p>
          <w:p w:rsidR="00ED7A88" w:rsidRPr="00BD5B3A" w:rsidRDefault="00ED7A88" w:rsidP="003613AF">
            <w:pPr>
              <w:shd w:val="clear" w:color="auto" w:fill="FFFFFF"/>
              <w:ind w:right="175" w:firstLine="567"/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r w:rsidRPr="00BD5B3A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Capitolul II</w:t>
            </w: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– </w:t>
            </w:r>
            <w:r w:rsidRPr="00BD5B3A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Înființarea monumentelor de for public</w:t>
            </w: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, </w:t>
            </w:r>
            <w:r w:rsidRPr="00BD5B3A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Capitolul III</w:t>
            </w: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– </w:t>
            </w:r>
            <w:r w:rsidRPr="00BD5B3A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Strămutarea monumentelor de for public</w:t>
            </w: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și </w:t>
            </w:r>
            <w:r w:rsidRPr="00BD5B3A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Capitolul IV</w:t>
            </w: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– </w:t>
            </w:r>
            <w:r w:rsidRPr="00BD5B3A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Desființarea monumentelor de for public</w:t>
            </w: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conțin reglementări referitoare la actele necesare pentru inițierea procedurii de înființare/ strămutare/ desființare a monumentelor de for public, termenul de exeminare a actelor de către Ministerul Culturii și soluțiile adoptate de ministrul culturii pe marginea actelor prezentate. La fel sunt enumerate cazurile în care ministrul culturii refuză inițierea procedurii de înființare/ strămutare/ strămutare a monumentelor de for public.</w:t>
            </w:r>
          </w:p>
          <w:p w:rsidR="00ED7A88" w:rsidRPr="00BD5B3A" w:rsidRDefault="00ED7A88" w:rsidP="003613AF">
            <w:pPr>
              <w:shd w:val="clear" w:color="auto" w:fill="FFFFFF"/>
              <w:ind w:right="175" w:firstLine="567"/>
              <w:rPr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Capitolul V – Dispoziții finale</w:t>
            </w: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, conține reglementări referitoare la modul de contestare a Ordinului ministrului culturii cu privire la înființarea, strămutarea sau desființarea monumentului de for public.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i/>
                <w:color w:val="000000" w:themeColor="text1"/>
                <w:sz w:val="24"/>
                <w:szCs w:val="24"/>
                <w:lang w:val="ro-MD"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ED7A88" w:rsidRPr="00BD5B3A" w:rsidTr="003613AF">
        <w:trPr>
          <w:trHeight w:val="381"/>
        </w:trPr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 xml:space="preserve">4. Analiza impactului de reglementare 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i/>
                <w:color w:val="000000" w:themeColor="text1"/>
                <w:sz w:val="24"/>
                <w:szCs w:val="24"/>
                <w:lang w:val="ro-MD"/>
              </w:rPr>
              <w:t>4.1. Impactul asupra sectorului public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r w:rsidRPr="00BD5B3A">
              <w:rPr>
                <w:color w:val="000000" w:themeColor="text1"/>
                <w:sz w:val="24"/>
                <w:szCs w:val="24"/>
                <w:lang w:val="ro-MD"/>
              </w:rPr>
              <w:t>Instrucțiunea privind procedura de înființare, strămutare și desființare a monumentelor de for public</w:t>
            </w: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va avea impact pozitiv asupra sectorului public, or aceasta aduce o claritate pentru autoritățile public cointeresate în inițierea procedurii de înființare/ strămutare sau desființare a monumentelor de for public.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i/>
                <w:color w:val="000000" w:themeColor="text1"/>
                <w:sz w:val="24"/>
                <w:szCs w:val="24"/>
                <w:lang w:val="ro-MD"/>
              </w:rPr>
              <w:t>4.2. Impactul financiar și argumentarea costurilor estimative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r w:rsidRPr="00BD5B3A">
              <w:rPr>
                <w:color w:val="000000" w:themeColor="text1"/>
                <w:sz w:val="24"/>
                <w:szCs w:val="24"/>
                <w:lang w:val="ro-MD"/>
              </w:rPr>
              <w:t>Implementarea Instrucțiunii privind procedura de înființare, strămutare și desființare a monumentelor de for public</w:t>
            </w: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nu necesită mijloace financiare de la bugetul de stat.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i/>
                <w:color w:val="000000" w:themeColor="text1"/>
                <w:sz w:val="24"/>
                <w:szCs w:val="24"/>
                <w:lang w:val="ro-MD"/>
              </w:rPr>
              <w:t>4.3. Impactul asupra sectorului privat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color w:val="000000" w:themeColor="text1"/>
                <w:sz w:val="24"/>
                <w:szCs w:val="24"/>
                <w:lang w:val="ro-MD"/>
              </w:rPr>
              <w:t>Organizațiile din sectorul privat</w:t>
            </w: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vor cunoaște ce acțiuni trebuie întreprinse pentru a sprijini procedura de înființare (importare) sau strămutare a unui monument de for public.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i/>
                <w:color w:val="000000" w:themeColor="text1"/>
                <w:sz w:val="24"/>
                <w:szCs w:val="24"/>
                <w:lang w:val="ro-MD"/>
              </w:rPr>
              <w:t>4.4. Impactul social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F1342D" w:rsidRDefault="00ED7A88" w:rsidP="003613A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F1342D">
              <w:rPr>
                <w:color w:val="000000" w:themeColor="text1"/>
                <w:sz w:val="24"/>
                <w:szCs w:val="24"/>
                <w:lang w:val="ro-MD"/>
              </w:rPr>
              <w:t xml:space="preserve">Instrucțiunea privind procedura de înființare, strămutare și desființare a monumentelor de for public va facilita procedura de înființare și strămutare a monumentelor de for public, fapt ce va contribui la </w:t>
            </w:r>
            <w:r w:rsidRPr="00F1342D">
              <w:rPr>
                <w:color w:val="000000" w:themeColor="text1"/>
                <w:sz w:val="24"/>
                <w:szCs w:val="24"/>
                <w:shd w:val="clear" w:color="auto" w:fill="FFFFFF"/>
              </w:rPr>
              <w:t>promovarea valorilor naţionale şi internaţionale prin intermediul operelor de artă monumentală amplasate în spaţii publice.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i/>
                <w:color w:val="000000" w:themeColor="text1"/>
                <w:sz w:val="24"/>
                <w:szCs w:val="24"/>
                <w:lang w:val="ro-MD"/>
              </w:rPr>
              <w:t>4.4.1. Impactul asupra datelor cu caracter personal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i/>
                <w:color w:val="000000" w:themeColor="text1"/>
                <w:sz w:val="24"/>
                <w:szCs w:val="24"/>
                <w:lang w:val="ro-MD"/>
              </w:rPr>
              <w:t>4.4.2. Impactul asupra echității și egalității de gen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i/>
                <w:color w:val="000000" w:themeColor="text1"/>
                <w:sz w:val="24"/>
                <w:szCs w:val="24"/>
                <w:lang w:val="ro-MD"/>
              </w:rPr>
              <w:t>4.5. Impactul asupra mediului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i/>
                <w:color w:val="000000" w:themeColor="text1"/>
                <w:sz w:val="24"/>
                <w:szCs w:val="24"/>
                <w:lang w:val="ro-MD"/>
              </w:rPr>
              <w:t>4.6. Alte impacturi și informații relevante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 xml:space="preserve">5. Compatibilitatea proiectului actului normativ cu legislația UE 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i/>
                <w:color w:val="000000" w:themeColor="text1"/>
                <w:sz w:val="24"/>
                <w:szCs w:val="24"/>
                <w:lang w:val="ro-MD"/>
              </w:rPr>
              <w:t>5.1. Măsuri normative necesare pentru transpunerea actelor juridice ale UE în legislația națională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i/>
                <w:color w:val="000000" w:themeColor="text1"/>
                <w:sz w:val="24"/>
                <w:szCs w:val="24"/>
                <w:lang w:val="ro-MD"/>
              </w:rPr>
              <w:lastRenderedPageBreak/>
              <w:t>5.2. Măsuri normative care urmăresc crearea cadrului juridic intern necesar pentru implementarea legislației UE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6. Avizarea și consultarea publică a proiectului actului normativ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870" w:rsidRPr="00BD5B3A" w:rsidRDefault="00ED7A88" w:rsidP="00D05E9C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 w:eastAsia="en-GB"/>
              </w:rPr>
            </w:pPr>
            <w:r w:rsidRPr="00BD5B3A">
              <w:rPr>
                <w:color w:val="000000" w:themeColor="text1"/>
                <w:sz w:val="24"/>
                <w:szCs w:val="24"/>
                <w:lang w:val="ro-MD"/>
              </w:rPr>
              <w:t xml:space="preserve">Anunțul privind inițierea procedurii de elaborare a proiectului de Instrucțiune a fost plasat </w:t>
            </w:r>
            <w:r w:rsidRPr="00BD5B3A">
              <w:rPr>
                <w:color w:val="000000" w:themeColor="text1"/>
                <w:sz w:val="24"/>
                <w:szCs w:val="24"/>
                <w:lang w:val="ro-MD" w:eastAsia="en-GB"/>
              </w:rPr>
              <w:t>pe pagina web a ministerului (www.mc.gov.md), secțiunea – Transparența decizională și pe site-ul particip.gov.md (</w:t>
            </w:r>
            <w:hyperlink r:id="rId6" w:history="1">
              <w:r w:rsidR="00066870" w:rsidRPr="00C27243">
                <w:rPr>
                  <w:rStyle w:val="a8"/>
                  <w:sz w:val="24"/>
                  <w:szCs w:val="24"/>
                  <w:lang w:val="ro-MD" w:eastAsia="en-GB"/>
                </w:rPr>
                <w:t>https://particip.gov.md/ro/document/stages/*/14667</w:t>
              </w:r>
            </w:hyperlink>
            <w:r w:rsidRPr="00BD5B3A">
              <w:rPr>
                <w:color w:val="000000" w:themeColor="text1"/>
                <w:sz w:val="24"/>
                <w:szCs w:val="24"/>
                <w:lang w:val="ro-MD" w:eastAsia="en-GB"/>
              </w:rPr>
              <w:t>).</w:t>
            </w:r>
          </w:p>
          <w:p w:rsidR="00ED7A88" w:rsidRPr="00BD5B3A" w:rsidRDefault="00ED7A88" w:rsidP="006D2147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 w:eastAsia="en-GB"/>
              </w:rPr>
            </w:pP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Proiectul </w:t>
            </w:r>
            <w:r w:rsidR="006D2147">
              <w:rPr>
                <w:color w:val="000000" w:themeColor="text1"/>
                <w:sz w:val="24"/>
                <w:szCs w:val="24"/>
                <w:lang w:val="ro-MD"/>
              </w:rPr>
              <w:t xml:space="preserve">a fost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avizat la Ministerul Infrastructurii și Dezvoltării Regionale, Agenția Proprietății Publice și Congresul Autorităților Locale din Moldova.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7. Concluziile expertizelor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bCs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bCs/>
                <w:color w:val="000000" w:themeColor="text1"/>
                <w:sz w:val="24"/>
                <w:szCs w:val="24"/>
                <w:lang w:val="ro-MD"/>
              </w:rPr>
              <w:t>Proiectul urmează a fi supus expertizei juridice la Ministerul Justiției și expertizei Anticorupție conform Metodologiei aprobate de Centrul Național Anticorupție.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8. Modul de încorporare a actului în cadrul normativ existent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Prezentul proiect de Instrucțiune se încadrează în cadrul normativ în vigoare și nu necesită modificarea, abrogarea sau elaborarea unor acte normative.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9. Măsurile necesare pentru implementarea prevederilor proiectului actului normativ</w:t>
            </w:r>
          </w:p>
        </w:tc>
      </w:tr>
      <w:tr w:rsidR="00ED7A88" w:rsidRPr="00BD5B3A" w:rsidTr="003613AF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88" w:rsidRPr="00BD5B3A" w:rsidRDefault="00ED7A88" w:rsidP="003613A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D5B3A">
              <w:rPr>
                <w:color w:val="000000" w:themeColor="text1"/>
                <w:sz w:val="24"/>
                <w:szCs w:val="24"/>
                <w:lang w:val="ro-MD"/>
              </w:rPr>
              <w:t>Pentru implementarea prevederilor proiectului actului normativ nu sunt necesare măsuri suplimentare.</w:t>
            </w:r>
          </w:p>
        </w:tc>
      </w:tr>
    </w:tbl>
    <w:p w:rsidR="00ED7A88" w:rsidRPr="00BD5B3A" w:rsidRDefault="00ED7A88" w:rsidP="00ED7A88">
      <w:pPr>
        <w:shd w:val="clear" w:color="auto" w:fill="FFFFFF" w:themeFill="background1"/>
        <w:tabs>
          <w:tab w:val="left" w:pos="884"/>
          <w:tab w:val="left" w:pos="1196"/>
        </w:tabs>
        <w:rPr>
          <w:b/>
          <w:i/>
          <w:iCs/>
          <w:color w:val="000000" w:themeColor="text1"/>
          <w:sz w:val="24"/>
          <w:szCs w:val="24"/>
          <w:lang w:val="ro-MD"/>
        </w:rPr>
      </w:pPr>
    </w:p>
    <w:p w:rsidR="00ED7A88" w:rsidRPr="00BD5B3A" w:rsidRDefault="00ED7A88" w:rsidP="00ED7A88">
      <w:pPr>
        <w:shd w:val="clear" w:color="auto" w:fill="FFFFFF" w:themeFill="background1"/>
        <w:tabs>
          <w:tab w:val="left" w:pos="884"/>
          <w:tab w:val="left" w:pos="1196"/>
        </w:tabs>
        <w:ind w:firstLine="0"/>
        <w:rPr>
          <w:b/>
          <w:i/>
          <w:iCs/>
          <w:color w:val="000000" w:themeColor="text1"/>
          <w:sz w:val="24"/>
          <w:szCs w:val="24"/>
          <w:lang w:val="ro-MD"/>
        </w:rPr>
      </w:pPr>
    </w:p>
    <w:p w:rsidR="00ED7A88" w:rsidRPr="00BD5B3A" w:rsidRDefault="00ED7A88" w:rsidP="00ED7A88">
      <w:pPr>
        <w:shd w:val="clear" w:color="auto" w:fill="FFFFFF" w:themeFill="background1"/>
        <w:tabs>
          <w:tab w:val="left" w:pos="884"/>
          <w:tab w:val="left" w:pos="1196"/>
        </w:tabs>
        <w:ind w:firstLine="0"/>
        <w:rPr>
          <w:b/>
          <w:i/>
          <w:iCs/>
          <w:color w:val="000000" w:themeColor="text1"/>
          <w:sz w:val="24"/>
          <w:szCs w:val="24"/>
          <w:lang w:val="ro-MD"/>
        </w:rPr>
      </w:pPr>
    </w:p>
    <w:p w:rsidR="00ED7A88" w:rsidRPr="00BD5B3A" w:rsidRDefault="00ED7A88" w:rsidP="00ED7A88">
      <w:pPr>
        <w:shd w:val="clear" w:color="auto" w:fill="FFFFFF" w:themeFill="background1"/>
        <w:tabs>
          <w:tab w:val="left" w:pos="884"/>
          <w:tab w:val="left" w:pos="1196"/>
        </w:tabs>
        <w:ind w:firstLine="0"/>
        <w:rPr>
          <w:b/>
          <w:i/>
          <w:iCs/>
          <w:color w:val="000000" w:themeColor="text1"/>
          <w:sz w:val="24"/>
          <w:szCs w:val="24"/>
          <w:lang w:val="ro-MD"/>
        </w:rPr>
      </w:pPr>
    </w:p>
    <w:p w:rsidR="00ED7A88" w:rsidRPr="00BD5B3A" w:rsidRDefault="00ED7A88" w:rsidP="00ED7A88">
      <w:pPr>
        <w:shd w:val="clear" w:color="auto" w:fill="FFFFFF" w:themeFill="background1"/>
        <w:tabs>
          <w:tab w:val="left" w:pos="884"/>
          <w:tab w:val="left" w:pos="1196"/>
        </w:tabs>
        <w:ind w:firstLine="0"/>
        <w:rPr>
          <w:b/>
          <w:i/>
          <w:iCs/>
          <w:color w:val="000000" w:themeColor="text1"/>
          <w:sz w:val="24"/>
          <w:szCs w:val="24"/>
          <w:lang w:val="ro-MD"/>
        </w:rPr>
      </w:pPr>
    </w:p>
    <w:p w:rsidR="00ED7A88" w:rsidRPr="00BD5B3A" w:rsidRDefault="00ED7A88" w:rsidP="00ED7A88">
      <w:pPr>
        <w:shd w:val="clear" w:color="auto" w:fill="FFFFFF" w:themeFill="background1"/>
        <w:tabs>
          <w:tab w:val="left" w:pos="884"/>
          <w:tab w:val="left" w:pos="1196"/>
        </w:tabs>
        <w:ind w:right="283" w:firstLine="0"/>
        <w:jc w:val="center"/>
        <w:rPr>
          <w:b/>
          <w:iCs/>
          <w:color w:val="000000" w:themeColor="text1"/>
          <w:sz w:val="24"/>
          <w:szCs w:val="24"/>
          <w:lang w:val="ro-MD"/>
        </w:rPr>
      </w:pPr>
      <w:r w:rsidRPr="00BD5B3A">
        <w:rPr>
          <w:b/>
          <w:iCs/>
          <w:color w:val="000000" w:themeColor="text1"/>
          <w:sz w:val="24"/>
          <w:szCs w:val="24"/>
          <w:lang w:val="ro-MD"/>
        </w:rPr>
        <w:t xml:space="preserve">Ministru </w:t>
      </w:r>
      <w:r w:rsidRPr="00BD5B3A">
        <w:rPr>
          <w:b/>
          <w:iCs/>
          <w:color w:val="000000" w:themeColor="text1"/>
          <w:sz w:val="24"/>
          <w:szCs w:val="24"/>
          <w:lang w:val="ro-MD"/>
        </w:rPr>
        <w:tab/>
        <w:t xml:space="preserve">                          </w:t>
      </w:r>
      <w:r w:rsidRPr="00BD5B3A">
        <w:rPr>
          <w:b/>
          <w:iCs/>
          <w:color w:val="000000" w:themeColor="text1"/>
          <w:sz w:val="24"/>
          <w:szCs w:val="24"/>
          <w:lang w:val="ro-MD"/>
        </w:rPr>
        <w:tab/>
        <w:t>Sergiu PRODAN</w:t>
      </w:r>
    </w:p>
    <w:p w:rsidR="00ED7A88" w:rsidRPr="00A26EF5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Pr="00A26EF5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Pr="00A26EF5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Pr="00A26EF5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Pr="00A26EF5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Pr="00A26EF5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Pr="00A26EF5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Pr="00A26EF5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Pr="00A26EF5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Pr="00A26EF5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ED7A88" w:rsidRPr="00A26EF5" w:rsidRDefault="00ED7A88" w:rsidP="00ED7A88">
      <w:pPr>
        <w:shd w:val="clear" w:color="auto" w:fill="FFFFFF" w:themeFill="background1"/>
        <w:ind w:right="424" w:firstLine="0"/>
        <w:rPr>
          <w:color w:val="000000" w:themeColor="text1"/>
          <w:sz w:val="8"/>
          <w:szCs w:val="8"/>
          <w:lang w:val="ro-MD"/>
        </w:rPr>
      </w:pPr>
    </w:p>
    <w:p w:rsidR="00ED7A88" w:rsidRPr="00A26EF5" w:rsidRDefault="00ED7A88" w:rsidP="00ED7A88">
      <w:pPr>
        <w:ind w:firstLine="0"/>
        <w:rPr>
          <w:color w:val="000000" w:themeColor="text1"/>
          <w:sz w:val="16"/>
          <w:szCs w:val="16"/>
          <w:lang w:val="ro-MD"/>
        </w:rPr>
      </w:pPr>
      <w:r w:rsidRPr="00A26EF5">
        <w:rPr>
          <w:color w:val="000000" w:themeColor="text1"/>
          <w:sz w:val="16"/>
          <w:szCs w:val="16"/>
          <w:lang w:val="ro-MD"/>
        </w:rPr>
        <w:t xml:space="preserve">Ex. Vasile Secrieru, consultant juridic </w:t>
      </w:r>
    </w:p>
    <w:p w:rsidR="004A0117" w:rsidRPr="00ED7A88" w:rsidRDefault="00ED7A88" w:rsidP="00ED7A88">
      <w:pPr>
        <w:ind w:firstLine="0"/>
        <w:rPr>
          <w:color w:val="000000" w:themeColor="text1"/>
          <w:sz w:val="16"/>
          <w:szCs w:val="16"/>
          <w:lang w:val="ro-MD"/>
        </w:rPr>
      </w:pPr>
      <w:r w:rsidRPr="00A26EF5">
        <w:rPr>
          <w:color w:val="000000" w:themeColor="text1"/>
          <w:sz w:val="16"/>
          <w:szCs w:val="16"/>
          <w:lang w:val="ro-MD"/>
        </w:rPr>
        <w:t>Tel. 068269785</w:t>
      </w:r>
    </w:p>
    <w:sectPr w:rsidR="004A0117" w:rsidRPr="00ED7A88" w:rsidSect="00C14A34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134" w:right="567" w:bottom="1276" w:left="1985" w:header="426" w:footer="2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D68" w:rsidRDefault="00901D68">
      <w:r>
        <w:separator/>
      </w:r>
    </w:p>
  </w:endnote>
  <w:endnote w:type="continuationSeparator" w:id="0">
    <w:p w:rsidR="00901D68" w:rsidRDefault="0090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160918"/>
      <w:docPartObj>
        <w:docPartGallery w:val="Page Numbers (Bottom of Page)"/>
        <w:docPartUnique/>
      </w:docPartObj>
    </w:sdtPr>
    <w:sdtEndPr/>
    <w:sdtContent>
      <w:sdt>
        <w:sdtPr>
          <w:id w:val="-413869082"/>
          <w:docPartObj>
            <w:docPartGallery w:val="Page Numbers (Top of Page)"/>
            <w:docPartUnique/>
          </w:docPartObj>
        </w:sdtPr>
        <w:sdtEndPr/>
        <w:sdtContent>
          <w:p w:rsidR="00064AB3" w:rsidRDefault="006D2147">
            <w:pPr>
              <w:pStyle w:val="a5"/>
              <w:jc w:val="right"/>
            </w:pPr>
            <w:r>
              <w:t>Pagina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10C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t>din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10C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64AB3" w:rsidRDefault="00901D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0608982"/>
      <w:docPartObj>
        <w:docPartGallery w:val="Page Numbers (Bottom of Page)"/>
        <w:docPartUnique/>
      </w:docPartObj>
    </w:sdtPr>
    <w:sdtEndPr/>
    <w:sdtContent>
      <w:sdt>
        <w:sdtPr>
          <w:id w:val="595990198"/>
          <w:docPartObj>
            <w:docPartGallery w:val="Page Numbers (Top of Page)"/>
            <w:docPartUnique/>
          </w:docPartObj>
        </w:sdtPr>
        <w:sdtEndPr/>
        <w:sdtContent>
          <w:p w:rsidR="00064AB3" w:rsidRDefault="006D2147">
            <w:pPr>
              <w:pStyle w:val="a5"/>
              <w:jc w:val="right"/>
            </w:pPr>
            <w:r>
              <w:t>Pagina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10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t>din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10C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64AB3" w:rsidRDefault="00901D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D68" w:rsidRDefault="00901D68">
      <w:r>
        <w:separator/>
      </w:r>
    </w:p>
  </w:footnote>
  <w:footnote w:type="continuationSeparator" w:id="0">
    <w:p w:rsidR="00901D68" w:rsidRDefault="00901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AB3" w:rsidRPr="00F37ED4" w:rsidRDefault="00901D68" w:rsidP="00A26EF5">
    <w:pPr>
      <w:pStyle w:val="a3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AB3" w:rsidRPr="00032B46" w:rsidRDefault="00901D68">
    <w:pPr>
      <w:pStyle w:val="a3"/>
      <w:ind w:firstLine="0"/>
      <w:rPr>
        <w:sz w:val="28"/>
        <w:szCs w:val="28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CE"/>
    <w:rsid w:val="00066870"/>
    <w:rsid w:val="003E68CE"/>
    <w:rsid w:val="003F5333"/>
    <w:rsid w:val="004A0117"/>
    <w:rsid w:val="006D2147"/>
    <w:rsid w:val="00901D68"/>
    <w:rsid w:val="00D05E9C"/>
    <w:rsid w:val="00E110C3"/>
    <w:rsid w:val="00ED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704E"/>
  <w15:chartTrackingRefBased/>
  <w15:docId w15:val="{72E49035-A508-4CA6-B593-DADE2117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A8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7A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D7A8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rsid w:val="00ED7A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7A88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7">
    <w:name w:val="Table Grid"/>
    <w:basedOn w:val="a1"/>
    <w:uiPriority w:val="39"/>
    <w:rsid w:val="00ED7A88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066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ticip.gov.md/ro/document/stages/*/1466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2025-07-29T08:22:00Z</dcterms:created>
  <dcterms:modified xsi:type="dcterms:W3CDTF">2025-07-30T14:29:00Z</dcterms:modified>
</cp:coreProperties>
</file>